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1275A6" w:rsidP="00350D21">
      <w:pPr>
        <w:pStyle w:val="NAME"/>
        <w:rPr>
          <w:rtl/>
        </w:rPr>
      </w:pPr>
      <w:bookmarkStart w:id="0" w:name="_Toc349122061"/>
      <w:bookmarkStart w:id="1" w:name="_Toc349136480"/>
      <w:bookmarkStart w:id="2" w:name="_Toc352831083"/>
      <w:bookmarkStart w:id="3" w:name="_Toc354324568"/>
      <w:bookmarkStart w:id="4" w:name="_Toc354661923"/>
      <w:r w:rsidRPr="00350D21">
        <w:rPr>
          <w:rFonts w:hint="cs"/>
          <w:rtl/>
        </w:rPr>
        <w:t>משבר הדיור</w:t>
      </w:r>
      <w:r>
        <w:rPr>
          <w:rFonts w:hint="cs"/>
          <w:rtl/>
        </w:rPr>
        <w:t xml:space="preserve"> </w:t>
      </w:r>
    </w:p>
    <w:p w:rsidR="001275A6" w:rsidP="00D5796D">
      <w:pPr>
        <w:pStyle w:val="Footer"/>
        <w:tabs>
          <w:tab w:val="clear" w:pos="4153"/>
          <w:tab w:val="clear" w:pos="8306"/>
        </w:tabs>
        <w:spacing w:after="120" w:line="230" w:lineRule="exact"/>
        <w:jc w:val="both"/>
        <w:rPr>
          <w:rFonts w:cs="FrankRuehl"/>
          <w:szCs w:val="22"/>
          <w:rtl/>
        </w:rPr>
      </w:pPr>
    </w:p>
    <w:p w:rsidR="001275A6" w:rsidRPr="00582A43" w:rsidP="00D5796D">
      <w:pPr>
        <w:spacing w:after="120" w:line="230" w:lineRule="exact"/>
        <w:jc w:val="both"/>
        <w:rPr>
          <w:rFonts w:cs="FrankRuehl"/>
          <w:szCs w:val="22"/>
          <w:rtl/>
        </w:rPr>
      </w:pPr>
    </w:p>
    <w:p w:rsidR="001275A6" w:rsidP="00D5796D">
      <w:pPr>
        <w:pStyle w:val="KOT4"/>
        <w:jc w:val="center"/>
        <w:rPr>
          <w:sz w:val="30"/>
          <w:szCs w:val="30"/>
          <w:rtl/>
        </w:rPr>
      </w:pPr>
      <w:r>
        <w:rPr>
          <w:sz w:val="30"/>
          <w:szCs w:val="30"/>
          <w:rtl/>
        </w:rPr>
        <w:t>תקציר</w:t>
      </w: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1275A6" w:rsidP="00D5796D">
            <w:pPr>
              <w:pStyle w:val="KOT4"/>
              <w:spacing w:before="120"/>
              <w:jc w:val="center"/>
              <w:rPr>
                <w:rtl/>
              </w:rPr>
            </w:pPr>
            <w:r>
              <w:rPr>
                <w:rFonts w:hint="cs"/>
                <w:rtl/>
              </w:rPr>
              <w:t>רקע כללי</w:t>
            </w:r>
          </w:p>
        </w:tc>
      </w:tr>
      <w:tr w:rsidTr="00E44678">
        <w:tblPrEx>
          <w:tblW w:w="6691" w:type="dxa"/>
          <w:jc w:val="center"/>
          <w:tblLook w:val="04A0"/>
        </w:tblPrEx>
        <w:trPr>
          <w:jc w:val="center"/>
        </w:trPr>
        <w:tc>
          <w:tcPr>
            <w:tcW w:w="7018" w:type="dxa"/>
          </w:tcPr>
          <w:p w:rsidR="00350D21" w:rsidRPr="00350D21" w:rsidP="00350D21">
            <w:pPr>
              <w:pStyle w:val="PATIAH"/>
              <w:spacing w:before="60"/>
              <w:rPr>
                <w:sz w:val="22"/>
                <w:szCs w:val="22"/>
              </w:rPr>
            </w:pPr>
            <w:r w:rsidRPr="00350D21">
              <w:rPr>
                <w:rFonts w:hint="cs"/>
                <w:sz w:val="22"/>
                <w:szCs w:val="22"/>
                <w:rtl/>
              </w:rPr>
              <w:t>החל משנת 2008 ועד דצמבר 2013, חלה עלייה ריאלית חדה במחירי הדירות ובגובה שכר הדירה בישראל (להלן - מחירי הדיור). לפי הלשכה המרכזית לסטטיסטיקה מדד מחירי הדירות עלה ב</w:t>
            </w:r>
            <w:r w:rsidRPr="00350D21">
              <w:rPr>
                <w:sz w:val="22"/>
                <w:szCs w:val="22"/>
                <w:rtl/>
              </w:rPr>
              <w:t>כ-55%</w:t>
            </w:r>
            <w:r w:rsidRPr="00350D21">
              <w:rPr>
                <w:rFonts w:hint="cs"/>
                <w:sz w:val="22"/>
                <w:szCs w:val="22"/>
                <w:rtl/>
              </w:rPr>
              <w:t xml:space="preserve"> והמחיר הממוצע של שכר הדירה עלה בכ-30%. אחד הגורמים לכך הוא מחסור בעשרות אלפי דירו</w:t>
            </w:r>
            <w:bookmarkStart w:id="5" w:name="tempMark"/>
            <w:bookmarkEnd w:id="5"/>
            <w:r w:rsidRPr="00350D21">
              <w:rPr>
                <w:rFonts w:hint="cs"/>
                <w:sz w:val="22"/>
                <w:szCs w:val="22"/>
                <w:rtl/>
              </w:rPr>
              <w:t xml:space="preserve">ת שנוצר עקב היקפן המצומצם של התחלות הבנייה ביחס לגידול במספר משקי הבית. אל מול מחירי הדיור הנוסקים עלתה ההכנסה הממוצעת של משקי הבית באופן מתון. </w:t>
            </w:r>
            <w:r w:rsidRPr="00350D21">
              <w:rPr>
                <w:sz w:val="22"/>
                <w:szCs w:val="22"/>
                <w:rtl/>
              </w:rPr>
              <w:t>שתי מגמות אלו הביאו ל</w:t>
            </w:r>
            <w:r w:rsidRPr="00350D21">
              <w:rPr>
                <w:rFonts w:hint="cs"/>
                <w:sz w:val="22"/>
                <w:szCs w:val="22"/>
                <w:rtl/>
              </w:rPr>
              <w:t xml:space="preserve">ידי </w:t>
            </w:r>
            <w:r w:rsidRPr="00350D21">
              <w:rPr>
                <w:sz w:val="22"/>
                <w:szCs w:val="22"/>
                <w:rtl/>
              </w:rPr>
              <w:t xml:space="preserve">הכבדה ניכרת בנטל הוצאות הדיור </w:t>
            </w:r>
            <w:r w:rsidRPr="00350D21">
              <w:rPr>
                <w:rFonts w:hint="cs"/>
                <w:sz w:val="22"/>
                <w:szCs w:val="22"/>
                <w:rtl/>
              </w:rPr>
              <w:t>של משק</w:t>
            </w:r>
            <w:r w:rsidRPr="00350D21">
              <w:rPr>
                <w:sz w:val="22"/>
                <w:szCs w:val="22"/>
                <w:rtl/>
              </w:rPr>
              <w:t xml:space="preserve">י </w:t>
            </w:r>
            <w:r w:rsidRPr="00350D21">
              <w:rPr>
                <w:rFonts w:hint="cs"/>
                <w:sz w:val="22"/>
                <w:szCs w:val="22"/>
                <w:rtl/>
              </w:rPr>
              <w:t>ה</w:t>
            </w:r>
            <w:r w:rsidRPr="00350D21">
              <w:rPr>
                <w:sz w:val="22"/>
                <w:szCs w:val="22"/>
                <w:rtl/>
              </w:rPr>
              <w:t>בית</w:t>
            </w:r>
            <w:r w:rsidRPr="00350D21">
              <w:rPr>
                <w:rFonts w:hint="cs"/>
                <w:sz w:val="22"/>
                <w:szCs w:val="22"/>
                <w:rtl/>
              </w:rPr>
              <w:t>,</w:t>
            </w:r>
            <w:r w:rsidRPr="00350D21">
              <w:rPr>
                <w:sz w:val="22"/>
                <w:szCs w:val="22"/>
                <w:rtl/>
              </w:rPr>
              <w:t xml:space="preserve"> </w:t>
            </w:r>
            <w:r w:rsidRPr="00350D21">
              <w:rPr>
                <w:rFonts w:hint="cs"/>
                <w:sz w:val="22"/>
                <w:szCs w:val="22"/>
                <w:rtl/>
              </w:rPr>
              <w:t xml:space="preserve">המשפיעה בעיקר </w:t>
            </w:r>
            <w:r w:rsidRPr="00350D21">
              <w:rPr>
                <w:sz w:val="22"/>
                <w:szCs w:val="22"/>
                <w:rtl/>
              </w:rPr>
              <w:t>על שכבות האוכלוסייה החלשות ו</w:t>
            </w:r>
            <w:r w:rsidRPr="00350D21">
              <w:rPr>
                <w:rFonts w:hint="cs"/>
                <w:sz w:val="22"/>
                <w:szCs w:val="22"/>
                <w:rtl/>
              </w:rPr>
              <w:t xml:space="preserve">על </w:t>
            </w:r>
            <w:r w:rsidRPr="00350D21">
              <w:rPr>
                <w:sz w:val="22"/>
                <w:szCs w:val="22"/>
                <w:rtl/>
              </w:rPr>
              <w:t>אלו המשתייכות למעמד הביניים</w:t>
            </w:r>
            <w:r w:rsidRPr="00350D21">
              <w:rPr>
                <w:rFonts w:hint="cs"/>
                <w:sz w:val="22"/>
                <w:szCs w:val="22"/>
                <w:rtl/>
              </w:rPr>
              <w:t xml:space="preserve"> (להלן - משבר הדיור). להכבדה בנטל הוצאות הדיור עלולות להיות ה</w:t>
            </w:r>
            <w:r w:rsidRPr="00350D21">
              <w:rPr>
                <w:sz w:val="22"/>
                <w:szCs w:val="22"/>
                <w:rtl/>
              </w:rPr>
              <w:t xml:space="preserve">שלכות מרחיקות לכת </w:t>
            </w:r>
            <w:r w:rsidRPr="00350D21">
              <w:rPr>
                <w:rFonts w:hint="cs"/>
                <w:sz w:val="22"/>
                <w:szCs w:val="22"/>
                <w:rtl/>
              </w:rPr>
              <w:t>ה</w:t>
            </w:r>
            <w:r w:rsidRPr="00350D21">
              <w:rPr>
                <w:sz w:val="22"/>
                <w:szCs w:val="22"/>
                <w:rtl/>
              </w:rPr>
              <w:t>נוגעות לחייו ולרווחתו של הפרט ולחוס</w:t>
            </w:r>
            <w:r w:rsidRPr="00350D21">
              <w:rPr>
                <w:rFonts w:hint="cs"/>
                <w:sz w:val="22"/>
                <w:szCs w:val="22"/>
                <w:rtl/>
              </w:rPr>
              <w:t>נו</w:t>
            </w:r>
            <w:r w:rsidRPr="00350D21">
              <w:rPr>
                <w:sz w:val="22"/>
                <w:szCs w:val="22"/>
                <w:rtl/>
              </w:rPr>
              <w:t xml:space="preserve"> הכלכלי. </w:t>
            </w:r>
            <w:r w:rsidRPr="00350D21">
              <w:rPr>
                <w:rFonts w:hint="cs"/>
                <w:sz w:val="22"/>
                <w:szCs w:val="22"/>
                <w:rtl/>
              </w:rPr>
              <w:t>אם ימשיכו מגמות אלו הן עלולות להשפיע לרעה על מצב המשק כולו.</w:t>
            </w:r>
            <w:r w:rsidRPr="00350D21">
              <w:rPr>
                <w:sz w:val="22"/>
                <w:szCs w:val="22"/>
              </w:rPr>
              <w:t xml:space="preserve"> </w:t>
            </w:r>
          </w:p>
          <w:p w:rsidR="00350D21" w:rsidRPr="00350D21" w:rsidP="00350D21">
            <w:pPr>
              <w:pStyle w:val="PATIAH"/>
              <w:rPr>
                <w:sz w:val="22"/>
                <w:szCs w:val="22"/>
                <w:rtl/>
              </w:rPr>
            </w:pPr>
            <w:r w:rsidRPr="00350D21">
              <w:rPr>
                <w:rFonts w:hint="cs"/>
                <w:sz w:val="22"/>
                <w:szCs w:val="22"/>
                <w:rtl/>
              </w:rPr>
              <w:t xml:space="preserve">משבר הדיור מצוי על סדר היום הציבורי זה כמה שנים. הוא נדון בהחלטות ממשלה, בדיוני הכנסת, בתקשורת ובאקדמיה, והיה לאחד מהנושאים המרכזיים של המחאה החברתית בקיץ 2011. בדצמבר 2013, מועד סיום הביקורת, נמשכה מגמת העלייה במחירי הדיור ומשבר הדיור עדיין לא בא על פתרונו. </w:t>
            </w:r>
          </w:p>
          <w:p w:rsidR="001275A6" w:rsidP="00350D21">
            <w:pPr>
              <w:pStyle w:val="PATIAH"/>
              <w:rPr>
                <w:sz w:val="22"/>
                <w:szCs w:val="22"/>
                <w:rtl/>
              </w:rPr>
            </w:pPr>
            <w:r w:rsidRPr="00350D21">
              <w:rPr>
                <w:rFonts w:hint="cs"/>
                <w:sz w:val="22"/>
                <w:szCs w:val="22"/>
                <w:rtl/>
              </w:rPr>
              <w:t xml:space="preserve">לממשלה ולשלטון המקומי יכולת השפעה רבה על שוק הדיור בישראל. רוב קרקעות המדינה מצויות בניהולה של רשות מקרקעי ישראל. מוסדות התכנון, רשות מקרקעי ישראל והשלטון המקומי הם הגופים העיקריים המעורבים בשרשרת הייצור של יחידת דיור משלב תכנון הקרקע דרך שיווקה ועד פיתוחה. בכוחה של הממשלה להשפיע </w:t>
            </w:r>
            <w:r w:rsidRPr="00350D21">
              <w:rPr>
                <w:rFonts w:hint="eastAsia"/>
                <w:sz w:val="22"/>
                <w:szCs w:val="22"/>
                <w:rtl/>
              </w:rPr>
              <w:t>במידה</w:t>
            </w:r>
            <w:r w:rsidRPr="00350D21">
              <w:rPr>
                <w:sz w:val="22"/>
                <w:szCs w:val="22"/>
                <w:rtl/>
              </w:rPr>
              <w:t xml:space="preserve"> </w:t>
            </w:r>
            <w:r w:rsidRPr="00350D21">
              <w:rPr>
                <w:rFonts w:hint="eastAsia"/>
                <w:sz w:val="22"/>
                <w:szCs w:val="22"/>
                <w:rtl/>
              </w:rPr>
              <w:t>מסוימת</w:t>
            </w:r>
            <w:r w:rsidRPr="00350D21">
              <w:rPr>
                <w:rFonts w:hint="cs"/>
                <w:sz w:val="22"/>
                <w:szCs w:val="22"/>
                <w:rtl/>
              </w:rPr>
              <w:t xml:space="preserve"> על הביקוש לדיור וביתר שאת על ההיצע ואגב כך לווסת את מחירי הדיור. עוד בכוחה ליצור תנאים שיאפשרו</w:t>
            </w:r>
            <w:r w:rsidRPr="00350D21">
              <w:rPr>
                <w:sz w:val="22"/>
                <w:szCs w:val="22"/>
              </w:rPr>
              <w:t xml:space="preserve"> </w:t>
            </w:r>
            <w:r w:rsidRPr="00350D21">
              <w:rPr>
                <w:rFonts w:hint="cs"/>
                <w:sz w:val="22"/>
                <w:szCs w:val="22"/>
                <w:rtl/>
              </w:rPr>
              <w:t>מתן פתרונות</w:t>
            </w:r>
            <w:r w:rsidRPr="00350D21">
              <w:rPr>
                <w:sz w:val="22"/>
                <w:szCs w:val="22"/>
              </w:rPr>
              <w:t xml:space="preserve"> </w:t>
            </w:r>
            <w:r w:rsidRPr="00350D21">
              <w:rPr>
                <w:rFonts w:hint="cs"/>
                <w:sz w:val="22"/>
                <w:szCs w:val="22"/>
                <w:rtl/>
              </w:rPr>
              <w:t>דיור</w:t>
            </w:r>
            <w:r w:rsidRPr="00350D21">
              <w:rPr>
                <w:sz w:val="22"/>
                <w:szCs w:val="22"/>
              </w:rPr>
              <w:t xml:space="preserve"> </w:t>
            </w:r>
            <w:r w:rsidRPr="00350D21">
              <w:rPr>
                <w:rFonts w:hint="cs"/>
                <w:sz w:val="22"/>
                <w:szCs w:val="22"/>
                <w:rtl/>
              </w:rPr>
              <w:t>במחיר</w:t>
            </w:r>
            <w:r w:rsidRPr="00350D21">
              <w:rPr>
                <w:sz w:val="22"/>
                <w:szCs w:val="22"/>
              </w:rPr>
              <w:t xml:space="preserve"> </w:t>
            </w:r>
            <w:r w:rsidRPr="00350D21">
              <w:rPr>
                <w:rFonts w:hint="cs"/>
                <w:sz w:val="22"/>
                <w:szCs w:val="22"/>
                <w:rtl/>
              </w:rPr>
              <w:t>סביר</w:t>
            </w:r>
            <w:r w:rsidRPr="00350D21">
              <w:rPr>
                <w:sz w:val="22"/>
                <w:szCs w:val="22"/>
              </w:rPr>
              <w:t xml:space="preserve"> </w:t>
            </w:r>
            <w:r w:rsidRPr="00350D21">
              <w:rPr>
                <w:rFonts w:hint="cs"/>
                <w:sz w:val="22"/>
                <w:szCs w:val="22"/>
                <w:rtl/>
              </w:rPr>
              <w:t>לכלל האוכלוסייה ולסייע בדיור לקבוצות</w:t>
            </w:r>
            <w:r w:rsidRPr="00350D21">
              <w:rPr>
                <w:sz w:val="22"/>
                <w:szCs w:val="22"/>
              </w:rPr>
              <w:t xml:space="preserve"> </w:t>
            </w:r>
            <w:r w:rsidRPr="00350D21">
              <w:rPr>
                <w:rFonts w:hint="cs"/>
                <w:sz w:val="22"/>
                <w:szCs w:val="22"/>
                <w:rtl/>
              </w:rPr>
              <w:t xml:space="preserve">אוכלוסייה מסוימות שהכנסותיהן נמוכות </w:t>
            </w:r>
            <w:r w:rsidRPr="00350D21">
              <w:rPr>
                <w:rFonts w:hint="eastAsia"/>
                <w:sz w:val="22"/>
                <w:szCs w:val="22"/>
                <w:rtl/>
              </w:rPr>
              <w:t>יחסית</w:t>
            </w:r>
            <w:r w:rsidRPr="00350D21">
              <w:rPr>
                <w:rFonts w:hint="cs"/>
                <w:sz w:val="22"/>
                <w:szCs w:val="22"/>
                <w:rtl/>
              </w:rPr>
              <w:t>.</w:t>
            </w:r>
          </w:p>
        </w:tc>
      </w:tr>
    </w:tbl>
    <w:p w:rsidR="001275A6" w:rsidP="00D5796D">
      <w:pPr>
        <w:pStyle w:val="takzir"/>
        <w:jc w:val="cente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1275A6" w:rsidP="00D5796D">
            <w:pPr>
              <w:pStyle w:val="KOT4"/>
              <w:spacing w:before="120"/>
              <w:jc w:val="center"/>
              <w:rPr>
                <w:rtl/>
              </w:rPr>
            </w:pPr>
            <w:r>
              <w:rPr>
                <w:rtl/>
              </w:rPr>
              <w:t>פעולות הביקורת</w:t>
            </w:r>
          </w:p>
        </w:tc>
      </w:tr>
      <w:tr w:rsidTr="00E44678">
        <w:tblPrEx>
          <w:tblW w:w="6691" w:type="dxa"/>
          <w:jc w:val="center"/>
          <w:tblLook w:val="04A0"/>
        </w:tblPrEx>
        <w:trPr>
          <w:jc w:val="center"/>
        </w:trPr>
        <w:tc>
          <w:tcPr>
            <w:tcW w:w="7018" w:type="dxa"/>
          </w:tcPr>
          <w:p w:rsidR="00350D21" w:rsidRPr="00350D21" w:rsidP="00350D21">
            <w:pPr>
              <w:pStyle w:val="takzir"/>
              <w:spacing w:before="60"/>
              <w:rPr>
                <w:b w:val="0"/>
                <w:bCs w:val="0"/>
                <w:noProof w:val="0"/>
                <w:rtl/>
              </w:rPr>
            </w:pPr>
            <w:r w:rsidRPr="00350D21">
              <w:rPr>
                <w:b w:val="0"/>
                <w:bCs w:val="0"/>
                <w:noProof w:val="0"/>
                <w:rtl/>
              </w:rPr>
              <w:t xml:space="preserve">בחודשים פברואר-דצמבר 2013 בדק משרד מבקר המדינה את </w:t>
            </w:r>
            <w:r w:rsidRPr="00350D21">
              <w:rPr>
                <w:rFonts w:hint="cs"/>
                <w:b w:val="0"/>
                <w:bCs w:val="0"/>
                <w:noProof w:val="0"/>
                <w:rtl/>
              </w:rPr>
              <w:t>התמודדותן</w:t>
            </w:r>
            <w:r w:rsidRPr="00350D21">
              <w:rPr>
                <w:b w:val="0"/>
                <w:bCs w:val="0"/>
                <w:noProof w:val="0"/>
                <w:rtl/>
              </w:rPr>
              <w:t xml:space="preserve"> של הממשלה</w:t>
            </w:r>
            <w:r w:rsidRPr="00350D21">
              <w:rPr>
                <w:rFonts w:hint="cs"/>
                <w:b w:val="0"/>
                <w:bCs w:val="0"/>
                <w:noProof w:val="0"/>
                <w:rtl/>
              </w:rPr>
              <w:t xml:space="preserve"> ו</w:t>
            </w:r>
            <w:r w:rsidRPr="00350D21">
              <w:rPr>
                <w:b w:val="0"/>
                <w:bCs w:val="0"/>
                <w:noProof w:val="0"/>
                <w:rtl/>
              </w:rPr>
              <w:t xml:space="preserve">של </w:t>
            </w:r>
            <w:r w:rsidRPr="00350D21">
              <w:rPr>
                <w:rFonts w:hint="cs"/>
                <w:b w:val="0"/>
                <w:bCs w:val="0"/>
                <w:noProof w:val="0"/>
                <w:rtl/>
              </w:rPr>
              <w:t>רשויות נוספות רלוונטיות</w:t>
            </w:r>
            <w:r>
              <w:rPr>
                <w:b w:val="0"/>
                <w:bCs w:val="0"/>
                <w:noProof w:val="0"/>
                <w:vertAlign w:val="superscript"/>
                <w:rtl/>
              </w:rPr>
              <w:footnoteReference w:id="2"/>
            </w:r>
            <w:r w:rsidRPr="00350D21">
              <w:rPr>
                <w:rFonts w:hint="cs"/>
                <w:b w:val="0"/>
                <w:bCs w:val="0"/>
                <w:noProof w:val="0"/>
                <w:rtl/>
              </w:rPr>
              <w:t xml:space="preserve"> עם </w:t>
            </w:r>
            <w:r w:rsidRPr="00350D21">
              <w:rPr>
                <w:b w:val="0"/>
                <w:bCs w:val="0"/>
                <w:noProof w:val="0"/>
                <w:rtl/>
              </w:rPr>
              <w:t>משבר הדיור. הבדיקה התייחסה בין השאר לנושאים אלו: גיבושה של מדיניות לאומית בתחום הדיור</w:t>
            </w:r>
            <w:r w:rsidRPr="00350D21">
              <w:rPr>
                <w:rFonts w:hint="cs"/>
                <w:b w:val="0"/>
                <w:bCs w:val="0"/>
                <w:noProof w:val="0"/>
                <w:rtl/>
              </w:rPr>
              <w:t>,</w:t>
            </w:r>
            <w:r w:rsidRPr="00350D21">
              <w:rPr>
                <w:b w:val="0"/>
                <w:bCs w:val="0"/>
                <w:noProof w:val="0"/>
                <w:rtl/>
              </w:rPr>
              <w:t xml:space="preserve"> בחינת שלבים עיקריים בשרשרת הייצור של יחידות דיור </w:t>
            </w:r>
            <w:r w:rsidRPr="00350D21">
              <w:rPr>
                <w:rFonts w:hint="cs"/>
                <w:b w:val="0"/>
                <w:bCs w:val="0"/>
                <w:noProof w:val="0"/>
                <w:rtl/>
              </w:rPr>
              <w:t>ו</w:t>
            </w:r>
            <w:r w:rsidRPr="00350D21">
              <w:rPr>
                <w:b w:val="0"/>
                <w:bCs w:val="0"/>
                <w:noProof w:val="0"/>
                <w:rtl/>
              </w:rPr>
              <w:t xml:space="preserve">פעולות הממשלה בתחום דיור בר השגה. בדיקות השלמה ועדכונים </w:t>
            </w:r>
            <w:r w:rsidRPr="00350D21">
              <w:rPr>
                <w:rFonts w:hint="cs"/>
                <w:b w:val="0"/>
                <w:bCs w:val="0"/>
                <w:noProof w:val="0"/>
                <w:rtl/>
              </w:rPr>
              <w:t xml:space="preserve">של חלק מהנתונים </w:t>
            </w:r>
            <w:r w:rsidRPr="00350D21">
              <w:rPr>
                <w:b w:val="0"/>
                <w:bCs w:val="0"/>
                <w:noProof w:val="0"/>
                <w:rtl/>
              </w:rPr>
              <w:t>נעשו בחודשים ינואר-אוגוסט 2014.</w:t>
            </w:r>
          </w:p>
          <w:p w:rsidR="001275A6" w:rsidP="00582A43">
            <w:pPr>
              <w:pStyle w:val="takzir"/>
              <w:rPr>
                <w:b w:val="0"/>
                <w:bCs w:val="0"/>
                <w:noProof w:val="0"/>
                <w:rtl/>
              </w:rPr>
            </w:pPr>
            <w:r w:rsidRPr="00350D21">
              <w:rPr>
                <w:rFonts w:hint="cs"/>
                <w:b w:val="0"/>
                <w:bCs w:val="0"/>
                <w:noProof w:val="0"/>
                <w:rtl/>
              </w:rPr>
              <w:t xml:space="preserve">הבדיקה נערכה במשרד הבינוי והשיכון (להלן - </w:t>
            </w:r>
            <w:r w:rsidRPr="00582A43">
              <w:rPr>
                <w:rFonts w:hint="cs"/>
                <w:b w:val="0"/>
                <w:bCs w:val="0"/>
                <w:noProof w:val="0"/>
                <w:rtl/>
              </w:rPr>
              <w:t>משרד הבינוי</w:t>
            </w:r>
            <w:r w:rsidRPr="00582A43" w:rsidR="00D62CEA">
              <w:rPr>
                <w:rFonts w:hint="cs"/>
                <w:b w:val="0"/>
                <w:bCs w:val="0"/>
                <w:noProof w:val="0"/>
                <w:rtl/>
              </w:rPr>
              <w:t xml:space="preserve"> או משרד השיכון</w:t>
            </w:r>
            <w:r w:rsidRPr="00582A43">
              <w:rPr>
                <w:rFonts w:hint="cs"/>
                <w:b w:val="0"/>
                <w:bCs w:val="0"/>
                <w:noProof w:val="0"/>
                <w:rtl/>
              </w:rPr>
              <w:t>)</w:t>
            </w:r>
            <w:r w:rsidRPr="00350D21">
              <w:rPr>
                <w:rFonts w:hint="cs"/>
                <w:b w:val="0"/>
                <w:bCs w:val="0"/>
                <w:noProof w:val="0"/>
                <w:rtl/>
              </w:rPr>
              <w:t xml:space="preserve"> ומחוזותיו, ברשות מקרקעי ישראל (להלן - רמ"י) ומחוזותיה</w:t>
            </w:r>
            <w:r w:rsidRPr="00350D21">
              <w:rPr>
                <w:b w:val="0"/>
                <w:bCs w:val="0"/>
                <w:noProof w:val="0"/>
                <w:rtl/>
              </w:rPr>
              <w:t>,</w:t>
            </w:r>
            <w:r w:rsidRPr="00350D21">
              <w:rPr>
                <w:rFonts w:hint="cs"/>
                <w:b w:val="0"/>
                <w:bCs w:val="0"/>
                <w:noProof w:val="0"/>
                <w:rtl/>
              </w:rPr>
              <w:t xml:space="preserve"> במשרד הפנים - במינהל התכנון ובלשכות </w:t>
            </w:r>
            <w:r w:rsidRPr="00582A43">
              <w:rPr>
                <w:rFonts w:hint="cs"/>
                <w:b w:val="0"/>
                <w:bCs w:val="0"/>
                <w:noProof w:val="0"/>
                <w:rtl/>
              </w:rPr>
              <w:t>התכנון המחוזיות, במשרד</w:t>
            </w:r>
            <w:r w:rsidRPr="00582A43" w:rsidR="00C96953">
              <w:rPr>
                <w:rFonts w:hint="cs"/>
                <w:b w:val="0"/>
                <w:bCs w:val="0"/>
                <w:noProof w:val="0"/>
                <w:rtl/>
              </w:rPr>
              <w:t xml:space="preserve"> האוצר, במשרד ראש הממשלה ובכמה רשויות מקומיות. בדיקות ה</w:t>
            </w:r>
            <w:r w:rsidRPr="00582A43">
              <w:rPr>
                <w:rFonts w:hint="cs"/>
                <w:b w:val="0"/>
                <w:bCs w:val="0"/>
                <w:noProof w:val="0"/>
                <w:rtl/>
              </w:rPr>
              <w:t>שלמה נעשו במשרד לפיתוח הנגב</w:t>
            </w:r>
            <w:r w:rsidRPr="00350D21">
              <w:rPr>
                <w:rFonts w:hint="cs"/>
                <w:b w:val="0"/>
                <w:bCs w:val="0"/>
                <w:noProof w:val="0"/>
                <w:rtl/>
              </w:rPr>
              <w:t xml:space="preserve"> והגליל, </w:t>
            </w:r>
            <w:r w:rsidRPr="00582A43">
              <w:rPr>
                <w:rFonts w:hint="cs"/>
                <w:b w:val="0"/>
                <w:bCs w:val="0"/>
                <w:noProof w:val="0"/>
                <w:rtl/>
              </w:rPr>
              <w:t xml:space="preserve">במשרד </w:t>
            </w:r>
            <w:r w:rsidRPr="00582A43" w:rsidR="00D25C97">
              <w:rPr>
                <w:rFonts w:hint="cs"/>
                <w:b w:val="0"/>
                <w:bCs w:val="0"/>
                <w:noProof w:val="0"/>
                <w:rtl/>
              </w:rPr>
              <w:t>הכלכלה</w:t>
            </w:r>
            <w:r w:rsidRPr="00582A43">
              <w:rPr>
                <w:rFonts w:hint="cs"/>
                <w:b w:val="0"/>
                <w:bCs w:val="0"/>
                <w:noProof w:val="0"/>
                <w:rtl/>
              </w:rPr>
              <w:t>, במשרד</w:t>
            </w:r>
            <w:r w:rsidRPr="00350D21">
              <w:rPr>
                <w:rFonts w:hint="cs"/>
                <w:b w:val="0"/>
                <w:bCs w:val="0"/>
                <w:noProof w:val="0"/>
                <w:rtl/>
              </w:rPr>
              <w:t xml:space="preserve"> המשפטים, בלשכה המרכזית לסטטיסטיקה וכן בבנק ישראל.</w:t>
            </w:r>
          </w:p>
        </w:tc>
      </w:tr>
    </w:tbl>
    <w:p w:rsidR="001275A6" w:rsidP="00D5796D">
      <w:pPr>
        <w:pStyle w:val="takzir"/>
        <w:rPr>
          <w:noProof w:val="0"/>
          <w:sz w:val="28"/>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00FF00" w:fill="auto"/>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00FF00" w:fill="auto"/>
          <w:tblLook w:val="04A0"/>
        </w:tblPrEx>
        <w:trPr>
          <w:cantSplit/>
          <w:jc w:val="center"/>
        </w:trPr>
        <w:tc>
          <w:tcPr>
            <w:tcW w:w="7018" w:type="dxa"/>
            <w:shd w:val="pct25" w:color="00FF00" w:fill="auto"/>
          </w:tcPr>
          <w:p w:rsidR="001275A6" w:rsidP="00D5796D">
            <w:pPr>
              <w:pStyle w:val="KOT4"/>
              <w:spacing w:before="120"/>
              <w:jc w:val="center"/>
              <w:rPr>
                <w:rtl/>
              </w:rPr>
            </w:pPr>
            <w:r>
              <w:rPr>
                <w:rFonts w:hint="cs"/>
                <w:rtl/>
              </w:rPr>
              <w:t>הליקויים העיקריים</w:t>
            </w:r>
          </w:p>
        </w:tc>
      </w:tr>
    </w:tbl>
    <w:p w:rsidR="00350D21" w:rsidRPr="001329DE" w:rsidP="00350D21">
      <w:pPr>
        <w:pStyle w:val="KOT2"/>
        <w:spacing w:before="240"/>
        <w:rPr>
          <w:rtl/>
        </w:rPr>
      </w:pPr>
      <w:r w:rsidRPr="00350D21">
        <w:rPr>
          <w:rFonts w:hint="cs"/>
          <w:b w:val="0"/>
          <w:bCs w:val="0"/>
          <w:sz w:val="28"/>
          <w:szCs w:val="28"/>
          <w:rtl/>
        </w:rPr>
        <w:t xml:space="preserve">שער ראשון </w:t>
      </w:r>
      <w:r w:rsidRPr="00350D21">
        <w:rPr>
          <w:b w:val="0"/>
          <w:bCs w:val="0"/>
          <w:sz w:val="28"/>
          <w:szCs w:val="28"/>
        </w:rPr>
        <w:br/>
      </w:r>
      <w:r>
        <w:rPr>
          <w:rFonts w:hint="cs"/>
          <w:rtl/>
        </w:rPr>
        <w:t>תמונת מצב של שוק הדיור בישראל</w:t>
      </w: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B1289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691" w:type="dxa"/>
            <w:shd w:val="pct10" w:color="auto" w:fill="auto"/>
          </w:tcPr>
          <w:p w:rsidR="001275A6" w:rsidP="00D5796D">
            <w:pPr>
              <w:pStyle w:val="KOT5"/>
              <w:spacing w:before="120"/>
              <w:jc w:val="center"/>
              <w:rPr>
                <w:sz w:val="24"/>
                <w:szCs w:val="24"/>
                <w:rtl/>
              </w:rPr>
            </w:pPr>
            <w:r w:rsidRPr="00350D21">
              <w:rPr>
                <w:rFonts w:hint="cs"/>
                <w:sz w:val="24"/>
                <w:szCs w:val="24"/>
                <w:rtl/>
              </w:rPr>
              <w:t>הכבדה ניכרת בנטל ההוצאות על דיור בשנים 2013-2008</w:t>
            </w:r>
          </w:p>
        </w:tc>
      </w:tr>
      <w:tr w:rsidTr="00B12898">
        <w:tblPrEx>
          <w:tblW w:w="6691" w:type="dxa"/>
          <w:jc w:val="center"/>
          <w:tblLook w:val="04A0"/>
        </w:tblPrEx>
        <w:trPr>
          <w:jc w:val="center"/>
        </w:trPr>
        <w:tc>
          <w:tcPr>
            <w:tcW w:w="6691" w:type="dxa"/>
          </w:tcPr>
          <w:p w:rsidR="001275A6" w:rsidP="00D307C4">
            <w:pPr>
              <w:pStyle w:val="takzir"/>
              <w:spacing w:before="60"/>
              <w:rPr>
                <w:b w:val="0"/>
                <w:bCs w:val="0"/>
                <w:noProof w:val="0"/>
              </w:rPr>
            </w:pPr>
            <w:r w:rsidRPr="00350D21">
              <w:rPr>
                <w:b w:val="0"/>
                <w:bCs w:val="0"/>
                <w:noProof w:val="0"/>
                <w:rtl/>
              </w:rPr>
              <w:t xml:space="preserve">משנת 1967 נרשמו שינויים ריאליים במדד מחירי הדירות בישראל, המעידים גם על התנודתיות הניכרת של שוק הדיור; מינואר 2008 עד דצמבר 2013 חלה במחירי הדירות עלייה ריאלית בשיעור של כ-55%, דהיינו קצב שנתי ממוצע של </w:t>
            </w:r>
            <w:r>
              <w:rPr>
                <w:b w:val="0"/>
                <w:bCs w:val="0"/>
                <w:noProof w:val="0"/>
              </w:rPr>
              <w:br/>
            </w:r>
            <w:r w:rsidRPr="00350D21">
              <w:rPr>
                <w:b w:val="0"/>
                <w:bCs w:val="0"/>
                <w:noProof w:val="0"/>
                <w:rtl/>
              </w:rPr>
              <w:t xml:space="preserve">כ-9%. קצב זה גבוה במידה ניכרת מקצב עליית מחירי הדירות הרב-שנתי, שהוא </w:t>
            </w:r>
            <w:r>
              <w:rPr>
                <w:b w:val="0"/>
                <w:bCs w:val="0"/>
                <w:noProof w:val="0"/>
              </w:rPr>
              <w:br/>
            </w:r>
            <w:r w:rsidRPr="00350D21">
              <w:rPr>
                <w:b w:val="0"/>
                <w:bCs w:val="0"/>
                <w:noProof w:val="0"/>
                <w:rtl/>
              </w:rPr>
              <w:t>כ-2% בממוצע לשנה. להלן השינויים</w:t>
            </w:r>
            <w:r w:rsidRPr="00350D21">
              <w:rPr>
                <w:rFonts w:hint="cs"/>
                <w:b w:val="0"/>
                <w:bCs w:val="0"/>
                <w:noProof w:val="0"/>
                <w:rtl/>
              </w:rPr>
              <w:t xml:space="preserve"> </w:t>
            </w:r>
            <w:r w:rsidRPr="00350D21">
              <w:rPr>
                <w:b w:val="0"/>
                <w:bCs w:val="0"/>
                <w:noProof w:val="0"/>
                <w:rtl/>
              </w:rPr>
              <w:t>הריאליים ב</w:t>
            </w:r>
            <w:r w:rsidRPr="00350D21">
              <w:rPr>
                <w:rFonts w:hint="cs"/>
                <w:b w:val="0"/>
                <w:bCs w:val="0"/>
                <w:noProof w:val="0"/>
                <w:rtl/>
              </w:rPr>
              <w:t xml:space="preserve">מדד </w:t>
            </w:r>
            <w:r w:rsidRPr="00350D21">
              <w:rPr>
                <w:b w:val="0"/>
                <w:bCs w:val="0"/>
                <w:noProof w:val="0"/>
                <w:rtl/>
              </w:rPr>
              <w:t xml:space="preserve">מחירי הדירות בשנים </w:t>
            </w:r>
            <w:r w:rsidR="007F486B">
              <w:rPr>
                <w:b w:val="0"/>
                <w:bCs w:val="0"/>
                <w:noProof w:val="0"/>
              </w:rPr>
              <w:br/>
            </w:r>
            <w:r w:rsidRPr="00350D21">
              <w:rPr>
                <w:b w:val="0"/>
                <w:bCs w:val="0"/>
                <w:noProof w:val="0"/>
                <w:rtl/>
              </w:rPr>
              <w:t>2013-1967:</w:t>
            </w:r>
          </w:p>
          <w:p w:rsidR="001A17E8" w:rsidP="001A17E8">
            <w:pPr>
              <w:pStyle w:val="takzir"/>
              <w:spacing w:before="240" w:line="240" w:lineRule="atLeast"/>
              <w:jc w:val="center"/>
              <w:rPr>
                <w:noProof w:val="0"/>
              </w:rPr>
            </w:pPr>
            <w:r>
              <w:rPr>
                <w:noProof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196.5pt">
                  <v:imagedata r:id="rId6" o:title="Mavo-1"/>
                </v:shape>
              </w:pict>
            </w:r>
          </w:p>
          <w:p w:rsidR="007F486B" w:rsidP="007F486B">
            <w:pPr>
              <w:pStyle w:val="takzir"/>
              <w:spacing w:before="60"/>
              <w:rPr>
                <w:b w:val="0"/>
                <w:bCs w:val="0"/>
                <w:noProof w:val="0"/>
              </w:rPr>
            </w:pPr>
            <w:r w:rsidRPr="00350D21">
              <w:rPr>
                <w:b w:val="0"/>
                <w:bCs w:val="0"/>
                <w:noProof w:val="0"/>
                <w:rtl/>
              </w:rPr>
              <w:t>נמצא כי על פי הנתונים, בשנים 2012-2008 חל גידול בשיעור הוצאות הדיור של משקי בית על שכר דירה</w:t>
            </w:r>
            <w:r w:rsidRPr="00350D21">
              <w:rPr>
                <w:rFonts w:hint="cs"/>
                <w:b w:val="0"/>
                <w:bCs w:val="0"/>
                <w:noProof w:val="0"/>
                <w:rtl/>
              </w:rPr>
              <w:t>.</w:t>
            </w:r>
            <w:r w:rsidRPr="00350D21">
              <w:rPr>
                <w:b w:val="0"/>
                <w:bCs w:val="0"/>
                <w:noProof w:val="0"/>
                <w:rtl/>
              </w:rPr>
              <w:t xml:space="preserve"> הגידול בשיעור ההוצאות בולט בעיקר בקרב ששת העשירונים הנמוכים (לפי דירוג גובה ההכנסה), דהיינו כ-470,000 משקי בית</w:t>
            </w:r>
            <w:r w:rsidRPr="00350D21">
              <w:rPr>
                <w:rFonts w:hint="cs"/>
                <w:b w:val="0"/>
                <w:bCs w:val="0"/>
                <w:noProof w:val="0"/>
                <w:rtl/>
              </w:rPr>
              <w:t>.</w:t>
            </w:r>
            <w:r w:rsidRPr="00350D21">
              <w:rPr>
                <w:b w:val="0"/>
                <w:bCs w:val="0"/>
                <w:noProof w:val="0"/>
                <w:rtl/>
              </w:rPr>
              <w:t xml:space="preserve"> אף שמדובר בסך הכול ב-20% ממשקי הבית במדינת ישראל, שיעורם הוא כ-73% מסך משקי הבית השוכרים דירות. </w:t>
            </w:r>
            <w:r w:rsidRPr="00350D21">
              <w:rPr>
                <w:rFonts w:hint="cs"/>
                <w:b w:val="0"/>
                <w:bCs w:val="0"/>
                <w:noProof w:val="0"/>
                <w:rtl/>
              </w:rPr>
              <w:t xml:space="preserve">עוד נמצא כי </w:t>
            </w:r>
            <w:r w:rsidRPr="00350D21">
              <w:rPr>
                <w:b w:val="0"/>
                <w:bCs w:val="0"/>
                <w:noProof w:val="0"/>
                <w:rtl/>
              </w:rPr>
              <w:t>שיעור ההוצאות על שכר דירה מההכנסה נטו בקרב שלושת העשירונים הנמוכים (כ-285,000 משקי בית) עמד על רף של 30% או עבר אותו. פריצת רף זה מעידה על פגיעה אפשרית ביכולתם של משקי הבית לממן צורכי מחיה בסיסיים, היא מגבירה את הסיכון הכלכלי שלהם ועלולה להביא לידי פגיעה ממשית ברמת חייהם. שיעור ההוצאה החודשית של משקי בית יחסית להכנסה נטו, לפי עשירונים מוצג בתרשים להלן:</w:t>
            </w:r>
          </w:p>
          <w:p w:rsidR="00030A4B" w:rsidP="00030A4B">
            <w:pPr>
              <w:pStyle w:val="takzir"/>
              <w:spacing w:before="60" w:line="240" w:lineRule="atLeast"/>
              <w:jc w:val="center"/>
              <w:rPr>
                <w:noProof w:val="0"/>
              </w:rPr>
            </w:pPr>
            <w:r>
              <w:rPr>
                <w:noProof w:val="0"/>
              </w:rPr>
              <w:pict>
                <v:shape id="_x0000_i1026" type="#_x0000_t75" style="width:312pt;height:193.5pt">
                  <v:imagedata r:id="rId7" o:title="Mavo-2"/>
                </v:shape>
              </w:pict>
            </w:r>
          </w:p>
          <w:p w:rsidR="007F486B" w:rsidP="00B12898">
            <w:pPr>
              <w:pStyle w:val="takzir"/>
              <w:spacing w:before="240"/>
              <w:rPr>
                <w:b w:val="0"/>
                <w:bCs w:val="0"/>
                <w:noProof w:val="0"/>
              </w:rPr>
            </w:pPr>
            <w:r w:rsidRPr="00350D21">
              <w:rPr>
                <w:b w:val="0"/>
                <w:bCs w:val="0"/>
                <w:noProof w:val="0"/>
                <w:rtl/>
              </w:rPr>
              <w:t>מדדים נוספים המבטאים את משבר הדיור הם התמורות במדדי מחירי הדירות לעומת השכר החודשי למשרת שכיר ישראלי והתמ"ג (נתונים ריאליים לשנים 2013-2005). הנתונים שמוצגים להלן מצביעים על הפגיעה בכוח הקנייה של השכירים, ובכלל זה ביכולתם של אלו המבקשים לרכוש את דירתם הראשונה:</w:t>
            </w:r>
          </w:p>
          <w:p w:rsidR="00030A4B" w:rsidP="00030A4B">
            <w:pPr>
              <w:pStyle w:val="takzir"/>
              <w:spacing w:before="60" w:line="240" w:lineRule="atLeast"/>
              <w:jc w:val="center"/>
              <w:rPr>
                <w:noProof w:val="0"/>
              </w:rPr>
            </w:pPr>
            <w:r>
              <w:rPr>
                <w:noProof w:val="0"/>
              </w:rPr>
              <w:pict>
                <v:shape id="_x0000_i1027" type="#_x0000_t75" style="width:312pt;height:211pt">
                  <v:imagedata r:id="rId8" o:title="Mavo-3"/>
                </v:shape>
              </w:pict>
            </w:r>
          </w:p>
          <w:p w:rsidR="007F486B" w:rsidRPr="007F486B" w:rsidP="007F486B">
            <w:pPr>
              <w:pStyle w:val="takzir"/>
              <w:spacing w:before="60"/>
              <w:rPr>
                <w:b w:val="0"/>
                <w:bCs w:val="0"/>
                <w:noProof w:val="0"/>
                <w:rtl/>
              </w:rPr>
            </w:pPr>
            <w:r w:rsidRPr="00350D21">
              <w:rPr>
                <w:b w:val="0"/>
                <w:bCs w:val="0"/>
                <w:noProof w:val="0"/>
                <w:rtl/>
              </w:rPr>
              <w:t xml:space="preserve">לפי נתוני משרד הבינוי, בשנת 2008 נדרשו 103 משכורות חודשיות של שכיר לרכישת דירה ובסוף 2013 כבר נדרשו 137 משכורות חודשיות; </w:t>
            </w:r>
            <w:r w:rsidRPr="00350D21">
              <w:rPr>
                <w:rFonts w:hint="cs"/>
                <w:b w:val="0"/>
                <w:bCs w:val="0"/>
                <w:noProof w:val="0"/>
                <w:rtl/>
              </w:rPr>
              <w:t>כמו כן</w:t>
            </w:r>
            <w:r w:rsidRPr="00350D21">
              <w:rPr>
                <w:b w:val="0"/>
                <w:bCs w:val="0"/>
                <w:noProof w:val="0"/>
                <w:rtl/>
              </w:rPr>
              <w:t xml:space="preserve">, שיעור ההוצאה מהשכר החודשי הממוצע עבור שכר דירה עלה מכ-29% בינואר 2008 </w:t>
            </w:r>
            <w:r>
              <w:rPr>
                <w:b w:val="0"/>
                <w:bCs w:val="0"/>
                <w:noProof w:val="0"/>
              </w:rPr>
              <w:br/>
            </w:r>
            <w:r w:rsidRPr="00350D21">
              <w:rPr>
                <w:b w:val="0"/>
                <w:bCs w:val="0"/>
                <w:noProof w:val="0"/>
                <w:rtl/>
              </w:rPr>
              <w:t>לכ-38% בדצמבר 2013.</w:t>
            </w:r>
          </w:p>
        </w:tc>
      </w:tr>
    </w:tbl>
    <w:p w:rsidR="001275A6" w:rsidP="00D5796D">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B12898">
              <w:rPr>
                <w:rFonts w:hint="cs"/>
                <w:sz w:val="24"/>
                <w:szCs w:val="24"/>
                <w:rtl/>
              </w:rPr>
              <w:t>מחסור בהיצע הדירות והיעדר מגוון בגודלן</w:t>
            </w:r>
          </w:p>
        </w:tc>
      </w:tr>
      <w:tr w:rsidTr="00350D21">
        <w:tblPrEx>
          <w:tblW w:w="6691" w:type="dxa"/>
          <w:jc w:val="center"/>
          <w:tblLook w:val="04A0"/>
        </w:tblPrEx>
        <w:trPr>
          <w:cantSplit/>
          <w:jc w:val="center"/>
        </w:trPr>
        <w:tc>
          <w:tcPr>
            <w:tcW w:w="6691" w:type="dxa"/>
          </w:tcPr>
          <w:p w:rsidR="00B12898" w:rsidRPr="00B12898" w:rsidP="00B12898">
            <w:pPr>
              <w:pStyle w:val="takzir"/>
              <w:spacing w:before="60"/>
              <w:rPr>
                <w:b w:val="0"/>
                <w:bCs w:val="0"/>
                <w:noProof w:val="0"/>
                <w:rtl/>
              </w:rPr>
            </w:pPr>
            <w:r w:rsidRPr="00B12898">
              <w:rPr>
                <w:rFonts w:hint="cs"/>
                <w:b w:val="0"/>
                <w:bCs w:val="0"/>
                <w:noProof w:val="0"/>
                <w:rtl/>
              </w:rPr>
              <w:t>נמצא כי בשנים 2012-2002 נוצר פער מצטבר בין מספר התחלות הבנייה למספר משקי הבית שהסתכם ב-53,000 יחידות דיור (להלן - יח"ד או דירות). נתוני משרד הבינוי מראים מחסור כולל של כ-115,000 יח"ד. הפערים בין ההיצע לביקוש תרמו לעלייה ניכרת במחירי הדיור. לפי מחקר של בנק ישראל משנת 2011 המחסור בדירות מסביר כ-37% מהעלייה במחירי דירות וכ-75% מהעלייה במחירי שכר הדירה בשנים האמורות.</w:t>
            </w:r>
          </w:p>
          <w:p w:rsidR="00350D21" w:rsidP="00B12898">
            <w:pPr>
              <w:pStyle w:val="takzir"/>
              <w:rPr>
                <w:b w:val="0"/>
                <w:bCs w:val="0"/>
                <w:noProof w:val="0"/>
                <w:rtl/>
              </w:rPr>
            </w:pPr>
            <w:r w:rsidRPr="00B12898">
              <w:rPr>
                <w:rFonts w:hint="cs"/>
                <w:b w:val="0"/>
                <w:bCs w:val="0"/>
                <w:noProof w:val="0"/>
                <w:rtl/>
              </w:rPr>
              <w:t>רק 6% מכלל הדירות שבנייתן החלה בשנת 2013 היו דירות שבהן עד שלושה חדרים לעומת כ-42% דירות כאלו שבנייתן החלה בשנת 1980. ההיצע הנמוך של דירות קטנות פוגע בהלימה בין צורכי חלק ממשקי הבית ובין מצאי הדירות המתאים להם וגורם להכבדה שלא לצורך בנטל הוצאותיהם על דיור.</w:t>
            </w:r>
          </w:p>
        </w:tc>
      </w:tr>
    </w:tbl>
    <w:p w:rsidR="00350D21" w:rsidP="00350D21">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29357E">
              <w:rPr>
                <w:rFonts w:hint="cs"/>
                <w:sz w:val="24"/>
                <w:szCs w:val="24"/>
                <w:rtl/>
              </w:rPr>
              <w:t>המידע הממשלתי על הביקוש ועל מחירי הדיור לקוי ואיכותו נמוכה</w:t>
            </w:r>
          </w:p>
        </w:tc>
      </w:tr>
      <w:tr w:rsidTr="00350D21">
        <w:tblPrEx>
          <w:tblW w:w="6691" w:type="dxa"/>
          <w:jc w:val="center"/>
          <w:tblLook w:val="04A0"/>
        </w:tblPrEx>
        <w:trPr>
          <w:cantSplit/>
          <w:jc w:val="center"/>
        </w:trPr>
        <w:tc>
          <w:tcPr>
            <w:tcW w:w="6691" w:type="dxa"/>
          </w:tcPr>
          <w:p w:rsidR="0029357E" w:rsidRPr="0029357E" w:rsidP="0029357E">
            <w:pPr>
              <w:pStyle w:val="takzir"/>
              <w:spacing w:before="60"/>
              <w:rPr>
                <w:b w:val="0"/>
                <w:bCs w:val="0"/>
                <w:noProof w:val="0"/>
                <w:rtl/>
              </w:rPr>
            </w:pPr>
            <w:r w:rsidRPr="0029357E">
              <w:rPr>
                <w:rFonts w:hint="cs"/>
                <w:b w:val="0"/>
                <w:bCs w:val="0"/>
                <w:noProof w:val="0"/>
                <w:rtl/>
              </w:rPr>
              <w:t xml:space="preserve">בידי הגופים העוסקים בשוק הדיור - ובראשם משרד הבינוי - אין מידע רלוונטי על השפעתם של השינויים במחירי הדיור על מצבם החברתי והכלכלי של משקי הבית. זאת ועוד, </w:t>
            </w:r>
            <w:r w:rsidRPr="0029357E">
              <w:rPr>
                <w:b w:val="0"/>
                <w:bCs w:val="0"/>
                <w:noProof w:val="0"/>
                <w:rtl/>
              </w:rPr>
              <w:t xml:space="preserve">אין </w:t>
            </w:r>
            <w:r w:rsidRPr="0029357E">
              <w:rPr>
                <w:rFonts w:hint="cs"/>
                <w:b w:val="0"/>
                <w:bCs w:val="0"/>
                <w:noProof w:val="0"/>
                <w:rtl/>
              </w:rPr>
              <w:t>עומד לרשותם</w:t>
            </w:r>
            <w:r w:rsidRPr="0029357E">
              <w:rPr>
                <w:b w:val="0"/>
                <w:bCs w:val="0"/>
                <w:noProof w:val="0"/>
                <w:rtl/>
              </w:rPr>
              <w:t xml:space="preserve"> מידע </w:t>
            </w:r>
            <w:r w:rsidRPr="0029357E">
              <w:rPr>
                <w:rFonts w:hint="cs"/>
                <w:b w:val="0"/>
                <w:bCs w:val="0"/>
                <w:noProof w:val="0"/>
                <w:rtl/>
              </w:rPr>
              <w:t xml:space="preserve">מהימן דיו </w:t>
            </w:r>
            <w:r w:rsidRPr="0029357E">
              <w:rPr>
                <w:b w:val="0"/>
                <w:bCs w:val="0"/>
                <w:noProof w:val="0"/>
                <w:rtl/>
              </w:rPr>
              <w:t xml:space="preserve">על </w:t>
            </w:r>
            <w:r w:rsidRPr="0029357E">
              <w:rPr>
                <w:rFonts w:hint="cs"/>
                <w:b w:val="0"/>
                <w:bCs w:val="0"/>
                <w:noProof w:val="0"/>
                <w:rtl/>
              </w:rPr>
              <w:t>נטל הוצאות הדיור של</w:t>
            </w:r>
            <w:r w:rsidRPr="0029357E">
              <w:rPr>
                <w:b w:val="0"/>
                <w:bCs w:val="0"/>
                <w:noProof w:val="0"/>
                <w:rtl/>
              </w:rPr>
              <w:t xml:space="preserve"> האוכלוסייה המתגוררת בדירות שבבעלות</w:t>
            </w:r>
            <w:r w:rsidRPr="0029357E">
              <w:rPr>
                <w:rFonts w:hint="cs"/>
                <w:b w:val="0"/>
                <w:bCs w:val="0"/>
                <w:noProof w:val="0"/>
                <w:rtl/>
              </w:rPr>
              <w:t>ם</w:t>
            </w:r>
            <w:r w:rsidRPr="0029357E">
              <w:rPr>
                <w:b w:val="0"/>
                <w:bCs w:val="0"/>
                <w:noProof w:val="0"/>
                <w:rtl/>
              </w:rPr>
              <w:t xml:space="preserve">; </w:t>
            </w:r>
            <w:r w:rsidRPr="0029357E">
              <w:rPr>
                <w:rFonts w:hint="cs"/>
                <w:b w:val="0"/>
                <w:bCs w:val="0"/>
                <w:noProof w:val="0"/>
                <w:rtl/>
              </w:rPr>
              <w:t>מציאות כזאת פוגעת ביכולתו של משרד הבינוי לגבש מדיניות בתחום הדיור.</w:t>
            </w:r>
          </w:p>
          <w:p w:rsidR="0029357E" w:rsidRPr="0029357E" w:rsidP="0029357E">
            <w:pPr>
              <w:pStyle w:val="takzir"/>
              <w:rPr>
                <w:b w:val="0"/>
                <w:bCs w:val="0"/>
                <w:noProof w:val="0"/>
                <w:rtl/>
              </w:rPr>
            </w:pPr>
            <w:r w:rsidRPr="0029357E">
              <w:rPr>
                <w:rFonts w:hint="cs"/>
                <w:b w:val="0"/>
                <w:bCs w:val="0"/>
                <w:noProof w:val="0"/>
                <w:rtl/>
              </w:rPr>
              <w:t>יתרה מזאת, הגופים האמורים לא פיתחו מודלים שיסייעו בידם לאמוד את הביקושים בשוק הדיור ולאפיינם. לפיכך, היצע הדירות עלול שלא להתאים לצרכים הן מבחינת מיקומן של הדירות הן מבחינת גודלן.</w:t>
            </w:r>
          </w:p>
          <w:p w:rsidR="0029357E" w:rsidRPr="0029357E" w:rsidP="00000E02">
            <w:pPr>
              <w:pStyle w:val="takzir"/>
              <w:rPr>
                <w:b w:val="0"/>
                <w:bCs w:val="0"/>
                <w:noProof w:val="0"/>
                <w:rtl/>
              </w:rPr>
            </w:pPr>
            <w:r w:rsidRPr="0029357E">
              <w:rPr>
                <w:b w:val="0"/>
                <w:bCs w:val="0"/>
                <w:noProof w:val="0"/>
                <w:rtl/>
              </w:rPr>
              <w:t>משנת 2007 כ</w:t>
            </w:r>
            <w:r w:rsidRPr="0029357E">
              <w:rPr>
                <w:rFonts w:hint="cs"/>
                <w:b w:val="0"/>
                <w:bCs w:val="0"/>
                <w:noProof w:val="0"/>
                <w:rtl/>
              </w:rPr>
              <w:t>-25%</w:t>
            </w:r>
            <w:r w:rsidRPr="0029357E">
              <w:rPr>
                <w:b w:val="0"/>
                <w:bCs w:val="0"/>
                <w:noProof w:val="0"/>
                <w:rtl/>
              </w:rPr>
              <w:t xml:space="preserve"> </w:t>
            </w:r>
            <w:r w:rsidRPr="00000E02">
              <w:rPr>
                <w:b w:val="0"/>
                <w:bCs w:val="0"/>
                <w:noProof w:val="0"/>
                <w:rtl/>
              </w:rPr>
              <w:t xml:space="preserve">מכלל </w:t>
            </w:r>
            <w:r w:rsidRPr="00000E02" w:rsidR="0027535C">
              <w:rPr>
                <w:rFonts w:hint="cs"/>
                <w:b w:val="0"/>
                <w:bCs w:val="0"/>
                <w:noProof w:val="0"/>
                <w:rtl/>
              </w:rPr>
              <w:t>ה</w:t>
            </w:r>
            <w:r w:rsidRPr="00000E02">
              <w:rPr>
                <w:b w:val="0"/>
                <w:bCs w:val="0"/>
                <w:noProof w:val="0"/>
                <w:rtl/>
              </w:rPr>
              <w:t xml:space="preserve">עסקאות </w:t>
            </w:r>
            <w:r w:rsidR="00000E02">
              <w:rPr>
                <w:rFonts w:hint="cs"/>
                <w:b w:val="0"/>
                <w:bCs w:val="0"/>
                <w:noProof w:val="0"/>
                <w:rtl/>
              </w:rPr>
              <w:t xml:space="preserve">לרכישת דירות </w:t>
            </w:r>
            <w:r w:rsidRPr="00000E02">
              <w:rPr>
                <w:b w:val="0"/>
                <w:bCs w:val="0"/>
                <w:noProof w:val="0"/>
                <w:rtl/>
              </w:rPr>
              <w:t>היו למטרת השקעה</w:t>
            </w:r>
            <w:r w:rsidRPr="0029357E">
              <w:rPr>
                <w:b w:val="0"/>
                <w:bCs w:val="0"/>
                <w:noProof w:val="0"/>
                <w:rtl/>
              </w:rPr>
              <w:t>. אף שהמשקיעים יוצרי</w:t>
            </w:r>
            <w:r w:rsidRPr="0029357E">
              <w:rPr>
                <w:rFonts w:hint="cs"/>
                <w:b w:val="0"/>
                <w:bCs w:val="0"/>
                <w:noProof w:val="0"/>
                <w:rtl/>
              </w:rPr>
              <w:t>ם חלק ניכר מ</w:t>
            </w:r>
            <w:r w:rsidRPr="0029357E">
              <w:rPr>
                <w:b w:val="0"/>
                <w:bCs w:val="0"/>
                <w:noProof w:val="0"/>
                <w:rtl/>
              </w:rPr>
              <w:t xml:space="preserve">הביקושים בשוק הדיור, </w:t>
            </w:r>
            <w:r w:rsidR="00FF71E2">
              <w:rPr>
                <w:b w:val="0"/>
                <w:bCs w:val="0"/>
                <w:noProof w:val="0"/>
                <w:rtl/>
              </w:rPr>
              <w:t>משרדי הבינוי</w:t>
            </w:r>
            <w:r w:rsidRPr="0029357E">
              <w:rPr>
                <w:b w:val="0"/>
                <w:bCs w:val="0"/>
                <w:noProof w:val="0"/>
                <w:rtl/>
              </w:rPr>
              <w:t xml:space="preserve"> </w:t>
            </w:r>
            <w:r w:rsidRPr="0029357E">
              <w:rPr>
                <w:rFonts w:hint="cs"/>
                <w:b w:val="0"/>
                <w:bCs w:val="0"/>
                <w:noProof w:val="0"/>
                <w:rtl/>
              </w:rPr>
              <w:t xml:space="preserve">והאוצר </w:t>
            </w:r>
            <w:r w:rsidRPr="0029357E">
              <w:rPr>
                <w:b w:val="0"/>
                <w:bCs w:val="0"/>
                <w:noProof w:val="0"/>
                <w:rtl/>
              </w:rPr>
              <w:t>לא בח</w:t>
            </w:r>
            <w:r w:rsidRPr="0029357E">
              <w:rPr>
                <w:rFonts w:hint="cs"/>
                <w:b w:val="0"/>
                <w:bCs w:val="0"/>
                <w:noProof w:val="0"/>
                <w:rtl/>
              </w:rPr>
              <w:t>נו</w:t>
            </w:r>
            <w:r w:rsidRPr="0029357E">
              <w:rPr>
                <w:b w:val="0"/>
                <w:bCs w:val="0"/>
                <w:noProof w:val="0"/>
                <w:rtl/>
              </w:rPr>
              <w:t xml:space="preserve"> </w:t>
            </w:r>
            <w:r w:rsidRPr="0029357E">
              <w:rPr>
                <w:rFonts w:hint="cs"/>
                <w:b w:val="0"/>
                <w:bCs w:val="0"/>
                <w:noProof w:val="0"/>
                <w:rtl/>
              </w:rPr>
              <w:t xml:space="preserve">באופן שיטתי </w:t>
            </w:r>
            <w:r w:rsidRPr="0029357E">
              <w:rPr>
                <w:b w:val="0"/>
                <w:bCs w:val="0"/>
                <w:noProof w:val="0"/>
                <w:rtl/>
              </w:rPr>
              <w:t>את ההשפעות של רכיש</w:t>
            </w:r>
            <w:r w:rsidRPr="0029357E">
              <w:rPr>
                <w:rFonts w:hint="cs"/>
                <w:b w:val="0"/>
                <w:bCs w:val="0"/>
                <w:noProof w:val="0"/>
                <w:rtl/>
              </w:rPr>
              <w:t xml:space="preserve">ה </w:t>
            </w:r>
            <w:r w:rsidRPr="0029357E">
              <w:rPr>
                <w:b w:val="0"/>
                <w:bCs w:val="0"/>
                <w:noProof w:val="0"/>
                <w:rtl/>
              </w:rPr>
              <w:t xml:space="preserve">לצורך השקעה </w:t>
            </w:r>
            <w:r w:rsidRPr="0029357E">
              <w:rPr>
                <w:rFonts w:hint="cs"/>
                <w:b w:val="0"/>
                <w:bCs w:val="0"/>
                <w:noProof w:val="0"/>
                <w:rtl/>
              </w:rPr>
              <w:t xml:space="preserve">על שוק הדיור, וזאת כדי לקבוע מדיניות מושכלת ביחס להשפעות אלו. </w:t>
            </w:r>
          </w:p>
          <w:p w:rsidR="0029357E" w:rsidRPr="0029357E" w:rsidP="0029357E">
            <w:pPr>
              <w:pStyle w:val="takzir"/>
              <w:rPr>
                <w:b w:val="0"/>
                <w:bCs w:val="0"/>
                <w:noProof w:val="0"/>
                <w:rtl/>
              </w:rPr>
            </w:pPr>
            <w:r w:rsidRPr="0029357E">
              <w:rPr>
                <w:b w:val="0"/>
                <w:bCs w:val="0"/>
                <w:noProof w:val="0"/>
                <w:rtl/>
              </w:rPr>
              <w:t xml:space="preserve">המידע הרב בנושא המקרקעין ושוק הדיור המצוי בידי משרדי הממשלה והגופים הרלוונטיים האחרים (כמו רשות המסים) מנוהל במערכות שונות ללא כל קישור ביניהן ומתוחזק באופן מפוצל וחלקי. </w:t>
            </w:r>
          </w:p>
          <w:p w:rsidR="0029357E" w:rsidRPr="0029357E" w:rsidP="0029357E">
            <w:pPr>
              <w:pStyle w:val="takzir"/>
              <w:rPr>
                <w:b w:val="0"/>
                <w:bCs w:val="0"/>
                <w:noProof w:val="0"/>
                <w:rtl/>
              </w:rPr>
            </w:pPr>
            <w:r w:rsidRPr="0029357E">
              <w:rPr>
                <w:b w:val="0"/>
                <w:bCs w:val="0"/>
                <w:noProof w:val="0"/>
                <w:rtl/>
              </w:rPr>
              <w:t xml:space="preserve">קובץ </w:t>
            </w:r>
            <w:r w:rsidRPr="0029357E">
              <w:rPr>
                <w:rFonts w:hint="cs"/>
                <w:b w:val="0"/>
                <w:bCs w:val="0"/>
                <w:noProof w:val="0"/>
                <w:rtl/>
              </w:rPr>
              <w:t xml:space="preserve">"כרטסת מחירי נדל"ן" (כרמ"ן) </w:t>
            </w:r>
            <w:r w:rsidRPr="0029357E">
              <w:rPr>
                <w:b w:val="0"/>
                <w:bCs w:val="0"/>
                <w:noProof w:val="0"/>
                <w:rtl/>
              </w:rPr>
              <w:t>של רשות המסים הוא המקור המרכזי לנתונים המשמשים לבדיקת השינויים במחירי הדיור. נמצא כי הקובץ חסר ולא מדויק, ואף לא מבוקר בידי גורם כלשהו, ואין הוא כולל נתונים מהותיים</w:t>
            </w:r>
            <w:r w:rsidRPr="0029357E">
              <w:rPr>
                <w:rFonts w:hint="cs"/>
                <w:b w:val="0"/>
                <w:bCs w:val="0"/>
                <w:noProof w:val="0"/>
                <w:rtl/>
              </w:rPr>
              <w:t>,</w:t>
            </w:r>
            <w:r w:rsidRPr="0029357E">
              <w:rPr>
                <w:b w:val="0"/>
                <w:bCs w:val="0"/>
                <w:noProof w:val="0"/>
                <w:rtl/>
              </w:rPr>
              <w:t xml:space="preserve"> </w:t>
            </w:r>
            <w:r w:rsidRPr="0029357E">
              <w:rPr>
                <w:rFonts w:hint="cs"/>
                <w:b w:val="0"/>
                <w:bCs w:val="0"/>
                <w:noProof w:val="0"/>
                <w:rtl/>
              </w:rPr>
              <w:t>על כן מהימנותו מוטלת בספק רב.</w:t>
            </w:r>
          </w:p>
          <w:p w:rsidR="00350D21" w:rsidP="0029357E">
            <w:pPr>
              <w:pStyle w:val="takzir"/>
              <w:rPr>
                <w:b w:val="0"/>
                <w:bCs w:val="0"/>
                <w:noProof w:val="0"/>
                <w:rtl/>
              </w:rPr>
            </w:pPr>
            <w:r w:rsidRPr="0029357E">
              <w:rPr>
                <w:b w:val="0"/>
                <w:bCs w:val="0"/>
                <w:noProof w:val="0"/>
                <w:rtl/>
              </w:rPr>
              <w:t>אף שרשות המסים אפשרה לציבור להפיק שאילתות בנוגע למחירי עסקאות במקרקעין מתוך נתונים שהיא מרכזת, נמצא כי עדיין קיים קושי בהפקתם; הדבר פוגע בשקיפות הנדרשת ליעילות הכלכלית של שוק הדיור.</w:t>
            </w:r>
          </w:p>
        </w:tc>
      </w:tr>
    </w:tbl>
    <w:p w:rsidR="0029357E" w:rsidRPr="001329DE" w:rsidP="0029357E">
      <w:pPr>
        <w:pStyle w:val="KOT2"/>
        <w:spacing w:before="240"/>
        <w:rPr>
          <w:rtl/>
        </w:rPr>
      </w:pPr>
      <w:r w:rsidRPr="0029357E">
        <w:rPr>
          <w:rFonts w:hint="cs"/>
          <w:b w:val="0"/>
          <w:bCs w:val="0"/>
          <w:sz w:val="28"/>
          <w:szCs w:val="28"/>
          <w:rtl/>
        </w:rPr>
        <w:t>שער שני</w:t>
      </w:r>
      <w:r>
        <w:br/>
      </w:r>
      <w:r w:rsidRPr="001329DE">
        <w:rPr>
          <w:rFonts w:hint="cs"/>
          <w:rtl/>
        </w:rPr>
        <w:t xml:space="preserve">התוויית מדיניות הממשלה והתמודדותה עם משבר הדיור </w:t>
      </w: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D307C4">
              <w:rPr>
                <w:rFonts w:hint="cs"/>
                <w:sz w:val="24"/>
                <w:szCs w:val="24"/>
                <w:rtl/>
              </w:rPr>
              <w:t xml:space="preserve">החלטות הממשלה בשנים 2007-2005 (לפני פרוץ משבר הדיור) </w:t>
            </w:r>
            <w:r w:rsidRPr="00D307C4">
              <w:rPr>
                <w:sz w:val="24"/>
                <w:szCs w:val="24"/>
              </w:rPr>
              <w:br/>
            </w:r>
            <w:r w:rsidRPr="00D307C4">
              <w:rPr>
                <w:rFonts w:hint="cs"/>
                <w:sz w:val="24"/>
                <w:szCs w:val="24"/>
                <w:rtl/>
              </w:rPr>
              <w:t>נותרו בגדר "אות מתה"</w:t>
            </w:r>
          </w:p>
        </w:tc>
      </w:tr>
      <w:tr w:rsidTr="00350D21">
        <w:tblPrEx>
          <w:tblW w:w="6691" w:type="dxa"/>
          <w:jc w:val="center"/>
          <w:tblLook w:val="04A0"/>
        </w:tblPrEx>
        <w:trPr>
          <w:cantSplit/>
          <w:jc w:val="center"/>
        </w:trPr>
        <w:tc>
          <w:tcPr>
            <w:tcW w:w="6691" w:type="dxa"/>
          </w:tcPr>
          <w:p w:rsidR="0029357E" w:rsidRPr="0029357E" w:rsidP="0029357E">
            <w:pPr>
              <w:pStyle w:val="takzir"/>
              <w:spacing w:before="60"/>
              <w:rPr>
                <w:b w:val="0"/>
                <w:bCs w:val="0"/>
                <w:noProof w:val="0"/>
                <w:rtl/>
              </w:rPr>
            </w:pPr>
            <w:r w:rsidRPr="0029357E">
              <w:rPr>
                <w:b w:val="0"/>
                <w:bCs w:val="0"/>
                <w:noProof w:val="0"/>
                <w:rtl/>
              </w:rPr>
              <w:t>בשנים 2007-2005 קיבלה הממשלה כמה וכמה החלטות העשויות להשפיע השפעה של ממש על שוק הדיור, ובהן הרפורמה במינהל מקרקעי ישראל (כיום רשות מקרקעי ישראל), תכנית לאומית אסטרטגית לפיתוח הנגב, מתן תוקף לתכנית מתאר ארצית - תמ"א 35, גיבוש תכנית חומש מוסכמת לתכנון ופיתוח של קרקע למגורים ולתעסוקה. אולם יישומן של חלק מהחלטות, דוגמת הרפורמה ברמ"י, התעכב וחלקן האחר, דוגמת גיבוש תכנית חומש לתכנון ולפיתוח הקרקע למגורים ולתעסוקה, אף לא יושם כלל ונותר בגדר "אות מתה".</w:t>
            </w:r>
          </w:p>
          <w:p w:rsidR="0029357E" w:rsidRPr="0029357E" w:rsidP="0029357E">
            <w:pPr>
              <w:pStyle w:val="takzir"/>
              <w:rPr>
                <w:b w:val="0"/>
                <w:bCs w:val="0"/>
                <w:noProof w:val="0"/>
                <w:rtl/>
              </w:rPr>
            </w:pPr>
            <w:r w:rsidRPr="0029357E">
              <w:rPr>
                <w:b w:val="0"/>
                <w:bCs w:val="0"/>
                <w:noProof w:val="0"/>
                <w:rtl/>
              </w:rPr>
              <w:t>כפועל יוצא</w:t>
            </w:r>
            <w:r w:rsidRPr="0029357E">
              <w:rPr>
                <w:rFonts w:hint="cs"/>
                <w:b w:val="0"/>
                <w:bCs w:val="0"/>
                <w:noProof w:val="0"/>
                <w:rtl/>
              </w:rPr>
              <w:t xml:space="preserve"> מכך</w:t>
            </w:r>
            <w:r w:rsidRPr="0029357E">
              <w:rPr>
                <w:b w:val="0"/>
                <w:bCs w:val="0"/>
                <w:noProof w:val="0"/>
                <w:rtl/>
              </w:rPr>
              <w:t>, התפוקות של שרשרת הייצור של יח"ד בשנים 2007-2005 לא נתנו מענה הולם ליעדי התכנון והשיווק שהציבה הממשלה בהחלטותיה ובתכניותיה והן לא הלמו את צורכי שוק הדיור.</w:t>
            </w:r>
          </w:p>
          <w:p w:rsidR="00350D21" w:rsidP="0029357E">
            <w:pPr>
              <w:pStyle w:val="takzir"/>
              <w:spacing w:before="60"/>
              <w:rPr>
                <w:b w:val="0"/>
                <w:bCs w:val="0"/>
                <w:noProof w:val="0"/>
                <w:rtl/>
              </w:rPr>
            </w:pPr>
            <w:r w:rsidRPr="0029357E">
              <w:rPr>
                <w:b w:val="0"/>
                <w:bCs w:val="0"/>
                <w:noProof w:val="0"/>
                <w:rtl/>
              </w:rPr>
              <w:t xml:space="preserve">אי-יישום החלטות הממשלה, המחסור ביח"ד והיעדר </w:t>
            </w:r>
            <w:r w:rsidRPr="0029357E">
              <w:rPr>
                <w:rFonts w:hint="cs"/>
                <w:b w:val="0"/>
                <w:bCs w:val="0"/>
                <w:noProof w:val="0"/>
                <w:rtl/>
              </w:rPr>
              <w:t>היערכות מוקדמת שתאפשר להתמודד עם השינויים הצפויים בשוק הדיור (מנגנון ניהול סיכונים) הביאו</w:t>
            </w:r>
            <w:r w:rsidRPr="0029357E">
              <w:rPr>
                <w:b w:val="0"/>
                <w:bCs w:val="0"/>
                <w:noProof w:val="0"/>
                <w:rtl/>
              </w:rPr>
              <w:t xml:space="preserve"> לידי כך שעם פרוץ משבר הדיור בשנת 2008 לא היו בידי הממשלה אמצעים להתמודדות עם הזינוק במחירי הדיור ועם משבר הדיור ההולך ומעמיק. היעדר היערכות לקראת משברים שכאלו היא ליקוי מהותי בסדרי מינהל תקין ובעבודת המטה הממשלתית.</w:t>
            </w:r>
          </w:p>
        </w:tc>
      </w:tr>
    </w:tbl>
    <w:p w:rsidR="00350D21" w:rsidP="00350D21">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29357E">
              <w:rPr>
                <w:sz w:val="24"/>
                <w:szCs w:val="24"/>
                <w:rtl/>
              </w:rPr>
              <w:t xml:space="preserve">בשנים 2010-2008 הממשלה נכשלה בזיהוי משבר הדיור </w:t>
            </w:r>
            <w:r>
              <w:rPr>
                <w:sz w:val="24"/>
                <w:szCs w:val="24"/>
              </w:rPr>
              <w:br/>
            </w:r>
            <w:r w:rsidRPr="0029357E">
              <w:rPr>
                <w:sz w:val="24"/>
                <w:szCs w:val="24"/>
                <w:rtl/>
              </w:rPr>
              <w:t>ולא גיבשה מדיניות להתמודדות עם המשבר ולבלימתו</w:t>
            </w:r>
          </w:p>
        </w:tc>
      </w:tr>
      <w:tr w:rsidTr="00350D21">
        <w:tblPrEx>
          <w:tblW w:w="6691" w:type="dxa"/>
          <w:jc w:val="center"/>
          <w:tblLook w:val="04A0"/>
        </w:tblPrEx>
        <w:trPr>
          <w:cantSplit/>
          <w:jc w:val="center"/>
        </w:trPr>
        <w:tc>
          <w:tcPr>
            <w:tcW w:w="6691" w:type="dxa"/>
          </w:tcPr>
          <w:p w:rsidR="00350D21" w:rsidP="00350D21">
            <w:pPr>
              <w:pStyle w:val="takzir"/>
              <w:spacing w:before="60"/>
              <w:rPr>
                <w:b w:val="0"/>
                <w:bCs w:val="0"/>
                <w:noProof w:val="0"/>
                <w:rtl/>
              </w:rPr>
            </w:pPr>
            <w:r w:rsidRPr="0029357E">
              <w:rPr>
                <w:b w:val="0"/>
                <w:bCs w:val="0"/>
                <w:noProof w:val="0"/>
                <w:rtl/>
              </w:rPr>
              <w:t xml:space="preserve">אף שכבר במהלך 2008 הסתמנה מגמה ברורה של עלייה חדה במחירי הדיור, הממשלה ה-31 בראשותו של מר אהוד אולמרט, שכיהנה באותה עת, לא זיהתה מגמה זו כסיכון הדורש התייחסות ייחודית ולא קיימה כל דיון אסטרטגי בנושא. היא גם לא קבעה כי יש לנקוט אמצעים כלשהם כדי למתן או לבלום את עליית המחירים וממילא לא גיבשה תכנית כוללת לשינוי מגמה זו. לכן, בשנים 2010-2008 גדלו הפערים בין ההיצע לביקוש בשוק הדיור ומחירי הדיור עלו </w:t>
            </w:r>
            <w:r w:rsidRPr="0029357E">
              <w:rPr>
                <w:rFonts w:hint="cs"/>
                <w:b w:val="0"/>
                <w:bCs w:val="0"/>
                <w:noProof w:val="0"/>
                <w:rtl/>
              </w:rPr>
              <w:t>בתקופה זו</w:t>
            </w:r>
            <w:r w:rsidRPr="0029357E">
              <w:rPr>
                <w:b w:val="0"/>
                <w:bCs w:val="0"/>
                <w:noProof w:val="0"/>
                <w:rtl/>
              </w:rPr>
              <w:t xml:space="preserve"> </w:t>
            </w:r>
            <w:r w:rsidR="003958C3">
              <w:rPr>
                <w:b w:val="0"/>
                <w:bCs w:val="0"/>
                <w:noProof w:val="0"/>
              </w:rPr>
              <w:br/>
            </w:r>
            <w:r w:rsidRPr="0029357E">
              <w:rPr>
                <w:b w:val="0"/>
                <w:bCs w:val="0"/>
                <w:noProof w:val="0"/>
                <w:rtl/>
              </w:rPr>
              <w:t xml:space="preserve">בכ-36% במונחים ריאליים ועמם ההכבדה בנטל הוצאות הדיור. תהליך זה הוא הלכה למעשה משבר הדיור הנוכחי. בעוד מחירי הדיור נוסקים, רק </w:t>
            </w:r>
            <w:r w:rsidRPr="0029357E">
              <w:rPr>
                <w:rFonts w:hint="cs"/>
                <w:b w:val="0"/>
                <w:bCs w:val="0"/>
                <w:noProof w:val="0"/>
                <w:rtl/>
              </w:rPr>
              <w:t>ביולי 2010, יותר משנה לאחר הקמתה,</w:t>
            </w:r>
            <w:r w:rsidRPr="00684E29">
              <w:rPr>
                <w:rFonts w:hint="cs"/>
                <w:b w:val="0"/>
                <w:bCs w:val="0"/>
                <w:noProof w:val="0"/>
                <w:rtl/>
              </w:rPr>
              <w:t xml:space="preserve"> </w:t>
            </w:r>
            <w:r w:rsidRPr="0029357E">
              <w:rPr>
                <w:rFonts w:hint="cs"/>
                <w:b w:val="0"/>
                <w:bCs w:val="0"/>
                <w:noProof w:val="0"/>
                <w:rtl/>
              </w:rPr>
              <w:t xml:space="preserve">זיהתה </w:t>
            </w:r>
            <w:r w:rsidRPr="0029357E">
              <w:rPr>
                <w:b w:val="0"/>
                <w:bCs w:val="0"/>
                <w:noProof w:val="0"/>
                <w:rtl/>
              </w:rPr>
              <w:t xml:space="preserve">הממשלה ה-32 בראשותו של מר בנימין נתניהו, את הצורך לבלום את העלייה החדה במחירי הדיור וקבעה כי יש </w:t>
            </w:r>
            <w:r w:rsidRPr="0029357E">
              <w:rPr>
                <w:rFonts w:hint="cs"/>
                <w:b w:val="0"/>
                <w:bCs w:val="0"/>
                <w:noProof w:val="0"/>
                <w:rtl/>
              </w:rPr>
              <w:t>לקיים</w:t>
            </w:r>
            <w:r w:rsidRPr="0029357E">
              <w:rPr>
                <w:b w:val="0"/>
                <w:bCs w:val="0"/>
                <w:noProof w:val="0"/>
                <w:rtl/>
              </w:rPr>
              <w:t xml:space="preserve"> מדיניות דיור שמטרתה להוריד את מחירי הדירות</w:t>
            </w:r>
            <w:r w:rsidRPr="0029357E">
              <w:rPr>
                <w:rFonts w:hint="cs"/>
                <w:b w:val="0"/>
                <w:bCs w:val="0"/>
                <w:noProof w:val="0"/>
                <w:rtl/>
              </w:rPr>
              <w:t xml:space="preserve"> תוך שימת דגש על דירות לצעירים (משפחות ויחידים) הרוכשים את דירתם הראשונה</w:t>
            </w:r>
            <w:r w:rsidRPr="0029357E">
              <w:rPr>
                <w:b w:val="0"/>
                <w:bCs w:val="0"/>
                <w:noProof w:val="0"/>
                <w:rtl/>
              </w:rPr>
              <w:t>. אף על פי כן המשיכו מחירי הדיור לעלות בשנים 2012-2011 אם כי באופן מתון יותר.</w:t>
            </w:r>
          </w:p>
        </w:tc>
      </w:tr>
    </w:tbl>
    <w:p w:rsidR="00350D21" w:rsidP="00350D21">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D307C4">
            <w:pPr>
              <w:pStyle w:val="KOT5"/>
              <w:spacing w:before="120"/>
              <w:jc w:val="center"/>
              <w:rPr>
                <w:sz w:val="24"/>
                <w:szCs w:val="24"/>
                <w:rtl/>
              </w:rPr>
            </w:pPr>
            <w:r w:rsidRPr="0029357E">
              <w:rPr>
                <w:rFonts w:hint="cs"/>
                <w:sz w:val="24"/>
                <w:szCs w:val="24"/>
                <w:rtl/>
              </w:rPr>
              <w:t xml:space="preserve">לוחות הזמנים להשגת </w:t>
            </w:r>
            <w:r w:rsidRPr="0029357E">
              <w:rPr>
                <w:sz w:val="24"/>
                <w:szCs w:val="24"/>
                <w:rtl/>
              </w:rPr>
              <w:t xml:space="preserve">יעדי </w:t>
            </w:r>
            <w:r w:rsidRPr="0029357E">
              <w:rPr>
                <w:rFonts w:hint="cs"/>
                <w:sz w:val="24"/>
                <w:szCs w:val="24"/>
                <w:rtl/>
              </w:rPr>
              <w:t>הממשלה</w:t>
            </w:r>
            <w:r w:rsidRPr="0029357E">
              <w:rPr>
                <w:sz w:val="24"/>
                <w:szCs w:val="24"/>
                <w:rtl/>
              </w:rPr>
              <w:t xml:space="preserve"> בשנים 2012-2011 לא היו ריאליים</w:t>
            </w:r>
          </w:p>
        </w:tc>
      </w:tr>
      <w:tr w:rsidTr="00350D21">
        <w:tblPrEx>
          <w:tblW w:w="6691" w:type="dxa"/>
          <w:jc w:val="center"/>
          <w:tblLook w:val="04A0"/>
        </w:tblPrEx>
        <w:trPr>
          <w:cantSplit/>
          <w:jc w:val="center"/>
        </w:trPr>
        <w:tc>
          <w:tcPr>
            <w:tcW w:w="6691" w:type="dxa"/>
          </w:tcPr>
          <w:p w:rsidR="0029357E" w:rsidRPr="00582A43" w:rsidP="00F03EC4">
            <w:pPr>
              <w:pStyle w:val="takzir"/>
              <w:spacing w:before="60"/>
              <w:rPr>
                <w:b w:val="0"/>
                <w:bCs w:val="0"/>
                <w:noProof w:val="0"/>
                <w:rtl/>
              </w:rPr>
            </w:pPr>
            <w:r w:rsidRPr="00582A43">
              <w:rPr>
                <w:b w:val="0"/>
                <w:bCs w:val="0"/>
                <w:noProof w:val="0"/>
                <w:rtl/>
              </w:rPr>
              <w:t xml:space="preserve">במרץ 2011 </w:t>
            </w:r>
            <w:r w:rsidRPr="00582A43" w:rsidR="006C607E">
              <w:rPr>
                <w:rFonts w:hint="cs"/>
                <w:b w:val="0"/>
                <w:bCs w:val="0"/>
                <w:noProof w:val="0"/>
                <w:rtl/>
              </w:rPr>
              <w:t>קבעה</w:t>
            </w:r>
            <w:r w:rsidRPr="00582A43">
              <w:rPr>
                <w:b w:val="0"/>
                <w:bCs w:val="0"/>
                <w:noProof w:val="0"/>
                <w:rtl/>
              </w:rPr>
              <w:t xml:space="preserve"> הממשלה הסדרים לאישור מהיר של תכניות למגורים </w:t>
            </w:r>
            <w:r w:rsidRPr="00582A43" w:rsidR="006C607E">
              <w:rPr>
                <w:rFonts w:hint="cs"/>
                <w:b w:val="0"/>
                <w:bCs w:val="0"/>
                <w:noProof w:val="0"/>
                <w:rtl/>
              </w:rPr>
              <w:t xml:space="preserve">והחליטה </w:t>
            </w:r>
            <w:r w:rsidRPr="00582A43">
              <w:rPr>
                <w:b w:val="0"/>
                <w:bCs w:val="0"/>
                <w:noProof w:val="0"/>
                <w:rtl/>
              </w:rPr>
              <w:t xml:space="preserve">לחוקק חוק להאצת הבנייה למגורים (כהוראת שעה) </w:t>
            </w:r>
            <w:r w:rsidRPr="00582A43" w:rsidR="006C607E">
              <w:rPr>
                <w:rFonts w:hint="cs"/>
                <w:b w:val="0"/>
                <w:bCs w:val="0"/>
                <w:noProof w:val="0"/>
                <w:rtl/>
              </w:rPr>
              <w:t>ולפיו בין היתר י</w:t>
            </w:r>
            <w:r w:rsidRPr="00582A43">
              <w:rPr>
                <w:b w:val="0"/>
                <w:bCs w:val="0"/>
                <w:noProof w:val="0"/>
                <w:rtl/>
              </w:rPr>
              <w:t>וקמו ועדות לדיור לאומי</w:t>
            </w:r>
            <w:r w:rsidRPr="00582A43">
              <w:rPr>
                <w:rFonts w:hint="cs"/>
                <w:b w:val="0"/>
                <w:bCs w:val="0"/>
                <w:noProof w:val="0"/>
                <w:rtl/>
              </w:rPr>
              <w:t xml:space="preserve"> (להלן - וד"לים)</w:t>
            </w:r>
            <w:r w:rsidRPr="00582A43" w:rsidR="00F03EC4">
              <w:rPr>
                <w:rFonts w:hint="cs"/>
                <w:b w:val="0"/>
                <w:bCs w:val="0"/>
                <w:noProof w:val="0"/>
                <w:rtl/>
              </w:rPr>
              <w:t>,</w:t>
            </w:r>
            <w:r w:rsidRPr="00582A43">
              <w:rPr>
                <w:b w:val="0"/>
                <w:bCs w:val="0"/>
                <w:noProof w:val="0"/>
                <w:rtl/>
              </w:rPr>
              <w:t xml:space="preserve"> </w:t>
            </w:r>
            <w:r w:rsidRPr="00582A43" w:rsidR="006C607E">
              <w:rPr>
                <w:rFonts w:hint="cs"/>
                <w:b w:val="0"/>
                <w:bCs w:val="0"/>
                <w:noProof w:val="0"/>
                <w:rtl/>
              </w:rPr>
              <w:t xml:space="preserve">במטרה </w:t>
            </w:r>
            <w:r w:rsidRPr="00582A43">
              <w:rPr>
                <w:b w:val="0"/>
                <w:bCs w:val="0"/>
                <w:noProof w:val="0"/>
                <w:rtl/>
              </w:rPr>
              <w:t xml:space="preserve">להגדיל באופן ניכר את היצע הקרקעות הזמינות לבנייה למגורים </w:t>
            </w:r>
            <w:r w:rsidRPr="00582A43" w:rsidR="006C607E">
              <w:rPr>
                <w:rFonts w:hint="cs"/>
                <w:b w:val="0"/>
                <w:bCs w:val="0"/>
                <w:noProof w:val="0"/>
                <w:rtl/>
              </w:rPr>
              <w:t>על מנת</w:t>
            </w:r>
            <w:r w:rsidRPr="00582A43">
              <w:rPr>
                <w:b w:val="0"/>
                <w:bCs w:val="0"/>
                <w:noProof w:val="0"/>
                <w:rtl/>
              </w:rPr>
              <w:t xml:space="preserve"> לבלום את עליית מחירי הדיור. אולם ההסדרים </w:t>
            </w:r>
            <w:r w:rsidRPr="00582A43" w:rsidR="006C607E">
              <w:rPr>
                <w:rFonts w:hint="cs"/>
                <w:b w:val="0"/>
                <w:bCs w:val="0"/>
                <w:noProof w:val="0"/>
                <w:rtl/>
              </w:rPr>
              <w:t>שנקבעו</w:t>
            </w:r>
            <w:r w:rsidRPr="00582A43">
              <w:rPr>
                <w:b w:val="0"/>
                <w:bCs w:val="0"/>
                <w:noProof w:val="0"/>
                <w:rtl/>
              </w:rPr>
              <w:t xml:space="preserve">, </w:t>
            </w:r>
            <w:r w:rsidRPr="00582A43" w:rsidR="006C607E">
              <w:rPr>
                <w:rFonts w:hint="cs"/>
                <w:b w:val="0"/>
                <w:bCs w:val="0"/>
                <w:noProof w:val="0"/>
                <w:rtl/>
              </w:rPr>
              <w:t>ו</w:t>
            </w:r>
            <w:r w:rsidRPr="00582A43">
              <w:rPr>
                <w:b w:val="0"/>
                <w:bCs w:val="0"/>
                <w:noProof w:val="0"/>
                <w:rtl/>
              </w:rPr>
              <w:t>הקמתן של הוועדות האמורות, לא נתנו מענה מלא לצורך זה, בייחוד במרכז הארץ</w:t>
            </w:r>
            <w:r w:rsidRPr="00582A43">
              <w:rPr>
                <w:rFonts w:hint="cs"/>
                <w:b w:val="0"/>
                <w:bCs w:val="0"/>
                <w:noProof w:val="0"/>
                <w:rtl/>
              </w:rPr>
              <w:t xml:space="preserve"> (ראו להלן)</w:t>
            </w:r>
            <w:r w:rsidRPr="00582A43">
              <w:rPr>
                <w:b w:val="0"/>
                <w:bCs w:val="0"/>
                <w:noProof w:val="0"/>
                <w:rtl/>
              </w:rPr>
              <w:t xml:space="preserve">. גם מספר היחידות לדיור בר השגה שאושרו בוועדות אלו היה </w:t>
            </w:r>
            <w:r w:rsidRPr="00582A43" w:rsidR="006C607E">
              <w:rPr>
                <w:rFonts w:hint="cs"/>
                <w:b w:val="0"/>
                <w:bCs w:val="0"/>
                <w:noProof w:val="0"/>
                <w:rtl/>
              </w:rPr>
              <w:t>קטן</w:t>
            </w:r>
            <w:r w:rsidRPr="00582A43">
              <w:rPr>
                <w:b w:val="0"/>
                <w:bCs w:val="0"/>
                <w:noProof w:val="0"/>
                <w:rtl/>
              </w:rPr>
              <w:t xml:space="preserve"> ביותר.</w:t>
            </w:r>
          </w:p>
          <w:p w:rsidR="00350D21" w:rsidP="00D307C4">
            <w:pPr>
              <w:pStyle w:val="takzir"/>
              <w:rPr>
                <w:b w:val="0"/>
                <w:bCs w:val="0"/>
                <w:noProof w:val="0"/>
                <w:rtl/>
              </w:rPr>
            </w:pPr>
            <w:r w:rsidRPr="0029357E">
              <w:rPr>
                <w:b w:val="0"/>
                <w:bCs w:val="0"/>
                <w:noProof w:val="0"/>
                <w:rtl/>
              </w:rPr>
              <w:t>במרץ 2012, במסגרת יישום המלצות ועדת טרכטנברג שהוקמה בעקבות מחאת קיץ</w:t>
            </w:r>
            <w:r w:rsidRPr="0029357E">
              <w:rPr>
                <w:rFonts w:hint="cs"/>
                <w:b w:val="0"/>
                <w:bCs w:val="0"/>
                <w:noProof w:val="0"/>
                <w:rtl/>
              </w:rPr>
              <w:t xml:space="preserve"> </w:t>
            </w:r>
            <w:r w:rsidRPr="0029357E">
              <w:rPr>
                <w:b w:val="0"/>
                <w:bCs w:val="0"/>
                <w:noProof w:val="0"/>
                <w:rtl/>
              </w:rPr>
              <w:t>2011 שפרצה בין היתר על רקע יוקר המחייה בכלל והדיור בפרט, קיבלה הממשלה ה-32 החלטות בנושאי דיור ובהן האצת פעולות השיווק והפיתוח של קרקעות למגורים. אולם</w:t>
            </w:r>
            <w:r w:rsidRPr="0029357E">
              <w:rPr>
                <w:rFonts w:hint="cs"/>
                <w:b w:val="0"/>
                <w:bCs w:val="0"/>
                <w:noProof w:val="0"/>
                <w:rtl/>
              </w:rPr>
              <w:t xml:space="preserve"> לוחות הזמנים להשגת</w:t>
            </w:r>
            <w:r w:rsidRPr="0029357E">
              <w:rPr>
                <w:b w:val="0"/>
                <w:bCs w:val="0"/>
                <w:noProof w:val="0"/>
                <w:rtl/>
              </w:rPr>
              <w:t xml:space="preserve"> יעדי הממשלה העוסקים בתכנון ובשיווק של קרקע לבנייה למגורים התבררו כלא ריאליים, משום שקביעתם לא</w:t>
            </w:r>
            <w:r w:rsidRPr="0029357E">
              <w:rPr>
                <w:rFonts w:hint="cs"/>
                <w:b w:val="0"/>
                <w:bCs w:val="0"/>
                <w:noProof w:val="0"/>
                <w:rtl/>
              </w:rPr>
              <w:t xml:space="preserve"> התחשבה</w:t>
            </w:r>
            <w:r w:rsidRPr="0029357E">
              <w:rPr>
                <w:b w:val="0"/>
                <w:bCs w:val="0"/>
                <w:noProof w:val="0"/>
                <w:rtl/>
              </w:rPr>
              <w:t xml:space="preserve"> </w:t>
            </w:r>
            <w:r w:rsidRPr="0029357E">
              <w:rPr>
                <w:rFonts w:hint="cs"/>
                <w:b w:val="0"/>
                <w:bCs w:val="0"/>
                <w:noProof w:val="0"/>
                <w:rtl/>
              </w:rPr>
              <w:t>ב</w:t>
            </w:r>
            <w:r w:rsidRPr="0029357E">
              <w:rPr>
                <w:b w:val="0"/>
                <w:bCs w:val="0"/>
                <w:noProof w:val="0"/>
                <w:rtl/>
              </w:rPr>
              <w:t>חסמים התכנוניים והתשתיתיים</w:t>
            </w:r>
            <w:r w:rsidRPr="0029357E">
              <w:rPr>
                <w:rFonts w:hint="cs"/>
                <w:b w:val="0"/>
                <w:bCs w:val="0"/>
                <w:noProof w:val="0"/>
                <w:rtl/>
              </w:rPr>
              <w:t xml:space="preserve"> שישנם בדרך למימוש</w:t>
            </w:r>
            <w:r w:rsidRPr="0029357E">
              <w:rPr>
                <w:b w:val="0"/>
                <w:bCs w:val="0"/>
                <w:noProof w:val="0"/>
                <w:rtl/>
              </w:rPr>
              <w:t xml:space="preserve"> יעדים אלו.</w:t>
            </w:r>
          </w:p>
        </w:tc>
      </w:tr>
    </w:tbl>
    <w:p w:rsidR="00350D21" w:rsidP="00350D21">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0C7632">
              <w:rPr>
                <w:sz w:val="24"/>
                <w:szCs w:val="24"/>
                <w:rtl/>
              </w:rPr>
              <w:t>עבודת המטה להתוויית מדיניות הדיור הממשלתית והפעל</w:t>
            </w:r>
            <w:r w:rsidRPr="000C7632">
              <w:rPr>
                <w:rFonts w:hint="cs"/>
                <w:sz w:val="24"/>
                <w:szCs w:val="24"/>
                <w:rtl/>
              </w:rPr>
              <w:t>ת</w:t>
            </w:r>
            <w:r w:rsidRPr="000C7632">
              <w:rPr>
                <w:sz w:val="24"/>
                <w:szCs w:val="24"/>
                <w:rtl/>
              </w:rPr>
              <w:t>ה</w:t>
            </w:r>
            <w:r w:rsidRPr="000C7632">
              <w:rPr>
                <w:rFonts w:hint="cs"/>
                <w:sz w:val="24"/>
                <w:szCs w:val="24"/>
                <w:rtl/>
              </w:rPr>
              <w:t xml:space="preserve"> </w:t>
            </w:r>
            <w:r>
              <w:rPr>
                <w:sz w:val="24"/>
                <w:szCs w:val="24"/>
              </w:rPr>
              <w:br/>
            </w:r>
            <w:r w:rsidRPr="000C7632">
              <w:rPr>
                <w:rFonts w:hint="cs"/>
                <w:sz w:val="24"/>
                <w:szCs w:val="24"/>
                <w:rtl/>
              </w:rPr>
              <w:t>נמצאו לקויים</w:t>
            </w:r>
          </w:p>
        </w:tc>
      </w:tr>
      <w:tr w:rsidTr="00350D21">
        <w:tblPrEx>
          <w:tblW w:w="6691" w:type="dxa"/>
          <w:jc w:val="center"/>
          <w:tblLook w:val="04A0"/>
        </w:tblPrEx>
        <w:trPr>
          <w:cantSplit/>
          <w:jc w:val="center"/>
        </w:trPr>
        <w:tc>
          <w:tcPr>
            <w:tcW w:w="6691" w:type="dxa"/>
          </w:tcPr>
          <w:p w:rsidR="000C7632" w:rsidRPr="00582A43" w:rsidP="000C7632">
            <w:pPr>
              <w:pStyle w:val="takzir"/>
              <w:rPr>
                <w:b w:val="0"/>
                <w:bCs w:val="0"/>
                <w:noProof w:val="0"/>
                <w:rtl/>
              </w:rPr>
            </w:pPr>
            <w:r w:rsidRPr="00582A43">
              <w:rPr>
                <w:b w:val="0"/>
                <w:bCs w:val="0"/>
                <w:noProof w:val="0"/>
                <w:rtl/>
              </w:rPr>
              <w:t xml:space="preserve">בשנים 2012-2005 </w:t>
            </w:r>
            <w:r w:rsidRPr="00582A43">
              <w:rPr>
                <w:rFonts w:hint="cs"/>
                <w:b w:val="0"/>
                <w:bCs w:val="0"/>
                <w:noProof w:val="0"/>
                <w:rtl/>
              </w:rPr>
              <w:t>פעלו משרדי הממשלה וגופים שלטוניים הנוגעים בדבר</w:t>
            </w:r>
            <w:r w:rsidRPr="00582A43">
              <w:rPr>
                <w:b w:val="0"/>
                <w:bCs w:val="0"/>
                <w:noProof w:val="0"/>
                <w:rtl/>
              </w:rPr>
              <w:t xml:space="preserve"> בלי שמונה גוף מטה</w:t>
            </w:r>
            <w:r w:rsidRPr="00582A43">
              <w:rPr>
                <w:rFonts w:hint="cs"/>
                <w:b w:val="0"/>
                <w:bCs w:val="0"/>
                <w:noProof w:val="0"/>
                <w:rtl/>
              </w:rPr>
              <w:t xml:space="preserve"> </w:t>
            </w:r>
            <w:r w:rsidRPr="00582A43">
              <w:rPr>
                <w:b w:val="0"/>
                <w:bCs w:val="0"/>
                <w:noProof w:val="0"/>
                <w:rtl/>
              </w:rPr>
              <w:t>שתפקידו לתכלל את התוויית מדיניות הדיור הממשלתית ואת יישומה. פעולות אלו היו מבוזרות בין משרדי הממשלה ומוסדות המדינה השונים, והם פעלו בלי שגובשה תכנית עבודה אסטרטגית רב-שנתית ובלי שנקבעו יעדי מדיניות מוסכמים ומתואמים בין כלל הגופים הנוגעים לעניין התשתיות הנדרשות לשכונות מגורים, בעיקר משרד הבינוי, רמ"י ומינהל התכנון במשרד הפנים. למשל, ביולי 2010 קבעה הממשלה כי יש להוריד את מחירי הדיור, אך לא קבעה יעד עבור שיעור הירידה שיש לשאוף אליו.</w:t>
            </w:r>
          </w:p>
          <w:p w:rsidR="00350D21" w:rsidP="000C7632">
            <w:pPr>
              <w:pStyle w:val="takzir"/>
              <w:rPr>
                <w:b w:val="0"/>
                <w:bCs w:val="0"/>
                <w:noProof w:val="0"/>
                <w:rtl/>
              </w:rPr>
            </w:pPr>
            <w:r w:rsidRPr="00582A43">
              <w:rPr>
                <w:b w:val="0"/>
                <w:bCs w:val="0"/>
                <w:noProof w:val="0"/>
                <w:rtl/>
              </w:rPr>
              <w:t xml:space="preserve">נמצא </w:t>
            </w:r>
            <w:r w:rsidRPr="00582A43">
              <w:rPr>
                <w:rFonts w:hint="cs"/>
                <w:b w:val="0"/>
                <w:bCs w:val="0"/>
                <w:noProof w:val="0"/>
                <w:rtl/>
              </w:rPr>
              <w:t xml:space="preserve">גם </w:t>
            </w:r>
            <w:r w:rsidRPr="00582A43">
              <w:rPr>
                <w:b w:val="0"/>
                <w:bCs w:val="0"/>
                <w:noProof w:val="0"/>
                <w:rtl/>
              </w:rPr>
              <w:t>כי מזכירות הממשלה לא קיימה מעקב שיטתי אחר יישום החלטות הממשלה שהתקבלו בשנים 2012-2005 הנוגעות למדיניות הדיור הממשלתית אף שהחלטות רבות של הממשלה לא יושמו או שיישומן התעכב זמן ממושך.</w:t>
            </w:r>
          </w:p>
        </w:tc>
      </w:tr>
    </w:tbl>
    <w:p w:rsidR="00350D21" w:rsidP="00350D21">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0C7632">
              <w:rPr>
                <w:rFonts w:hint="cs"/>
                <w:sz w:val="24"/>
                <w:szCs w:val="24"/>
                <w:rtl/>
              </w:rPr>
              <w:t>היבטים במימון בשוק הדיור</w:t>
            </w:r>
          </w:p>
        </w:tc>
      </w:tr>
      <w:tr w:rsidTr="00350D21">
        <w:tblPrEx>
          <w:tblW w:w="6691" w:type="dxa"/>
          <w:jc w:val="center"/>
          <w:tblLook w:val="04A0"/>
        </w:tblPrEx>
        <w:trPr>
          <w:cantSplit/>
          <w:jc w:val="center"/>
        </w:trPr>
        <w:tc>
          <w:tcPr>
            <w:tcW w:w="6691" w:type="dxa"/>
          </w:tcPr>
          <w:p w:rsidR="00860819" w:rsidRPr="00860819" w:rsidP="00382334">
            <w:pPr>
              <w:pStyle w:val="takzir"/>
              <w:spacing w:before="60"/>
              <w:rPr>
                <w:b w:val="0"/>
                <w:bCs w:val="0"/>
                <w:noProof w:val="0"/>
                <w:rtl/>
              </w:rPr>
            </w:pPr>
            <w:r w:rsidRPr="00860819">
              <w:rPr>
                <w:b w:val="0"/>
                <w:bCs w:val="0"/>
                <w:noProof w:val="0"/>
                <w:rtl/>
              </w:rPr>
              <w:t xml:space="preserve">בנק ישראל קובע את המדיניות המוניטרית כדי לעמוד במטרות שנקבעו לו בחוק. </w:t>
            </w:r>
            <w:r w:rsidRPr="00860819">
              <w:rPr>
                <w:rFonts w:hint="cs"/>
                <w:b w:val="0"/>
                <w:bCs w:val="0"/>
                <w:noProof w:val="0"/>
                <w:rtl/>
              </w:rPr>
              <w:t>ל</w:t>
            </w:r>
            <w:r w:rsidRPr="00860819">
              <w:rPr>
                <w:b w:val="0"/>
                <w:bCs w:val="0"/>
                <w:noProof w:val="0"/>
                <w:rtl/>
              </w:rPr>
              <w:t xml:space="preserve">ריבית הנמוכה בשנים האחרונות, שאותה קבע הבנק בעיקר כדי לשמור על יציבות המחירים ולתמוך בצמיחה ובתעסוקה במשק, </w:t>
            </w:r>
            <w:r w:rsidRPr="00860819">
              <w:rPr>
                <w:rFonts w:hint="cs"/>
                <w:b w:val="0"/>
                <w:bCs w:val="0"/>
                <w:noProof w:val="0"/>
                <w:rtl/>
              </w:rPr>
              <w:t xml:space="preserve">יש השפעות נלוות על </w:t>
            </w:r>
            <w:r w:rsidRPr="00860819">
              <w:rPr>
                <w:b w:val="0"/>
                <w:bCs w:val="0"/>
                <w:noProof w:val="0"/>
                <w:rtl/>
              </w:rPr>
              <w:t>עליית הביקוש לדיור ו</w:t>
            </w:r>
            <w:r w:rsidRPr="00860819">
              <w:rPr>
                <w:rFonts w:hint="cs"/>
                <w:b w:val="0"/>
                <w:bCs w:val="0"/>
                <w:noProof w:val="0"/>
                <w:rtl/>
              </w:rPr>
              <w:t xml:space="preserve">על </w:t>
            </w:r>
            <w:r w:rsidRPr="00860819">
              <w:rPr>
                <w:b w:val="0"/>
                <w:bCs w:val="0"/>
                <w:noProof w:val="0"/>
                <w:rtl/>
              </w:rPr>
              <w:t xml:space="preserve">עליית מחירי הדירות, למרות העובדה שהוראות הפיקוח על הבנקים למערכת הבנקאית הן גורם ממתן לעליית המחירים. </w:t>
            </w:r>
            <w:r w:rsidR="00382334">
              <w:rPr>
                <w:rFonts w:hint="cs"/>
                <w:b w:val="0"/>
                <w:bCs w:val="0"/>
                <w:noProof w:val="0"/>
                <w:rtl/>
              </w:rPr>
              <w:t>כמו כן,</w:t>
            </w:r>
            <w:r w:rsidRPr="00860819">
              <w:rPr>
                <w:rFonts w:hint="cs"/>
                <w:b w:val="0"/>
                <w:bCs w:val="0"/>
                <w:noProof w:val="0"/>
                <w:rtl/>
              </w:rPr>
              <w:t xml:space="preserve"> </w:t>
            </w:r>
            <w:r w:rsidRPr="00860819">
              <w:rPr>
                <w:b w:val="0"/>
                <w:bCs w:val="0"/>
                <w:noProof w:val="0"/>
                <w:rtl/>
              </w:rPr>
              <w:t>פעולות שנקטה</w:t>
            </w:r>
            <w:r w:rsidRPr="00860819">
              <w:rPr>
                <w:rFonts w:hint="cs"/>
                <w:b w:val="0"/>
                <w:bCs w:val="0"/>
                <w:noProof w:val="0"/>
                <w:rtl/>
              </w:rPr>
              <w:t xml:space="preserve"> הממשלה לבלימת עליית המחירים</w:t>
            </w:r>
            <w:r w:rsidRPr="00860819">
              <w:rPr>
                <w:b w:val="0"/>
                <w:bCs w:val="0"/>
                <w:noProof w:val="0"/>
                <w:rtl/>
              </w:rPr>
              <w:t xml:space="preserve"> לא השיג</w:t>
            </w:r>
            <w:r w:rsidRPr="00860819">
              <w:rPr>
                <w:rFonts w:hint="cs"/>
                <w:b w:val="0"/>
                <w:bCs w:val="0"/>
                <w:noProof w:val="0"/>
                <w:rtl/>
              </w:rPr>
              <w:t>ו</w:t>
            </w:r>
            <w:r w:rsidRPr="00860819">
              <w:rPr>
                <w:b w:val="0"/>
                <w:bCs w:val="0"/>
                <w:noProof w:val="0"/>
                <w:rtl/>
              </w:rPr>
              <w:t xml:space="preserve"> את יעד</w:t>
            </w:r>
            <w:r w:rsidRPr="00860819">
              <w:rPr>
                <w:rFonts w:hint="cs"/>
                <w:b w:val="0"/>
                <w:bCs w:val="0"/>
                <w:noProof w:val="0"/>
                <w:rtl/>
              </w:rPr>
              <w:t>ן</w:t>
            </w:r>
            <w:r w:rsidRPr="00860819">
              <w:rPr>
                <w:b w:val="0"/>
                <w:bCs w:val="0"/>
                <w:noProof w:val="0"/>
                <w:rtl/>
              </w:rPr>
              <w:t xml:space="preserve">; למשל, לא נמצא כי </w:t>
            </w:r>
            <w:r w:rsidRPr="00860819">
              <w:rPr>
                <w:rFonts w:hint="cs"/>
                <w:b w:val="0"/>
                <w:bCs w:val="0"/>
                <w:noProof w:val="0"/>
                <w:rtl/>
              </w:rPr>
              <w:t xml:space="preserve">צלח </w:t>
            </w:r>
            <w:r w:rsidRPr="00860819">
              <w:rPr>
                <w:b w:val="0"/>
                <w:bCs w:val="0"/>
                <w:noProof w:val="0"/>
                <w:rtl/>
              </w:rPr>
              <w:t xml:space="preserve">הניסיון </w:t>
            </w:r>
            <w:r w:rsidRPr="00860819">
              <w:rPr>
                <w:rFonts w:hint="cs"/>
                <w:b w:val="0"/>
                <w:bCs w:val="0"/>
                <w:noProof w:val="0"/>
                <w:rtl/>
              </w:rPr>
              <w:t xml:space="preserve">להגדיל את היצע הדירות על ידי הגדלת </w:t>
            </w:r>
            <w:r w:rsidRPr="00860819">
              <w:rPr>
                <w:b w:val="0"/>
                <w:bCs w:val="0"/>
                <w:noProof w:val="0"/>
                <w:rtl/>
              </w:rPr>
              <w:t xml:space="preserve">היצע האשראי הבנקאי לבנייה, באמצעות הקמת קרן תקציבית ממשלתית (קרן מע"ם) </w:t>
            </w:r>
            <w:r w:rsidRPr="00860819">
              <w:rPr>
                <w:rFonts w:hint="cs"/>
                <w:b w:val="0"/>
                <w:bCs w:val="0"/>
                <w:noProof w:val="0"/>
                <w:rtl/>
              </w:rPr>
              <w:t>ו</w:t>
            </w:r>
            <w:r w:rsidRPr="00860819">
              <w:rPr>
                <w:b w:val="0"/>
                <w:bCs w:val="0"/>
                <w:noProof w:val="0"/>
                <w:rtl/>
              </w:rPr>
              <w:t>הקטנת דרישת הקצאת ההון בבנקים בגין ערבויות המכר.</w:t>
            </w:r>
          </w:p>
          <w:p w:rsidR="00350D21" w:rsidP="00860819">
            <w:pPr>
              <w:pStyle w:val="takzir"/>
              <w:rPr>
                <w:b w:val="0"/>
                <w:bCs w:val="0"/>
                <w:noProof w:val="0"/>
                <w:rtl/>
              </w:rPr>
            </w:pPr>
            <w:r w:rsidRPr="00860819">
              <w:rPr>
                <w:b w:val="0"/>
                <w:bCs w:val="0"/>
                <w:noProof w:val="0"/>
                <w:rtl/>
              </w:rPr>
              <w:t>במשך שנים ארוכות ההפרשה הכוללת של כלל המערכת הבנקאית להפסדי אשראי בגין הלוואות לדיור עמדה על סכומים דומים (כ-2 מיליארד שקלים). רק במרץ 2013 הורה המפקח על הבנקים לבנקים להעמיד את ההפרשה הקבוצתית המינימלית בגין הלוואות לדיור על 0.35%; וזאת על אף עלייה וגידול מואץ באשראי לדיור בשנים האחרונות (מכ-112 מיליארד ש"ח ב-31.12.05 לכ-237 מיליארד ש"ח ב-31.12.12 - עלייה של כ-112%) ולמרות העלייה בסיכון בענף הדיור, כפי שעולה מפרסומי הפיקוח על הבנקים.</w:t>
            </w:r>
          </w:p>
        </w:tc>
      </w:tr>
    </w:tbl>
    <w:p w:rsidR="00350D21" w:rsidP="00350D21">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B24DC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691" w:type="dxa"/>
            <w:shd w:val="pct10" w:color="auto" w:fill="auto"/>
          </w:tcPr>
          <w:p w:rsidR="00350D21" w:rsidP="00350D21">
            <w:pPr>
              <w:pStyle w:val="KOT5"/>
              <w:spacing w:before="120"/>
              <w:jc w:val="center"/>
              <w:rPr>
                <w:sz w:val="24"/>
                <w:szCs w:val="24"/>
                <w:rtl/>
              </w:rPr>
            </w:pPr>
            <w:r w:rsidRPr="00860819">
              <w:rPr>
                <w:sz w:val="24"/>
                <w:szCs w:val="24"/>
                <w:rtl/>
              </w:rPr>
              <w:t xml:space="preserve">צעדי מיסוי מקרקעין </w:t>
            </w:r>
            <w:r w:rsidRPr="00860819">
              <w:rPr>
                <w:rFonts w:hint="cs"/>
                <w:sz w:val="24"/>
                <w:szCs w:val="24"/>
                <w:rtl/>
              </w:rPr>
              <w:t>שננקטו יושמו באיחור וללא בקרה מספקת</w:t>
            </w:r>
          </w:p>
        </w:tc>
      </w:tr>
      <w:tr w:rsidTr="00B24DC0">
        <w:tblPrEx>
          <w:tblW w:w="6691" w:type="dxa"/>
          <w:jc w:val="center"/>
          <w:tblLook w:val="04A0"/>
        </w:tblPrEx>
        <w:trPr>
          <w:trHeight w:val="4840"/>
          <w:jc w:val="center"/>
        </w:trPr>
        <w:tc>
          <w:tcPr>
            <w:tcW w:w="6691" w:type="dxa"/>
          </w:tcPr>
          <w:p w:rsidR="00860819" w:rsidRPr="00860819" w:rsidP="00CD7EA8">
            <w:pPr>
              <w:pStyle w:val="takzir"/>
              <w:spacing w:before="60"/>
              <w:rPr>
                <w:b w:val="0"/>
                <w:bCs w:val="0"/>
                <w:noProof w:val="0"/>
                <w:rtl/>
              </w:rPr>
            </w:pPr>
            <w:r w:rsidRPr="00860819">
              <w:rPr>
                <w:b w:val="0"/>
                <w:bCs w:val="0"/>
                <w:noProof w:val="0"/>
                <w:rtl/>
              </w:rPr>
              <w:t xml:space="preserve">נמצא כי אף שצעדי המיסוי </w:t>
            </w:r>
            <w:r w:rsidRPr="00860819">
              <w:rPr>
                <w:rFonts w:hint="cs"/>
                <w:b w:val="0"/>
                <w:bCs w:val="0"/>
                <w:noProof w:val="0"/>
                <w:rtl/>
              </w:rPr>
              <w:t>ש</w:t>
            </w:r>
            <w:r w:rsidRPr="00860819">
              <w:rPr>
                <w:b w:val="0"/>
                <w:bCs w:val="0"/>
                <w:noProof w:val="0"/>
                <w:rtl/>
              </w:rPr>
              <w:t xml:space="preserve">נקט משרד האוצר הביאו לידי הגדלת היקף </w:t>
            </w:r>
            <w:r w:rsidRPr="00860819">
              <w:rPr>
                <w:rFonts w:hint="cs"/>
                <w:b w:val="0"/>
                <w:bCs w:val="0"/>
                <w:noProof w:val="0"/>
                <w:rtl/>
              </w:rPr>
              <w:t>ה</w:t>
            </w:r>
            <w:r w:rsidRPr="00860819">
              <w:rPr>
                <w:b w:val="0"/>
                <w:bCs w:val="0"/>
                <w:noProof w:val="0"/>
                <w:rtl/>
              </w:rPr>
              <w:t>מכיר</w:t>
            </w:r>
            <w:r w:rsidRPr="00860819">
              <w:rPr>
                <w:rFonts w:hint="cs"/>
                <w:b w:val="0"/>
                <w:bCs w:val="0"/>
                <w:noProof w:val="0"/>
                <w:rtl/>
              </w:rPr>
              <w:t>ה של</w:t>
            </w:r>
            <w:r w:rsidRPr="00860819">
              <w:rPr>
                <w:b w:val="0"/>
                <w:bCs w:val="0"/>
                <w:noProof w:val="0"/>
                <w:rtl/>
              </w:rPr>
              <w:t xml:space="preserve"> דירות </w:t>
            </w:r>
            <w:r w:rsidRPr="00860819">
              <w:rPr>
                <w:rFonts w:hint="cs"/>
                <w:b w:val="0"/>
                <w:bCs w:val="0"/>
                <w:noProof w:val="0"/>
                <w:rtl/>
              </w:rPr>
              <w:t>ש</w:t>
            </w:r>
            <w:r w:rsidRPr="00860819">
              <w:rPr>
                <w:b w:val="0"/>
                <w:bCs w:val="0"/>
                <w:noProof w:val="0"/>
                <w:rtl/>
              </w:rPr>
              <w:t xml:space="preserve">בבעלות משקיעים בשנים 2012-2011 </w:t>
            </w:r>
            <w:r w:rsidRPr="00860819">
              <w:rPr>
                <w:rFonts w:hint="cs"/>
                <w:b w:val="0"/>
                <w:bCs w:val="0"/>
                <w:noProof w:val="0"/>
                <w:rtl/>
              </w:rPr>
              <w:t>(לעומת שנת 2010)</w:t>
            </w:r>
            <w:r w:rsidR="00CD7EA8">
              <w:rPr>
                <w:rFonts w:hint="cs"/>
                <w:b w:val="0"/>
                <w:bCs w:val="0"/>
                <w:noProof w:val="0"/>
                <w:rtl/>
              </w:rPr>
              <w:t>,</w:t>
            </w:r>
            <w:r w:rsidRPr="00860819">
              <w:rPr>
                <w:rFonts w:hint="cs"/>
                <w:b w:val="0"/>
                <w:bCs w:val="0"/>
                <w:noProof w:val="0"/>
                <w:rtl/>
              </w:rPr>
              <w:t xml:space="preserve"> </w:t>
            </w:r>
            <w:r w:rsidRPr="00860819">
              <w:rPr>
                <w:b w:val="0"/>
                <w:bCs w:val="0"/>
                <w:noProof w:val="0"/>
                <w:rtl/>
              </w:rPr>
              <w:t xml:space="preserve">מספרן הכולל של הדירות </w:t>
            </w:r>
            <w:r w:rsidRPr="00860819">
              <w:rPr>
                <w:rFonts w:hint="cs"/>
                <w:b w:val="0"/>
                <w:bCs w:val="0"/>
                <w:noProof w:val="0"/>
                <w:rtl/>
              </w:rPr>
              <w:t>ש</w:t>
            </w:r>
            <w:r w:rsidRPr="00860819">
              <w:rPr>
                <w:b w:val="0"/>
                <w:bCs w:val="0"/>
                <w:noProof w:val="0"/>
                <w:rtl/>
              </w:rPr>
              <w:t>בבעלות משקיעים</w:t>
            </w:r>
            <w:r w:rsidRPr="00860819">
              <w:rPr>
                <w:rFonts w:hint="cs"/>
                <w:b w:val="0"/>
                <w:bCs w:val="0"/>
                <w:noProof w:val="0"/>
                <w:rtl/>
              </w:rPr>
              <w:t xml:space="preserve"> גדל, </w:t>
            </w:r>
            <w:r w:rsidRPr="00860819">
              <w:rPr>
                <w:b w:val="0"/>
                <w:bCs w:val="0"/>
                <w:noProof w:val="0"/>
                <w:rtl/>
              </w:rPr>
              <w:t xml:space="preserve">משום שמשקיעים הוסיפו לרכוש דירות ומספרן עלה על </w:t>
            </w:r>
            <w:r w:rsidRPr="00860819">
              <w:rPr>
                <w:rFonts w:hint="cs"/>
                <w:b w:val="0"/>
                <w:bCs w:val="0"/>
                <w:noProof w:val="0"/>
                <w:rtl/>
              </w:rPr>
              <w:t xml:space="preserve">מספר הדירות </w:t>
            </w:r>
            <w:r w:rsidRPr="00860819">
              <w:rPr>
                <w:b w:val="0"/>
                <w:bCs w:val="0"/>
                <w:noProof w:val="0"/>
                <w:rtl/>
              </w:rPr>
              <w:t>שמכרו.</w:t>
            </w:r>
            <w:r w:rsidRPr="00860819">
              <w:rPr>
                <w:rFonts w:hint="cs"/>
                <w:b w:val="0"/>
                <w:bCs w:val="0"/>
                <w:noProof w:val="0"/>
                <w:rtl/>
              </w:rPr>
              <w:t xml:space="preserve"> במשרד האוצר לא נמצאה עבודה המצביעה על התמהיל הרצוי מהבחינה הכלכלית בין פתרונות השכירות שיספקו המשקיעים אם ימשיכו להחזיק בדירותיהם לבין פתרונות אחרים.</w:t>
            </w:r>
          </w:p>
          <w:p w:rsidR="00860819" w:rsidRPr="00860819" w:rsidP="00860819">
            <w:pPr>
              <w:pStyle w:val="takzir"/>
              <w:rPr>
                <w:b w:val="0"/>
                <w:bCs w:val="0"/>
                <w:noProof w:val="0"/>
                <w:rtl/>
              </w:rPr>
            </w:pPr>
            <w:r w:rsidRPr="00860819">
              <w:rPr>
                <w:b w:val="0"/>
                <w:bCs w:val="0"/>
                <w:noProof w:val="0"/>
                <w:rtl/>
              </w:rPr>
              <w:t xml:space="preserve">נמצא כי </w:t>
            </w:r>
            <w:r w:rsidRPr="00582A43">
              <w:rPr>
                <w:b w:val="0"/>
                <w:bCs w:val="0"/>
                <w:noProof w:val="0"/>
                <w:rtl/>
              </w:rPr>
              <w:t xml:space="preserve">אגף </w:t>
            </w:r>
            <w:r w:rsidRPr="00582A43" w:rsidR="00281AD2">
              <w:rPr>
                <w:rFonts w:hint="cs"/>
                <w:b w:val="0"/>
                <w:bCs w:val="0"/>
                <w:noProof w:val="0"/>
                <w:rtl/>
              </w:rPr>
              <w:t>ה</w:t>
            </w:r>
            <w:r w:rsidRPr="00582A43">
              <w:rPr>
                <w:b w:val="0"/>
                <w:bCs w:val="0"/>
                <w:noProof w:val="0"/>
                <w:rtl/>
              </w:rPr>
              <w:t>תקציבים</w:t>
            </w:r>
            <w:r w:rsidRPr="00860819">
              <w:rPr>
                <w:b w:val="0"/>
                <w:bCs w:val="0"/>
                <w:noProof w:val="0"/>
                <w:rtl/>
              </w:rPr>
              <w:t xml:space="preserve"> במשרד האוצר יזם את גיבוש חוק מיסוי מקרקעין (הגדלת היצע של דירות מגורים - הוראת שעה), התש"ע-2011, והקים צוות בשיתוף רשות המסים לבחינת ההיבטים והשפעות החקיקה שגם עסק בניסוח החקיקה ללא שיתוף מינהל הכנסות המדינה כשותף מלא לתהליך.</w:t>
            </w:r>
          </w:p>
          <w:p w:rsidR="00860819" w:rsidRPr="00860819" w:rsidP="00860819">
            <w:pPr>
              <w:pStyle w:val="takzir"/>
              <w:rPr>
                <w:b w:val="0"/>
                <w:bCs w:val="0"/>
                <w:noProof w:val="0"/>
                <w:rtl/>
              </w:rPr>
            </w:pPr>
            <w:r w:rsidRPr="00860819">
              <w:rPr>
                <w:b w:val="0"/>
                <w:bCs w:val="0"/>
                <w:noProof w:val="0"/>
                <w:rtl/>
              </w:rPr>
              <w:t xml:space="preserve">אגף הכלכלן </w:t>
            </w:r>
            <w:r w:rsidRPr="00582A43">
              <w:rPr>
                <w:b w:val="0"/>
                <w:bCs w:val="0"/>
                <w:noProof w:val="0"/>
                <w:rtl/>
              </w:rPr>
              <w:t>הראשי</w:t>
            </w:r>
            <w:r w:rsidRPr="00582A43" w:rsidR="00281AD2">
              <w:rPr>
                <w:rFonts w:hint="cs"/>
                <w:b w:val="0"/>
                <w:bCs w:val="0"/>
                <w:noProof w:val="0"/>
                <w:rtl/>
              </w:rPr>
              <w:t xml:space="preserve"> במשרד האוצר</w:t>
            </w:r>
            <w:r w:rsidRPr="00582A43">
              <w:rPr>
                <w:b w:val="0"/>
                <w:bCs w:val="0"/>
                <w:noProof w:val="0"/>
                <w:rtl/>
              </w:rPr>
              <w:t xml:space="preserve">, אגף </w:t>
            </w:r>
            <w:r w:rsidRPr="00582A43" w:rsidR="00281AD2">
              <w:rPr>
                <w:rFonts w:hint="cs"/>
                <w:b w:val="0"/>
                <w:bCs w:val="0"/>
                <w:noProof w:val="0"/>
                <w:rtl/>
              </w:rPr>
              <w:t>ה</w:t>
            </w:r>
            <w:r w:rsidRPr="00582A43">
              <w:rPr>
                <w:b w:val="0"/>
                <w:bCs w:val="0"/>
                <w:noProof w:val="0"/>
                <w:rtl/>
              </w:rPr>
              <w:t>תקציבים ורשות</w:t>
            </w:r>
            <w:r w:rsidRPr="00860819">
              <w:rPr>
                <w:b w:val="0"/>
                <w:bCs w:val="0"/>
                <w:noProof w:val="0"/>
                <w:rtl/>
              </w:rPr>
              <w:t xml:space="preserve"> המסים לא בחנו את רכיבי עלויות הבנייה למגורים ואת משקלם במחיר הדירה בכלל ואת שיעור המסים וחלקה של המדינה במחיר הדירה בפרט, שיכלו לסייע להם בקבלת החלטות בנוגע לשיעורי המס השונים והפטורים הקבועים בחוק מיסוי מקרקעין.</w:t>
            </w:r>
          </w:p>
          <w:p w:rsidR="00350D21" w:rsidP="00860819">
            <w:pPr>
              <w:pStyle w:val="takzir"/>
              <w:rPr>
                <w:b w:val="0"/>
                <w:bCs w:val="0"/>
                <w:noProof w:val="0"/>
                <w:rtl/>
              </w:rPr>
            </w:pPr>
            <w:r w:rsidRPr="00860819">
              <w:rPr>
                <w:b w:val="0"/>
                <w:bCs w:val="0"/>
                <w:noProof w:val="0"/>
                <w:rtl/>
              </w:rPr>
              <w:t>במאי 2013, לאחר רכישתן של כ-165,000 דירות שנקנו על ידי משקיעים בשנים 2012-2007 ועליית מחירי הדיור במשך חמש שנים, הממשלה אישרה תיקון לחוק מיסוי מקרקעין שעניינו חיוב דירות להשקעה במס שבח במועד מכירתן, במתכונת המתחשבת בהערות שהעלתה רשות המסים כבר בשנת 2011.</w:t>
            </w:r>
          </w:p>
        </w:tc>
      </w:tr>
      <w:tr w:rsidTr="00B24DC0">
        <w:tblPrEx>
          <w:tblW w:w="6691" w:type="dxa"/>
          <w:jc w:val="center"/>
          <w:tblLook w:val="04A0"/>
        </w:tblPrEx>
        <w:trPr>
          <w:cantSplit/>
          <w:trHeight w:val="260"/>
          <w:jc w:val="center"/>
        </w:trPr>
        <w:tc>
          <w:tcPr>
            <w:tcW w:w="6691" w:type="dxa"/>
          </w:tcPr>
          <w:p w:rsidR="00B24DC0" w:rsidRPr="00860819" w:rsidP="00B24DC0">
            <w:pPr>
              <w:pStyle w:val="takzir"/>
              <w:spacing w:before="60"/>
              <w:rPr>
                <w:b w:val="0"/>
                <w:bCs w:val="0"/>
                <w:noProof w:val="0"/>
                <w:rtl/>
              </w:rPr>
            </w:pPr>
            <w:r w:rsidRPr="00860819">
              <w:rPr>
                <w:b w:val="0"/>
                <w:bCs w:val="0"/>
                <w:noProof w:val="0"/>
                <w:rtl/>
              </w:rPr>
              <w:t xml:space="preserve">באגף הכלכלן הראשי, </w:t>
            </w:r>
            <w:r w:rsidRPr="00582A43">
              <w:rPr>
                <w:b w:val="0"/>
                <w:bCs w:val="0"/>
                <w:noProof w:val="0"/>
                <w:rtl/>
              </w:rPr>
              <w:t xml:space="preserve">באגף </w:t>
            </w:r>
            <w:r w:rsidRPr="00582A43" w:rsidR="00281AD2">
              <w:rPr>
                <w:rFonts w:hint="cs"/>
                <w:b w:val="0"/>
                <w:bCs w:val="0"/>
                <w:noProof w:val="0"/>
                <w:rtl/>
              </w:rPr>
              <w:t>ה</w:t>
            </w:r>
            <w:r w:rsidRPr="00582A43">
              <w:rPr>
                <w:b w:val="0"/>
                <w:bCs w:val="0"/>
                <w:noProof w:val="0"/>
                <w:rtl/>
              </w:rPr>
              <w:t>תקציבים</w:t>
            </w:r>
            <w:r w:rsidRPr="00860819">
              <w:rPr>
                <w:b w:val="0"/>
                <w:bCs w:val="0"/>
                <w:noProof w:val="0"/>
                <w:rtl/>
              </w:rPr>
              <w:t xml:space="preserve"> וברשות המסים לא נעשה תהליך מוסדר ומובנה של מעקב אחר התאמת סעיפים שונים בהוראות מיסוי המקרקעין למצבו המשתנה של המשק, אם בהיבטי המקרו אם בהיבטי המיקרו, ושל מעקב אחר תום תוקפן של הוראות שעה. כמו כן, לא נבחן אם הושגו מטרות הממשלה הקבועות בהוראות חוק שונות שחוקקו בעבר בתחום המסים בכלל ובתחומי מיסוי רלוונטיים לשוק הדיור בפרט.</w:t>
            </w:r>
          </w:p>
        </w:tc>
      </w:tr>
    </w:tbl>
    <w:p w:rsidR="00860819" w:rsidRPr="001329DE" w:rsidP="00860819">
      <w:pPr>
        <w:pStyle w:val="KOT2"/>
        <w:spacing w:before="240"/>
        <w:rPr>
          <w:rtl/>
        </w:rPr>
      </w:pPr>
      <w:r w:rsidRPr="00860819">
        <w:rPr>
          <w:rFonts w:hint="cs"/>
          <w:b w:val="0"/>
          <w:bCs w:val="0"/>
          <w:sz w:val="28"/>
          <w:szCs w:val="28"/>
          <w:rtl/>
        </w:rPr>
        <w:t xml:space="preserve">שער שלישי </w:t>
      </w:r>
      <w:r w:rsidRPr="00860819">
        <w:rPr>
          <w:b w:val="0"/>
          <w:bCs w:val="0"/>
          <w:sz w:val="28"/>
          <w:szCs w:val="28"/>
        </w:rPr>
        <w:br/>
      </w:r>
      <w:r w:rsidRPr="001329DE">
        <w:rPr>
          <w:rFonts w:hint="cs"/>
          <w:rtl/>
        </w:rPr>
        <w:t>שרשרת הייצור של יחידות דיור</w:t>
      </w: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860819">
              <w:rPr>
                <w:rFonts w:hint="cs"/>
                <w:sz w:val="24"/>
                <w:szCs w:val="24"/>
                <w:rtl/>
              </w:rPr>
              <w:t>תמ"א 35 לא עודכנה וליישובים רבים אין תכנית מתאר מעודכנת</w:t>
            </w:r>
          </w:p>
        </w:tc>
      </w:tr>
      <w:tr w:rsidTr="00350D21">
        <w:tblPrEx>
          <w:tblW w:w="6691" w:type="dxa"/>
          <w:jc w:val="center"/>
          <w:tblLook w:val="04A0"/>
        </w:tblPrEx>
        <w:trPr>
          <w:cantSplit/>
          <w:jc w:val="center"/>
        </w:trPr>
        <w:tc>
          <w:tcPr>
            <w:tcW w:w="6691" w:type="dxa"/>
          </w:tcPr>
          <w:p w:rsidR="00860819" w:rsidRPr="00860819" w:rsidP="00860819">
            <w:pPr>
              <w:pStyle w:val="takzir"/>
              <w:spacing w:before="60"/>
              <w:rPr>
                <w:b w:val="0"/>
                <w:bCs w:val="0"/>
                <w:noProof w:val="0"/>
                <w:rtl/>
              </w:rPr>
            </w:pPr>
            <w:r w:rsidRPr="00860819">
              <w:rPr>
                <w:b w:val="0"/>
                <w:bCs w:val="0"/>
                <w:noProof w:val="0"/>
                <w:rtl/>
              </w:rPr>
              <w:t xml:space="preserve">מאז אישור תמ"א 35 חלפו </w:t>
            </w:r>
            <w:r w:rsidRPr="00860819">
              <w:rPr>
                <w:rFonts w:hint="cs"/>
                <w:b w:val="0"/>
                <w:bCs w:val="0"/>
                <w:noProof w:val="0"/>
                <w:rtl/>
              </w:rPr>
              <w:t>יותר</w:t>
            </w:r>
            <w:r w:rsidRPr="00860819">
              <w:rPr>
                <w:b w:val="0"/>
                <w:bCs w:val="0"/>
                <w:noProof w:val="0"/>
                <w:rtl/>
              </w:rPr>
              <w:t xml:space="preserve"> משמונה שנים, ואף שהוראותיה קובעות כי יש לבחון את הצורך בעדכונה אחת לארבע שנים, טרם הושלם תהליך קבלת ההחלטות הראשון על עדכונה.</w:t>
            </w:r>
            <w:r w:rsidRPr="00860819">
              <w:rPr>
                <w:rFonts w:hint="cs"/>
                <w:b w:val="0"/>
                <w:bCs w:val="0"/>
                <w:noProof w:val="0"/>
                <w:rtl/>
              </w:rPr>
              <w:t xml:space="preserve"> בנוגע לתכניות המתאר המחוזיות נמצא שלא מתקיים מעקב אחר יישומן.</w:t>
            </w:r>
          </w:p>
          <w:p w:rsidR="00350D21" w:rsidP="00860819">
            <w:pPr>
              <w:pStyle w:val="takzir"/>
              <w:rPr>
                <w:b w:val="0"/>
                <w:bCs w:val="0"/>
                <w:noProof w:val="0"/>
                <w:rtl/>
              </w:rPr>
            </w:pPr>
            <w:r w:rsidRPr="00860819">
              <w:rPr>
                <w:rFonts w:hint="cs"/>
                <w:b w:val="0"/>
                <w:bCs w:val="0"/>
                <w:noProof w:val="0"/>
                <w:rtl/>
              </w:rPr>
              <w:t>נמצא כי ליישובים רבים אין תכניות מתאר כוללניות מעודכנות; למשל, רק 4 מ-71 עיריות (כ-6%) מחזיקות בתכנית מעודכנת תקפה. עם זאת, ב-80% מהעיריות התכנית מצויה בתהליכי הכנה.</w:t>
            </w:r>
          </w:p>
        </w:tc>
      </w:tr>
    </w:tbl>
    <w:p w:rsidR="00B24DC0" w:rsidP="00B24DC0">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860819">
              <w:rPr>
                <w:rFonts w:hint="cs"/>
                <w:sz w:val="24"/>
                <w:szCs w:val="24"/>
                <w:rtl/>
              </w:rPr>
              <w:t>יעדי פיזור האוכלוסייה ופיתוח הפריפריה שנקבעו בתמ"א 35 לא הושגו</w:t>
            </w:r>
          </w:p>
        </w:tc>
      </w:tr>
      <w:tr w:rsidTr="00350D21">
        <w:tblPrEx>
          <w:tblW w:w="6691" w:type="dxa"/>
          <w:jc w:val="center"/>
          <w:tblLook w:val="04A0"/>
        </w:tblPrEx>
        <w:trPr>
          <w:cantSplit/>
          <w:jc w:val="center"/>
        </w:trPr>
        <w:tc>
          <w:tcPr>
            <w:tcW w:w="6691" w:type="dxa"/>
          </w:tcPr>
          <w:p w:rsidR="00860819" w:rsidRPr="00860819" w:rsidP="00000E02">
            <w:pPr>
              <w:pStyle w:val="takzir"/>
              <w:spacing w:before="60"/>
              <w:rPr>
                <w:b w:val="0"/>
                <w:bCs w:val="0"/>
                <w:noProof w:val="0"/>
                <w:rtl/>
              </w:rPr>
            </w:pPr>
            <w:r w:rsidRPr="00860819">
              <w:rPr>
                <w:rFonts w:hint="cs"/>
                <w:b w:val="0"/>
                <w:bCs w:val="0"/>
                <w:noProof w:val="0"/>
                <w:rtl/>
              </w:rPr>
              <w:t>צוות מתכננים שנבחר לבחון את העדכונים הנדרשים בתמ"א</w:t>
            </w:r>
            <w:r w:rsidR="00CD7EA8">
              <w:rPr>
                <w:rFonts w:hint="cs"/>
                <w:b w:val="0"/>
                <w:bCs w:val="0"/>
                <w:noProof w:val="0"/>
                <w:rtl/>
              </w:rPr>
              <w:t xml:space="preserve"> 35</w:t>
            </w:r>
            <w:r w:rsidRPr="00860819">
              <w:rPr>
                <w:rFonts w:hint="cs"/>
                <w:b w:val="0"/>
                <w:bCs w:val="0"/>
                <w:noProof w:val="0"/>
                <w:rtl/>
              </w:rPr>
              <w:t xml:space="preserve"> ואת יישומה (להלן - צוות המעקב) מצא כי נכון ל-2007 </w:t>
            </w:r>
            <w:r w:rsidRPr="00860819">
              <w:rPr>
                <w:b w:val="0"/>
                <w:bCs w:val="0"/>
                <w:noProof w:val="0"/>
                <w:rtl/>
              </w:rPr>
              <w:t xml:space="preserve">יעדי האוכלוסייה שקבעה תמ"א 35 למימוש מדיניות התכנון הלאומית לא הושגו </w:t>
            </w:r>
            <w:r w:rsidRPr="00860819">
              <w:rPr>
                <w:rFonts w:hint="cs"/>
                <w:b w:val="0"/>
                <w:bCs w:val="0"/>
                <w:noProof w:val="0"/>
                <w:rtl/>
              </w:rPr>
              <w:t>וגם</w:t>
            </w:r>
            <w:r w:rsidRPr="00860819">
              <w:rPr>
                <w:b w:val="0"/>
                <w:bCs w:val="0"/>
                <w:noProof w:val="0"/>
                <w:rtl/>
              </w:rPr>
              <w:t xml:space="preserve"> מטרת התכנית לתת עדיפות לפיתוח הגליל והנגב ולמת</w:t>
            </w:r>
            <w:r w:rsidRPr="00860819">
              <w:rPr>
                <w:rFonts w:hint="cs"/>
                <w:b w:val="0"/>
                <w:bCs w:val="0"/>
                <w:noProof w:val="0"/>
                <w:rtl/>
              </w:rPr>
              <w:t>ֵּ</w:t>
            </w:r>
            <w:r w:rsidRPr="00860819">
              <w:rPr>
                <w:b w:val="0"/>
                <w:bCs w:val="0"/>
                <w:noProof w:val="0"/>
                <w:rtl/>
              </w:rPr>
              <w:t xml:space="preserve">ן את הפיתוח במרכז הארץ </w:t>
            </w:r>
            <w:r w:rsidRPr="00860819">
              <w:rPr>
                <w:rFonts w:hint="cs"/>
                <w:b w:val="0"/>
                <w:bCs w:val="0"/>
                <w:noProof w:val="0"/>
                <w:rtl/>
              </w:rPr>
              <w:t>לא ה</w:t>
            </w:r>
            <w:r w:rsidRPr="00860819">
              <w:rPr>
                <w:b w:val="0"/>
                <w:bCs w:val="0"/>
                <w:noProof w:val="0"/>
                <w:rtl/>
              </w:rPr>
              <w:t>ושג</w:t>
            </w:r>
            <w:r w:rsidRPr="00860819">
              <w:rPr>
                <w:rFonts w:hint="cs"/>
                <w:b w:val="0"/>
                <w:bCs w:val="0"/>
                <w:noProof w:val="0"/>
                <w:rtl/>
              </w:rPr>
              <w:t>ה</w:t>
            </w:r>
            <w:r w:rsidRPr="00860819">
              <w:rPr>
                <w:b w:val="0"/>
                <w:bCs w:val="0"/>
                <w:noProof w:val="0"/>
                <w:rtl/>
              </w:rPr>
              <w:t xml:space="preserve"> במידה הרצויה. הפער הבולט ביותר בין היעדים</w:t>
            </w:r>
            <w:r w:rsidRPr="00860819">
              <w:rPr>
                <w:rFonts w:hint="cs"/>
                <w:b w:val="0"/>
                <w:bCs w:val="0"/>
                <w:noProof w:val="0"/>
                <w:rtl/>
              </w:rPr>
              <w:t xml:space="preserve"> המתוכננים</w:t>
            </w:r>
            <w:r w:rsidRPr="00860819">
              <w:rPr>
                <w:b w:val="0"/>
                <w:bCs w:val="0"/>
                <w:noProof w:val="0"/>
                <w:rtl/>
              </w:rPr>
              <w:t xml:space="preserve"> </w:t>
            </w:r>
            <w:r w:rsidRPr="00860819">
              <w:rPr>
                <w:rFonts w:hint="cs"/>
                <w:b w:val="0"/>
                <w:bCs w:val="0"/>
                <w:noProof w:val="0"/>
                <w:rtl/>
              </w:rPr>
              <w:t>ובין ה</w:t>
            </w:r>
            <w:r w:rsidRPr="00860819">
              <w:rPr>
                <w:b w:val="0"/>
                <w:bCs w:val="0"/>
                <w:noProof w:val="0"/>
                <w:rtl/>
              </w:rPr>
              <w:t xml:space="preserve">מצב בפועל הוא במחוז המרכז, שעל פי המגמות </w:t>
            </w:r>
            <w:r w:rsidRPr="00860819">
              <w:rPr>
                <w:rFonts w:hint="cs"/>
                <w:b w:val="0"/>
                <w:bCs w:val="0"/>
                <w:noProof w:val="0"/>
                <w:rtl/>
              </w:rPr>
              <w:t>שמצא צוות המעקב</w:t>
            </w:r>
            <w:r w:rsidRPr="00860819">
              <w:rPr>
                <w:b w:val="0"/>
                <w:bCs w:val="0"/>
                <w:noProof w:val="0"/>
                <w:rtl/>
              </w:rPr>
              <w:t xml:space="preserve"> אוכלוסייתו תחרוג בשנת 2020 מהיעדים </w:t>
            </w:r>
            <w:r w:rsidRPr="00860819">
              <w:rPr>
                <w:rFonts w:hint="cs"/>
                <w:b w:val="0"/>
                <w:bCs w:val="0"/>
                <w:noProof w:val="0"/>
                <w:rtl/>
              </w:rPr>
              <w:t>בכ</w:t>
            </w:r>
            <w:r w:rsidRPr="00860819">
              <w:rPr>
                <w:b w:val="0"/>
                <w:bCs w:val="0"/>
                <w:noProof w:val="0"/>
                <w:rtl/>
              </w:rPr>
              <w:t>-400</w:t>
            </w:r>
            <w:r w:rsidRPr="00860819">
              <w:rPr>
                <w:rFonts w:hint="cs"/>
                <w:b w:val="0"/>
                <w:bCs w:val="0"/>
                <w:noProof w:val="0"/>
                <w:rtl/>
              </w:rPr>
              <w:t>,000</w:t>
            </w:r>
            <w:r w:rsidRPr="00860819">
              <w:rPr>
                <w:b w:val="0"/>
                <w:bCs w:val="0"/>
                <w:noProof w:val="0"/>
                <w:rtl/>
              </w:rPr>
              <w:t xml:space="preserve"> תושבים. </w:t>
            </w:r>
            <w:r w:rsidRPr="00860819">
              <w:rPr>
                <w:rFonts w:hint="cs"/>
                <w:b w:val="0"/>
                <w:bCs w:val="0"/>
                <w:noProof w:val="0"/>
                <w:rtl/>
              </w:rPr>
              <w:t xml:space="preserve">גם </w:t>
            </w:r>
            <w:r w:rsidRPr="00860819">
              <w:rPr>
                <w:b w:val="0"/>
                <w:bCs w:val="0"/>
                <w:noProof w:val="0"/>
                <w:rtl/>
              </w:rPr>
              <w:t>יעדי האוכלוסייה לצפון הארץ ו</w:t>
            </w:r>
            <w:r w:rsidRPr="00860819">
              <w:rPr>
                <w:rFonts w:hint="cs"/>
                <w:b w:val="0"/>
                <w:bCs w:val="0"/>
                <w:noProof w:val="0"/>
                <w:rtl/>
              </w:rPr>
              <w:t>ל</w:t>
            </w:r>
            <w:r w:rsidRPr="00860819">
              <w:rPr>
                <w:b w:val="0"/>
                <w:bCs w:val="0"/>
                <w:noProof w:val="0"/>
                <w:rtl/>
              </w:rPr>
              <w:t xml:space="preserve">דרומה </w:t>
            </w:r>
            <w:r w:rsidRPr="00860819">
              <w:rPr>
                <w:rFonts w:hint="cs"/>
                <w:b w:val="0"/>
                <w:bCs w:val="0"/>
                <w:noProof w:val="0"/>
                <w:rtl/>
              </w:rPr>
              <w:t>לא הושגו, ו</w:t>
            </w:r>
            <w:r w:rsidRPr="00860819">
              <w:rPr>
                <w:b w:val="0"/>
                <w:bCs w:val="0"/>
                <w:noProof w:val="0"/>
                <w:rtl/>
              </w:rPr>
              <w:t>במצטבר</w:t>
            </w:r>
            <w:r w:rsidRPr="00860819">
              <w:rPr>
                <w:rFonts w:hint="cs"/>
                <w:b w:val="0"/>
                <w:bCs w:val="0"/>
                <w:noProof w:val="0"/>
                <w:rtl/>
              </w:rPr>
              <w:t xml:space="preserve"> צפויים</w:t>
            </w:r>
            <w:r w:rsidRPr="00860819">
              <w:rPr>
                <w:b w:val="0"/>
                <w:bCs w:val="0"/>
                <w:noProof w:val="0"/>
                <w:rtl/>
              </w:rPr>
              <w:t xml:space="preserve"> </w:t>
            </w:r>
            <w:r w:rsidRPr="00860819">
              <w:rPr>
                <w:rFonts w:hint="cs"/>
                <w:b w:val="0"/>
                <w:bCs w:val="0"/>
                <w:noProof w:val="0"/>
                <w:rtl/>
              </w:rPr>
              <w:t xml:space="preserve">בהם </w:t>
            </w:r>
            <w:r w:rsidRPr="00860819">
              <w:rPr>
                <w:b w:val="0"/>
                <w:bCs w:val="0"/>
                <w:noProof w:val="0"/>
                <w:rtl/>
              </w:rPr>
              <w:t>כ-600</w:t>
            </w:r>
            <w:r w:rsidRPr="00860819">
              <w:rPr>
                <w:rFonts w:hint="cs"/>
                <w:b w:val="0"/>
                <w:bCs w:val="0"/>
                <w:noProof w:val="0"/>
                <w:rtl/>
              </w:rPr>
              <w:t>,000</w:t>
            </w:r>
            <w:r w:rsidRPr="00860819">
              <w:rPr>
                <w:b w:val="0"/>
                <w:bCs w:val="0"/>
                <w:noProof w:val="0"/>
                <w:rtl/>
              </w:rPr>
              <w:t xml:space="preserve"> תושבים פחות מיעדי התמ"א. הממשלה לא הצליחה </w:t>
            </w:r>
            <w:r w:rsidRPr="00860819">
              <w:rPr>
                <w:rFonts w:hint="cs"/>
                <w:b w:val="0"/>
                <w:bCs w:val="0"/>
                <w:noProof w:val="0"/>
                <w:rtl/>
              </w:rPr>
              <w:t xml:space="preserve">אפוא </w:t>
            </w:r>
            <w:r w:rsidRPr="00860819">
              <w:rPr>
                <w:b w:val="0"/>
                <w:bCs w:val="0"/>
                <w:noProof w:val="0"/>
                <w:rtl/>
              </w:rPr>
              <w:t>להכווין את הביקושים בשוק הדיור אל הפריפריה</w:t>
            </w:r>
            <w:r w:rsidRPr="00860819">
              <w:rPr>
                <w:rFonts w:hint="cs"/>
                <w:b w:val="0"/>
                <w:bCs w:val="0"/>
                <w:noProof w:val="0"/>
                <w:rtl/>
              </w:rPr>
              <w:t xml:space="preserve"> והדבר הגדיל את הפערים בין הביקוש להיצע במרכז הארץ.</w:t>
            </w:r>
          </w:p>
          <w:p w:rsidR="00350D21" w:rsidP="00000E02">
            <w:pPr>
              <w:pStyle w:val="takzir"/>
              <w:rPr>
                <w:b w:val="0"/>
                <w:bCs w:val="0"/>
                <w:noProof w:val="0"/>
                <w:rtl/>
              </w:rPr>
            </w:pPr>
            <w:r w:rsidRPr="00860819">
              <w:rPr>
                <w:rFonts w:hint="cs"/>
                <w:b w:val="0"/>
                <w:bCs w:val="0"/>
                <w:noProof w:val="0"/>
                <w:rtl/>
              </w:rPr>
              <w:t xml:space="preserve">צוות המעקב גם מצא, כי בשנים 2008-1995 </w:t>
            </w:r>
            <w:r w:rsidRPr="00860819">
              <w:rPr>
                <w:b w:val="0"/>
                <w:bCs w:val="0"/>
                <w:noProof w:val="0"/>
                <w:rtl/>
              </w:rPr>
              <w:t xml:space="preserve">הפערים הכלכליים-חברתיים בין הפריפריה למרכז הארץ </w:t>
            </w:r>
            <w:r w:rsidRPr="00860819">
              <w:rPr>
                <w:rFonts w:hint="cs"/>
                <w:b w:val="0"/>
                <w:bCs w:val="0"/>
                <w:noProof w:val="0"/>
                <w:rtl/>
              </w:rPr>
              <w:t>העמיקו, וכי</w:t>
            </w:r>
            <w:r w:rsidRPr="00860819">
              <w:rPr>
                <w:b w:val="0"/>
                <w:bCs w:val="0"/>
                <w:noProof w:val="0"/>
                <w:rtl/>
              </w:rPr>
              <w:t xml:space="preserve"> </w:t>
            </w:r>
            <w:r w:rsidRPr="00860819">
              <w:rPr>
                <w:rFonts w:hint="cs"/>
                <w:b w:val="0"/>
                <w:bCs w:val="0"/>
                <w:noProof w:val="0"/>
                <w:rtl/>
              </w:rPr>
              <w:t xml:space="preserve">באותן השנים </w:t>
            </w:r>
            <w:r w:rsidRPr="00860819">
              <w:rPr>
                <w:b w:val="0"/>
                <w:bCs w:val="0"/>
                <w:noProof w:val="0"/>
                <w:rtl/>
              </w:rPr>
              <w:t>במקרים רבים</w:t>
            </w:r>
            <w:r w:rsidRPr="00860819">
              <w:rPr>
                <w:rFonts w:hint="cs"/>
                <w:b w:val="0"/>
                <w:bCs w:val="0"/>
                <w:noProof w:val="0"/>
                <w:rtl/>
              </w:rPr>
              <w:t xml:space="preserve"> </w:t>
            </w:r>
            <w:r w:rsidRPr="00860819">
              <w:rPr>
                <w:b w:val="0"/>
                <w:bCs w:val="0"/>
                <w:noProof w:val="0"/>
                <w:rtl/>
              </w:rPr>
              <w:t xml:space="preserve">לא נקטו משרדי הממשלה אמצעי מדיניות </w:t>
            </w:r>
            <w:r w:rsidRPr="00860819">
              <w:rPr>
                <w:rFonts w:hint="cs"/>
                <w:b w:val="0"/>
                <w:bCs w:val="0"/>
                <w:noProof w:val="0"/>
                <w:rtl/>
              </w:rPr>
              <w:t>ל</w:t>
            </w:r>
            <w:r w:rsidRPr="00860819">
              <w:rPr>
                <w:b w:val="0"/>
                <w:bCs w:val="0"/>
                <w:noProof w:val="0"/>
                <w:rtl/>
              </w:rPr>
              <w:t>ע</w:t>
            </w:r>
            <w:r w:rsidRPr="00860819">
              <w:rPr>
                <w:rFonts w:hint="cs"/>
                <w:b w:val="0"/>
                <w:bCs w:val="0"/>
                <w:noProof w:val="0"/>
                <w:rtl/>
              </w:rPr>
              <w:t>י</w:t>
            </w:r>
            <w:r w:rsidRPr="00860819">
              <w:rPr>
                <w:b w:val="0"/>
                <w:bCs w:val="0"/>
                <w:noProof w:val="0"/>
                <w:rtl/>
              </w:rPr>
              <w:t>ד</w:t>
            </w:r>
            <w:r w:rsidRPr="00860819">
              <w:rPr>
                <w:rFonts w:hint="cs"/>
                <w:b w:val="0"/>
                <w:bCs w:val="0"/>
                <w:noProof w:val="0"/>
                <w:rtl/>
              </w:rPr>
              <w:t>ו</w:t>
            </w:r>
            <w:r w:rsidRPr="00860819">
              <w:rPr>
                <w:b w:val="0"/>
                <w:bCs w:val="0"/>
                <w:noProof w:val="0"/>
                <w:rtl/>
              </w:rPr>
              <w:t xml:space="preserve">ד ההגירה של אוכלוסייה מהמרכז לפריפריה, כמו השקעה בתשתיות ויצירת אזורי תעסוקה. </w:t>
            </w:r>
            <w:r w:rsidRPr="00860819">
              <w:rPr>
                <w:rFonts w:hint="cs"/>
                <w:b w:val="0"/>
                <w:bCs w:val="0"/>
                <w:noProof w:val="0"/>
                <w:rtl/>
              </w:rPr>
              <w:t xml:space="preserve">הצוות מצא כי </w:t>
            </w:r>
            <w:r w:rsidRPr="00860819">
              <w:rPr>
                <w:b w:val="0"/>
                <w:bCs w:val="0"/>
                <w:noProof w:val="0"/>
                <w:rtl/>
              </w:rPr>
              <w:t xml:space="preserve">הממשלה אף נקטה לעתים פעולות </w:t>
            </w:r>
            <w:r w:rsidRPr="00860819">
              <w:rPr>
                <w:rFonts w:hint="cs"/>
                <w:b w:val="0"/>
                <w:bCs w:val="0"/>
                <w:noProof w:val="0"/>
                <w:rtl/>
              </w:rPr>
              <w:t>הפוכות</w:t>
            </w:r>
            <w:r w:rsidRPr="00860819">
              <w:rPr>
                <w:b w:val="0"/>
                <w:bCs w:val="0"/>
                <w:noProof w:val="0"/>
                <w:rtl/>
              </w:rPr>
              <w:t xml:space="preserve"> </w:t>
            </w:r>
            <w:r w:rsidRPr="00860819">
              <w:rPr>
                <w:rFonts w:hint="cs"/>
                <w:b w:val="0"/>
                <w:bCs w:val="0"/>
                <w:noProof w:val="0"/>
                <w:rtl/>
              </w:rPr>
              <w:t>והעדיפה</w:t>
            </w:r>
            <w:r w:rsidRPr="00860819">
              <w:rPr>
                <w:b w:val="0"/>
                <w:bCs w:val="0"/>
                <w:noProof w:val="0"/>
                <w:rtl/>
              </w:rPr>
              <w:t xml:space="preserve"> </w:t>
            </w:r>
            <w:r w:rsidRPr="00860819">
              <w:rPr>
                <w:rFonts w:hint="cs"/>
                <w:b w:val="0"/>
                <w:bCs w:val="0"/>
                <w:noProof w:val="0"/>
                <w:rtl/>
              </w:rPr>
              <w:t>את</w:t>
            </w:r>
            <w:r w:rsidRPr="00860819">
              <w:rPr>
                <w:b w:val="0"/>
                <w:bCs w:val="0"/>
                <w:noProof w:val="0"/>
                <w:rtl/>
              </w:rPr>
              <w:t xml:space="preserve"> הפיתוח במרכז הארץ למרות מדיניותה המוצהרת.</w:t>
            </w:r>
          </w:p>
        </w:tc>
      </w:tr>
    </w:tbl>
    <w:p w:rsidR="00350D21" w:rsidP="00350D21">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958C3">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691" w:type="dxa"/>
            <w:shd w:val="pct10" w:color="auto" w:fill="auto"/>
          </w:tcPr>
          <w:p w:rsidR="00350D21" w:rsidP="00350D21">
            <w:pPr>
              <w:pStyle w:val="KOT5"/>
              <w:spacing w:before="120"/>
              <w:jc w:val="center"/>
              <w:rPr>
                <w:sz w:val="24"/>
                <w:szCs w:val="24"/>
                <w:rtl/>
              </w:rPr>
            </w:pPr>
            <w:r w:rsidRPr="00542514">
              <w:rPr>
                <w:rFonts w:hint="eastAsia"/>
                <w:sz w:val="24"/>
                <w:szCs w:val="24"/>
                <w:rtl/>
              </w:rPr>
              <w:t>ליקויים</w:t>
            </w:r>
            <w:r w:rsidRPr="00542514">
              <w:rPr>
                <w:sz w:val="24"/>
                <w:szCs w:val="24"/>
                <w:rtl/>
              </w:rPr>
              <w:t xml:space="preserve"> </w:t>
            </w:r>
            <w:r w:rsidRPr="00542514">
              <w:rPr>
                <w:rFonts w:hint="eastAsia"/>
                <w:sz w:val="24"/>
                <w:szCs w:val="24"/>
                <w:rtl/>
              </w:rPr>
              <w:t>ב</w:t>
            </w:r>
            <w:r w:rsidRPr="00542514">
              <w:rPr>
                <w:rFonts w:hint="cs"/>
                <w:sz w:val="24"/>
                <w:szCs w:val="24"/>
                <w:rtl/>
              </w:rPr>
              <w:t>ניהול המלאי התכנוני, שחיקתו ואי זמינותו לבנייה</w:t>
            </w:r>
          </w:p>
        </w:tc>
      </w:tr>
      <w:tr w:rsidTr="003958C3">
        <w:tblPrEx>
          <w:tblW w:w="6691" w:type="dxa"/>
          <w:jc w:val="center"/>
          <w:tblLook w:val="04A0"/>
        </w:tblPrEx>
        <w:trPr>
          <w:jc w:val="center"/>
        </w:trPr>
        <w:tc>
          <w:tcPr>
            <w:tcW w:w="6691" w:type="dxa"/>
          </w:tcPr>
          <w:p w:rsidR="00542514" w:rsidRPr="00542514" w:rsidP="003958C3">
            <w:pPr>
              <w:pStyle w:val="takzir"/>
              <w:spacing w:before="60" w:line="234" w:lineRule="exact"/>
              <w:rPr>
                <w:b w:val="0"/>
                <w:bCs w:val="0"/>
                <w:noProof w:val="0"/>
                <w:rtl/>
              </w:rPr>
            </w:pPr>
            <w:r w:rsidRPr="00542514">
              <w:rPr>
                <w:rFonts w:hint="cs"/>
                <w:b w:val="0"/>
                <w:bCs w:val="0"/>
                <w:noProof w:val="0"/>
                <w:rtl/>
              </w:rPr>
              <w:t>משרדי הממשלה האחראים למדיניות בתחום הדיור לא קבעו תקן מחייב לגודלו המזערי של המלאי התכנוני הזמין למגורים. בהיעדרו עולה קושי לקבוע יעדים מושכלים ולהתריע מבעוד מועד על מחסור במלאי. כמו כן, אין כל מידע רלוונטי על המלאי התכנוני ועל זמינותו לבנייה, אף שהדבר חיוני לקבלת החלטות ולתכנון מדיניות דיור.</w:t>
            </w:r>
          </w:p>
          <w:p w:rsidR="00542514" w:rsidRPr="00542514" w:rsidP="003958C3">
            <w:pPr>
              <w:pStyle w:val="takzir"/>
              <w:spacing w:line="234" w:lineRule="exact"/>
              <w:rPr>
                <w:b w:val="0"/>
                <w:bCs w:val="0"/>
                <w:noProof w:val="0"/>
                <w:rtl/>
              </w:rPr>
            </w:pPr>
            <w:r w:rsidRPr="00542514">
              <w:rPr>
                <w:rFonts w:hint="cs"/>
                <w:b w:val="0"/>
                <w:bCs w:val="0"/>
                <w:noProof w:val="0"/>
                <w:rtl/>
              </w:rPr>
              <w:t xml:space="preserve">בשנים 2009-2007, בתקופה שכבר הסתמנה עלייה ניכרת במחירי הדיור, לא קבע משרד הפנים יעדים כמותיים לאישור תכניות וליצירת מלאי תכנוני, אף שהממשלה החליטה לעשות כן בהחלטה מס' 2213 מ-2007. רק </w:t>
            </w:r>
            <w:r w:rsidRPr="00542514">
              <w:rPr>
                <w:b w:val="0"/>
                <w:bCs w:val="0"/>
                <w:noProof w:val="0"/>
                <w:rtl/>
              </w:rPr>
              <w:t xml:space="preserve">ביולי 2010 קבעה הממשלה יעדים כמותיים לאישור </w:t>
            </w:r>
            <w:r w:rsidRPr="00542514">
              <w:rPr>
                <w:rFonts w:hint="cs"/>
                <w:b w:val="0"/>
                <w:bCs w:val="0"/>
                <w:noProof w:val="0"/>
                <w:rtl/>
              </w:rPr>
              <w:t>יח"ד</w:t>
            </w:r>
            <w:r w:rsidRPr="00542514">
              <w:rPr>
                <w:b w:val="0"/>
                <w:bCs w:val="0"/>
                <w:noProof w:val="0"/>
                <w:rtl/>
              </w:rPr>
              <w:t xml:space="preserve"> בתכניות מפורטות בכל </w:t>
            </w:r>
            <w:r w:rsidRPr="00542514">
              <w:rPr>
                <w:rFonts w:hint="cs"/>
                <w:b w:val="0"/>
                <w:bCs w:val="0"/>
                <w:noProof w:val="0"/>
                <w:rtl/>
              </w:rPr>
              <w:t>ה</w:t>
            </w:r>
            <w:r w:rsidRPr="00542514">
              <w:rPr>
                <w:b w:val="0"/>
                <w:bCs w:val="0"/>
                <w:noProof w:val="0"/>
                <w:rtl/>
              </w:rPr>
              <w:t>מחוז</w:t>
            </w:r>
            <w:r w:rsidRPr="00542514">
              <w:rPr>
                <w:rFonts w:hint="cs"/>
                <w:b w:val="0"/>
                <w:bCs w:val="0"/>
                <w:noProof w:val="0"/>
                <w:rtl/>
              </w:rPr>
              <w:t>ות</w:t>
            </w:r>
            <w:r w:rsidRPr="00542514">
              <w:rPr>
                <w:b w:val="0"/>
                <w:bCs w:val="0"/>
                <w:noProof w:val="0"/>
                <w:rtl/>
              </w:rPr>
              <w:t>.</w:t>
            </w:r>
          </w:p>
          <w:p w:rsidR="00542514" w:rsidRPr="00542514" w:rsidP="003958C3">
            <w:pPr>
              <w:pStyle w:val="takzir"/>
              <w:spacing w:line="234" w:lineRule="exact"/>
              <w:rPr>
                <w:b w:val="0"/>
                <w:bCs w:val="0"/>
                <w:noProof w:val="0"/>
                <w:rtl/>
              </w:rPr>
            </w:pPr>
            <w:r w:rsidRPr="00542514">
              <w:rPr>
                <w:rFonts w:hint="cs"/>
                <w:b w:val="0"/>
                <w:bCs w:val="0"/>
                <w:noProof w:val="0"/>
                <w:rtl/>
              </w:rPr>
              <w:t xml:space="preserve">בשנים 2011-2007 מספר יחידות הדיור שאישרו מוסדות התכנון היה נמוך ביחס למספר התחלות הבנייה ולגידול במספר משקי הבית באותן שנים. </w:t>
            </w:r>
            <w:r w:rsidRPr="00542514">
              <w:rPr>
                <w:b w:val="0"/>
                <w:bCs w:val="0"/>
                <w:noProof w:val="0"/>
                <w:rtl/>
              </w:rPr>
              <w:t xml:space="preserve">הפער בין מספר </w:t>
            </w:r>
            <w:r w:rsidRPr="00542514">
              <w:rPr>
                <w:rFonts w:hint="cs"/>
                <w:b w:val="0"/>
                <w:bCs w:val="0"/>
                <w:noProof w:val="0"/>
                <w:rtl/>
              </w:rPr>
              <w:t>יחידות הדיור</w:t>
            </w:r>
            <w:r w:rsidRPr="00542514">
              <w:rPr>
                <w:b w:val="0"/>
                <w:bCs w:val="0"/>
                <w:noProof w:val="0"/>
                <w:rtl/>
              </w:rPr>
              <w:t xml:space="preserve"> </w:t>
            </w:r>
            <w:r w:rsidRPr="00542514">
              <w:rPr>
                <w:rFonts w:hint="cs"/>
                <w:b w:val="0"/>
                <w:bCs w:val="0"/>
                <w:noProof w:val="0"/>
                <w:rtl/>
              </w:rPr>
              <w:t>בתכניות שאושרו בשנים אלו</w:t>
            </w:r>
            <w:r w:rsidRPr="00542514">
              <w:rPr>
                <w:b w:val="0"/>
                <w:bCs w:val="0"/>
                <w:noProof w:val="0"/>
                <w:rtl/>
              </w:rPr>
              <w:t xml:space="preserve"> לגידול במספר משקי הבית היה </w:t>
            </w:r>
            <w:r w:rsidR="00893437">
              <w:rPr>
                <w:b w:val="0"/>
                <w:bCs w:val="0"/>
                <w:noProof w:val="0"/>
              </w:rPr>
              <w:br/>
            </w:r>
            <w:r w:rsidRPr="00542514">
              <w:rPr>
                <w:b w:val="0"/>
                <w:bCs w:val="0"/>
                <w:noProof w:val="0"/>
                <w:rtl/>
              </w:rPr>
              <w:t>כ-57,000</w:t>
            </w:r>
            <w:r w:rsidRPr="00542514">
              <w:rPr>
                <w:rFonts w:hint="cs"/>
                <w:b w:val="0"/>
                <w:bCs w:val="0"/>
                <w:noProof w:val="0"/>
                <w:rtl/>
              </w:rPr>
              <w:t>.</w:t>
            </w:r>
          </w:p>
          <w:p w:rsidR="00542514" w:rsidRPr="00542514" w:rsidP="003958C3">
            <w:pPr>
              <w:pStyle w:val="takzir"/>
              <w:spacing w:line="234" w:lineRule="exact"/>
              <w:rPr>
                <w:b w:val="0"/>
                <w:bCs w:val="0"/>
                <w:noProof w:val="0"/>
                <w:rtl/>
              </w:rPr>
            </w:pPr>
            <w:r w:rsidRPr="00542514">
              <w:rPr>
                <w:rFonts w:hint="cs"/>
                <w:b w:val="0"/>
                <w:bCs w:val="0"/>
                <w:noProof w:val="0"/>
                <w:rtl/>
              </w:rPr>
              <w:t xml:space="preserve">בשנים 2013-2012 נבלמה השחיקה במלאי התכנוני ומוסדות התכנון עמדו ביעדים שקבעה הממשלה ב-2010 לאישור תכניות מפורטות. </w:t>
            </w:r>
          </w:p>
          <w:p w:rsidR="00350D21" w:rsidP="003958C3">
            <w:pPr>
              <w:pStyle w:val="takzir"/>
              <w:spacing w:line="234" w:lineRule="exact"/>
              <w:rPr>
                <w:b w:val="0"/>
                <w:bCs w:val="0"/>
                <w:noProof w:val="0"/>
                <w:rtl/>
              </w:rPr>
            </w:pPr>
            <w:r w:rsidRPr="00542514">
              <w:rPr>
                <w:rFonts w:hint="cs"/>
                <w:b w:val="0"/>
                <w:bCs w:val="0"/>
                <w:noProof w:val="0"/>
                <w:rtl/>
              </w:rPr>
              <w:t xml:space="preserve">ואולם בדיקה של המלאי התכנוני שאושר ב-2012 העלתה כי </w:t>
            </w:r>
            <w:r w:rsidRPr="00542514">
              <w:rPr>
                <w:b w:val="0"/>
                <w:bCs w:val="0"/>
                <w:noProof w:val="0"/>
                <w:rtl/>
              </w:rPr>
              <w:t xml:space="preserve">חלק נכבד </w:t>
            </w:r>
            <w:r w:rsidRPr="00542514">
              <w:rPr>
                <w:rFonts w:hint="cs"/>
                <w:b w:val="0"/>
                <w:bCs w:val="0"/>
                <w:noProof w:val="0"/>
                <w:rtl/>
              </w:rPr>
              <w:t xml:space="preserve">ממנו </w:t>
            </w:r>
            <w:r w:rsidRPr="00542514">
              <w:rPr>
                <w:b w:val="0"/>
                <w:bCs w:val="0"/>
                <w:noProof w:val="0"/>
                <w:rtl/>
              </w:rPr>
              <w:t>אינו זמין לבנייה</w:t>
            </w:r>
            <w:r w:rsidRPr="00542514">
              <w:rPr>
                <w:rFonts w:hint="cs"/>
                <w:b w:val="0"/>
                <w:bCs w:val="0"/>
                <w:noProof w:val="0"/>
                <w:rtl/>
              </w:rPr>
              <w:t xml:space="preserve">. </w:t>
            </w:r>
            <w:r w:rsidRPr="00542514">
              <w:rPr>
                <w:b w:val="0"/>
                <w:bCs w:val="0"/>
                <w:noProof w:val="0"/>
                <w:rtl/>
              </w:rPr>
              <w:t>אף על פי כן, משרד הפנים אינו משקף זאת בדוחותיו</w:t>
            </w:r>
            <w:r w:rsidRPr="00542514">
              <w:rPr>
                <w:rFonts w:hint="cs"/>
                <w:b w:val="0"/>
                <w:bCs w:val="0"/>
                <w:noProof w:val="0"/>
                <w:rtl/>
              </w:rPr>
              <w:t>.</w:t>
            </w:r>
            <w:r w:rsidRPr="00542514">
              <w:rPr>
                <w:b w:val="0"/>
                <w:bCs w:val="0"/>
                <w:noProof w:val="0"/>
                <w:rtl/>
              </w:rPr>
              <w:t xml:space="preserve"> המידע החסר על זמינות המלאי התכנוני אינו מאפשר ניהול </w:t>
            </w:r>
            <w:r w:rsidRPr="00542514">
              <w:rPr>
                <w:rFonts w:hint="cs"/>
                <w:b w:val="0"/>
                <w:bCs w:val="0"/>
                <w:noProof w:val="0"/>
                <w:rtl/>
              </w:rPr>
              <w:t xml:space="preserve">תקין </w:t>
            </w:r>
            <w:r w:rsidRPr="00542514">
              <w:rPr>
                <w:b w:val="0"/>
                <w:bCs w:val="0"/>
                <w:noProof w:val="0"/>
                <w:rtl/>
              </w:rPr>
              <w:t xml:space="preserve">של הליכי התכנון ופוגע ביכולתה של הממשלה לקבל החלטות </w:t>
            </w:r>
            <w:r w:rsidRPr="00542514">
              <w:rPr>
                <w:rFonts w:hint="cs"/>
                <w:b w:val="0"/>
                <w:bCs w:val="0"/>
                <w:noProof w:val="0"/>
                <w:rtl/>
              </w:rPr>
              <w:t>בתחום הדיור</w:t>
            </w:r>
            <w:r w:rsidRPr="00542514">
              <w:rPr>
                <w:b w:val="0"/>
                <w:bCs w:val="0"/>
                <w:noProof w:val="0"/>
                <w:rtl/>
              </w:rPr>
              <w:t xml:space="preserve">. </w:t>
            </w:r>
            <w:r w:rsidRPr="00542514">
              <w:rPr>
                <w:rFonts w:hint="cs"/>
                <w:b w:val="0"/>
                <w:bCs w:val="0"/>
                <w:noProof w:val="0"/>
                <w:rtl/>
              </w:rPr>
              <w:t>כמו כן, מחסור בתכניות זמינות לבנייה עלול לעורר קשיים בהגדלת ההיצע בשוק הדיור.</w:t>
            </w:r>
          </w:p>
        </w:tc>
      </w:tr>
    </w:tbl>
    <w:p w:rsidR="00B24DC0" w:rsidP="00B24DC0">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B24DC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691" w:type="dxa"/>
            <w:shd w:val="pct10" w:color="auto" w:fill="auto"/>
          </w:tcPr>
          <w:p w:rsidR="00350D21" w:rsidP="00350D21">
            <w:pPr>
              <w:pStyle w:val="KOT5"/>
              <w:spacing w:before="120"/>
              <w:jc w:val="center"/>
              <w:rPr>
                <w:sz w:val="24"/>
                <w:szCs w:val="24"/>
                <w:rtl/>
              </w:rPr>
            </w:pPr>
            <w:r w:rsidRPr="00893437">
              <w:rPr>
                <w:rFonts w:hint="cs"/>
                <w:sz w:val="24"/>
                <w:szCs w:val="24"/>
                <w:rtl/>
              </w:rPr>
              <w:t>ייזום תכניות על מקרקעי ישראל נעשה בחוסר הלימה לצרכי המשק</w:t>
            </w:r>
          </w:p>
        </w:tc>
      </w:tr>
      <w:tr w:rsidTr="00B24DC0">
        <w:tblPrEx>
          <w:tblW w:w="6691" w:type="dxa"/>
          <w:jc w:val="center"/>
          <w:tblLook w:val="04A0"/>
        </w:tblPrEx>
        <w:trPr>
          <w:jc w:val="center"/>
        </w:trPr>
        <w:tc>
          <w:tcPr>
            <w:tcW w:w="6691" w:type="dxa"/>
          </w:tcPr>
          <w:p w:rsidR="00893437" w:rsidRPr="00893437" w:rsidP="00893437">
            <w:pPr>
              <w:pStyle w:val="takzir"/>
              <w:spacing w:before="60"/>
              <w:rPr>
                <w:b w:val="0"/>
                <w:bCs w:val="0"/>
                <w:noProof w:val="0"/>
                <w:rtl/>
              </w:rPr>
            </w:pPr>
            <w:r w:rsidRPr="00893437">
              <w:rPr>
                <w:rFonts w:hint="cs"/>
                <w:b w:val="0"/>
                <w:bCs w:val="0"/>
                <w:noProof w:val="0"/>
                <w:rtl/>
              </w:rPr>
              <w:t>ייזום</w:t>
            </w:r>
            <w:r w:rsidRPr="00893437">
              <w:rPr>
                <w:b w:val="0"/>
                <w:bCs w:val="0"/>
                <w:noProof w:val="0"/>
                <w:rtl/>
              </w:rPr>
              <w:t xml:space="preserve"> התכנון מתחיל בהרשאות לתכנון מטעם </w:t>
            </w:r>
            <w:r w:rsidRPr="00893437">
              <w:rPr>
                <w:rFonts w:hint="cs"/>
                <w:b w:val="0"/>
                <w:bCs w:val="0"/>
                <w:noProof w:val="0"/>
                <w:rtl/>
              </w:rPr>
              <w:t>רמ</w:t>
            </w:r>
            <w:r w:rsidRPr="00893437">
              <w:rPr>
                <w:b w:val="0"/>
                <w:bCs w:val="0"/>
                <w:noProof w:val="0"/>
                <w:rtl/>
              </w:rPr>
              <w:t xml:space="preserve">"י. רמ"י לא הכינה תכניות עבודה שנתיות ורב-שנתיות שיאפשרו לתכנן את כמות </w:t>
            </w:r>
            <w:r w:rsidRPr="00893437">
              <w:rPr>
                <w:rFonts w:hint="cs"/>
                <w:b w:val="0"/>
                <w:bCs w:val="0"/>
                <w:noProof w:val="0"/>
                <w:rtl/>
              </w:rPr>
              <w:t>יחידות</w:t>
            </w:r>
            <w:r w:rsidRPr="00893437">
              <w:rPr>
                <w:b w:val="0"/>
                <w:bCs w:val="0"/>
                <w:noProof w:val="0"/>
                <w:rtl/>
              </w:rPr>
              <w:t xml:space="preserve"> </w:t>
            </w:r>
            <w:r w:rsidRPr="00893437">
              <w:rPr>
                <w:rFonts w:hint="cs"/>
                <w:b w:val="0"/>
                <w:bCs w:val="0"/>
                <w:noProof w:val="0"/>
                <w:rtl/>
              </w:rPr>
              <w:t>הדיור</w:t>
            </w:r>
            <w:r w:rsidRPr="00893437">
              <w:rPr>
                <w:b w:val="0"/>
                <w:bCs w:val="0"/>
                <w:noProof w:val="0"/>
                <w:rtl/>
              </w:rPr>
              <w:t xml:space="preserve"> הנדרשת כדי לעמוד ביעדי</w:t>
            </w:r>
            <w:r w:rsidRPr="00893437">
              <w:rPr>
                <w:rFonts w:hint="cs"/>
                <w:b w:val="0"/>
                <w:bCs w:val="0"/>
                <w:noProof w:val="0"/>
                <w:rtl/>
              </w:rPr>
              <w:t>ם</w:t>
            </w:r>
            <w:r w:rsidRPr="00893437">
              <w:rPr>
                <w:b w:val="0"/>
                <w:bCs w:val="0"/>
                <w:noProof w:val="0"/>
                <w:rtl/>
              </w:rPr>
              <w:t xml:space="preserve"> שנקבעו </w:t>
            </w:r>
            <w:r w:rsidRPr="00893437">
              <w:rPr>
                <w:rFonts w:hint="cs"/>
                <w:b w:val="0"/>
                <w:bCs w:val="0"/>
                <w:noProof w:val="0"/>
                <w:rtl/>
              </w:rPr>
              <w:t>לה</w:t>
            </w:r>
            <w:r w:rsidRPr="00893437">
              <w:rPr>
                <w:b w:val="0"/>
                <w:bCs w:val="0"/>
                <w:noProof w:val="0"/>
                <w:rtl/>
              </w:rPr>
              <w:t xml:space="preserve"> </w:t>
            </w:r>
            <w:r w:rsidRPr="00893437">
              <w:rPr>
                <w:rFonts w:hint="cs"/>
                <w:b w:val="0"/>
                <w:bCs w:val="0"/>
                <w:noProof w:val="0"/>
                <w:rtl/>
              </w:rPr>
              <w:t>מפעם</w:t>
            </w:r>
            <w:r w:rsidRPr="00893437">
              <w:rPr>
                <w:b w:val="0"/>
                <w:bCs w:val="0"/>
                <w:noProof w:val="0"/>
                <w:rtl/>
              </w:rPr>
              <w:t xml:space="preserve"> </w:t>
            </w:r>
            <w:r w:rsidRPr="00893437">
              <w:rPr>
                <w:rFonts w:hint="cs"/>
                <w:b w:val="0"/>
                <w:bCs w:val="0"/>
                <w:noProof w:val="0"/>
                <w:rtl/>
              </w:rPr>
              <w:t>לפעם</w:t>
            </w:r>
            <w:r w:rsidRPr="00893437">
              <w:rPr>
                <w:b w:val="0"/>
                <w:bCs w:val="0"/>
                <w:noProof w:val="0"/>
                <w:rtl/>
              </w:rPr>
              <w:t>.</w:t>
            </w:r>
          </w:p>
          <w:p w:rsidR="00893437" w:rsidRPr="00893437" w:rsidP="00893437">
            <w:pPr>
              <w:pStyle w:val="takzir"/>
              <w:rPr>
                <w:b w:val="0"/>
                <w:bCs w:val="0"/>
                <w:noProof w:val="0"/>
                <w:rtl/>
              </w:rPr>
            </w:pPr>
            <w:r w:rsidRPr="00893437">
              <w:rPr>
                <w:b w:val="0"/>
                <w:bCs w:val="0"/>
                <w:noProof w:val="0"/>
                <w:rtl/>
              </w:rPr>
              <w:t xml:space="preserve">בשנים 2012-2007 נתנה רמ"י הרשאות לתכנון של כ-212,000 יח"ד - כמות </w:t>
            </w:r>
            <w:r w:rsidRPr="00893437">
              <w:rPr>
                <w:rFonts w:hint="cs"/>
                <w:b w:val="0"/>
                <w:bCs w:val="0"/>
                <w:noProof w:val="0"/>
                <w:rtl/>
              </w:rPr>
              <w:t>הקטנה</w:t>
            </w:r>
            <w:r w:rsidRPr="00893437">
              <w:rPr>
                <w:b w:val="0"/>
                <w:bCs w:val="0"/>
                <w:noProof w:val="0"/>
                <w:rtl/>
              </w:rPr>
              <w:t xml:space="preserve"> מהנדרש כדי לעמוד </w:t>
            </w:r>
            <w:r w:rsidRPr="00893437">
              <w:rPr>
                <w:rFonts w:hint="cs"/>
                <w:b w:val="0"/>
                <w:bCs w:val="0"/>
                <w:noProof w:val="0"/>
                <w:rtl/>
              </w:rPr>
              <w:t xml:space="preserve">ביעדים </w:t>
            </w:r>
            <w:r w:rsidRPr="00893437">
              <w:rPr>
                <w:b w:val="0"/>
                <w:bCs w:val="0"/>
                <w:noProof w:val="0"/>
                <w:rtl/>
              </w:rPr>
              <w:t xml:space="preserve">לשיווק קרקעות. עד 2010 נתנה רמ"י הרשאות לתכנון </w:t>
            </w:r>
            <w:r w:rsidRPr="00893437">
              <w:rPr>
                <w:rFonts w:hint="cs"/>
                <w:b w:val="0"/>
                <w:bCs w:val="0"/>
                <w:noProof w:val="0"/>
                <w:rtl/>
              </w:rPr>
              <w:t>ש</w:t>
            </w:r>
            <w:r w:rsidRPr="00893437">
              <w:rPr>
                <w:b w:val="0"/>
                <w:bCs w:val="0"/>
                <w:noProof w:val="0"/>
                <w:rtl/>
              </w:rPr>
              <w:t>ל</w:t>
            </w:r>
            <w:r w:rsidRPr="00893437">
              <w:rPr>
                <w:rFonts w:hint="cs"/>
                <w:b w:val="0"/>
                <w:bCs w:val="0"/>
                <w:noProof w:val="0"/>
                <w:rtl/>
              </w:rPr>
              <w:t xml:space="preserve"> </w:t>
            </w:r>
            <w:r w:rsidRPr="00893437">
              <w:rPr>
                <w:b w:val="0"/>
                <w:bCs w:val="0"/>
                <w:noProof w:val="0"/>
                <w:rtl/>
              </w:rPr>
              <w:t>כ-13,000 יח"ד בממוצע מדי שנה ורק מ</w:t>
            </w:r>
            <w:r w:rsidRPr="00893437">
              <w:rPr>
                <w:rFonts w:hint="cs"/>
                <w:b w:val="0"/>
                <w:bCs w:val="0"/>
                <w:noProof w:val="0"/>
                <w:rtl/>
              </w:rPr>
              <w:t xml:space="preserve">שנת </w:t>
            </w:r>
            <w:r w:rsidRPr="00893437">
              <w:rPr>
                <w:b w:val="0"/>
                <w:bCs w:val="0"/>
                <w:noProof w:val="0"/>
                <w:rtl/>
              </w:rPr>
              <w:t xml:space="preserve">2011 גדל מספר ההרשאות. מאחר </w:t>
            </w:r>
            <w:r w:rsidRPr="00893437">
              <w:rPr>
                <w:rFonts w:hint="cs"/>
                <w:b w:val="0"/>
                <w:bCs w:val="0"/>
                <w:noProof w:val="0"/>
                <w:rtl/>
              </w:rPr>
              <w:t>ש</w:t>
            </w:r>
            <w:r w:rsidRPr="00893437">
              <w:rPr>
                <w:b w:val="0"/>
                <w:bCs w:val="0"/>
                <w:noProof w:val="0"/>
                <w:rtl/>
              </w:rPr>
              <w:t>הלי</w:t>
            </w:r>
            <w:r w:rsidRPr="00893437">
              <w:rPr>
                <w:rFonts w:hint="cs"/>
                <w:b w:val="0"/>
                <w:bCs w:val="0"/>
                <w:noProof w:val="0"/>
                <w:rtl/>
              </w:rPr>
              <w:t>כי</w:t>
            </w:r>
            <w:r w:rsidRPr="00893437">
              <w:rPr>
                <w:b w:val="0"/>
                <w:bCs w:val="0"/>
                <w:noProof w:val="0"/>
                <w:rtl/>
              </w:rPr>
              <w:t xml:space="preserve"> התכנון נמש</w:t>
            </w:r>
            <w:r w:rsidRPr="00893437">
              <w:rPr>
                <w:rFonts w:hint="cs"/>
                <w:b w:val="0"/>
                <w:bCs w:val="0"/>
                <w:noProof w:val="0"/>
                <w:rtl/>
              </w:rPr>
              <w:t>כים כמה</w:t>
            </w:r>
            <w:r w:rsidRPr="00893437">
              <w:rPr>
                <w:b w:val="0"/>
                <w:bCs w:val="0"/>
                <w:noProof w:val="0"/>
                <w:rtl/>
              </w:rPr>
              <w:t xml:space="preserve"> שנים הרי </w:t>
            </w:r>
            <w:r w:rsidRPr="00893437">
              <w:rPr>
                <w:rFonts w:hint="cs"/>
                <w:b w:val="0"/>
                <w:bCs w:val="0"/>
                <w:noProof w:val="0"/>
                <w:rtl/>
              </w:rPr>
              <w:t>שעלולה להיות</w:t>
            </w:r>
            <w:r w:rsidRPr="00893437">
              <w:rPr>
                <w:b w:val="0"/>
                <w:bCs w:val="0"/>
                <w:noProof w:val="0"/>
                <w:rtl/>
              </w:rPr>
              <w:t xml:space="preserve"> בשנים הקרובות פגיעה ביכולת לעמוד ביעדי התכנון והשיווק שקבעה הממשלה וביכולת להגדיל את </w:t>
            </w:r>
            <w:r w:rsidRPr="00893437">
              <w:rPr>
                <w:rFonts w:hint="cs"/>
                <w:b w:val="0"/>
                <w:bCs w:val="0"/>
                <w:noProof w:val="0"/>
                <w:rtl/>
              </w:rPr>
              <w:t>ה</w:t>
            </w:r>
            <w:r w:rsidRPr="00893437">
              <w:rPr>
                <w:b w:val="0"/>
                <w:bCs w:val="0"/>
                <w:noProof w:val="0"/>
                <w:rtl/>
              </w:rPr>
              <w:t xml:space="preserve">היצע </w:t>
            </w:r>
            <w:r w:rsidRPr="00893437">
              <w:rPr>
                <w:rFonts w:hint="cs"/>
                <w:b w:val="0"/>
                <w:bCs w:val="0"/>
                <w:noProof w:val="0"/>
                <w:rtl/>
              </w:rPr>
              <w:t>בשוק הדיור במקרקעי ישראל</w:t>
            </w:r>
            <w:r w:rsidRPr="00893437">
              <w:rPr>
                <w:b w:val="0"/>
                <w:bCs w:val="0"/>
                <w:noProof w:val="0"/>
                <w:rtl/>
              </w:rPr>
              <w:t>.</w:t>
            </w:r>
          </w:p>
          <w:p w:rsidR="00893437" w:rsidRPr="00893437" w:rsidP="00CD7EA8">
            <w:pPr>
              <w:pStyle w:val="takzir"/>
              <w:rPr>
                <w:b w:val="0"/>
                <w:bCs w:val="0"/>
                <w:noProof w:val="0"/>
                <w:rtl/>
              </w:rPr>
            </w:pPr>
            <w:r w:rsidRPr="00893437">
              <w:rPr>
                <w:rFonts w:hint="cs"/>
                <w:b w:val="0"/>
                <w:bCs w:val="0"/>
                <w:noProof w:val="0"/>
                <w:rtl/>
              </w:rPr>
              <w:t>בשנים 2012-2007 הוגשו למוסדות התכנון תכניות הכוללות תוספת של כ-1</w:t>
            </w:r>
            <w:r w:rsidR="00CD7EA8">
              <w:rPr>
                <w:rFonts w:hint="cs"/>
                <w:b w:val="0"/>
                <w:bCs w:val="0"/>
                <w:noProof w:val="0"/>
                <w:rtl/>
              </w:rPr>
              <w:t>51</w:t>
            </w:r>
            <w:r w:rsidRPr="00893437">
              <w:rPr>
                <w:rFonts w:hint="cs"/>
                <w:b w:val="0"/>
                <w:bCs w:val="0"/>
                <w:noProof w:val="0"/>
                <w:rtl/>
              </w:rPr>
              <w:t>,000 יח"ד, כמות שאינה מאפשרת את אישורן של יח"ד במוסדות התכנון בכמות הנדרשת למשק. מדובר בכמות קטנה, בייחוד לנוכח העובדה כי בתחילת הליכי התכנון יש לקדם כמות גדולה יותר של יח"ד מהנדרש משום שבסופו של תהליך לא כל התכניות מתאשרות. התנהלות זו היא אחת הסיבות לכך שבשנים אלו אישרו מוסדות התכנון מספר נמוך יחסית של יח"ד.</w:t>
            </w:r>
          </w:p>
          <w:p w:rsidR="00350D21" w:rsidP="000C7955">
            <w:pPr>
              <w:pStyle w:val="takzir"/>
              <w:spacing w:before="120"/>
              <w:rPr>
                <w:b w:val="0"/>
                <w:bCs w:val="0"/>
                <w:noProof w:val="0"/>
                <w:rtl/>
              </w:rPr>
            </w:pPr>
            <w:r w:rsidRPr="00893437">
              <w:rPr>
                <w:rFonts w:hint="cs"/>
                <w:b w:val="0"/>
                <w:bCs w:val="0"/>
                <w:noProof w:val="0"/>
                <w:rtl/>
              </w:rPr>
              <w:t>נמצא כי התכניות למגורים שהגישה רמ"י למוסדות התכנון במחוזות השונים לא תאמו את הגידול היחסי במספר משקי הבית באותם מחוזות. הדבר בולט בעיקר במחוזות המרכז ותל אביב (מחסור של כ-</w:t>
            </w:r>
            <w:r w:rsidR="00CD7EA8">
              <w:rPr>
                <w:rFonts w:hint="cs"/>
                <w:b w:val="0"/>
                <w:bCs w:val="0"/>
                <w:noProof w:val="0"/>
                <w:rtl/>
              </w:rPr>
              <w:t>39</w:t>
            </w:r>
            <w:r w:rsidRPr="00893437">
              <w:rPr>
                <w:rFonts w:hint="cs"/>
                <w:b w:val="0"/>
                <w:bCs w:val="0"/>
                <w:noProof w:val="0"/>
                <w:rtl/>
              </w:rPr>
              <w:t>% ושל כ-</w:t>
            </w:r>
            <w:r w:rsidR="00CD7EA8">
              <w:rPr>
                <w:rFonts w:hint="cs"/>
                <w:b w:val="0"/>
                <w:bCs w:val="0"/>
                <w:noProof w:val="0"/>
                <w:rtl/>
              </w:rPr>
              <w:t>81</w:t>
            </w:r>
            <w:r w:rsidRPr="00893437">
              <w:rPr>
                <w:rFonts w:hint="cs"/>
                <w:b w:val="0"/>
                <w:bCs w:val="0"/>
                <w:noProof w:val="0"/>
                <w:rtl/>
              </w:rPr>
              <w:t>%, בהתאמה). לעומת זאת, במחוזות הדרום, הצפון וחיפה ישנן תכניות למגורים הרבה מעבר לגידול היחסי במספר משקי הבית.</w:t>
            </w:r>
          </w:p>
        </w:tc>
      </w:tr>
    </w:tbl>
    <w:p w:rsidR="00350D21" w:rsidP="00350D21">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893437">
              <w:rPr>
                <w:rFonts w:hint="eastAsia"/>
                <w:sz w:val="24"/>
                <w:szCs w:val="24"/>
                <w:rtl/>
              </w:rPr>
              <w:t>התמשכות</w:t>
            </w:r>
            <w:r w:rsidRPr="00893437">
              <w:rPr>
                <w:rFonts w:hint="cs"/>
                <w:sz w:val="24"/>
                <w:szCs w:val="24"/>
                <w:rtl/>
              </w:rPr>
              <w:t xml:space="preserve"> הליכי התכנון של תכניות מפורטות למגורים (על כלל הקרקעות)</w:t>
            </w:r>
          </w:p>
        </w:tc>
      </w:tr>
      <w:tr w:rsidTr="00382334">
        <w:tblPrEx>
          <w:tblW w:w="6691" w:type="dxa"/>
          <w:jc w:val="center"/>
          <w:tblLook w:val="04A0"/>
        </w:tblPrEx>
        <w:trPr>
          <w:cantSplit/>
          <w:jc w:val="center"/>
        </w:trPr>
        <w:tc>
          <w:tcPr>
            <w:tcW w:w="6691" w:type="dxa"/>
          </w:tcPr>
          <w:p w:rsidR="00B24DC0" w:rsidP="00382334">
            <w:pPr>
              <w:pStyle w:val="takzir"/>
              <w:spacing w:before="60"/>
              <w:rPr>
                <w:b w:val="0"/>
                <w:bCs w:val="0"/>
                <w:noProof w:val="0"/>
                <w:rtl/>
              </w:rPr>
            </w:pPr>
            <w:r w:rsidRPr="00893437">
              <w:rPr>
                <w:b w:val="0"/>
                <w:bCs w:val="0"/>
                <w:noProof w:val="0"/>
                <w:rtl/>
              </w:rPr>
              <w:t xml:space="preserve">נמצא כי הזמן הממוצע הנדרש לאישורן של תכניות </w:t>
            </w:r>
            <w:r w:rsidRPr="00893437">
              <w:rPr>
                <w:rFonts w:hint="cs"/>
                <w:b w:val="0"/>
                <w:bCs w:val="0"/>
                <w:noProof w:val="0"/>
                <w:rtl/>
              </w:rPr>
              <w:t>גדולות למגורים</w:t>
            </w:r>
            <w:r>
              <w:rPr>
                <w:b w:val="0"/>
                <w:bCs w:val="0"/>
                <w:noProof w:val="0"/>
                <w:vertAlign w:val="superscript"/>
                <w:rtl/>
              </w:rPr>
              <w:footnoteReference w:id="3"/>
            </w:r>
            <w:r w:rsidRPr="00893437">
              <w:rPr>
                <w:rFonts w:hint="cs"/>
                <w:b w:val="0"/>
                <w:bCs w:val="0"/>
                <w:noProof w:val="0"/>
                <w:rtl/>
              </w:rPr>
              <w:t xml:space="preserve"> </w:t>
            </w:r>
            <w:r w:rsidRPr="00893437">
              <w:rPr>
                <w:b w:val="0"/>
                <w:bCs w:val="0"/>
                <w:noProof w:val="0"/>
                <w:rtl/>
              </w:rPr>
              <w:t xml:space="preserve">הוא </w:t>
            </w:r>
            <w:r w:rsidRPr="00893437">
              <w:rPr>
                <w:rFonts w:hint="cs"/>
                <w:b w:val="0"/>
                <w:bCs w:val="0"/>
                <w:noProof w:val="0"/>
                <w:rtl/>
              </w:rPr>
              <w:t>כ-65 חודשים (</w:t>
            </w:r>
            <w:r w:rsidRPr="00893437">
              <w:rPr>
                <w:b w:val="0"/>
                <w:bCs w:val="0"/>
                <w:noProof w:val="0"/>
                <w:rtl/>
              </w:rPr>
              <w:t>כחמש שנים וחצי</w:t>
            </w:r>
            <w:r w:rsidRPr="00893437">
              <w:rPr>
                <w:rFonts w:hint="cs"/>
                <w:b w:val="0"/>
                <w:bCs w:val="0"/>
                <w:noProof w:val="0"/>
                <w:rtl/>
              </w:rPr>
              <w:t>)</w:t>
            </w:r>
            <w:r w:rsidRPr="00893437">
              <w:rPr>
                <w:b w:val="0"/>
                <w:bCs w:val="0"/>
                <w:noProof w:val="0"/>
                <w:rtl/>
              </w:rPr>
              <w:t xml:space="preserve">. פרק זמן זה ארוך </w:t>
            </w:r>
            <w:r w:rsidRPr="00893437">
              <w:rPr>
                <w:rFonts w:hint="cs"/>
                <w:b w:val="0"/>
                <w:bCs w:val="0"/>
                <w:noProof w:val="0"/>
                <w:rtl/>
              </w:rPr>
              <w:t>פי שלושה</w:t>
            </w:r>
            <w:r w:rsidRPr="00893437">
              <w:rPr>
                <w:b w:val="0"/>
                <w:bCs w:val="0"/>
                <w:noProof w:val="0"/>
                <w:rtl/>
              </w:rPr>
              <w:t xml:space="preserve"> מהזמן המצטבר שנקבע בחוק </w:t>
            </w:r>
            <w:r w:rsidRPr="00893437">
              <w:rPr>
                <w:rFonts w:hint="cs"/>
                <w:b w:val="0"/>
                <w:bCs w:val="0"/>
                <w:noProof w:val="0"/>
                <w:rtl/>
              </w:rPr>
              <w:t xml:space="preserve">התכנון והבניה, התשכ"ה-1965, </w:t>
            </w:r>
            <w:r w:rsidRPr="00893437">
              <w:rPr>
                <w:b w:val="0"/>
                <w:bCs w:val="0"/>
                <w:noProof w:val="0"/>
                <w:rtl/>
              </w:rPr>
              <w:t>להשלמת תהליך אישור תכניות.</w:t>
            </w:r>
            <w:r w:rsidRPr="00684E29">
              <w:rPr>
                <w:rFonts w:hint="cs"/>
                <w:b w:val="0"/>
                <w:bCs w:val="0"/>
                <w:noProof w:val="0"/>
                <w:rtl/>
              </w:rPr>
              <w:t xml:space="preserve"> </w:t>
            </w:r>
            <w:r w:rsidRPr="00893437">
              <w:rPr>
                <w:rFonts w:hint="cs"/>
                <w:b w:val="0"/>
                <w:bCs w:val="0"/>
                <w:noProof w:val="0"/>
                <w:rtl/>
              </w:rPr>
              <w:t xml:space="preserve">במחוז המרכז התהליך נמשך אף </w:t>
            </w:r>
            <w:r w:rsidRPr="00582A43">
              <w:rPr>
                <w:rFonts w:hint="cs"/>
                <w:b w:val="0"/>
                <w:bCs w:val="0"/>
                <w:noProof w:val="0"/>
                <w:rtl/>
              </w:rPr>
              <w:t>יותר, כ-</w:t>
            </w:r>
            <w:r w:rsidRPr="00582A43" w:rsidR="0030702E">
              <w:rPr>
                <w:rFonts w:hint="cs"/>
                <w:b w:val="0"/>
                <w:bCs w:val="0"/>
                <w:noProof w:val="0"/>
                <w:rtl/>
              </w:rPr>
              <w:t>96</w:t>
            </w:r>
            <w:r w:rsidRPr="00582A43">
              <w:rPr>
                <w:rFonts w:hint="cs"/>
                <w:b w:val="0"/>
                <w:bCs w:val="0"/>
                <w:noProof w:val="0"/>
                <w:rtl/>
              </w:rPr>
              <w:t xml:space="preserve"> חודשים (</w:t>
            </w:r>
            <w:r w:rsidRPr="00582A43" w:rsidR="00582A43">
              <w:rPr>
                <w:rFonts w:hint="cs"/>
                <w:b w:val="0"/>
                <w:bCs w:val="0"/>
                <w:noProof w:val="0"/>
                <w:rtl/>
              </w:rPr>
              <w:t>כ</w:t>
            </w:r>
            <w:r w:rsidRPr="00582A43" w:rsidR="0030702E">
              <w:rPr>
                <w:rFonts w:hint="cs"/>
                <w:b w:val="0"/>
                <w:bCs w:val="0"/>
                <w:noProof w:val="0"/>
                <w:rtl/>
              </w:rPr>
              <w:t>שמונה</w:t>
            </w:r>
            <w:r w:rsidRPr="00582A43">
              <w:rPr>
                <w:rFonts w:hint="cs"/>
                <w:b w:val="0"/>
                <w:bCs w:val="0"/>
                <w:noProof w:val="0"/>
                <w:rtl/>
              </w:rPr>
              <w:t xml:space="preserve"> שנים), </w:t>
            </w:r>
            <w:r w:rsidR="00382334">
              <w:rPr>
                <w:rFonts w:hint="cs"/>
                <w:b w:val="0"/>
                <w:bCs w:val="0"/>
                <w:noProof w:val="0"/>
                <w:rtl/>
              </w:rPr>
              <w:t>יותר</w:t>
            </w:r>
            <w:r w:rsidRPr="00582A43">
              <w:rPr>
                <w:rFonts w:hint="cs"/>
                <w:b w:val="0"/>
                <w:bCs w:val="0"/>
                <w:noProof w:val="0"/>
                <w:rtl/>
              </w:rPr>
              <w:t xml:space="preserve"> </w:t>
            </w:r>
            <w:r w:rsidR="00382334">
              <w:rPr>
                <w:rFonts w:hint="cs"/>
                <w:b w:val="0"/>
                <w:bCs w:val="0"/>
                <w:noProof w:val="0"/>
                <w:rtl/>
              </w:rPr>
              <w:t>מ</w:t>
            </w:r>
            <w:r w:rsidRPr="00582A43">
              <w:rPr>
                <w:rFonts w:hint="cs"/>
                <w:b w:val="0"/>
                <w:bCs w:val="0"/>
                <w:noProof w:val="0"/>
                <w:rtl/>
              </w:rPr>
              <w:t>פי</w:t>
            </w:r>
            <w:r w:rsidRPr="00893437">
              <w:rPr>
                <w:rFonts w:hint="cs"/>
                <w:b w:val="0"/>
                <w:bCs w:val="0"/>
                <w:noProof w:val="0"/>
                <w:rtl/>
              </w:rPr>
              <w:t xml:space="preserve"> ארבעה מהזמנים הקבועים בחוק.</w:t>
            </w:r>
            <w:r w:rsidRPr="00893437">
              <w:rPr>
                <w:b w:val="0"/>
                <w:bCs w:val="0"/>
                <w:noProof w:val="0"/>
                <w:rtl/>
              </w:rPr>
              <w:t xml:space="preserve"> התמשכות הליכי התכנון מקשה על היכולת להגמיש את ההיצע </w:t>
            </w:r>
            <w:r w:rsidRPr="00893437">
              <w:rPr>
                <w:rFonts w:hint="cs"/>
                <w:b w:val="0"/>
                <w:bCs w:val="0"/>
                <w:noProof w:val="0"/>
                <w:rtl/>
              </w:rPr>
              <w:t xml:space="preserve">בשוק הדיור </w:t>
            </w:r>
            <w:r w:rsidRPr="00893437">
              <w:rPr>
                <w:b w:val="0"/>
                <w:bCs w:val="0"/>
                <w:noProof w:val="0"/>
                <w:rtl/>
              </w:rPr>
              <w:t>לפי הצורך</w:t>
            </w:r>
            <w:r w:rsidRPr="00893437">
              <w:rPr>
                <w:rFonts w:hint="cs"/>
                <w:b w:val="0"/>
                <w:bCs w:val="0"/>
                <w:noProof w:val="0"/>
                <w:rtl/>
              </w:rPr>
              <w:t>. תהליך המימוש של התכניות נמשך אף הוא שנים מספר, ובמצטבר חולפות בממוצע כתריסר שנים מהגשת התכניות המפורטות למוסדות התכנון ועד גמר הבנייה.</w:t>
            </w:r>
          </w:p>
          <w:p w:rsidR="00B24DC0" w:rsidP="00893437">
            <w:pPr>
              <w:pStyle w:val="takzir"/>
              <w:rPr>
                <w:b w:val="0"/>
                <w:bCs w:val="0"/>
                <w:noProof w:val="0"/>
                <w:rtl/>
              </w:rPr>
            </w:pPr>
            <w:r w:rsidRPr="00893437">
              <w:rPr>
                <w:b w:val="0"/>
                <w:bCs w:val="0"/>
                <w:noProof w:val="0"/>
                <w:rtl/>
              </w:rPr>
              <w:t xml:space="preserve">בדיקת הליכי התכנון של פרויקטים גדולים </w:t>
            </w:r>
            <w:r w:rsidRPr="00893437">
              <w:rPr>
                <w:rFonts w:hint="cs"/>
                <w:b w:val="0"/>
                <w:bCs w:val="0"/>
                <w:noProof w:val="0"/>
                <w:rtl/>
              </w:rPr>
              <w:t>בוועדות המחוזיות לתכנון ולבנייה</w:t>
            </w:r>
            <w:r w:rsidRPr="00893437">
              <w:rPr>
                <w:b w:val="0"/>
                <w:bCs w:val="0"/>
                <w:noProof w:val="0"/>
                <w:rtl/>
              </w:rPr>
              <w:t xml:space="preserve"> </w:t>
            </w:r>
            <w:r w:rsidRPr="00893437">
              <w:rPr>
                <w:rFonts w:hint="cs"/>
                <w:b w:val="0"/>
                <w:bCs w:val="0"/>
                <w:noProof w:val="0"/>
                <w:rtl/>
              </w:rPr>
              <w:t>מלמדת</w:t>
            </w:r>
            <w:r w:rsidRPr="00893437">
              <w:rPr>
                <w:b w:val="0"/>
                <w:bCs w:val="0"/>
                <w:noProof w:val="0"/>
                <w:rtl/>
              </w:rPr>
              <w:t xml:space="preserve"> על בעיות מערכתיות, ובהן קשיים בתיאום בין-משרדי</w:t>
            </w:r>
            <w:r w:rsidRPr="00893437">
              <w:rPr>
                <w:rFonts w:hint="cs"/>
                <w:b w:val="0"/>
                <w:bCs w:val="0"/>
                <w:noProof w:val="0"/>
                <w:rtl/>
              </w:rPr>
              <w:t xml:space="preserve"> הנדרש לקידום התכניות,</w:t>
            </w:r>
            <w:r w:rsidRPr="00893437">
              <w:rPr>
                <w:b w:val="0"/>
                <w:bCs w:val="0"/>
                <w:noProof w:val="0"/>
              </w:rPr>
              <w:t xml:space="preserve"> </w:t>
            </w:r>
            <w:r w:rsidRPr="00893437">
              <w:rPr>
                <w:rFonts w:hint="cs"/>
                <w:b w:val="0"/>
                <w:bCs w:val="0"/>
                <w:noProof w:val="0"/>
                <w:rtl/>
              </w:rPr>
              <w:t xml:space="preserve">חוסר </w:t>
            </w:r>
            <w:r w:rsidRPr="00893437">
              <w:rPr>
                <w:b w:val="0"/>
                <w:bCs w:val="0"/>
                <w:noProof w:val="0"/>
                <w:rtl/>
              </w:rPr>
              <w:t xml:space="preserve">התאמה של תכניות עבודה </w:t>
            </w:r>
            <w:r w:rsidRPr="00893437">
              <w:rPr>
                <w:rFonts w:hint="cs"/>
                <w:b w:val="0"/>
                <w:bCs w:val="0"/>
                <w:noProof w:val="0"/>
                <w:rtl/>
              </w:rPr>
              <w:t>ל</w:t>
            </w:r>
            <w:r w:rsidRPr="00893437">
              <w:rPr>
                <w:b w:val="0"/>
                <w:bCs w:val="0"/>
                <w:noProof w:val="0"/>
                <w:rtl/>
              </w:rPr>
              <w:t xml:space="preserve">סדרי </w:t>
            </w:r>
            <w:r w:rsidRPr="00893437">
              <w:rPr>
                <w:rFonts w:hint="cs"/>
                <w:b w:val="0"/>
                <w:bCs w:val="0"/>
                <w:noProof w:val="0"/>
                <w:rtl/>
              </w:rPr>
              <w:t>ה</w:t>
            </w:r>
            <w:r w:rsidRPr="00893437">
              <w:rPr>
                <w:b w:val="0"/>
                <w:bCs w:val="0"/>
                <w:noProof w:val="0"/>
                <w:rtl/>
              </w:rPr>
              <w:t>עדיפויות בכל הנוגע לתכנון למגורים</w:t>
            </w:r>
            <w:r w:rsidRPr="00893437">
              <w:rPr>
                <w:rFonts w:hint="cs"/>
                <w:b w:val="0"/>
                <w:bCs w:val="0"/>
                <w:noProof w:val="0"/>
                <w:rtl/>
              </w:rPr>
              <w:t>,</w:t>
            </w:r>
            <w:r w:rsidRPr="00893437">
              <w:rPr>
                <w:b w:val="0"/>
                <w:bCs w:val="0"/>
                <w:noProof w:val="0"/>
                <w:rtl/>
              </w:rPr>
              <w:t xml:space="preserve"> </w:t>
            </w:r>
            <w:r w:rsidRPr="00893437">
              <w:rPr>
                <w:rFonts w:hint="cs"/>
                <w:b w:val="0"/>
                <w:bCs w:val="0"/>
                <w:noProof w:val="0"/>
                <w:rtl/>
              </w:rPr>
              <w:t>קשיים ועיכובים ב</w:t>
            </w:r>
            <w:r w:rsidRPr="00893437">
              <w:rPr>
                <w:b w:val="0"/>
                <w:bCs w:val="0"/>
                <w:noProof w:val="0"/>
                <w:rtl/>
              </w:rPr>
              <w:t>התמודדות עם חסמי תכנון</w:t>
            </w:r>
            <w:r w:rsidRPr="00893437">
              <w:rPr>
                <w:rFonts w:hint="cs"/>
                <w:b w:val="0"/>
                <w:bCs w:val="0"/>
                <w:noProof w:val="0"/>
                <w:rtl/>
              </w:rPr>
              <w:t>,</w:t>
            </w:r>
            <w:r w:rsidRPr="00893437">
              <w:rPr>
                <w:b w:val="0"/>
                <w:bCs w:val="0"/>
                <w:noProof w:val="0"/>
                <w:rtl/>
              </w:rPr>
              <w:t xml:space="preserve"> </w:t>
            </w:r>
            <w:r w:rsidRPr="00893437">
              <w:rPr>
                <w:rFonts w:hint="cs"/>
                <w:b w:val="0"/>
                <w:bCs w:val="0"/>
                <w:noProof w:val="0"/>
                <w:rtl/>
              </w:rPr>
              <w:t xml:space="preserve">הגשת תכניות שאינן בשלות לקידום, היעדר </w:t>
            </w:r>
            <w:r w:rsidRPr="00893437">
              <w:rPr>
                <w:b w:val="0"/>
                <w:bCs w:val="0"/>
                <w:noProof w:val="0"/>
                <w:rtl/>
              </w:rPr>
              <w:t xml:space="preserve">הסדרת לוחות זמנים מחייבים להכנת סקרים סביבתיים ותחבורתיים </w:t>
            </w:r>
            <w:r w:rsidRPr="00893437">
              <w:rPr>
                <w:rFonts w:hint="cs"/>
                <w:b w:val="0"/>
                <w:bCs w:val="0"/>
                <w:noProof w:val="0"/>
                <w:rtl/>
              </w:rPr>
              <w:t>הנדרשים לקידום התכניות וכן התמהמהות של חלק מיוזמי התכניות ומהגופים המאסדרים את התכנון.</w:t>
            </w:r>
          </w:p>
        </w:tc>
      </w:tr>
    </w:tbl>
    <w:p w:rsidR="00350D21" w:rsidP="00350D21">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893437">
              <w:rPr>
                <w:rFonts w:hint="cs"/>
                <w:sz w:val="24"/>
                <w:szCs w:val="24"/>
                <w:rtl/>
              </w:rPr>
              <w:t>מועילות מוגבלת של מסלול הוועדות לדיור לאומי</w:t>
            </w:r>
          </w:p>
        </w:tc>
      </w:tr>
      <w:tr w:rsidTr="00350D21">
        <w:tblPrEx>
          <w:tblW w:w="6691" w:type="dxa"/>
          <w:jc w:val="center"/>
          <w:tblLook w:val="04A0"/>
        </w:tblPrEx>
        <w:trPr>
          <w:cantSplit/>
          <w:jc w:val="center"/>
        </w:trPr>
        <w:tc>
          <w:tcPr>
            <w:tcW w:w="6691" w:type="dxa"/>
          </w:tcPr>
          <w:p w:rsidR="00350D21" w:rsidP="00350D21">
            <w:pPr>
              <w:pStyle w:val="takzir"/>
              <w:spacing w:before="60"/>
              <w:rPr>
                <w:b w:val="0"/>
                <w:bCs w:val="0"/>
                <w:noProof w:val="0"/>
                <w:rtl/>
              </w:rPr>
            </w:pPr>
            <w:r w:rsidRPr="00893437">
              <w:rPr>
                <w:rFonts w:hint="cs"/>
                <w:b w:val="0"/>
                <w:bCs w:val="0"/>
                <w:noProof w:val="0"/>
                <w:rtl/>
              </w:rPr>
              <w:t>נמצא</w:t>
            </w:r>
            <w:r w:rsidRPr="00893437">
              <w:rPr>
                <w:b w:val="0"/>
                <w:bCs w:val="0"/>
                <w:noProof w:val="0"/>
                <w:rtl/>
              </w:rPr>
              <w:t xml:space="preserve"> שמסלול הווד"לים סייע ל</w:t>
            </w:r>
            <w:r w:rsidRPr="00893437">
              <w:rPr>
                <w:rFonts w:hint="cs"/>
                <w:b w:val="0"/>
                <w:bCs w:val="0"/>
                <w:noProof w:val="0"/>
                <w:rtl/>
              </w:rPr>
              <w:t>אישורן</w:t>
            </w:r>
            <w:r w:rsidRPr="00893437">
              <w:rPr>
                <w:b w:val="0"/>
                <w:bCs w:val="0"/>
                <w:noProof w:val="0"/>
                <w:rtl/>
              </w:rPr>
              <w:t xml:space="preserve"> של חלק קטן (כחמישית) מיחידות הדיור</w:t>
            </w:r>
            <w:r w:rsidRPr="00893437">
              <w:rPr>
                <w:rFonts w:hint="cs"/>
                <w:b w:val="0"/>
                <w:bCs w:val="0"/>
                <w:noProof w:val="0"/>
                <w:rtl/>
              </w:rPr>
              <w:t xml:space="preserve"> שאושרו בסך הכול (מאוגוסט 2011 עד אפריל 2013)</w:t>
            </w:r>
            <w:r w:rsidRPr="00893437">
              <w:rPr>
                <w:b w:val="0"/>
                <w:bCs w:val="0"/>
                <w:noProof w:val="0"/>
                <w:rtl/>
              </w:rPr>
              <w:t>, ו</w:t>
            </w:r>
            <w:r w:rsidRPr="00893437">
              <w:rPr>
                <w:rFonts w:hint="cs"/>
                <w:b w:val="0"/>
                <w:bCs w:val="0"/>
                <w:noProof w:val="0"/>
                <w:rtl/>
              </w:rPr>
              <w:t xml:space="preserve">שרוב </w:t>
            </w:r>
            <w:r w:rsidRPr="00893437">
              <w:rPr>
                <w:b w:val="0"/>
                <w:bCs w:val="0"/>
                <w:noProof w:val="0"/>
                <w:rtl/>
              </w:rPr>
              <w:t>התכניות המקודמות במרכז הארץ</w:t>
            </w:r>
            <w:r w:rsidRPr="00893437">
              <w:rPr>
                <w:rFonts w:hint="cs"/>
                <w:b w:val="0"/>
                <w:bCs w:val="0"/>
                <w:noProof w:val="0"/>
                <w:rtl/>
              </w:rPr>
              <w:t>,</w:t>
            </w:r>
            <w:r w:rsidRPr="00893437">
              <w:rPr>
                <w:b w:val="0"/>
                <w:bCs w:val="0"/>
                <w:noProof w:val="0"/>
                <w:rtl/>
              </w:rPr>
              <w:t xml:space="preserve"> שבו </w:t>
            </w:r>
            <w:r w:rsidRPr="00893437">
              <w:rPr>
                <w:rFonts w:hint="cs"/>
                <w:b w:val="0"/>
                <w:bCs w:val="0"/>
                <w:noProof w:val="0"/>
                <w:rtl/>
              </w:rPr>
              <w:t xml:space="preserve">יש </w:t>
            </w:r>
            <w:r w:rsidRPr="00893437">
              <w:rPr>
                <w:b w:val="0"/>
                <w:bCs w:val="0"/>
                <w:noProof w:val="0"/>
                <w:rtl/>
              </w:rPr>
              <w:t>ביקוש</w:t>
            </w:r>
            <w:r w:rsidRPr="00893437">
              <w:rPr>
                <w:rFonts w:hint="cs"/>
                <w:b w:val="0"/>
                <w:bCs w:val="0"/>
                <w:noProof w:val="0"/>
                <w:rtl/>
              </w:rPr>
              <w:t>ים</w:t>
            </w:r>
            <w:r w:rsidRPr="00893437">
              <w:rPr>
                <w:b w:val="0"/>
                <w:bCs w:val="0"/>
                <w:noProof w:val="0"/>
                <w:rtl/>
              </w:rPr>
              <w:t xml:space="preserve"> גדולים</w:t>
            </w:r>
            <w:r w:rsidRPr="00893437">
              <w:rPr>
                <w:rFonts w:hint="cs"/>
                <w:b w:val="0"/>
                <w:bCs w:val="0"/>
                <w:noProof w:val="0"/>
                <w:rtl/>
              </w:rPr>
              <w:t>,</w:t>
            </w:r>
            <w:r w:rsidRPr="00893437">
              <w:rPr>
                <w:b w:val="0"/>
                <w:bCs w:val="0"/>
                <w:noProof w:val="0"/>
                <w:rtl/>
              </w:rPr>
              <w:t xml:space="preserve"> </w:t>
            </w:r>
            <w:r w:rsidRPr="00893437">
              <w:rPr>
                <w:rFonts w:hint="cs"/>
                <w:b w:val="0"/>
                <w:bCs w:val="0"/>
                <w:noProof w:val="0"/>
                <w:rtl/>
              </w:rPr>
              <w:t>לא התאימו</w:t>
            </w:r>
            <w:r w:rsidRPr="00893437">
              <w:rPr>
                <w:b w:val="0"/>
                <w:bCs w:val="0"/>
                <w:noProof w:val="0"/>
                <w:rtl/>
              </w:rPr>
              <w:t xml:space="preserve"> לקידום במסלול זה. </w:t>
            </w:r>
            <w:r w:rsidRPr="00893437">
              <w:rPr>
                <w:rFonts w:hint="cs"/>
                <w:b w:val="0"/>
                <w:bCs w:val="0"/>
                <w:noProof w:val="0"/>
                <w:rtl/>
              </w:rPr>
              <w:t>יתר על כן, חלק מהתכניות שאושרו במסלול זה אינן זמינות למימוש בטווח הזמן הקצר, ועל כן אין בהן כדי לסייע להגדלת ההיצע בשוק הדיור בקרוב.</w:t>
            </w:r>
          </w:p>
        </w:tc>
      </w:tr>
    </w:tbl>
    <w:p w:rsidR="00350D21" w:rsidP="00350D21">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893437">
              <w:rPr>
                <w:rFonts w:hint="cs"/>
                <w:sz w:val="24"/>
                <w:szCs w:val="24"/>
                <w:rtl/>
              </w:rPr>
              <w:t>ליקויים בשיווק קרקע למגורים</w:t>
            </w:r>
          </w:p>
        </w:tc>
      </w:tr>
      <w:tr w:rsidTr="00350D21">
        <w:tblPrEx>
          <w:tblW w:w="6691" w:type="dxa"/>
          <w:jc w:val="center"/>
          <w:tblLook w:val="04A0"/>
        </w:tblPrEx>
        <w:trPr>
          <w:cantSplit/>
          <w:jc w:val="center"/>
        </w:trPr>
        <w:tc>
          <w:tcPr>
            <w:tcW w:w="6691" w:type="dxa"/>
          </w:tcPr>
          <w:p w:rsidR="00893437" w:rsidRPr="00893437" w:rsidP="00893437">
            <w:pPr>
              <w:pStyle w:val="takzir"/>
              <w:spacing w:before="60"/>
              <w:rPr>
                <w:b w:val="0"/>
                <w:bCs w:val="0"/>
                <w:noProof w:val="0"/>
                <w:rtl/>
              </w:rPr>
            </w:pPr>
            <w:r w:rsidRPr="00893437">
              <w:rPr>
                <w:rFonts w:hint="cs"/>
                <w:b w:val="0"/>
                <w:bCs w:val="0"/>
                <w:noProof w:val="0"/>
                <w:rtl/>
              </w:rPr>
              <w:t>בהחלטות הממשלה בנושא שיווק קרקעות למגורים לא נקבעו סדרי עדיפויות, היעדים שנקבעו בהן לא כללו חלוקה לפי מחוזות, והן לא לוו בהסברים בנוגע לאופן קביעת היעדים. יתרה מזאת, ההחלטות לא התקבלו על בסיס מידע שלם. גם</w:t>
            </w:r>
            <w:r w:rsidRPr="00893437">
              <w:rPr>
                <w:b w:val="0"/>
                <w:bCs w:val="0"/>
                <w:noProof w:val="0"/>
                <w:rtl/>
              </w:rPr>
              <w:t xml:space="preserve"> מועצת מקרקע</w:t>
            </w:r>
            <w:r w:rsidRPr="00893437">
              <w:rPr>
                <w:rFonts w:hint="cs"/>
                <w:b w:val="0"/>
                <w:bCs w:val="0"/>
                <w:noProof w:val="0"/>
                <w:rtl/>
              </w:rPr>
              <w:t>י</w:t>
            </w:r>
            <w:r w:rsidRPr="00893437">
              <w:rPr>
                <w:b w:val="0"/>
                <w:bCs w:val="0"/>
                <w:noProof w:val="0"/>
                <w:rtl/>
              </w:rPr>
              <w:t xml:space="preserve"> ישראל</w:t>
            </w:r>
            <w:r w:rsidRPr="00893437">
              <w:rPr>
                <w:rFonts w:hint="cs"/>
                <w:b w:val="0"/>
                <w:bCs w:val="0"/>
                <w:noProof w:val="0"/>
                <w:rtl/>
              </w:rPr>
              <w:t xml:space="preserve"> לא קבעה מדיניות ברורה בנושא שיווק קרקעות למגורים ולא קיבלה החלטות מפורשות בנוגע ליעדי השיווק. </w:t>
            </w:r>
          </w:p>
          <w:p w:rsidR="00893437" w:rsidRPr="00893437" w:rsidP="00893437">
            <w:pPr>
              <w:pStyle w:val="takzir"/>
              <w:rPr>
                <w:b w:val="0"/>
                <w:bCs w:val="0"/>
                <w:noProof w:val="0"/>
                <w:rtl/>
              </w:rPr>
            </w:pPr>
            <w:r w:rsidRPr="00893437">
              <w:rPr>
                <w:rFonts w:hint="cs"/>
                <w:b w:val="0"/>
                <w:bCs w:val="0"/>
                <w:noProof w:val="0"/>
                <w:rtl/>
              </w:rPr>
              <w:t xml:space="preserve">חלק ניכר ממלאי הקרקעות המופיע בתכניות העבודה לשיווק של רמ"י ושל משרד הבינוי אינו זמין בפועל לשיווק, דהיינו נרשם פער גדול בין כמות יחידות הדיור הכלולות בתכנית העבודה ליח"ד המתפרסמות לשיווק. כמו כן, נרשם פער גדול בין מספרן בפרסומים למספרן בעסקאות שנחתמו בגינן; משנת 2007 עד יולי 2014 פורסמו לשווק כ-199,600 יח"ד ובסופו של דבר נחתמו עסקאות בגין כ-96,900 יח"ד בלבד (כ-48%). היקף זה מצומצם מהנדרש על פי יעדי הממשלה לשיווק לשנים אלו. </w:t>
            </w:r>
          </w:p>
          <w:p w:rsidR="00350D21" w:rsidP="00893437">
            <w:pPr>
              <w:pStyle w:val="takzir"/>
              <w:rPr>
                <w:b w:val="0"/>
                <w:bCs w:val="0"/>
                <w:noProof w:val="0"/>
                <w:rtl/>
              </w:rPr>
            </w:pPr>
            <w:r w:rsidRPr="00893437">
              <w:rPr>
                <w:rFonts w:hint="cs"/>
                <w:b w:val="0"/>
                <w:bCs w:val="0"/>
                <w:noProof w:val="0"/>
                <w:rtl/>
              </w:rPr>
              <w:t>זאת ועוד</w:t>
            </w:r>
            <w:r w:rsidRPr="00893437">
              <w:rPr>
                <w:b w:val="0"/>
                <w:bCs w:val="0"/>
                <w:noProof w:val="0"/>
                <w:rtl/>
              </w:rPr>
              <w:t xml:space="preserve">, בשנים 2012-2007 היקף </w:t>
            </w:r>
            <w:r w:rsidRPr="00893437">
              <w:rPr>
                <w:rFonts w:hint="cs"/>
                <w:b w:val="0"/>
                <w:bCs w:val="0"/>
                <w:noProof w:val="0"/>
                <w:rtl/>
              </w:rPr>
              <w:t>יחידות הדיור</w:t>
            </w:r>
            <w:r w:rsidRPr="00893437">
              <w:rPr>
                <w:b w:val="0"/>
                <w:bCs w:val="0"/>
                <w:noProof w:val="0"/>
                <w:rtl/>
              </w:rPr>
              <w:t xml:space="preserve"> בעסקאות שנחתמו</w:t>
            </w:r>
            <w:r w:rsidRPr="00893437">
              <w:rPr>
                <w:rFonts w:hint="cs"/>
                <w:b w:val="0"/>
                <w:bCs w:val="0"/>
                <w:noProof w:val="0"/>
                <w:rtl/>
              </w:rPr>
              <w:t xml:space="preserve"> היה כ-50% ממספר היחידות הנדרשות עקב התוספת של משקי בית באותן שנים. </w:t>
            </w:r>
            <w:r w:rsidRPr="00893437">
              <w:rPr>
                <w:b w:val="0"/>
                <w:bCs w:val="0"/>
                <w:noProof w:val="0"/>
                <w:rtl/>
              </w:rPr>
              <w:t>עיקר המחסור בשיווק ניכר במחוז</w:t>
            </w:r>
            <w:r w:rsidRPr="00893437">
              <w:rPr>
                <w:rFonts w:hint="cs"/>
                <w:b w:val="0"/>
                <w:bCs w:val="0"/>
                <w:noProof w:val="0"/>
                <w:rtl/>
              </w:rPr>
              <w:t>ות</w:t>
            </w:r>
            <w:r w:rsidRPr="00893437">
              <w:rPr>
                <w:b w:val="0"/>
                <w:bCs w:val="0"/>
                <w:noProof w:val="0"/>
                <w:rtl/>
              </w:rPr>
              <w:t xml:space="preserve"> המרכז </w:t>
            </w:r>
            <w:r w:rsidRPr="00893437">
              <w:rPr>
                <w:rFonts w:hint="cs"/>
                <w:b w:val="0"/>
                <w:bCs w:val="0"/>
                <w:noProof w:val="0"/>
                <w:rtl/>
              </w:rPr>
              <w:t>ו</w:t>
            </w:r>
            <w:r w:rsidRPr="00893437">
              <w:rPr>
                <w:b w:val="0"/>
                <w:bCs w:val="0"/>
                <w:noProof w:val="0"/>
                <w:rtl/>
              </w:rPr>
              <w:t xml:space="preserve">תל אביב </w:t>
            </w:r>
            <w:r w:rsidRPr="00893437">
              <w:rPr>
                <w:rFonts w:hint="cs"/>
                <w:b w:val="0"/>
                <w:bCs w:val="0"/>
                <w:noProof w:val="0"/>
                <w:rtl/>
              </w:rPr>
              <w:t xml:space="preserve">בהם שווקו רק </w:t>
            </w:r>
            <w:r w:rsidRPr="00893437">
              <w:rPr>
                <w:b w:val="0"/>
                <w:bCs w:val="0"/>
                <w:noProof w:val="0"/>
                <w:rtl/>
              </w:rPr>
              <w:t xml:space="preserve">כ-39% </w:t>
            </w:r>
            <w:r w:rsidRPr="00893437">
              <w:rPr>
                <w:rFonts w:hint="cs"/>
                <w:b w:val="0"/>
                <w:bCs w:val="0"/>
                <w:noProof w:val="0"/>
                <w:rtl/>
              </w:rPr>
              <w:t>ו-</w:t>
            </w:r>
            <w:r w:rsidRPr="00893437">
              <w:rPr>
                <w:b w:val="0"/>
                <w:bCs w:val="0"/>
                <w:noProof w:val="0"/>
                <w:rtl/>
              </w:rPr>
              <w:t>25%</w:t>
            </w:r>
            <w:r w:rsidRPr="00893437">
              <w:rPr>
                <w:rFonts w:hint="cs"/>
                <w:b w:val="0"/>
                <w:bCs w:val="0"/>
                <w:noProof w:val="0"/>
                <w:rtl/>
              </w:rPr>
              <w:t xml:space="preserve"> מהנדרש, בהתאמה.</w:t>
            </w:r>
          </w:p>
        </w:tc>
      </w:tr>
    </w:tbl>
    <w:p w:rsidR="00350D21" w:rsidP="00350D21">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893437">
              <w:rPr>
                <w:rFonts w:hint="eastAsia"/>
                <w:sz w:val="24"/>
                <w:szCs w:val="24"/>
                <w:rtl/>
              </w:rPr>
              <w:t>ליקויים</w:t>
            </w:r>
            <w:r w:rsidRPr="00893437">
              <w:rPr>
                <w:sz w:val="24"/>
                <w:szCs w:val="24"/>
                <w:rtl/>
              </w:rPr>
              <w:t xml:space="preserve"> </w:t>
            </w:r>
            <w:r w:rsidRPr="00893437">
              <w:rPr>
                <w:rFonts w:hint="eastAsia"/>
                <w:sz w:val="24"/>
                <w:szCs w:val="24"/>
                <w:rtl/>
              </w:rPr>
              <w:t>ב</w:t>
            </w:r>
            <w:r w:rsidRPr="00893437">
              <w:rPr>
                <w:rFonts w:hint="cs"/>
                <w:sz w:val="24"/>
                <w:szCs w:val="24"/>
                <w:rtl/>
              </w:rPr>
              <w:t>מימוש תכניות למגורים על ידי הרשויות המקומיות</w:t>
            </w:r>
          </w:p>
        </w:tc>
      </w:tr>
      <w:tr w:rsidTr="00350D21">
        <w:tblPrEx>
          <w:tblW w:w="6691" w:type="dxa"/>
          <w:jc w:val="center"/>
          <w:tblLook w:val="04A0"/>
        </w:tblPrEx>
        <w:trPr>
          <w:cantSplit/>
          <w:jc w:val="center"/>
        </w:trPr>
        <w:tc>
          <w:tcPr>
            <w:tcW w:w="6691" w:type="dxa"/>
          </w:tcPr>
          <w:p w:rsidR="00893437" w:rsidRPr="00893437" w:rsidP="00893437">
            <w:pPr>
              <w:pStyle w:val="takzir"/>
              <w:spacing w:before="60"/>
              <w:rPr>
                <w:b w:val="0"/>
                <w:bCs w:val="0"/>
                <w:noProof w:val="0"/>
                <w:rtl/>
              </w:rPr>
            </w:pPr>
            <w:r w:rsidRPr="00893437">
              <w:rPr>
                <w:b w:val="0"/>
                <w:bCs w:val="0"/>
                <w:noProof w:val="0"/>
                <w:rtl/>
              </w:rPr>
              <w:t xml:space="preserve">נמצא כי ההסדרים הקיימים למימון עלויות הפיתוח </w:t>
            </w:r>
            <w:r w:rsidRPr="00893437">
              <w:rPr>
                <w:rFonts w:hint="cs"/>
                <w:b w:val="0"/>
                <w:bCs w:val="0"/>
                <w:noProof w:val="0"/>
                <w:rtl/>
              </w:rPr>
              <w:t xml:space="preserve">של הקרקע </w:t>
            </w:r>
            <w:r w:rsidRPr="00893437">
              <w:rPr>
                <w:b w:val="0"/>
                <w:bCs w:val="0"/>
                <w:noProof w:val="0"/>
                <w:rtl/>
              </w:rPr>
              <w:t>ברשויות המקומיות לוקים בחוסר יעילות ולעתים אף אינם מאפשרים מימון ריאלי של עבודות הפיתוח</w:t>
            </w:r>
            <w:r w:rsidRPr="00893437">
              <w:rPr>
                <w:rFonts w:hint="cs"/>
                <w:b w:val="0"/>
                <w:bCs w:val="0"/>
                <w:noProof w:val="0"/>
                <w:rtl/>
              </w:rPr>
              <w:t>.</w:t>
            </w:r>
            <w:r w:rsidRPr="00893437">
              <w:rPr>
                <w:b w:val="0"/>
                <w:bCs w:val="0"/>
                <w:noProof w:val="0"/>
                <w:rtl/>
              </w:rPr>
              <w:t xml:space="preserve"> במתכונתם הנוכחית הם </w:t>
            </w:r>
            <w:r w:rsidRPr="00893437">
              <w:rPr>
                <w:rFonts w:hint="cs"/>
                <w:b w:val="0"/>
                <w:bCs w:val="0"/>
                <w:noProof w:val="0"/>
                <w:rtl/>
              </w:rPr>
              <w:t>גם</w:t>
            </w:r>
            <w:r w:rsidRPr="00893437">
              <w:rPr>
                <w:b w:val="0"/>
                <w:bCs w:val="0"/>
                <w:noProof w:val="0"/>
                <w:rtl/>
              </w:rPr>
              <w:t xml:space="preserve"> לעתים חסם</w:t>
            </w:r>
            <w:r w:rsidRPr="00893437">
              <w:rPr>
                <w:rFonts w:hint="cs"/>
                <w:b w:val="0"/>
                <w:bCs w:val="0"/>
                <w:noProof w:val="0"/>
                <w:rtl/>
              </w:rPr>
              <w:t xml:space="preserve"> המעכב את</w:t>
            </w:r>
            <w:r w:rsidRPr="00893437">
              <w:rPr>
                <w:b w:val="0"/>
                <w:bCs w:val="0"/>
                <w:noProof w:val="0"/>
                <w:rtl/>
              </w:rPr>
              <w:t xml:space="preserve"> פיתוחן של שכונות מגורים ו</w:t>
            </w:r>
            <w:r w:rsidRPr="00893437">
              <w:rPr>
                <w:rFonts w:hint="cs"/>
                <w:b w:val="0"/>
                <w:bCs w:val="0"/>
                <w:noProof w:val="0"/>
                <w:rtl/>
              </w:rPr>
              <w:t xml:space="preserve">את </w:t>
            </w:r>
            <w:r w:rsidRPr="00893437">
              <w:rPr>
                <w:b w:val="0"/>
                <w:bCs w:val="0"/>
                <w:noProof w:val="0"/>
                <w:rtl/>
              </w:rPr>
              <w:t>בניית</w:t>
            </w:r>
            <w:r w:rsidRPr="00893437">
              <w:rPr>
                <w:rFonts w:hint="cs"/>
                <w:b w:val="0"/>
                <w:bCs w:val="0"/>
                <w:noProof w:val="0"/>
                <w:rtl/>
              </w:rPr>
              <w:t>ן של</w:t>
            </w:r>
            <w:r w:rsidRPr="00893437">
              <w:rPr>
                <w:b w:val="0"/>
                <w:bCs w:val="0"/>
                <w:noProof w:val="0"/>
                <w:rtl/>
              </w:rPr>
              <w:t xml:space="preserve"> אלפי יחידות דיור. אף </w:t>
            </w:r>
            <w:r w:rsidRPr="00893437">
              <w:rPr>
                <w:rFonts w:hint="cs"/>
                <w:b w:val="0"/>
                <w:bCs w:val="0"/>
                <w:noProof w:val="0"/>
                <w:rtl/>
              </w:rPr>
              <w:t>ש</w:t>
            </w:r>
            <w:r w:rsidRPr="00893437">
              <w:rPr>
                <w:b w:val="0"/>
                <w:bCs w:val="0"/>
                <w:noProof w:val="0"/>
                <w:rtl/>
              </w:rPr>
              <w:t xml:space="preserve">הממשלה </w:t>
            </w:r>
            <w:r w:rsidRPr="00893437">
              <w:rPr>
                <w:rFonts w:hint="cs"/>
                <w:b w:val="0"/>
                <w:bCs w:val="0"/>
                <w:noProof w:val="0"/>
                <w:rtl/>
              </w:rPr>
              <w:t>זיהתה בעיה זו</w:t>
            </w:r>
            <w:r w:rsidRPr="00893437">
              <w:rPr>
                <w:b w:val="0"/>
                <w:bCs w:val="0"/>
                <w:noProof w:val="0"/>
                <w:rtl/>
              </w:rPr>
              <w:t xml:space="preserve"> </w:t>
            </w:r>
            <w:r w:rsidRPr="00893437">
              <w:rPr>
                <w:rFonts w:hint="cs"/>
                <w:b w:val="0"/>
                <w:bCs w:val="0"/>
                <w:noProof w:val="0"/>
                <w:rtl/>
              </w:rPr>
              <w:t xml:space="preserve">כבר </w:t>
            </w:r>
            <w:r w:rsidRPr="00893437">
              <w:rPr>
                <w:b w:val="0"/>
                <w:bCs w:val="0"/>
                <w:noProof w:val="0"/>
                <w:rtl/>
              </w:rPr>
              <w:t xml:space="preserve">לפני כחמש שנים היא עדיין לא באה על פתרונה. </w:t>
            </w:r>
            <w:r w:rsidRPr="00893437">
              <w:rPr>
                <w:rFonts w:hint="cs"/>
                <w:b w:val="0"/>
                <w:bCs w:val="0"/>
                <w:noProof w:val="0"/>
                <w:rtl/>
              </w:rPr>
              <w:t>בגלל מציאות כזאת ובשל סיבות נוספות המפורטות בדוח זה ח</w:t>
            </w:r>
            <w:r w:rsidRPr="00893437">
              <w:rPr>
                <w:b w:val="0"/>
                <w:bCs w:val="0"/>
                <w:noProof w:val="0"/>
                <w:rtl/>
              </w:rPr>
              <w:t>ל</w:t>
            </w:r>
            <w:r w:rsidRPr="00893437">
              <w:rPr>
                <w:rFonts w:hint="cs"/>
                <w:b w:val="0"/>
                <w:bCs w:val="0"/>
                <w:noProof w:val="0"/>
                <w:rtl/>
              </w:rPr>
              <w:t>ו</w:t>
            </w:r>
            <w:r w:rsidRPr="00893437">
              <w:rPr>
                <w:b w:val="0"/>
                <w:bCs w:val="0"/>
                <w:noProof w:val="0"/>
                <w:rtl/>
              </w:rPr>
              <w:t xml:space="preserve"> עיכובים </w:t>
            </w:r>
            <w:r w:rsidRPr="00893437">
              <w:rPr>
                <w:rFonts w:hint="cs"/>
                <w:b w:val="0"/>
                <w:bCs w:val="0"/>
                <w:noProof w:val="0"/>
                <w:rtl/>
              </w:rPr>
              <w:t xml:space="preserve">של כמה שנים </w:t>
            </w:r>
            <w:r w:rsidRPr="00893437">
              <w:rPr>
                <w:b w:val="0"/>
                <w:bCs w:val="0"/>
                <w:noProof w:val="0"/>
                <w:rtl/>
              </w:rPr>
              <w:t>במימוש התכניות</w:t>
            </w:r>
            <w:r w:rsidRPr="00893437">
              <w:rPr>
                <w:rFonts w:hint="cs"/>
                <w:b w:val="0"/>
                <w:bCs w:val="0"/>
                <w:noProof w:val="0"/>
                <w:rtl/>
              </w:rPr>
              <w:t>,</w:t>
            </w:r>
            <w:r w:rsidRPr="00893437">
              <w:rPr>
                <w:b w:val="0"/>
                <w:bCs w:val="0"/>
                <w:noProof w:val="0"/>
                <w:rtl/>
              </w:rPr>
              <w:t xml:space="preserve"> והדבר </w:t>
            </w:r>
            <w:r w:rsidRPr="00893437">
              <w:rPr>
                <w:rFonts w:hint="cs"/>
                <w:b w:val="0"/>
                <w:bCs w:val="0"/>
                <w:noProof w:val="0"/>
                <w:rtl/>
              </w:rPr>
              <w:t>פגע ב</w:t>
            </w:r>
            <w:r w:rsidRPr="00893437">
              <w:rPr>
                <w:b w:val="0"/>
                <w:bCs w:val="0"/>
                <w:noProof w:val="0"/>
                <w:rtl/>
              </w:rPr>
              <w:t xml:space="preserve">יכולת להגמיש את </w:t>
            </w:r>
            <w:r w:rsidRPr="00893437">
              <w:rPr>
                <w:rFonts w:hint="cs"/>
                <w:b w:val="0"/>
                <w:bCs w:val="0"/>
                <w:noProof w:val="0"/>
                <w:rtl/>
              </w:rPr>
              <w:t>ה</w:t>
            </w:r>
            <w:r w:rsidRPr="00893437">
              <w:rPr>
                <w:b w:val="0"/>
                <w:bCs w:val="0"/>
                <w:noProof w:val="0"/>
                <w:rtl/>
              </w:rPr>
              <w:t xml:space="preserve">היצע </w:t>
            </w:r>
            <w:r w:rsidRPr="00893437">
              <w:rPr>
                <w:rFonts w:hint="cs"/>
                <w:b w:val="0"/>
                <w:bCs w:val="0"/>
                <w:noProof w:val="0"/>
                <w:rtl/>
              </w:rPr>
              <w:t>בשוק הדיור</w:t>
            </w:r>
            <w:r w:rsidRPr="00893437">
              <w:rPr>
                <w:b w:val="0"/>
                <w:bCs w:val="0"/>
                <w:noProof w:val="0"/>
                <w:rtl/>
              </w:rPr>
              <w:t>.</w:t>
            </w:r>
          </w:p>
          <w:p w:rsidR="00350D21" w:rsidP="00893437">
            <w:pPr>
              <w:pStyle w:val="takzir"/>
              <w:rPr>
                <w:b w:val="0"/>
                <w:bCs w:val="0"/>
                <w:noProof w:val="0"/>
                <w:rtl/>
              </w:rPr>
            </w:pPr>
            <w:r w:rsidRPr="00893437">
              <w:rPr>
                <w:b w:val="0"/>
                <w:bCs w:val="0"/>
                <w:noProof w:val="0"/>
                <w:rtl/>
              </w:rPr>
              <w:t>תהלי</w:t>
            </w:r>
            <w:r w:rsidRPr="00893437">
              <w:rPr>
                <w:rFonts w:hint="cs"/>
                <w:b w:val="0"/>
                <w:bCs w:val="0"/>
                <w:noProof w:val="0"/>
                <w:rtl/>
              </w:rPr>
              <w:t>כי</w:t>
            </w:r>
            <w:r w:rsidRPr="00893437">
              <w:rPr>
                <w:b w:val="0"/>
                <w:bCs w:val="0"/>
                <w:noProof w:val="0"/>
                <w:rtl/>
              </w:rPr>
              <w:t xml:space="preserve"> רישוי הבנייה (לאחר הגשת בקשות להיתר בנייה) </w:t>
            </w:r>
            <w:r w:rsidRPr="00893437">
              <w:rPr>
                <w:rFonts w:hint="cs"/>
                <w:b w:val="0"/>
                <w:bCs w:val="0"/>
                <w:noProof w:val="0"/>
                <w:rtl/>
              </w:rPr>
              <w:t>ארוכים - משכם הממוצע ברשויות שנבדקו הוא 15-8.4 חודשים והסמכויות מפוצלות בין כמה גופים רלוונטיים.</w:t>
            </w:r>
          </w:p>
        </w:tc>
      </w:tr>
    </w:tbl>
    <w:p w:rsidR="00412093" w:rsidRPr="001329DE" w:rsidP="00412093">
      <w:pPr>
        <w:pStyle w:val="KOT2"/>
        <w:spacing w:before="240"/>
        <w:rPr>
          <w:rtl/>
        </w:rPr>
      </w:pPr>
      <w:r w:rsidRPr="00412093">
        <w:rPr>
          <w:rFonts w:hint="cs"/>
          <w:b w:val="0"/>
          <w:bCs w:val="0"/>
          <w:sz w:val="28"/>
          <w:szCs w:val="28"/>
          <w:rtl/>
        </w:rPr>
        <w:t xml:space="preserve">שער רביעי </w:t>
      </w:r>
      <w:r w:rsidRPr="00412093">
        <w:rPr>
          <w:b w:val="0"/>
          <w:bCs w:val="0"/>
          <w:sz w:val="28"/>
          <w:szCs w:val="28"/>
        </w:rPr>
        <w:br/>
      </w:r>
      <w:r w:rsidRPr="001329DE">
        <w:rPr>
          <w:rFonts w:hint="cs"/>
          <w:rtl/>
        </w:rPr>
        <w:t>פעולות הממשלה בתחום דיור בר השגה</w:t>
      </w: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412093">
              <w:rPr>
                <w:rFonts w:hint="cs"/>
                <w:sz w:val="24"/>
                <w:szCs w:val="24"/>
                <w:rtl/>
              </w:rPr>
              <w:t>במשך שנים לא ה</w:t>
            </w:r>
            <w:r w:rsidR="00CD7EA8">
              <w:rPr>
                <w:rFonts w:hint="cs"/>
                <w:sz w:val="24"/>
                <w:szCs w:val="24"/>
                <w:rtl/>
              </w:rPr>
              <w:t>י</w:t>
            </w:r>
            <w:r w:rsidRPr="00412093">
              <w:rPr>
                <w:rFonts w:hint="cs"/>
                <w:sz w:val="24"/>
                <w:szCs w:val="24"/>
                <w:rtl/>
              </w:rPr>
              <w:t>יתה</w:t>
            </w:r>
            <w:r w:rsidRPr="00412093">
              <w:rPr>
                <w:sz w:val="24"/>
                <w:szCs w:val="24"/>
                <w:rtl/>
              </w:rPr>
              <w:t xml:space="preserve"> הסדרה חוקתית-מינהלית של דיור בר השגה</w:t>
            </w:r>
          </w:p>
        </w:tc>
      </w:tr>
      <w:tr w:rsidTr="00350D21">
        <w:tblPrEx>
          <w:tblW w:w="6691" w:type="dxa"/>
          <w:jc w:val="center"/>
          <w:tblLook w:val="04A0"/>
        </w:tblPrEx>
        <w:trPr>
          <w:cantSplit/>
          <w:jc w:val="center"/>
        </w:trPr>
        <w:tc>
          <w:tcPr>
            <w:tcW w:w="6691" w:type="dxa"/>
          </w:tcPr>
          <w:p w:rsidR="00350D21" w:rsidP="00B24DC0">
            <w:pPr>
              <w:pStyle w:val="takzir"/>
              <w:spacing w:before="60" w:line="230" w:lineRule="exact"/>
              <w:rPr>
                <w:b w:val="0"/>
                <w:bCs w:val="0"/>
                <w:noProof w:val="0"/>
                <w:rtl/>
              </w:rPr>
            </w:pPr>
            <w:r w:rsidRPr="00412093">
              <w:rPr>
                <w:rFonts w:hint="cs"/>
                <w:b w:val="0"/>
                <w:bCs w:val="0"/>
                <w:noProof w:val="0"/>
                <w:rtl/>
              </w:rPr>
              <w:t xml:space="preserve">בישראל, שלא כמו ברוב מדינות המערב המפותחות, טרם הונח מסד חוקי המסדיר את נושא דיור בר ההשגה לרבות ההגדרה של המונח, של קהל היעד ושל הכלים שבאמצעותם יש ליישם את הנושא וקביעת מנגנוני שליטה ופיקוח על יישומו. </w:t>
            </w:r>
            <w:r w:rsidRPr="00412093">
              <w:rPr>
                <w:b w:val="0"/>
                <w:bCs w:val="0"/>
                <w:noProof w:val="0"/>
                <w:rtl/>
              </w:rPr>
              <w:t xml:space="preserve">הצורך בהסדרה הוכר על ידי הממשלה; אולם במועד סיום הביקורת טרם הוסדר באופן כולל </w:t>
            </w:r>
            <w:r w:rsidRPr="00412093">
              <w:rPr>
                <w:rFonts w:hint="cs"/>
                <w:b w:val="0"/>
                <w:bCs w:val="0"/>
                <w:noProof w:val="0"/>
                <w:rtl/>
              </w:rPr>
              <w:t>נושא זה</w:t>
            </w:r>
            <w:r w:rsidRPr="00412093">
              <w:rPr>
                <w:b w:val="0"/>
                <w:bCs w:val="0"/>
                <w:noProof w:val="0"/>
                <w:rtl/>
              </w:rPr>
              <w:t xml:space="preserve">, על מכלול היבטיו, לא באמצעות חקיקה ולא באמצעות הסדרה מינהלית. היעדר הסדרה </w:t>
            </w:r>
            <w:r w:rsidRPr="00412093">
              <w:rPr>
                <w:rFonts w:hint="cs"/>
                <w:b w:val="0"/>
                <w:bCs w:val="0"/>
                <w:noProof w:val="0"/>
                <w:rtl/>
              </w:rPr>
              <w:t>גרם לעיכוב</w:t>
            </w:r>
            <w:r w:rsidRPr="00412093">
              <w:rPr>
                <w:b w:val="0"/>
                <w:bCs w:val="0"/>
                <w:noProof w:val="0"/>
                <w:rtl/>
              </w:rPr>
              <w:t xml:space="preserve"> בקידום פרויקטים לבניית דירות בהישג יד ואף לביטולם. לאחר מועד סיום הביקורת</w:t>
            </w:r>
            <w:r w:rsidRPr="00412093">
              <w:rPr>
                <w:rFonts w:hint="cs"/>
                <w:b w:val="0"/>
                <w:bCs w:val="0"/>
                <w:noProof w:val="0"/>
                <w:rtl/>
              </w:rPr>
              <w:t>,</w:t>
            </w:r>
            <w:r w:rsidRPr="00412093">
              <w:rPr>
                <w:b w:val="0"/>
                <w:bCs w:val="0"/>
                <w:noProof w:val="0"/>
                <w:rtl/>
              </w:rPr>
              <w:t xml:space="preserve"> באפריל 2014</w:t>
            </w:r>
            <w:r w:rsidRPr="00412093">
              <w:rPr>
                <w:rFonts w:hint="cs"/>
                <w:b w:val="0"/>
                <w:bCs w:val="0"/>
                <w:noProof w:val="0"/>
                <w:rtl/>
              </w:rPr>
              <w:t>,</w:t>
            </w:r>
            <w:r w:rsidRPr="00412093">
              <w:rPr>
                <w:b w:val="0"/>
                <w:bCs w:val="0"/>
                <w:noProof w:val="0"/>
                <w:rtl/>
              </w:rPr>
              <w:t xml:space="preserve"> פורסם תיקון </w:t>
            </w:r>
            <w:r w:rsidRPr="00412093">
              <w:rPr>
                <w:rFonts w:hint="cs"/>
                <w:b w:val="0"/>
                <w:bCs w:val="0"/>
                <w:noProof w:val="0"/>
                <w:rtl/>
              </w:rPr>
              <w:t>101</w:t>
            </w:r>
            <w:r w:rsidRPr="00412093">
              <w:rPr>
                <w:b w:val="0"/>
                <w:bCs w:val="0"/>
                <w:noProof w:val="0"/>
                <w:rtl/>
              </w:rPr>
              <w:t xml:space="preserve"> לחוק התכנון והבנייה </w:t>
            </w:r>
            <w:r w:rsidRPr="00412093">
              <w:rPr>
                <w:rFonts w:hint="cs"/>
                <w:b w:val="0"/>
                <w:bCs w:val="0"/>
                <w:noProof w:val="0"/>
                <w:rtl/>
              </w:rPr>
              <w:t>ש</w:t>
            </w:r>
            <w:r w:rsidRPr="00412093">
              <w:rPr>
                <w:b w:val="0"/>
                <w:bCs w:val="0"/>
                <w:noProof w:val="0"/>
                <w:rtl/>
              </w:rPr>
              <w:t xml:space="preserve">במסגרת התוספת השישית שלו נקבעו ההוראות לעניין דיור להשכרה לטווח ארוך, </w:t>
            </w:r>
            <w:r w:rsidRPr="00412093">
              <w:rPr>
                <w:rFonts w:hint="cs"/>
                <w:b w:val="0"/>
                <w:bCs w:val="0"/>
                <w:noProof w:val="0"/>
                <w:rtl/>
              </w:rPr>
              <w:t>ה</w:t>
            </w:r>
            <w:r w:rsidRPr="00412093">
              <w:rPr>
                <w:b w:val="0"/>
                <w:bCs w:val="0"/>
                <w:noProof w:val="0"/>
                <w:rtl/>
              </w:rPr>
              <w:t>מוגדר כ"דיור בהישג יד".</w:t>
            </w:r>
          </w:p>
        </w:tc>
      </w:tr>
    </w:tbl>
    <w:p w:rsidR="00350D21" w:rsidP="00B24DC0">
      <w:pPr>
        <w:pStyle w:val="takzir"/>
        <w:spacing w:after="0"/>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0D2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50D21" w:rsidP="00350D21">
            <w:pPr>
              <w:pStyle w:val="KOT5"/>
              <w:spacing w:before="120"/>
              <w:jc w:val="center"/>
              <w:rPr>
                <w:sz w:val="24"/>
                <w:szCs w:val="24"/>
                <w:rtl/>
              </w:rPr>
            </w:pPr>
            <w:r w:rsidRPr="00412093">
              <w:rPr>
                <w:rFonts w:hint="cs"/>
                <w:sz w:val="24"/>
                <w:szCs w:val="24"/>
                <w:rtl/>
              </w:rPr>
              <w:t xml:space="preserve">הביטוי </w:t>
            </w:r>
            <w:r w:rsidRPr="00412093">
              <w:rPr>
                <w:sz w:val="24"/>
                <w:szCs w:val="24"/>
                <w:rtl/>
              </w:rPr>
              <w:t>לדיור בר השגה בתכניות מתאר סטטוטוריות</w:t>
            </w:r>
            <w:r w:rsidRPr="00412093">
              <w:rPr>
                <w:rFonts w:hint="cs"/>
                <w:sz w:val="24"/>
                <w:szCs w:val="24"/>
                <w:rtl/>
              </w:rPr>
              <w:t xml:space="preserve"> הינו שולי ולא מספיק</w:t>
            </w:r>
          </w:p>
        </w:tc>
      </w:tr>
      <w:tr w:rsidTr="00FF1578">
        <w:tblPrEx>
          <w:tblW w:w="6691" w:type="dxa"/>
          <w:jc w:val="center"/>
          <w:tblLook w:val="04A0"/>
        </w:tblPrEx>
        <w:trPr>
          <w:cantSplit/>
          <w:trHeight w:val="2668"/>
          <w:jc w:val="center"/>
        </w:trPr>
        <w:tc>
          <w:tcPr>
            <w:tcW w:w="6691" w:type="dxa"/>
          </w:tcPr>
          <w:p w:rsidR="00B24DC0" w:rsidP="00B24DC0">
            <w:pPr>
              <w:pStyle w:val="takzir"/>
              <w:spacing w:before="60" w:line="230" w:lineRule="exact"/>
              <w:rPr>
                <w:b w:val="0"/>
                <w:bCs w:val="0"/>
                <w:noProof w:val="0"/>
                <w:rtl/>
              </w:rPr>
            </w:pPr>
            <w:r w:rsidRPr="00412093">
              <w:rPr>
                <w:b w:val="0"/>
                <w:bCs w:val="0"/>
                <w:noProof w:val="0"/>
                <w:rtl/>
              </w:rPr>
              <w:t xml:space="preserve">היזמים השלטוניים - משרד הבינוי ורמ"י </w:t>
            </w:r>
            <w:r w:rsidRPr="00412093">
              <w:rPr>
                <w:rFonts w:hint="cs"/>
                <w:b w:val="0"/>
                <w:bCs w:val="0"/>
                <w:noProof w:val="0"/>
                <w:rtl/>
              </w:rPr>
              <w:t>-</w:t>
            </w:r>
            <w:r w:rsidRPr="00412093">
              <w:rPr>
                <w:b w:val="0"/>
                <w:bCs w:val="0"/>
                <w:noProof w:val="0"/>
                <w:rtl/>
              </w:rPr>
              <w:t xml:space="preserve"> </w:t>
            </w:r>
            <w:r w:rsidRPr="00412093">
              <w:rPr>
                <w:rFonts w:hint="cs"/>
                <w:b w:val="0"/>
                <w:bCs w:val="0"/>
                <w:noProof w:val="0"/>
                <w:rtl/>
              </w:rPr>
              <w:t xml:space="preserve">נהגו להגיש </w:t>
            </w:r>
            <w:r w:rsidRPr="00412093">
              <w:rPr>
                <w:b w:val="0"/>
                <w:bCs w:val="0"/>
                <w:noProof w:val="0"/>
                <w:rtl/>
              </w:rPr>
              <w:t>תכניות לבנייה למגורים לאישור</w:t>
            </w:r>
            <w:r w:rsidRPr="00412093">
              <w:rPr>
                <w:rFonts w:hint="cs"/>
                <w:b w:val="0"/>
                <w:bCs w:val="0"/>
                <w:noProof w:val="0"/>
                <w:rtl/>
              </w:rPr>
              <w:t>ם של</w:t>
            </w:r>
            <w:r w:rsidRPr="00412093">
              <w:rPr>
                <w:b w:val="0"/>
                <w:bCs w:val="0"/>
                <w:noProof w:val="0"/>
                <w:rtl/>
              </w:rPr>
              <w:t xml:space="preserve"> מוסדות התכנון בלי ש</w:t>
            </w:r>
            <w:r w:rsidRPr="00412093">
              <w:rPr>
                <w:rFonts w:hint="cs"/>
                <w:b w:val="0"/>
                <w:bCs w:val="0"/>
                <w:noProof w:val="0"/>
                <w:rtl/>
              </w:rPr>
              <w:t>נגעו ב</w:t>
            </w:r>
            <w:r w:rsidRPr="00412093">
              <w:rPr>
                <w:b w:val="0"/>
                <w:bCs w:val="0"/>
                <w:noProof w:val="0"/>
                <w:rtl/>
              </w:rPr>
              <w:t>צורך בדיור בר השגה</w:t>
            </w:r>
            <w:r w:rsidRPr="00412093">
              <w:rPr>
                <w:rFonts w:hint="cs"/>
                <w:b w:val="0"/>
                <w:bCs w:val="0"/>
                <w:noProof w:val="0"/>
                <w:rtl/>
              </w:rPr>
              <w:t>,</w:t>
            </w:r>
            <w:r w:rsidRPr="00412093">
              <w:rPr>
                <w:b w:val="0"/>
                <w:bCs w:val="0"/>
                <w:noProof w:val="0"/>
                <w:rtl/>
              </w:rPr>
              <w:t xml:space="preserve"> לרבות תכנון שישקף תמהיל של גודל הדירות</w:t>
            </w:r>
            <w:r w:rsidRPr="00412093">
              <w:rPr>
                <w:rFonts w:hint="cs"/>
                <w:b w:val="0"/>
                <w:bCs w:val="0"/>
                <w:noProof w:val="0"/>
                <w:rtl/>
              </w:rPr>
              <w:t>, וזאת</w:t>
            </w:r>
            <w:r w:rsidRPr="00412093">
              <w:rPr>
                <w:b w:val="0"/>
                <w:bCs w:val="0"/>
                <w:noProof w:val="0"/>
                <w:rtl/>
              </w:rPr>
              <w:t xml:space="preserve"> בניגוד להוראות שבתמ"א 35.</w:t>
            </w:r>
          </w:p>
          <w:p w:rsidR="00B24DC0" w:rsidP="00B24DC0">
            <w:pPr>
              <w:pStyle w:val="takzir"/>
              <w:spacing w:line="230" w:lineRule="exact"/>
              <w:rPr>
                <w:b w:val="0"/>
                <w:bCs w:val="0"/>
                <w:noProof w:val="0"/>
                <w:rtl/>
              </w:rPr>
            </w:pPr>
            <w:r w:rsidRPr="00412093">
              <w:rPr>
                <w:b w:val="0"/>
                <w:bCs w:val="0"/>
                <w:noProof w:val="0"/>
                <w:rtl/>
              </w:rPr>
              <w:t xml:space="preserve">אף שמטרת חוק </w:t>
            </w:r>
            <w:r>
              <w:rPr>
                <w:rFonts w:hint="cs"/>
                <w:b w:val="0"/>
                <w:bCs w:val="0"/>
                <w:noProof w:val="0"/>
                <w:rtl/>
              </w:rPr>
              <w:t>הווד"לים</w:t>
            </w:r>
            <w:r w:rsidRPr="00412093">
              <w:rPr>
                <w:b w:val="0"/>
                <w:bCs w:val="0"/>
                <w:noProof w:val="0"/>
                <w:rtl/>
              </w:rPr>
              <w:t xml:space="preserve"> היא לתת פתרון לצורכי הדיור באמצעות היצע דירות מגורים בגדלים שונים ומסוגים שונים, לרבות באמצעות ייעוד קרקע לדיור להשכרה, משרד הפנים </w:t>
            </w:r>
            <w:r w:rsidRPr="00412093">
              <w:rPr>
                <w:rFonts w:hint="cs"/>
                <w:b w:val="0"/>
                <w:bCs w:val="0"/>
                <w:noProof w:val="0"/>
                <w:rtl/>
              </w:rPr>
              <w:t>ה</w:t>
            </w:r>
            <w:r w:rsidRPr="00412093">
              <w:rPr>
                <w:b w:val="0"/>
                <w:bCs w:val="0"/>
                <w:noProof w:val="0"/>
                <w:rtl/>
              </w:rPr>
              <w:t>מנחה את פעילות</w:t>
            </w:r>
            <w:r w:rsidRPr="00412093">
              <w:rPr>
                <w:rFonts w:hint="cs"/>
                <w:b w:val="0"/>
                <w:bCs w:val="0"/>
                <w:noProof w:val="0"/>
                <w:rtl/>
              </w:rPr>
              <w:t>ן של</w:t>
            </w:r>
            <w:r w:rsidRPr="00412093">
              <w:rPr>
                <w:b w:val="0"/>
                <w:bCs w:val="0"/>
                <w:noProof w:val="0"/>
                <w:rtl/>
              </w:rPr>
              <w:t xml:space="preserve"> </w:t>
            </w:r>
            <w:r w:rsidRPr="00412093">
              <w:rPr>
                <w:rFonts w:hint="cs"/>
                <w:b w:val="0"/>
                <w:bCs w:val="0"/>
                <w:noProof w:val="0"/>
                <w:rtl/>
              </w:rPr>
              <w:t>ועדות אלו</w:t>
            </w:r>
            <w:r w:rsidRPr="00412093">
              <w:rPr>
                <w:b w:val="0"/>
                <w:bCs w:val="0"/>
                <w:noProof w:val="0"/>
                <w:rtl/>
              </w:rPr>
              <w:t xml:space="preserve"> לא קבע יעדים כמותיים בנוגע לכך</w:t>
            </w:r>
            <w:r w:rsidRPr="00412093">
              <w:rPr>
                <w:rFonts w:hint="cs"/>
                <w:b w:val="0"/>
                <w:bCs w:val="0"/>
                <w:noProof w:val="0"/>
                <w:rtl/>
              </w:rPr>
              <w:t xml:space="preserve">. </w:t>
            </w:r>
            <w:r w:rsidRPr="00412093">
              <w:rPr>
                <w:b w:val="0"/>
                <w:bCs w:val="0"/>
                <w:noProof w:val="0"/>
                <w:rtl/>
              </w:rPr>
              <w:t xml:space="preserve">בפועל, עד אוגוסט 2013 </w:t>
            </w:r>
            <w:r w:rsidRPr="00412093">
              <w:rPr>
                <w:rFonts w:hint="cs"/>
                <w:b w:val="0"/>
                <w:bCs w:val="0"/>
                <w:noProof w:val="0"/>
                <w:rtl/>
              </w:rPr>
              <w:t xml:space="preserve">מספר </w:t>
            </w:r>
            <w:r w:rsidRPr="00412093">
              <w:rPr>
                <w:b w:val="0"/>
                <w:bCs w:val="0"/>
                <w:noProof w:val="0"/>
                <w:rtl/>
              </w:rPr>
              <w:t xml:space="preserve">יחידות דיור בר השגה </w:t>
            </w:r>
            <w:r w:rsidRPr="00412093">
              <w:rPr>
                <w:rFonts w:hint="cs"/>
                <w:b w:val="0"/>
                <w:bCs w:val="0"/>
                <w:noProof w:val="0"/>
                <w:rtl/>
              </w:rPr>
              <w:t xml:space="preserve">שאושרו היה נמוך </w:t>
            </w:r>
            <w:r w:rsidRPr="00412093">
              <w:rPr>
                <w:b w:val="0"/>
                <w:bCs w:val="0"/>
                <w:noProof w:val="0"/>
                <w:rtl/>
              </w:rPr>
              <w:t>ביותר</w:t>
            </w:r>
            <w:r w:rsidRPr="00412093">
              <w:rPr>
                <w:rFonts w:hint="cs"/>
                <w:b w:val="0"/>
                <w:bCs w:val="0"/>
                <w:noProof w:val="0"/>
                <w:rtl/>
              </w:rPr>
              <w:t xml:space="preserve">; </w:t>
            </w:r>
            <w:r w:rsidRPr="00412093">
              <w:rPr>
                <w:b w:val="0"/>
                <w:bCs w:val="0"/>
                <w:noProof w:val="0"/>
                <w:rtl/>
              </w:rPr>
              <w:t xml:space="preserve">רק 1,676 מכלל 25,487 </w:t>
            </w:r>
            <w:r w:rsidRPr="00412093">
              <w:rPr>
                <w:rFonts w:hint="cs"/>
                <w:b w:val="0"/>
                <w:bCs w:val="0"/>
                <w:noProof w:val="0"/>
                <w:rtl/>
              </w:rPr>
              <w:t>יחידות הדיור</w:t>
            </w:r>
            <w:r w:rsidRPr="00412093">
              <w:rPr>
                <w:b w:val="0"/>
                <w:bCs w:val="0"/>
                <w:noProof w:val="0"/>
                <w:rtl/>
              </w:rPr>
              <w:t xml:space="preserve"> שא</w:t>
            </w:r>
            <w:r w:rsidRPr="00412093">
              <w:rPr>
                <w:rFonts w:hint="cs"/>
                <w:b w:val="0"/>
                <w:bCs w:val="0"/>
                <w:noProof w:val="0"/>
                <w:rtl/>
              </w:rPr>
              <w:t>ו</w:t>
            </w:r>
            <w:r w:rsidRPr="00412093">
              <w:rPr>
                <w:b w:val="0"/>
                <w:bCs w:val="0"/>
                <w:noProof w:val="0"/>
                <w:rtl/>
              </w:rPr>
              <w:t xml:space="preserve">שרו עמדו בהגדרה של דיור בר השגה, </w:t>
            </w:r>
            <w:r w:rsidRPr="00412093">
              <w:rPr>
                <w:rFonts w:hint="cs"/>
                <w:b w:val="0"/>
                <w:bCs w:val="0"/>
                <w:noProof w:val="0"/>
                <w:rtl/>
              </w:rPr>
              <w:t>ו</w:t>
            </w:r>
            <w:r w:rsidRPr="00412093">
              <w:rPr>
                <w:b w:val="0"/>
                <w:bCs w:val="0"/>
                <w:noProof w:val="0"/>
                <w:rtl/>
              </w:rPr>
              <w:t>מהן רק 433 יועדו להשכרה</w:t>
            </w:r>
            <w:r w:rsidRPr="00412093">
              <w:rPr>
                <w:rFonts w:hint="cs"/>
                <w:b w:val="0"/>
                <w:bCs w:val="0"/>
                <w:noProof w:val="0"/>
                <w:rtl/>
              </w:rPr>
              <w:t>. יוצא אפוא</w:t>
            </w:r>
            <w:r w:rsidRPr="00412093">
              <w:rPr>
                <w:b w:val="0"/>
                <w:bCs w:val="0"/>
                <w:noProof w:val="0"/>
                <w:rtl/>
              </w:rPr>
              <w:t xml:space="preserve"> </w:t>
            </w:r>
            <w:r w:rsidRPr="00412093">
              <w:rPr>
                <w:rFonts w:hint="cs"/>
                <w:b w:val="0"/>
                <w:bCs w:val="0"/>
                <w:noProof w:val="0"/>
                <w:rtl/>
              </w:rPr>
              <w:t>ש</w:t>
            </w:r>
            <w:r w:rsidRPr="00412093">
              <w:rPr>
                <w:b w:val="0"/>
                <w:bCs w:val="0"/>
                <w:noProof w:val="0"/>
                <w:rtl/>
              </w:rPr>
              <w:t xml:space="preserve">מדובר בתפוקות </w:t>
            </w:r>
            <w:r w:rsidRPr="00412093">
              <w:rPr>
                <w:rFonts w:hint="cs"/>
                <w:b w:val="0"/>
                <w:bCs w:val="0"/>
                <w:noProof w:val="0"/>
                <w:rtl/>
              </w:rPr>
              <w:t>שוליות שאין בהן משום מענה</w:t>
            </w:r>
            <w:r w:rsidRPr="00412093">
              <w:rPr>
                <w:b w:val="0"/>
                <w:bCs w:val="0"/>
                <w:noProof w:val="0"/>
                <w:rtl/>
              </w:rPr>
              <w:t xml:space="preserve"> </w:t>
            </w:r>
            <w:r w:rsidRPr="00412093">
              <w:rPr>
                <w:rFonts w:hint="cs"/>
                <w:b w:val="0"/>
                <w:bCs w:val="0"/>
                <w:noProof w:val="0"/>
                <w:rtl/>
              </w:rPr>
              <w:t>ל</w:t>
            </w:r>
            <w:r w:rsidRPr="00412093">
              <w:rPr>
                <w:b w:val="0"/>
                <w:bCs w:val="0"/>
                <w:noProof w:val="0"/>
                <w:rtl/>
              </w:rPr>
              <w:t>מחסור בדיור בר השגה.</w:t>
            </w:r>
          </w:p>
        </w:tc>
      </w:tr>
    </w:tbl>
    <w:p w:rsidR="00350D21" w:rsidP="00B24DC0">
      <w:pPr>
        <w:pStyle w:val="takzir"/>
        <w:spacing w:after="0"/>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B24DC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691" w:type="dxa"/>
            <w:shd w:val="pct10" w:color="auto" w:fill="auto"/>
          </w:tcPr>
          <w:p w:rsidR="00350D21" w:rsidP="00350D21">
            <w:pPr>
              <w:pStyle w:val="KOT5"/>
              <w:spacing w:before="120"/>
              <w:jc w:val="center"/>
              <w:rPr>
                <w:sz w:val="24"/>
                <w:szCs w:val="24"/>
                <w:rtl/>
              </w:rPr>
            </w:pPr>
            <w:r w:rsidRPr="00412093">
              <w:rPr>
                <w:rFonts w:hint="eastAsia"/>
                <w:sz w:val="24"/>
                <w:szCs w:val="24"/>
                <w:rtl/>
              </w:rPr>
              <w:t>ליקויים</w:t>
            </w:r>
            <w:r w:rsidRPr="00412093">
              <w:rPr>
                <w:sz w:val="24"/>
                <w:szCs w:val="24"/>
                <w:rtl/>
              </w:rPr>
              <w:t xml:space="preserve"> בהתוויית מדיניות ובעבודת המטה</w:t>
            </w:r>
            <w:r w:rsidRPr="00412093">
              <w:rPr>
                <w:rFonts w:hint="cs"/>
                <w:sz w:val="24"/>
                <w:szCs w:val="24"/>
                <w:rtl/>
              </w:rPr>
              <w:t xml:space="preserve"> לדיור בר השגה</w:t>
            </w:r>
          </w:p>
        </w:tc>
      </w:tr>
      <w:tr w:rsidTr="00B24DC0">
        <w:tblPrEx>
          <w:tblW w:w="6691" w:type="dxa"/>
          <w:jc w:val="center"/>
          <w:tblLook w:val="04A0"/>
        </w:tblPrEx>
        <w:trPr>
          <w:jc w:val="center"/>
        </w:trPr>
        <w:tc>
          <w:tcPr>
            <w:tcW w:w="6691" w:type="dxa"/>
          </w:tcPr>
          <w:p w:rsidR="00412093" w:rsidRPr="00412093" w:rsidP="00B24DC0">
            <w:pPr>
              <w:pStyle w:val="takzir"/>
              <w:spacing w:before="60" w:line="230" w:lineRule="exact"/>
              <w:rPr>
                <w:b w:val="0"/>
                <w:bCs w:val="0"/>
                <w:noProof w:val="0"/>
                <w:rtl/>
              </w:rPr>
            </w:pPr>
            <w:r w:rsidRPr="00412093">
              <w:rPr>
                <w:b w:val="0"/>
                <w:bCs w:val="0"/>
                <w:noProof w:val="0"/>
                <w:rtl/>
              </w:rPr>
              <w:t>משרד הבינוי, מינהל התכנון ורמ"י לא קבעו מהו היקף אוכלוסיי</w:t>
            </w:r>
            <w:r w:rsidRPr="00412093">
              <w:rPr>
                <w:rFonts w:hint="cs"/>
                <w:b w:val="0"/>
                <w:bCs w:val="0"/>
                <w:noProof w:val="0"/>
                <w:rtl/>
              </w:rPr>
              <w:t>ת היעד</w:t>
            </w:r>
            <w:r w:rsidRPr="00412093">
              <w:rPr>
                <w:b w:val="0"/>
                <w:bCs w:val="0"/>
                <w:noProof w:val="0"/>
                <w:rtl/>
              </w:rPr>
              <w:t xml:space="preserve"> לדיור בר השגה. </w:t>
            </w:r>
            <w:r w:rsidRPr="00412093">
              <w:rPr>
                <w:rFonts w:hint="cs"/>
                <w:b w:val="0"/>
                <w:bCs w:val="0"/>
                <w:noProof w:val="0"/>
                <w:rtl/>
              </w:rPr>
              <w:t>יתרה מזאת, נרשמו</w:t>
            </w:r>
            <w:r w:rsidRPr="00412093">
              <w:rPr>
                <w:b w:val="0"/>
                <w:bCs w:val="0"/>
                <w:noProof w:val="0"/>
                <w:rtl/>
              </w:rPr>
              <w:t xml:space="preserve"> הבדלים בין הגו</w:t>
            </w:r>
            <w:r w:rsidRPr="00412093">
              <w:rPr>
                <w:rFonts w:hint="cs"/>
                <w:b w:val="0"/>
                <w:bCs w:val="0"/>
                <w:noProof w:val="0"/>
                <w:rtl/>
              </w:rPr>
              <w:t>פ</w:t>
            </w:r>
            <w:r w:rsidRPr="00412093">
              <w:rPr>
                <w:b w:val="0"/>
                <w:bCs w:val="0"/>
                <w:noProof w:val="0"/>
                <w:rtl/>
              </w:rPr>
              <w:t>ים השלטוניים</w:t>
            </w:r>
            <w:r w:rsidRPr="00412093">
              <w:rPr>
                <w:rFonts w:hint="cs"/>
                <w:b w:val="0"/>
                <w:bCs w:val="0"/>
                <w:noProof w:val="0"/>
                <w:rtl/>
              </w:rPr>
              <w:t xml:space="preserve"> הרלוונטיים</w:t>
            </w:r>
            <w:r w:rsidRPr="00412093">
              <w:rPr>
                <w:b w:val="0"/>
                <w:bCs w:val="0"/>
                <w:noProof w:val="0"/>
                <w:rtl/>
              </w:rPr>
              <w:t xml:space="preserve"> </w:t>
            </w:r>
            <w:r w:rsidRPr="00412093">
              <w:rPr>
                <w:rFonts w:hint="cs"/>
                <w:b w:val="0"/>
                <w:bCs w:val="0"/>
                <w:noProof w:val="0"/>
                <w:rtl/>
              </w:rPr>
              <w:t>ב</w:t>
            </w:r>
            <w:r w:rsidRPr="00412093">
              <w:rPr>
                <w:b w:val="0"/>
                <w:bCs w:val="0"/>
                <w:noProof w:val="0"/>
                <w:rtl/>
              </w:rPr>
              <w:t xml:space="preserve">קריטריונים </w:t>
            </w:r>
            <w:r w:rsidRPr="00412093">
              <w:rPr>
                <w:rFonts w:hint="cs"/>
                <w:b w:val="0"/>
                <w:bCs w:val="0"/>
                <w:noProof w:val="0"/>
                <w:rtl/>
              </w:rPr>
              <w:t xml:space="preserve">הקובעים אילו יח"ד מוגדרות יחידות של </w:t>
            </w:r>
            <w:r w:rsidRPr="00412093">
              <w:rPr>
                <w:b w:val="0"/>
                <w:bCs w:val="0"/>
                <w:noProof w:val="0"/>
                <w:rtl/>
              </w:rPr>
              <w:t>דיור בר השגה</w:t>
            </w:r>
            <w:r w:rsidRPr="00412093">
              <w:rPr>
                <w:rFonts w:hint="cs"/>
                <w:b w:val="0"/>
                <w:bCs w:val="0"/>
                <w:noProof w:val="0"/>
                <w:rtl/>
              </w:rPr>
              <w:t xml:space="preserve"> -</w:t>
            </w:r>
            <w:r w:rsidRPr="00412093">
              <w:rPr>
                <w:b w:val="0"/>
                <w:bCs w:val="0"/>
                <w:noProof w:val="0"/>
                <w:rtl/>
              </w:rPr>
              <w:t xml:space="preserve"> שטח</w:t>
            </w:r>
            <w:r w:rsidRPr="00412093">
              <w:rPr>
                <w:rFonts w:hint="cs"/>
                <w:b w:val="0"/>
                <w:bCs w:val="0"/>
                <w:noProof w:val="0"/>
                <w:rtl/>
              </w:rPr>
              <w:t>ן</w:t>
            </w:r>
            <w:r w:rsidRPr="00412093">
              <w:rPr>
                <w:b w:val="0"/>
                <w:bCs w:val="0"/>
                <w:noProof w:val="0"/>
                <w:rtl/>
              </w:rPr>
              <w:t>, אופן החזקתן - בעלות או שכירות</w:t>
            </w:r>
            <w:r w:rsidRPr="00412093">
              <w:rPr>
                <w:rFonts w:hint="cs"/>
                <w:b w:val="0"/>
                <w:bCs w:val="0"/>
                <w:noProof w:val="0"/>
                <w:rtl/>
              </w:rPr>
              <w:t xml:space="preserve"> -</w:t>
            </w:r>
            <w:r w:rsidRPr="00412093">
              <w:rPr>
                <w:b w:val="0"/>
                <w:bCs w:val="0"/>
                <w:noProof w:val="0"/>
                <w:rtl/>
              </w:rPr>
              <w:t xml:space="preserve"> זהות פלח אוכלוסיי</w:t>
            </w:r>
            <w:r w:rsidRPr="00412093">
              <w:rPr>
                <w:rFonts w:hint="cs"/>
                <w:b w:val="0"/>
                <w:bCs w:val="0"/>
                <w:noProof w:val="0"/>
                <w:rtl/>
              </w:rPr>
              <w:t>ת</w:t>
            </w:r>
            <w:r w:rsidRPr="00412093">
              <w:rPr>
                <w:b w:val="0"/>
                <w:bCs w:val="0"/>
                <w:noProof w:val="0"/>
                <w:rtl/>
              </w:rPr>
              <w:t xml:space="preserve"> </w:t>
            </w:r>
            <w:r w:rsidRPr="00412093">
              <w:rPr>
                <w:rFonts w:hint="cs"/>
                <w:b w:val="0"/>
                <w:bCs w:val="0"/>
                <w:noProof w:val="0"/>
                <w:rtl/>
              </w:rPr>
              <w:t>היעד</w:t>
            </w:r>
            <w:r w:rsidRPr="00412093">
              <w:rPr>
                <w:b w:val="0"/>
                <w:bCs w:val="0"/>
                <w:noProof w:val="0"/>
                <w:rtl/>
              </w:rPr>
              <w:t>, היקף הסבסוד של המדינה לצורך בנייתן או רכישתן וכן מחירן.</w:t>
            </w:r>
          </w:p>
          <w:p w:rsidR="00350D21" w:rsidP="00B24DC0">
            <w:pPr>
              <w:pStyle w:val="takzir"/>
              <w:spacing w:line="230" w:lineRule="exact"/>
              <w:rPr>
                <w:b w:val="0"/>
                <w:bCs w:val="0"/>
                <w:noProof w:val="0"/>
                <w:rtl/>
              </w:rPr>
            </w:pPr>
            <w:r w:rsidRPr="00412093">
              <w:rPr>
                <w:b w:val="0"/>
                <w:bCs w:val="0"/>
                <w:noProof w:val="0"/>
                <w:rtl/>
              </w:rPr>
              <w:t>בהיעדר "שפה משותפת" בין משרד הפנים ומוסדות התכנון, האחראים לתכנון ו</w:t>
            </w:r>
            <w:r w:rsidRPr="00412093">
              <w:rPr>
                <w:rFonts w:hint="cs"/>
                <w:b w:val="0"/>
                <w:bCs w:val="0"/>
                <w:noProof w:val="0"/>
                <w:rtl/>
              </w:rPr>
              <w:t>ל</w:t>
            </w:r>
            <w:r w:rsidRPr="00412093">
              <w:rPr>
                <w:b w:val="0"/>
                <w:bCs w:val="0"/>
                <w:noProof w:val="0"/>
                <w:rtl/>
              </w:rPr>
              <w:t xml:space="preserve">אישור הסטטוטורי של תכניות מתאר, ובין רמ"י ומשרד הבינוי האחראים לשלבי הייזום, השיווק והביצוע של פרויקטים בתחום הדיור בר ההשגה, נוצרת אי-תאימות בין תכניות סטטוטוריות </w:t>
            </w:r>
            <w:r w:rsidRPr="00412093">
              <w:rPr>
                <w:rFonts w:hint="cs"/>
                <w:b w:val="0"/>
                <w:bCs w:val="0"/>
                <w:noProof w:val="0"/>
                <w:rtl/>
              </w:rPr>
              <w:t>תקפות</w:t>
            </w:r>
            <w:r w:rsidRPr="00412093">
              <w:rPr>
                <w:b w:val="0"/>
                <w:bCs w:val="0"/>
                <w:noProof w:val="0"/>
                <w:rtl/>
              </w:rPr>
              <w:t xml:space="preserve"> ובין תכניות הפרויקטים שמשרד הבינוי ורמ"י משווקים ליזמים פרטיים.</w:t>
            </w:r>
          </w:p>
        </w:tc>
      </w:tr>
      <w:tr w:rsidTr="00DB5B9A">
        <w:tblPrEx>
          <w:tblW w:w="6691" w:type="dxa"/>
          <w:jc w:val="center"/>
          <w:tblLook w:val="04A0"/>
        </w:tblPrEx>
        <w:trPr>
          <w:jc w:val="center"/>
        </w:trPr>
        <w:tc>
          <w:tcPr>
            <w:tcW w:w="6691" w:type="dxa"/>
            <w:shd w:val="pct10" w:color="auto" w:fill="auto"/>
          </w:tcPr>
          <w:p w:rsidR="00350D21" w:rsidP="00350D21">
            <w:pPr>
              <w:pStyle w:val="KOT5"/>
              <w:spacing w:before="120"/>
              <w:jc w:val="center"/>
              <w:rPr>
                <w:sz w:val="24"/>
                <w:szCs w:val="24"/>
                <w:rtl/>
              </w:rPr>
            </w:pPr>
            <w:r w:rsidRPr="0007161C">
              <w:rPr>
                <w:rFonts w:hint="cs"/>
                <w:sz w:val="24"/>
                <w:szCs w:val="24"/>
                <w:rtl/>
              </w:rPr>
              <w:t>הפעלת מסלול "מחיר דירה למשתכן" הניבה תפוקות דלות</w:t>
            </w:r>
          </w:p>
        </w:tc>
      </w:tr>
      <w:tr w:rsidTr="00FF1578">
        <w:tblPrEx>
          <w:tblW w:w="6691" w:type="dxa"/>
          <w:jc w:val="center"/>
          <w:tblLook w:val="04A0"/>
        </w:tblPrEx>
        <w:trPr>
          <w:trHeight w:val="6052"/>
          <w:jc w:val="center"/>
        </w:trPr>
        <w:tc>
          <w:tcPr>
            <w:tcW w:w="6691" w:type="dxa"/>
          </w:tcPr>
          <w:p w:rsidR="00B24DC0" w:rsidRPr="0007161C" w:rsidP="00B24DC0">
            <w:pPr>
              <w:pStyle w:val="takzir"/>
              <w:spacing w:before="60"/>
              <w:rPr>
                <w:b w:val="0"/>
                <w:bCs w:val="0"/>
                <w:noProof w:val="0"/>
                <w:rtl/>
              </w:rPr>
            </w:pPr>
            <w:r w:rsidRPr="0007161C">
              <w:rPr>
                <w:rFonts w:hint="cs"/>
                <w:b w:val="0"/>
                <w:bCs w:val="0"/>
                <w:noProof w:val="0"/>
                <w:rtl/>
              </w:rPr>
              <w:t>במשך יותר מתריסר שנים</w:t>
            </w:r>
            <w:r w:rsidRPr="0007161C">
              <w:rPr>
                <w:b w:val="0"/>
                <w:bCs w:val="0"/>
                <w:noProof w:val="0"/>
                <w:rtl/>
              </w:rPr>
              <w:t xml:space="preserve"> לא הציבה הממשלה יעדים לשיווק דירות במסלול </w:t>
            </w:r>
            <w:r w:rsidRPr="0007161C">
              <w:rPr>
                <w:rFonts w:hint="cs"/>
                <w:b w:val="0"/>
                <w:bCs w:val="0"/>
                <w:noProof w:val="0"/>
                <w:rtl/>
              </w:rPr>
              <w:t>מחיר דירה למשתכן</w:t>
            </w:r>
            <w:r w:rsidRPr="0007161C">
              <w:rPr>
                <w:b w:val="0"/>
                <w:bCs w:val="0"/>
                <w:noProof w:val="0"/>
                <w:rtl/>
              </w:rPr>
              <w:t xml:space="preserve">. </w:t>
            </w:r>
            <w:r w:rsidRPr="0007161C">
              <w:rPr>
                <w:rFonts w:hint="cs"/>
                <w:b w:val="0"/>
                <w:bCs w:val="0"/>
                <w:noProof w:val="0"/>
                <w:rtl/>
              </w:rPr>
              <w:t>רק ב</w:t>
            </w:r>
            <w:r w:rsidRPr="0007161C">
              <w:rPr>
                <w:b w:val="0"/>
                <w:bCs w:val="0"/>
                <w:noProof w:val="0"/>
                <w:rtl/>
              </w:rPr>
              <w:t>ספטמבר 2011 נקבע</w:t>
            </w:r>
            <w:r w:rsidRPr="0007161C">
              <w:rPr>
                <w:rFonts w:hint="cs"/>
                <w:b w:val="0"/>
                <w:bCs w:val="0"/>
                <w:noProof w:val="0"/>
                <w:rtl/>
              </w:rPr>
              <w:t>, בעקבות המלצות ועדת טרכטנברג,</w:t>
            </w:r>
            <w:r w:rsidRPr="0007161C">
              <w:rPr>
                <w:b w:val="0"/>
                <w:bCs w:val="0"/>
                <w:noProof w:val="0"/>
                <w:rtl/>
              </w:rPr>
              <w:t xml:space="preserve"> שעל רמ"י ומשרד </w:t>
            </w:r>
            <w:r w:rsidRPr="0007161C">
              <w:rPr>
                <w:rFonts w:hint="cs"/>
                <w:b w:val="0"/>
                <w:bCs w:val="0"/>
                <w:noProof w:val="0"/>
                <w:rtl/>
              </w:rPr>
              <w:t>הבינוי</w:t>
            </w:r>
            <w:r w:rsidRPr="0007161C">
              <w:rPr>
                <w:b w:val="0"/>
                <w:bCs w:val="0"/>
                <w:noProof w:val="0"/>
                <w:rtl/>
              </w:rPr>
              <w:t xml:space="preserve"> להשלים את </w:t>
            </w:r>
            <w:r w:rsidRPr="0007161C">
              <w:rPr>
                <w:rFonts w:hint="cs"/>
                <w:b w:val="0"/>
                <w:bCs w:val="0"/>
                <w:noProof w:val="0"/>
                <w:rtl/>
              </w:rPr>
              <w:t>ה</w:t>
            </w:r>
            <w:r w:rsidRPr="0007161C">
              <w:rPr>
                <w:b w:val="0"/>
                <w:bCs w:val="0"/>
                <w:noProof w:val="0"/>
                <w:rtl/>
              </w:rPr>
              <w:t>שיווק של 5,000 יח"ד במסלול זה עד סוף 2012</w:t>
            </w:r>
            <w:r w:rsidRPr="0007161C">
              <w:rPr>
                <w:rFonts w:hint="cs"/>
                <w:b w:val="0"/>
                <w:bCs w:val="0"/>
                <w:noProof w:val="0"/>
                <w:rtl/>
              </w:rPr>
              <w:t>;</w:t>
            </w:r>
            <w:r w:rsidRPr="0007161C">
              <w:rPr>
                <w:b w:val="0"/>
                <w:bCs w:val="0"/>
                <w:noProof w:val="0"/>
                <w:rtl/>
              </w:rPr>
              <w:t xml:space="preserve"> בפועל שווקו בשנ</w:t>
            </w:r>
            <w:r w:rsidRPr="0007161C">
              <w:rPr>
                <w:rFonts w:hint="cs"/>
                <w:b w:val="0"/>
                <w:bCs w:val="0"/>
                <w:noProof w:val="0"/>
                <w:rtl/>
              </w:rPr>
              <w:t>ה</w:t>
            </w:r>
            <w:r w:rsidRPr="0007161C">
              <w:rPr>
                <w:b w:val="0"/>
                <w:bCs w:val="0"/>
                <w:noProof w:val="0"/>
                <w:rtl/>
              </w:rPr>
              <w:t xml:space="preserve"> זו רק כ-2,600 </w:t>
            </w:r>
            <w:r w:rsidRPr="0007161C">
              <w:rPr>
                <w:rFonts w:hint="cs"/>
                <w:b w:val="0"/>
                <w:bCs w:val="0"/>
                <w:noProof w:val="0"/>
                <w:rtl/>
              </w:rPr>
              <w:t>יח"ד</w:t>
            </w:r>
            <w:r w:rsidRPr="0007161C">
              <w:rPr>
                <w:b w:val="0"/>
                <w:bCs w:val="0"/>
                <w:noProof w:val="0"/>
                <w:rtl/>
              </w:rPr>
              <w:t>.</w:t>
            </w:r>
          </w:p>
          <w:p w:rsidR="00B24DC0" w:rsidRPr="0007161C" w:rsidP="00B24DC0">
            <w:pPr>
              <w:pStyle w:val="takzir"/>
              <w:rPr>
                <w:b w:val="0"/>
                <w:bCs w:val="0"/>
                <w:noProof w:val="0"/>
                <w:rtl/>
              </w:rPr>
            </w:pPr>
            <w:r w:rsidRPr="0007161C">
              <w:rPr>
                <w:b w:val="0"/>
                <w:bCs w:val="0"/>
                <w:noProof w:val="0"/>
                <w:rtl/>
              </w:rPr>
              <w:t xml:space="preserve">הפעלת המסלול </w:t>
            </w:r>
            <w:r w:rsidRPr="0007161C">
              <w:rPr>
                <w:rFonts w:hint="cs"/>
                <w:b w:val="0"/>
                <w:bCs w:val="0"/>
                <w:noProof w:val="0"/>
                <w:rtl/>
              </w:rPr>
              <w:t>האמור</w:t>
            </w:r>
            <w:r w:rsidRPr="0007161C">
              <w:rPr>
                <w:b w:val="0"/>
                <w:bCs w:val="0"/>
                <w:noProof w:val="0"/>
                <w:rtl/>
              </w:rPr>
              <w:t xml:space="preserve"> הניבה</w:t>
            </w:r>
            <w:r w:rsidRPr="0007161C">
              <w:rPr>
                <w:rFonts w:hint="cs"/>
                <w:b w:val="0"/>
                <w:bCs w:val="0"/>
                <w:noProof w:val="0"/>
                <w:rtl/>
              </w:rPr>
              <w:t xml:space="preserve"> אפוא</w:t>
            </w:r>
            <w:r w:rsidRPr="0007161C">
              <w:rPr>
                <w:b w:val="0"/>
                <w:bCs w:val="0"/>
                <w:noProof w:val="0"/>
                <w:rtl/>
              </w:rPr>
              <w:t xml:space="preserve"> תפוקות דלות יחסית להיקף אוכלוסיי</w:t>
            </w:r>
            <w:r w:rsidRPr="0007161C">
              <w:rPr>
                <w:rFonts w:hint="cs"/>
                <w:b w:val="0"/>
                <w:bCs w:val="0"/>
                <w:noProof w:val="0"/>
                <w:rtl/>
              </w:rPr>
              <w:t>ת היעד שלו</w:t>
            </w:r>
            <w:r w:rsidRPr="0007161C">
              <w:rPr>
                <w:b w:val="0"/>
                <w:bCs w:val="0"/>
                <w:noProof w:val="0"/>
                <w:rtl/>
              </w:rPr>
              <w:t xml:space="preserve"> - מאות אלפי משקי בית של זכאי משרד</w:t>
            </w:r>
            <w:r w:rsidRPr="0007161C">
              <w:rPr>
                <w:rFonts w:hint="cs"/>
                <w:b w:val="0"/>
                <w:bCs w:val="0"/>
                <w:noProof w:val="0"/>
                <w:rtl/>
              </w:rPr>
              <w:t xml:space="preserve"> הבינוי</w:t>
            </w:r>
            <w:r w:rsidRPr="0007161C">
              <w:rPr>
                <w:b w:val="0"/>
                <w:bCs w:val="0"/>
                <w:noProof w:val="0"/>
                <w:rtl/>
              </w:rPr>
              <w:t xml:space="preserve"> שנזקקו לדיור בר השגה</w:t>
            </w:r>
            <w:r w:rsidRPr="0007161C">
              <w:rPr>
                <w:rFonts w:hint="cs"/>
                <w:b w:val="0"/>
                <w:bCs w:val="0"/>
                <w:noProof w:val="0"/>
                <w:rtl/>
              </w:rPr>
              <w:t>.</w:t>
            </w:r>
            <w:r w:rsidRPr="0007161C">
              <w:rPr>
                <w:b w:val="0"/>
                <w:bCs w:val="0"/>
                <w:noProof w:val="0"/>
                <w:rtl/>
              </w:rPr>
              <w:t xml:space="preserve"> לכן</w:t>
            </w:r>
            <w:r w:rsidRPr="0007161C">
              <w:rPr>
                <w:rFonts w:hint="cs"/>
                <w:b w:val="0"/>
                <w:bCs w:val="0"/>
                <w:noProof w:val="0"/>
                <w:rtl/>
              </w:rPr>
              <w:t>,</w:t>
            </w:r>
            <w:r w:rsidRPr="0007161C">
              <w:rPr>
                <w:b w:val="0"/>
                <w:bCs w:val="0"/>
                <w:noProof w:val="0"/>
                <w:rtl/>
              </w:rPr>
              <w:t xml:space="preserve"> לא היה בכך כדי לחולל תפנית מבחינת היצע הדיור ומילוי צורכי הזכאים. למעשה, ניתנו פתרונות דיור למתי מעט מהזכאים </w:t>
            </w:r>
            <w:r w:rsidRPr="0007161C">
              <w:rPr>
                <w:rFonts w:hint="cs"/>
                <w:b w:val="0"/>
                <w:bCs w:val="0"/>
                <w:noProof w:val="0"/>
                <w:rtl/>
              </w:rPr>
              <w:t>ש</w:t>
            </w:r>
            <w:r w:rsidRPr="0007161C">
              <w:rPr>
                <w:b w:val="0"/>
                <w:bCs w:val="0"/>
                <w:noProof w:val="0"/>
                <w:rtl/>
              </w:rPr>
              <w:t xml:space="preserve">נהנו מהטבות כלכליות </w:t>
            </w:r>
            <w:r w:rsidRPr="0007161C">
              <w:rPr>
                <w:rFonts w:hint="cs"/>
                <w:b w:val="0"/>
                <w:bCs w:val="0"/>
                <w:noProof w:val="0"/>
                <w:rtl/>
              </w:rPr>
              <w:t>מרחיקות לכת</w:t>
            </w:r>
            <w:r w:rsidRPr="0007161C">
              <w:rPr>
                <w:b w:val="0"/>
                <w:bCs w:val="0"/>
                <w:noProof w:val="0"/>
                <w:rtl/>
              </w:rPr>
              <w:t xml:space="preserve"> </w:t>
            </w:r>
            <w:r w:rsidRPr="0007161C">
              <w:rPr>
                <w:rFonts w:hint="cs"/>
                <w:b w:val="0"/>
                <w:bCs w:val="0"/>
                <w:noProof w:val="0"/>
                <w:rtl/>
              </w:rPr>
              <w:t xml:space="preserve">שהסתכמו </w:t>
            </w:r>
            <w:r w:rsidRPr="0007161C">
              <w:rPr>
                <w:b w:val="0"/>
                <w:bCs w:val="0"/>
                <w:noProof w:val="0"/>
                <w:rtl/>
              </w:rPr>
              <w:t xml:space="preserve">לעתים </w:t>
            </w:r>
            <w:r w:rsidRPr="0007161C">
              <w:rPr>
                <w:rFonts w:hint="cs"/>
                <w:b w:val="0"/>
                <w:bCs w:val="0"/>
                <w:noProof w:val="0"/>
                <w:rtl/>
              </w:rPr>
              <w:t>ב</w:t>
            </w:r>
            <w:r w:rsidRPr="0007161C">
              <w:rPr>
                <w:b w:val="0"/>
                <w:bCs w:val="0"/>
                <w:noProof w:val="0"/>
                <w:rtl/>
              </w:rPr>
              <w:t xml:space="preserve">מאות אלפי שקלים. </w:t>
            </w:r>
          </w:p>
          <w:p w:rsidR="00B24DC0" w:rsidRPr="0007161C" w:rsidP="00B24DC0">
            <w:pPr>
              <w:pStyle w:val="takzir"/>
              <w:rPr>
                <w:b w:val="0"/>
                <w:bCs w:val="0"/>
                <w:noProof w:val="0"/>
                <w:rtl/>
              </w:rPr>
            </w:pPr>
            <w:r w:rsidRPr="0007161C">
              <w:rPr>
                <w:b w:val="0"/>
                <w:bCs w:val="0"/>
                <w:noProof w:val="0"/>
                <w:rtl/>
              </w:rPr>
              <w:t xml:space="preserve">משרד הבינוי פרסם מכרזי שיווק במסלול זה בלי שהפיק לקחים מתוצאותיהם של מכרזים קודמים ובלי שבדק את ההיתכנות והכדאיות של כל פרויקט. הוא לא עשה כן למרות העובדה שכ-50% מהמכרזים שפרסם בשנים 2012-2008 נכשלו ואף שהפעלת המסלול לא הביאה לירידה במחירי שוק הדירות. </w:t>
            </w:r>
          </w:p>
          <w:p w:rsidR="00B24DC0" w:rsidP="00B24DC0">
            <w:pPr>
              <w:pStyle w:val="takzir"/>
              <w:rPr>
                <w:b w:val="0"/>
                <w:bCs w:val="0"/>
                <w:noProof w:val="0"/>
                <w:rtl/>
              </w:rPr>
            </w:pPr>
            <w:r w:rsidRPr="0007161C">
              <w:rPr>
                <w:b w:val="0"/>
                <w:bCs w:val="0"/>
                <w:noProof w:val="0"/>
                <w:rtl/>
              </w:rPr>
              <w:t xml:space="preserve">על אף ההגבלות שהוטלו על הרוכשים במסלול </w:t>
            </w:r>
            <w:r w:rsidRPr="0007161C">
              <w:rPr>
                <w:rFonts w:hint="cs"/>
                <w:b w:val="0"/>
                <w:bCs w:val="0"/>
                <w:noProof w:val="0"/>
                <w:rtl/>
              </w:rPr>
              <w:t>זה</w:t>
            </w:r>
            <w:r w:rsidRPr="0007161C">
              <w:rPr>
                <w:b w:val="0"/>
                <w:bCs w:val="0"/>
                <w:noProof w:val="0"/>
                <w:rtl/>
              </w:rPr>
              <w:t xml:space="preserve"> עולה ספק בעניין יעילותם ויכולתם</w:t>
            </w:r>
            <w:r w:rsidRPr="0007161C">
              <w:rPr>
                <w:rFonts w:hint="cs"/>
                <w:b w:val="0"/>
                <w:bCs w:val="0"/>
                <w:noProof w:val="0"/>
                <w:rtl/>
              </w:rPr>
              <w:t xml:space="preserve"> של הגופים הנוגעים בדבר</w:t>
            </w:r>
            <w:r w:rsidRPr="0007161C">
              <w:rPr>
                <w:b w:val="0"/>
                <w:bCs w:val="0"/>
                <w:noProof w:val="0"/>
                <w:rtl/>
              </w:rPr>
              <w:t xml:space="preserve"> להבטיח שהדירות שנמכרו לזכאים, </w:t>
            </w:r>
            <w:r w:rsidRPr="0007161C">
              <w:rPr>
                <w:rFonts w:hint="cs"/>
                <w:b w:val="0"/>
                <w:bCs w:val="0"/>
                <w:noProof w:val="0"/>
                <w:rtl/>
              </w:rPr>
              <w:t xml:space="preserve">לעתים </w:t>
            </w:r>
            <w:r w:rsidRPr="0007161C">
              <w:rPr>
                <w:b w:val="0"/>
                <w:bCs w:val="0"/>
                <w:noProof w:val="0"/>
                <w:rtl/>
              </w:rPr>
              <w:t xml:space="preserve">תוך </w:t>
            </w:r>
            <w:r w:rsidRPr="0007161C">
              <w:rPr>
                <w:rFonts w:hint="cs"/>
                <w:b w:val="0"/>
                <w:bCs w:val="0"/>
                <w:noProof w:val="0"/>
                <w:rtl/>
              </w:rPr>
              <w:t xml:space="preserve">כדי </w:t>
            </w:r>
            <w:r w:rsidRPr="0007161C">
              <w:rPr>
                <w:b w:val="0"/>
                <w:bCs w:val="0"/>
                <w:noProof w:val="0"/>
                <w:rtl/>
              </w:rPr>
              <w:t>מתן הטבות כלכליות, ישמשו תמיד את הזכאים ו</w:t>
            </w:r>
            <w:r w:rsidRPr="0007161C">
              <w:rPr>
                <w:rFonts w:hint="cs"/>
                <w:b w:val="0"/>
                <w:bCs w:val="0"/>
                <w:noProof w:val="0"/>
                <w:rtl/>
              </w:rPr>
              <w:t xml:space="preserve">כן למנוע מצב שבו </w:t>
            </w:r>
            <w:r w:rsidRPr="0007161C">
              <w:rPr>
                <w:b w:val="0"/>
                <w:bCs w:val="0"/>
                <w:noProof w:val="0"/>
                <w:rtl/>
              </w:rPr>
              <w:t>השקעות המדינה</w:t>
            </w:r>
            <w:r w:rsidRPr="0007161C">
              <w:rPr>
                <w:rFonts w:hint="cs"/>
                <w:b w:val="0"/>
                <w:bCs w:val="0"/>
                <w:noProof w:val="0"/>
                <w:rtl/>
              </w:rPr>
              <w:t xml:space="preserve"> יירדו לטמיון</w:t>
            </w:r>
            <w:r w:rsidRPr="0007161C">
              <w:rPr>
                <w:b w:val="0"/>
                <w:bCs w:val="0"/>
                <w:noProof w:val="0"/>
                <w:rtl/>
              </w:rPr>
              <w:t>.</w:t>
            </w:r>
          </w:p>
          <w:p w:rsidR="00B24DC0" w:rsidP="00B24DC0">
            <w:pPr>
              <w:pStyle w:val="takzir"/>
              <w:rPr>
                <w:b w:val="0"/>
                <w:bCs w:val="0"/>
                <w:noProof w:val="0"/>
                <w:rtl/>
              </w:rPr>
            </w:pPr>
            <w:r w:rsidRPr="00DB5B9A">
              <w:rPr>
                <w:b w:val="0"/>
                <w:bCs w:val="0"/>
                <w:noProof w:val="0"/>
                <w:spacing w:val="-2"/>
                <w:rtl/>
              </w:rPr>
              <w:t xml:space="preserve">יוצא אפוא </w:t>
            </w:r>
            <w:r w:rsidRPr="00DB5B9A">
              <w:rPr>
                <w:rFonts w:hint="cs"/>
                <w:b w:val="0"/>
                <w:bCs w:val="0"/>
                <w:noProof w:val="0"/>
                <w:spacing w:val="-2"/>
                <w:rtl/>
              </w:rPr>
              <w:t>שבשני העשורים האחרונים</w:t>
            </w:r>
            <w:r w:rsidRPr="00DB5B9A">
              <w:rPr>
                <w:b w:val="0"/>
                <w:bCs w:val="0"/>
                <w:noProof w:val="0"/>
                <w:spacing w:val="-2"/>
                <w:rtl/>
              </w:rPr>
              <w:t xml:space="preserve"> לא הצליחו </w:t>
            </w:r>
            <w:r w:rsidRPr="00DB5B9A">
              <w:rPr>
                <w:rFonts w:hint="cs"/>
                <w:b w:val="0"/>
                <w:bCs w:val="0"/>
                <w:noProof w:val="0"/>
                <w:spacing w:val="-2"/>
                <w:rtl/>
              </w:rPr>
              <w:t>משרד הבינוי ורמ"י לייצר יחידות דיור במסלול למחיר למשתכן בהיקף ש</w:t>
            </w:r>
            <w:r w:rsidRPr="00DB5B9A">
              <w:rPr>
                <w:b w:val="0"/>
                <w:bCs w:val="0"/>
                <w:noProof w:val="0"/>
                <w:spacing w:val="-2"/>
                <w:rtl/>
              </w:rPr>
              <w:t>עשוי להביא לידי שיפור מהותי בהיצע הדיור לאוכלוסייה הנזקקת לו. לנוכח התפוקות הדלות שהניב מסלול זה החליטה הממשלה, לאחר סיום הביקורת, להפסיק את הפעלתו. תיקון הליקויים שעלו בבדיקת מסלול מחיר דירה למשתכן והפקת לקחים ממנו עשויים לסייע בהפעלה מוצלחת של מסלולים אחרים בעתיד לצורך מתן מענה לצורך בדיור בר השגה.</w:t>
            </w:r>
          </w:p>
        </w:tc>
      </w:tr>
    </w:tbl>
    <w:p w:rsidR="00350D21" w:rsidP="00350D21">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DB5B9A">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691" w:type="dxa"/>
            <w:shd w:val="pct10" w:color="auto" w:fill="auto"/>
          </w:tcPr>
          <w:p w:rsidR="00350D21" w:rsidP="00350D21">
            <w:pPr>
              <w:pStyle w:val="KOT5"/>
              <w:spacing w:before="120"/>
              <w:jc w:val="center"/>
              <w:rPr>
                <w:sz w:val="24"/>
                <w:szCs w:val="24"/>
                <w:rtl/>
              </w:rPr>
            </w:pPr>
            <w:r w:rsidRPr="0007161C">
              <w:rPr>
                <w:rFonts w:hint="eastAsia"/>
                <w:sz w:val="24"/>
                <w:szCs w:val="24"/>
                <w:rtl/>
              </w:rPr>
              <w:t>ליקויים</w:t>
            </w:r>
            <w:r w:rsidRPr="0007161C">
              <w:rPr>
                <w:sz w:val="24"/>
                <w:szCs w:val="24"/>
                <w:rtl/>
              </w:rPr>
              <w:t xml:space="preserve"> </w:t>
            </w:r>
            <w:r w:rsidRPr="0007161C">
              <w:rPr>
                <w:rFonts w:hint="eastAsia"/>
                <w:sz w:val="24"/>
                <w:szCs w:val="24"/>
                <w:rtl/>
              </w:rPr>
              <w:t>ב</w:t>
            </w:r>
            <w:r w:rsidRPr="0007161C">
              <w:rPr>
                <w:rFonts w:hint="cs"/>
                <w:sz w:val="24"/>
                <w:szCs w:val="24"/>
                <w:rtl/>
              </w:rPr>
              <w:t xml:space="preserve">הפעלת מסלול "השכרה לטווח ארוך במחיר מפוקח" </w:t>
            </w:r>
            <w:r>
              <w:rPr>
                <w:sz w:val="24"/>
                <w:szCs w:val="24"/>
              </w:rPr>
              <w:br/>
            </w:r>
            <w:r w:rsidRPr="0007161C">
              <w:rPr>
                <w:rFonts w:hint="cs"/>
                <w:sz w:val="24"/>
                <w:szCs w:val="24"/>
                <w:rtl/>
              </w:rPr>
              <w:t>שהניב תפוקות דלות ונדרש להשקעות גדולות</w:t>
            </w:r>
          </w:p>
        </w:tc>
      </w:tr>
      <w:tr w:rsidTr="00B24DC0">
        <w:tblPrEx>
          <w:tblW w:w="6691" w:type="dxa"/>
          <w:jc w:val="center"/>
          <w:tblLook w:val="04A0"/>
        </w:tblPrEx>
        <w:trPr>
          <w:trHeight w:val="2440"/>
          <w:jc w:val="center"/>
        </w:trPr>
        <w:tc>
          <w:tcPr>
            <w:tcW w:w="6691" w:type="dxa"/>
          </w:tcPr>
          <w:p w:rsidR="0007161C" w:rsidRPr="0007161C" w:rsidP="00B24DC0">
            <w:pPr>
              <w:pStyle w:val="takzir"/>
              <w:spacing w:before="60"/>
              <w:rPr>
                <w:b w:val="0"/>
                <w:bCs w:val="0"/>
                <w:noProof w:val="0"/>
                <w:rtl/>
              </w:rPr>
            </w:pPr>
            <w:r w:rsidRPr="00582A43">
              <w:rPr>
                <w:rFonts w:hint="cs"/>
                <w:b w:val="0"/>
                <w:bCs w:val="0"/>
                <w:noProof w:val="0"/>
                <w:rtl/>
              </w:rPr>
              <w:t xml:space="preserve">אגף </w:t>
            </w:r>
            <w:r w:rsidRPr="00582A43" w:rsidR="00487B22">
              <w:rPr>
                <w:rFonts w:hint="cs"/>
                <w:b w:val="0"/>
                <w:bCs w:val="0"/>
                <w:noProof w:val="0"/>
                <w:rtl/>
              </w:rPr>
              <w:t>ה</w:t>
            </w:r>
            <w:r w:rsidRPr="00582A43">
              <w:rPr>
                <w:rFonts w:hint="cs"/>
                <w:b w:val="0"/>
                <w:bCs w:val="0"/>
                <w:noProof w:val="0"/>
                <w:rtl/>
              </w:rPr>
              <w:t>תקציבים</w:t>
            </w:r>
            <w:r w:rsidRPr="0007161C">
              <w:rPr>
                <w:b w:val="0"/>
                <w:bCs w:val="0"/>
                <w:noProof w:val="0"/>
                <w:rtl/>
              </w:rPr>
              <w:t xml:space="preserve"> גיבש את תכניתו להרחבת שוק השכירות, לרבות התבססותו על מעורבות גופים עסקיים ומוסדיים בשוק זה, </w:t>
            </w:r>
            <w:r w:rsidRPr="0007161C">
              <w:rPr>
                <w:rFonts w:hint="cs"/>
                <w:b w:val="0"/>
                <w:bCs w:val="0"/>
                <w:noProof w:val="0"/>
                <w:rtl/>
              </w:rPr>
              <w:t>ללא</w:t>
            </w:r>
            <w:r w:rsidRPr="0007161C">
              <w:rPr>
                <w:b w:val="0"/>
                <w:bCs w:val="0"/>
                <w:noProof w:val="0"/>
                <w:rtl/>
              </w:rPr>
              <w:t xml:space="preserve"> </w:t>
            </w:r>
            <w:r w:rsidRPr="0007161C">
              <w:rPr>
                <w:rFonts w:hint="cs"/>
                <w:b w:val="0"/>
                <w:bCs w:val="0"/>
                <w:noProof w:val="0"/>
                <w:rtl/>
              </w:rPr>
              <w:t xml:space="preserve">כל </w:t>
            </w:r>
            <w:r w:rsidRPr="0007161C">
              <w:rPr>
                <w:b w:val="0"/>
                <w:bCs w:val="0"/>
                <w:noProof w:val="0"/>
                <w:rtl/>
              </w:rPr>
              <w:t>עבודת מטה לבחינת התועלת, העלות וההשפעות של פיתוח שוק השכירות ארוכת הטווח על משק המדינה</w:t>
            </w:r>
            <w:r w:rsidRPr="0007161C">
              <w:rPr>
                <w:rFonts w:hint="cs"/>
                <w:b w:val="0"/>
                <w:bCs w:val="0"/>
                <w:noProof w:val="0"/>
                <w:rtl/>
              </w:rPr>
              <w:t>. הניסיון לשלב גופים עסקיים ומוסדיים בשוק זה כשל; רק במכרז אחד השתתף גוף מוסדי אך הוא לא זכה במכרז.</w:t>
            </w:r>
          </w:p>
          <w:p w:rsidR="00350D21" w:rsidP="00B24DC0">
            <w:pPr>
              <w:pStyle w:val="takzir"/>
              <w:rPr>
                <w:b w:val="0"/>
                <w:bCs w:val="0"/>
                <w:noProof w:val="0"/>
                <w:rtl/>
              </w:rPr>
            </w:pPr>
            <w:r w:rsidRPr="0007161C">
              <w:rPr>
                <w:b w:val="0"/>
                <w:bCs w:val="0"/>
                <w:noProof w:val="0"/>
                <w:rtl/>
              </w:rPr>
              <w:t xml:space="preserve">משרד הבינוי ורמ"י </w:t>
            </w:r>
            <w:r w:rsidRPr="0007161C">
              <w:rPr>
                <w:rFonts w:hint="cs"/>
                <w:b w:val="0"/>
                <w:bCs w:val="0"/>
                <w:noProof w:val="0"/>
                <w:rtl/>
              </w:rPr>
              <w:t>לא הכינו</w:t>
            </w:r>
            <w:r w:rsidRPr="0007161C">
              <w:rPr>
                <w:b w:val="0"/>
                <w:bCs w:val="0"/>
                <w:noProof w:val="0"/>
                <w:rtl/>
              </w:rPr>
              <w:t xml:space="preserve"> תכניות אסטרטגיות שלפיהן </w:t>
            </w:r>
            <w:r w:rsidRPr="0007161C">
              <w:rPr>
                <w:rFonts w:hint="cs"/>
                <w:b w:val="0"/>
                <w:bCs w:val="0"/>
                <w:noProof w:val="0"/>
                <w:rtl/>
              </w:rPr>
              <w:t>תיקבע</w:t>
            </w:r>
            <w:r w:rsidRPr="0007161C">
              <w:rPr>
                <w:b w:val="0"/>
                <w:bCs w:val="0"/>
                <w:noProof w:val="0"/>
                <w:rtl/>
              </w:rPr>
              <w:t xml:space="preserve"> המתכונת להרחבת שוק הדיור באמצעות בניית דירות להשכרה </w:t>
            </w:r>
            <w:r w:rsidRPr="0007161C">
              <w:rPr>
                <w:rFonts w:hint="cs"/>
                <w:b w:val="0"/>
                <w:bCs w:val="0"/>
                <w:noProof w:val="0"/>
                <w:rtl/>
              </w:rPr>
              <w:t>ל</w:t>
            </w:r>
            <w:r w:rsidRPr="0007161C">
              <w:rPr>
                <w:b w:val="0"/>
                <w:bCs w:val="0"/>
                <w:noProof w:val="0"/>
                <w:rtl/>
              </w:rPr>
              <w:t>טווח</w:t>
            </w:r>
            <w:r w:rsidRPr="0007161C">
              <w:rPr>
                <w:rFonts w:hint="cs"/>
                <w:b w:val="0"/>
                <w:bCs w:val="0"/>
                <w:noProof w:val="0"/>
                <w:rtl/>
              </w:rPr>
              <w:t xml:space="preserve"> ארוך</w:t>
            </w:r>
            <w:r w:rsidRPr="0007161C">
              <w:rPr>
                <w:b w:val="0"/>
                <w:bCs w:val="0"/>
                <w:noProof w:val="0"/>
                <w:rtl/>
              </w:rPr>
              <w:t xml:space="preserve">. </w:t>
            </w:r>
            <w:r w:rsidRPr="0007161C">
              <w:rPr>
                <w:rFonts w:hint="cs"/>
                <w:b w:val="0"/>
                <w:bCs w:val="0"/>
                <w:noProof w:val="0"/>
                <w:rtl/>
              </w:rPr>
              <w:t xml:space="preserve">כמו כן, </w:t>
            </w:r>
            <w:r w:rsidRPr="0007161C">
              <w:rPr>
                <w:b w:val="0"/>
                <w:bCs w:val="0"/>
                <w:noProof w:val="0"/>
                <w:rtl/>
              </w:rPr>
              <w:t>פעולותיהם למימוש התכנית היו מינוריות</w:t>
            </w:r>
            <w:r w:rsidRPr="0007161C">
              <w:rPr>
                <w:rFonts w:hint="cs"/>
                <w:b w:val="0"/>
                <w:bCs w:val="0"/>
                <w:noProof w:val="0"/>
                <w:rtl/>
              </w:rPr>
              <w:t>, עד זניחות,</w:t>
            </w:r>
            <w:r w:rsidRPr="0007161C">
              <w:rPr>
                <w:b w:val="0"/>
                <w:bCs w:val="0"/>
                <w:noProof w:val="0"/>
                <w:rtl/>
              </w:rPr>
              <w:t xml:space="preserve"> ובלתי מתוכננות</w:t>
            </w:r>
            <w:r w:rsidRPr="0007161C">
              <w:rPr>
                <w:rFonts w:hint="cs"/>
                <w:b w:val="0"/>
                <w:bCs w:val="0"/>
                <w:noProof w:val="0"/>
                <w:rtl/>
              </w:rPr>
              <w:t xml:space="preserve"> </w:t>
            </w:r>
            <w:r w:rsidR="00CD7EA8">
              <w:rPr>
                <w:rFonts w:hint="cs"/>
                <w:b w:val="0"/>
                <w:bCs w:val="0"/>
                <w:noProof w:val="0"/>
                <w:rtl/>
              </w:rPr>
              <w:t>ו</w:t>
            </w:r>
            <w:r w:rsidRPr="0007161C">
              <w:rPr>
                <w:b w:val="0"/>
                <w:bCs w:val="0"/>
                <w:noProof w:val="0"/>
                <w:rtl/>
              </w:rPr>
              <w:t>לא היה בכוחן להשפיע על שוק</w:t>
            </w:r>
            <w:r w:rsidRPr="0007161C">
              <w:rPr>
                <w:rFonts w:hint="cs"/>
                <w:b w:val="0"/>
                <w:bCs w:val="0"/>
                <w:noProof w:val="0"/>
                <w:rtl/>
              </w:rPr>
              <w:t xml:space="preserve"> הדיור</w:t>
            </w:r>
            <w:r w:rsidRPr="0007161C">
              <w:rPr>
                <w:b w:val="0"/>
                <w:bCs w:val="0"/>
                <w:noProof w:val="0"/>
                <w:rtl/>
              </w:rPr>
              <w:t>.</w:t>
            </w:r>
          </w:p>
        </w:tc>
      </w:tr>
      <w:tr w:rsidTr="00DB5B9A">
        <w:tblPrEx>
          <w:tblW w:w="6691" w:type="dxa"/>
          <w:jc w:val="center"/>
          <w:tblLook w:val="04A0"/>
        </w:tblPrEx>
        <w:trPr>
          <w:trHeight w:val="500"/>
          <w:jc w:val="center"/>
        </w:trPr>
        <w:tc>
          <w:tcPr>
            <w:tcW w:w="6691" w:type="dxa"/>
          </w:tcPr>
          <w:p w:rsidR="00B24DC0" w:rsidRPr="0007161C" w:rsidP="00B24DC0">
            <w:pPr>
              <w:pStyle w:val="takzir"/>
              <w:rPr>
                <w:b w:val="0"/>
                <w:bCs w:val="0"/>
                <w:noProof w:val="0"/>
                <w:rtl/>
              </w:rPr>
            </w:pPr>
            <w:r w:rsidRPr="0007161C">
              <w:rPr>
                <w:b w:val="0"/>
                <w:bCs w:val="0"/>
                <w:noProof w:val="0"/>
                <w:rtl/>
              </w:rPr>
              <w:t xml:space="preserve">היעדים הכמותיים שקבעה הממשלה למשרד הבינוי ולרמ"י </w:t>
            </w:r>
            <w:r w:rsidRPr="0007161C">
              <w:rPr>
                <w:rFonts w:hint="cs"/>
                <w:b w:val="0"/>
                <w:bCs w:val="0"/>
                <w:noProof w:val="0"/>
                <w:rtl/>
              </w:rPr>
              <w:t>בנוגע</w:t>
            </w:r>
            <w:r w:rsidRPr="0007161C">
              <w:rPr>
                <w:b w:val="0"/>
                <w:bCs w:val="0"/>
                <w:noProof w:val="0"/>
                <w:rtl/>
              </w:rPr>
              <w:t xml:space="preserve"> לשיווק של יח"ד להשכרה לא התבססו על עבודת מטה לבחינת הצרכים העתידיים של מדינת ישראל</w:t>
            </w:r>
            <w:r w:rsidRPr="0007161C">
              <w:rPr>
                <w:rFonts w:hint="cs"/>
                <w:b w:val="0"/>
                <w:bCs w:val="0"/>
                <w:noProof w:val="0"/>
                <w:rtl/>
              </w:rPr>
              <w:t>, אין הם עקביים והקשר ביניהם אינו ברור</w:t>
            </w:r>
            <w:r w:rsidRPr="0007161C">
              <w:rPr>
                <w:b w:val="0"/>
                <w:bCs w:val="0"/>
                <w:noProof w:val="0"/>
                <w:rtl/>
              </w:rPr>
              <w:t xml:space="preserve">. </w:t>
            </w:r>
            <w:r w:rsidRPr="0007161C">
              <w:rPr>
                <w:rFonts w:hint="cs"/>
                <w:b w:val="0"/>
                <w:bCs w:val="0"/>
                <w:noProof w:val="0"/>
                <w:rtl/>
              </w:rPr>
              <w:t>נמצא כי בשנים 2012-2011 תכניות העבודה של משרד הבינוי לא קבעו יעדים לדיור בר השגה והשכרה לטווח ארוך, וזאת על אף היעדים שקבעה הממשלה להאצת שיווקן של קרקעות לבניית 200,000 יח</w:t>
            </w:r>
            <w:r>
              <w:rPr>
                <w:rFonts w:hint="cs"/>
                <w:b w:val="0"/>
                <w:bCs w:val="0"/>
                <w:noProof w:val="0"/>
                <w:rtl/>
              </w:rPr>
              <w:t>"</w:t>
            </w:r>
            <w:r w:rsidRPr="0007161C">
              <w:rPr>
                <w:rFonts w:hint="cs"/>
                <w:b w:val="0"/>
                <w:bCs w:val="0"/>
                <w:noProof w:val="0"/>
                <w:rtl/>
              </w:rPr>
              <w:t xml:space="preserve">ד ובהן 40,000 יח"ד לדיור בר השגה. </w:t>
            </w:r>
            <w:r w:rsidRPr="0007161C">
              <w:rPr>
                <w:b w:val="0"/>
                <w:bCs w:val="0"/>
                <w:noProof w:val="0"/>
                <w:rtl/>
              </w:rPr>
              <w:t>נמצא גם חוסר הלימה בין יעדי השיווק ולוח הזמנים לשנים 201</w:t>
            </w:r>
            <w:r w:rsidRPr="0007161C">
              <w:rPr>
                <w:rFonts w:hint="cs"/>
                <w:b w:val="0"/>
                <w:bCs w:val="0"/>
                <w:noProof w:val="0"/>
                <w:rtl/>
              </w:rPr>
              <w:t>4-</w:t>
            </w:r>
            <w:r w:rsidRPr="0007161C">
              <w:rPr>
                <w:b w:val="0"/>
                <w:bCs w:val="0"/>
                <w:noProof w:val="0"/>
                <w:rtl/>
              </w:rPr>
              <w:t>201</w:t>
            </w:r>
            <w:r w:rsidRPr="0007161C">
              <w:rPr>
                <w:rFonts w:hint="cs"/>
                <w:b w:val="0"/>
                <w:bCs w:val="0"/>
                <w:noProof w:val="0"/>
                <w:rtl/>
              </w:rPr>
              <w:t>3</w:t>
            </w:r>
            <w:r w:rsidRPr="0007161C">
              <w:rPr>
                <w:b w:val="0"/>
                <w:bCs w:val="0"/>
                <w:noProof w:val="0"/>
                <w:rtl/>
              </w:rPr>
              <w:t xml:space="preserve"> ש</w:t>
            </w:r>
            <w:r w:rsidRPr="0007161C">
              <w:rPr>
                <w:rFonts w:hint="cs"/>
                <w:b w:val="0"/>
                <w:bCs w:val="0"/>
                <w:noProof w:val="0"/>
                <w:rtl/>
              </w:rPr>
              <w:t>נ</w:t>
            </w:r>
            <w:r w:rsidRPr="0007161C">
              <w:rPr>
                <w:b w:val="0"/>
                <w:bCs w:val="0"/>
                <w:noProof w:val="0"/>
                <w:rtl/>
              </w:rPr>
              <w:t>קבע</w:t>
            </w:r>
            <w:r w:rsidRPr="0007161C">
              <w:rPr>
                <w:rFonts w:hint="cs"/>
                <w:b w:val="0"/>
                <w:bCs w:val="0"/>
                <w:noProof w:val="0"/>
                <w:rtl/>
              </w:rPr>
              <w:t>ו</w:t>
            </w:r>
            <w:r w:rsidRPr="0007161C">
              <w:rPr>
                <w:b w:val="0"/>
                <w:bCs w:val="0"/>
                <w:noProof w:val="0"/>
                <w:rtl/>
              </w:rPr>
              <w:t xml:space="preserve"> בהחלטות הממשלה </w:t>
            </w:r>
            <w:r w:rsidRPr="0007161C">
              <w:rPr>
                <w:rFonts w:hint="cs"/>
                <w:b w:val="0"/>
                <w:bCs w:val="0"/>
                <w:noProof w:val="0"/>
                <w:rtl/>
              </w:rPr>
              <w:t>ו</w:t>
            </w:r>
            <w:r w:rsidRPr="0007161C">
              <w:rPr>
                <w:b w:val="0"/>
                <w:bCs w:val="0"/>
                <w:noProof w:val="0"/>
                <w:rtl/>
              </w:rPr>
              <w:t xml:space="preserve">בין המלאי התכנוני הזמין המתאים לשיווק קרקע לבנייה להשכרה </w:t>
            </w:r>
            <w:r w:rsidRPr="0007161C">
              <w:rPr>
                <w:rFonts w:hint="cs"/>
                <w:b w:val="0"/>
                <w:bCs w:val="0"/>
                <w:noProof w:val="0"/>
                <w:rtl/>
              </w:rPr>
              <w:t>ל</w:t>
            </w:r>
            <w:r w:rsidRPr="0007161C">
              <w:rPr>
                <w:b w:val="0"/>
                <w:bCs w:val="0"/>
                <w:noProof w:val="0"/>
                <w:rtl/>
              </w:rPr>
              <w:t>טווח</w:t>
            </w:r>
            <w:r w:rsidRPr="0007161C">
              <w:rPr>
                <w:rFonts w:hint="cs"/>
                <w:b w:val="0"/>
                <w:bCs w:val="0"/>
                <w:noProof w:val="0"/>
                <w:rtl/>
              </w:rPr>
              <w:t xml:space="preserve"> ארוך.</w:t>
            </w:r>
          </w:p>
          <w:p w:rsidR="00B24DC0" w:rsidRPr="0007161C" w:rsidP="00B24DC0">
            <w:pPr>
              <w:pStyle w:val="takzir"/>
              <w:rPr>
                <w:b w:val="0"/>
                <w:bCs w:val="0"/>
                <w:noProof w:val="0"/>
                <w:rtl/>
              </w:rPr>
            </w:pPr>
            <w:r w:rsidRPr="0007161C">
              <w:rPr>
                <w:b w:val="0"/>
                <w:bCs w:val="0"/>
                <w:noProof w:val="0"/>
                <w:rtl/>
              </w:rPr>
              <w:t>מועצת מקרקעי ישראל</w:t>
            </w:r>
            <w:r w:rsidRPr="0007161C">
              <w:rPr>
                <w:rFonts w:hint="cs"/>
                <w:b w:val="0"/>
                <w:bCs w:val="0"/>
                <w:noProof w:val="0"/>
                <w:rtl/>
              </w:rPr>
              <w:t xml:space="preserve"> </w:t>
            </w:r>
            <w:r w:rsidRPr="0007161C">
              <w:rPr>
                <w:b w:val="0"/>
                <w:bCs w:val="0"/>
                <w:noProof w:val="0"/>
                <w:rtl/>
              </w:rPr>
              <w:t xml:space="preserve">קיבלה החלטות בנוגע לשיווק קרקעות להשכרה </w:t>
            </w:r>
            <w:r w:rsidRPr="0007161C">
              <w:rPr>
                <w:rFonts w:hint="cs"/>
                <w:b w:val="0"/>
                <w:bCs w:val="0"/>
                <w:noProof w:val="0"/>
                <w:rtl/>
              </w:rPr>
              <w:t>ל</w:t>
            </w:r>
            <w:r w:rsidRPr="0007161C">
              <w:rPr>
                <w:b w:val="0"/>
                <w:bCs w:val="0"/>
                <w:noProof w:val="0"/>
                <w:rtl/>
              </w:rPr>
              <w:t xml:space="preserve">טווח </w:t>
            </w:r>
            <w:r w:rsidRPr="0007161C">
              <w:rPr>
                <w:rFonts w:hint="cs"/>
                <w:b w:val="0"/>
                <w:bCs w:val="0"/>
                <w:noProof w:val="0"/>
                <w:rtl/>
              </w:rPr>
              <w:t xml:space="preserve">ארוך </w:t>
            </w:r>
            <w:r w:rsidRPr="0007161C">
              <w:rPr>
                <w:b w:val="0"/>
                <w:bCs w:val="0"/>
                <w:noProof w:val="0"/>
                <w:rtl/>
              </w:rPr>
              <w:t xml:space="preserve">בלי שהוצגו לפניה ההשפעות הכלכליות של מהלך זה. רמ"י לא הכינה אומדן תקציבי שישקף את היקף ההנחות במחיר הקרקע </w:t>
            </w:r>
            <w:r w:rsidRPr="0007161C">
              <w:rPr>
                <w:rFonts w:hint="cs"/>
                <w:b w:val="0"/>
                <w:bCs w:val="0"/>
                <w:noProof w:val="0"/>
                <w:rtl/>
              </w:rPr>
              <w:t>ש</w:t>
            </w:r>
            <w:r w:rsidRPr="0007161C">
              <w:rPr>
                <w:b w:val="0"/>
                <w:bCs w:val="0"/>
                <w:noProof w:val="0"/>
                <w:rtl/>
              </w:rPr>
              <w:t xml:space="preserve">תשווק להשכרה </w:t>
            </w:r>
            <w:r w:rsidRPr="0007161C">
              <w:rPr>
                <w:rFonts w:hint="cs"/>
                <w:b w:val="0"/>
                <w:bCs w:val="0"/>
                <w:noProof w:val="0"/>
                <w:rtl/>
              </w:rPr>
              <w:t>ל</w:t>
            </w:r>
            <w:r w:rsidRPr="0007161C">
              <w:rPr>
                <w:b w:val="0"/>
                <w:bCs w:val="0"/>
                <w:noProof w:val="0"/>
                <w:rtl/>
              </w:rPr>
              <w:t>טווח</w:t>
            </w:r>
            <w:r w:rsidRPr="0007161C">
              <w:rPr>
                <w:rFonts w:hint="cs"/>
                <w:b w:val="0"/>
                <w:bCs w:val="0"/>
                <w:noProof w:val="0"/>
                <w:rtl/>
              </w:rPr>
              <w:t xml:space="preserve"> ארוך. </w:t>
            </w:r>
            <w:r w:rsidRPr="00582A43" w:rsidR="008C4ABE">
              <w:rPr>
                <w:rFonts w:hint="cs"/>
                <w:b w:val="0"/>
                <w:bCs w:val="0"/>
                <w:noProof w:val="0"/>
                <w:rtl/>
              </w:rPr>
              <w:t xml:space="preserve">אגף התקציבים </w:t>
            </w:r>
            <w:r w:rsidRPr="00582A43">
              <w:rPr>
                <w:b w:val="0"/>
                <w:bCs w:val="0"/>
                <w:noProof w:val="0"/>
                <w:rtl/>
              </w:rPr>
              <w:t>הגיש</w:t>
            </w:r>
            <w:r w:rsidRPr="0007161C">
              <w:rPr>
                <w:b w:val="0"/>
                <w:bCs w:val="0"/>
                <w:noProof w:val="0"/>
                <w:rtl/>
              </w:rPr>
              <w:t xml:space="preserve"> בקשה לשר האוצר לאשר את ההפחתות הצפויות בהכנסות המדינה, בלי שהוא עמד על כך שרמ"י תמציא לו את האומדן התקציבי הנדרש. </w:t>
            </w:r>
            <w:r w:rsidRPr="0007161C">
              <w:rPr>
                <w:rFonts w:hint="cs"/>
                <w:b w:val="0"/>
                <w:bCs w:val="0"/>
                <w:noProof w:val="0"/>
                <w:rtl/>
              </w:rPr>
              <w:t>עקב כך,</w:t>
            </w:r>
            <w:r w:rsidRPr="0007161C">
              <w:rPr>
                <w:b w:val="0"/>
                <w:bCs w:val="0"/>
                <w:noProof w:val="0"/>
                <w:rtl/>
              </w:rPr>
              <w:t xml:space="preserve"> </w:t>
            </w:r>
            <w:r w:rsidRPr="0007161C">
              <w:rPr>
                <w:rFonts w:hint="cs"/>
                <w:b w:val="0"/>
                <w:bCs w:val="0"/>
                <w:noProof w:val="0"/>
                <w:rtl/>
              </w:rPr>
              <w:t>ה</w:t>
            </w:r>
            <w:r w:rsidRPr="0007161C">
              <w:rPr>
                <w:b w:val="0"/>
                <w:bCs w:val="0"/>
                <w:noProof w:val="0"/>
                <w:rtl/>
              </w:rPr>
              <w:t xml:space="preserve">הפחתה בהכנסות המדינה לא </w:t>
            </w:r>
            <w:r w:rsidRPr="0007161C">
              <w:rPr>
                <w:rFonts w:hint="cs"/>
                <w:b w:val="0"/>
                <w:bCs w:val="0"/>
                <w:noProof w:val="0"/>
                <w:rtl/>
              </w:rPr>
              <w:t>באה לידי</w:t>
            </w:r>
            <w:r w:rsidRPr="0007161C">
              <w:rPr>
                <w:b w:val="0"/>
                <w:bCs w:val="0"/>
                <w:noProof w:val="0"/>
                <w:rtl/>
              </w:rPr>
              <w:t xml:space="preserve"> ביטוי בתקציב המדינה ונפגעה היכולת </w:t>
            </w:r>
            <w:r w:rsidRPr="0007161C">
              <w:rPr>
                <w:rFonts w:hint="cs"/>
                <w:b w:val="0"/>
                <w:bCs w:val="0"/>
                <w:noProof w:val="0"/>
                <w:rtl/>
              </w:rPr>
              <w:t>לקבוע</w:t>
            </w:r>
            <w:r w:rsidRPr="0007161C">
              <w:rPr>
                <w:b w:val="0"/>
                <w:bCs w:val="0"/>
                <w:noProof w:val="0"/>
                <w:rtl/>
              </w:rPr>
              <w:t xml:space="preserve"> </w:t>
            </w:r>
            <w:r w:rsidRPr="0007161C">
              <w:rPr>
                <w:rFonts w:hint="cs"/>
                <w:b w:val="0"/>
                <w:bCs w:val="0"/>
                <w:noProof w:val="0"/>
                <w:rtl/>
              </w:rPr>
              <w:t xml:space="preserve">את </w:t>
            </w:r>
            <w:r w:rsidRPr="0007161C">
              <w:rPr>
                <w:b w:val="0"/>
                <w:bCs w:val="0"/>
                <w:noProof w:val="0"/>
                <w:rtl/>
              </w:rPr>
              <w:t>סדרי העדיפויות הלאומיים.</w:t>
            </w:r>
          </w:p>
          <w:p w:rsidR="00B24DC0" w:rsidRPr="0007161C" w:rsidP="00B24DC0">
            <w:pPr>
              <w:pStyle w:val="takzir"/>
              <w:rPr>
                <w:b w:val="0"/>
                <w:bCs w:val="0"/>
                <w:noProof w:val="0"/>
                <w:rtl/>
              </w:rPr>
            </w:pPr>
            <w:r w:rsidRPr="0007161C">
              <w:rPr>
                <w:b w:val="0"/>
                <w:bCs w:val="0"/>
                <w:noProof w:val="0"/>
                <w:rtl/>
              </w:rPr>
              <w:t xml:space="preserve">רק </w:t>
            </w:r>
            <w:r w:rsidRPr="0007161C">
              <w:rPr>
                <w:rFonts w:hint="cs"/>
                <w:b w:val="0"/>
                <w:bCs w:val="0"/>
                <w:noProof w:val="0"/>
                <w:rtl/>
              </w:rPr>
              <w:t>4 מ-10</w:t>
            </w:r>
            <w:r w:rsidRPr="0007161C">
              <w:rPr>
                <w:b w:val="0"/>
                <w:bCs w:val="0"/>
                <w:noProof w:val="0"/>
                <w:rtl/>
              </w:rPr>
              <w:t xml:space="preserve"> מכרזים שפרסם משרד הבינוי ב</w:t>
            </w:r>
            <w:r w:rsidRPr="0007161C">
              <w:rPr>
                <w:rFonts w:hint="cs"/>
                <w:b w:val="0"/>
                <w:bCs w:val="0"/>
                <w:noProof w:val="0"/>
                <w:rtl/>
              </w:rPr>
              <w:t xml:space="preserve">שנת </w:t>
            </w:r>
            <w:r w:rsidRPr="0007161C">
              <w:rPr>
                <w:b w:val="0"/>
                <w:bCs w:val="0"/>
                <w:noProof w:val="0"/>
                <w:rtl/>
              </w:rPr>
              <w:t xml:space="preserve">2012 </w:t>
            </w:r>
            <w:r w:rsidRPr="0007161C">
              <w:rPr>
                <w:rFonts w:hint="cs"/>
                <w:b w:val="0"/>
                <w:bCs w:val="0"/>
                <w:noProof w:val="0"/>
                <w:rtl/>
              </w:rPr>
              <w:t xml:space="preserve">במסלול זה </w:t>
            </w:r>
            <w:r w:rsidRPr="0007161C">
              <w:rPr>
                <w:b w:val="0"/>
                <w:bCs w:val="0"/>
                <w:noProof w:val="0"/>
                <w:rtl/>
              </w:rPr>
              <w:t xml:space="preserve">הסתיימו בהצלחה; </w:t>
            </w:r>
            <w:r w:rsidRPr="0007161C">
              <w:rPr>
                <w:rFonts w:hint="cs"/>
                <w:b w:val="0"/>
                <w:bCs w:val="0"/>
                <w:noProof w:val="0"/>
                <w:rtl/>
              </w:rPr>
              <w:t>מ-</w:t>
            </w:r>
            <w:r w:rsidRPr="0007161C">
              <w:rPr>
                <w:b w:val="0"/>
                <w:bCs w:val="0"/>
                <w:noProof w:val="0"/>
                <w:rtl/>
              </w:rPr>
              <w:t>1,412 יח"ד שפורסמו שווקו</w:t>
            </w:r>
            <w:r w:rsidRPr="0007161C">
              <w:rPr>
                <w:rFonts w:hint="cs"/>
                <w:b w:val="0"/>
                <w:bCs w:val="0"/>
                <w:noProof w:val="0"/>
                <w:rtl/>
              </w:rPr>
              <w:t xml:space="preserve"> רק </w:t>
            </w:r>
            <w:r w:rsidRPr="0007161C">
              <w:rPr>
                <w:b w:val="0"/>
                <w:bCs w:val="0"/>
                <w:noProof w:val="0"/>
                <w:rtl/>
              </w:rPr>
              <w:t xml:space="preserve">406. </w:t>
            </w:r>
            <w:r w:rsidRPr="0007161C">
              <w:rPr>
                <w:rFonts w:hint="cs"/>
                <w:b w:val="0"/>
                <w:bCs w:val="0"/>
                <w:noProof w:val="0"/>
                <w:rtl/>
              </w:rPr>
              <w:t xml:space="preserve">בסופו של תהליך </w:t>
            </w:r>
            <w:r w:rsidRPr="0007161C">
              <w:rPr>
                <w:b w:val="0"/>
                <w:bCs w:val="0"/>
                <w:noProof w:val="0"/>
                <w:rtl/>
              </w:rPr>
              <w:t>הניב</w:t>
            </w:r>
            <w:r w:rsidRPr="0007161C">
              <w:rPr>
                <w:b w:val="0"/>
                <w:bCs w:val="0"/>
                <w:noProof w:val="0"/>
                <w:rtl/>
              </w:rPr>
              <w:t xml:space="preserve"> </w:t>
            </w:r>
            <w:r w:rsidRPr="0007161C">
              <w:rPr>
                <w:b w:val="0"/>
                <w:bCs w:val="0"/>
                <w:noProof w:val="0"/>
                <w:rtl/>
              </w:rPr>
              <w:t xml:space="preserve">המסלול </w:t>
            </w:r>
            <w:r w:rsidRPr="0007161C">
              <w:rPr>
                <w:rFonts w:hint="cs"/>
                <w:b w:val="0"/>
                <w:bCs w:val="0"/>
                <w:noProof w:val="0"/>
                <w:rtl/>
              </w:rPr>
              <w:t>רק</w:t>
            </w:r>
            <w:r w:rsidRPr="0007161C">
              <w:rPr>
                <w:b w:val="0"/>
                <w:bCs w:val="0"/>
                <w:noProof w:val="0"/>
                <w:rtl/>
              </w:rPr>
              <w:t xml:space="preserve"> 114 יח"ד בשכירות מוזלת ומפוקחת המיועדות לזכאים</w:t>
            </w:r>
            <w:r w:rsidRPr="0007161C">
              <w:rPr>
                <w:rFonts w:hint="cs"/>
                <w:b w:val="0"/>
                <w:bCs w:val="0"/>
                <w:noProof w:val="0"/>
                <w:rtl/>
              </w:rPr>
              <w:t>.</w:t>
            </w:r>
            <w:r w:rsidRPr="0007161C">
              <w:rPr>
                <w:b w:val="0"/>
                <w:bCs w:val="0"/>
                <w:noProof w:val="0"/>
                <w:rtl/>
              </w:rPr>
              <w:t xml:space="preserve"> </w:t>
            </w:r>
            <w:r w:rsidRPr="0007161C">
              <w:rPr>
                <w:rFonts w:hint="cs"/>
                <w:b w:val="0"/>
                <w:bCs w:val="0"/>
                <w:noProof w:val="0"/>
                <w:rtl/>
              </w:rPr>
              <w:t>הוויתור הממוצע של המדינה על הכנסות מקרקע עמד על</w:t>
            </w:r>
            <w:r w:rsidRPr="0007161C">
              <w:rPr>
                <w:b w:val="0"/>
                <w:bCs w:val="0"/>
                <w:noProof w:val="0"/>
                <w:rtl/>
              </w:rPr>
              <w:t xml:space="preserve"> כ-1.7 מיליון ש"ח ליח"ד אחת. בהתחשב בכך שמדובר באפיק שהממשלה הגדירה כ</w:t>
            </w:r>
            <w:r w:rsidRPr="0007161C">
              <w:rPr>
                <w:rFonts w:hint="cs"/>
                <w:b w:val="0"/>
                <w:bCs w:val="0"/>
                <w:noProof w:val="0"/>
                <w:rtl/>
              </w:rPr>
              <w:t>אמצעי</w:t>
            </w:r>
            <w:r w:rsidRPr="0007161C">
              <w:rPr>
                <w:b w:val="0"/>
                <w:bCs w:val="0"/>
                <w:noProof w:val="0"/>
                <w:rtl/>
              </w:rPr>
              <w:t xml:space="preserve"> בסיסי </w:t>
            </w:r>
            <w:r w:rsidRPr="0007161C">
              <w:rPr>
                <w:rFonts w:hint="cs"/>
                <w:b w:val="0"/>
                <w:bCs w:val="0"/>
                <w:noProof w:val="0"/>
                <w:rtl/>
              </w:rPr>
              <w:t>לטיפול במחסור בדיור</w:t>
            </w:r>
            <w:r w:rsidRPr="0007161C">
              <w:rPr>
                <w:b w:val="0"/>
                <w:bCs w:val="0"/>
                <w:noProof w:val="0"/>
                <w:rtl/>
              </w:rPr>
              <w:t xml:space="preserve">, ובייחוד דיור בר השגה, מדובר בהישג </w:t>
            </w:r>
            <w:r w:rsidRPr="0007161C">
              <w:rPr>
                <w:rFonts w:hint="cs"/>
                <w:b w:val="0"/>
                <w:bCs w:val="0"/>
                <w:noProof w:val="0"/>
                <w:rtl/>
              </w:rPr>
              <w:t>זניח</w:t>
            </w:r>
            <w:r w:rsidRPr="0007161C">
              <w:rPr>
                <w:b w:val="0"/>
                <w:bCs w:val="0"/>
                <w:noProof w:val="0"/>
                <w:rtl/>
              </w:rPr>
              <w:t xml:space="preserve"> ביותר שעלותו גבוהה ומעוררת ספק בנוגע לכדאיותה הכלכלית של השקעה</w:t>
            </w:r>
            <w:r w:rsidRPr="0007161C">
              <w:rPr>
                <w:rFonts w:hint="cs"/>
                <w:b w:val="0"/>
                <w:bCs w:val="0"/>
                <w:noProof w:val="0"/>
                <w:rtl/>
              </w:rPr>
              <w:t xml:space="preserve"> זו</w:t>
            </w:r>
            <w:r w:rsidRPr="0007161C">
              <w:rPr>
                <w:b w:val="0"/>
                <w:bCs w:val="0"/>
                <w:noProof w:val="0"/>
                <w:rtl/>
              </w:rPr>
              <w:t xml:space="preserve"> ולתרומתה לציבור</w:t>
            </w:r>
            <w:r w:rsidRPr="0007161C">
              <w:rPr>
                <w:rFonts w:hint="cs"/>
                <w:b w:val="0"/>
                <w:bCs w:val="0"/>
                <w:noProof w:val="0"/>
                <w:rtl/>
              </w:rPr>
              <w:t xml:space="preserve"> כולו</w:t>
            </w:r>
            <w:r w:rsidRPr="0007161C">
              <w:rPr>
                <w:b w:val="0"/>
                <w:bCs w:val="0"/>
                <w:noProof w:val="0"/>
                <w:rtl/>
              </w:rPr>
              <w:t>.</w:t>
            </w:r>
          </w:p>
        </w:tc>
      </w:tr>
      <w:tr w:rsidTr="0007161C">
        <w:tblPrEx>
          <w:tblW w:w="6691" w:type="dxa"/>
          <w:jc w:val="center"/>
          <w:tblLook w:val="04A0"/>
        </w:tblPrEx>
        <w:trPr>
          <w:jc w:val="center"/>
        </w:trPr>
        <w:tc>
          <w:tcPr>
            <w:tcW w:w="6691" w:type="dxa"/>
            <w:shd w:val="pct25" w:color="00FF00" w:fill="auto"/>
          </w:tcPr>
          <w:p w:rsidR="001275A6" w:rsidP="00D5796D">
            <w:pPr>
              <w:pStyle w:val="KOT4"/>
              <w:spacing w:before="120"/>
              <w:jc w:val="center"/>
              <w:rPr>
                <w:rtl/>
              </w:rPr>
            </w:pPr>
            <w:r>
              <w:rPr>
                <w:rFonts w:hint="cs"/>
                <w:rtl/>
              </w:rPr>
              <w:t>ה</w:t>
            </w:r>
            <w:r>
              <w:rPr>
                <w:rtl/>
              </w:rPr>
              <w:t xml:space="preserve">המלצות </w:t>
            </w:r>
            <w:r>
              <w:rPr>
                <w:rFonts w:hint="cs"/>
                <w:rtl/>
              </w:rPr>
              <w:t>העיקריות</w:t>
            </w:r>
          </w:p>
        </w:tc>
      </w:tr>
      <w:tr w:rsidTr="00DB5B9A">
        <w:tblPrEx>
          <w:tblW w:w="6691" w:type="dxa"/>
          <w:jc w:val="center"/>
          <w:tblLook w:val="04A0"/>
        </w:tblPrEx>
        <w:trPr>
          <w:trHeight w:val="9610"/>
          <w:jc w:val="center"/>
        </w:trPr>
        <w:tc>
          <w:tcPr>
            <w:tcW w:w="6691" w:type="dxa"/>
          </w:tcPr>
          <w:p w:rsidR="0097353A" w:rsidRPr="0097353A" w:rsidP="0097353A">
            <w:pPr>
              <w:pStyle w:val="takzir"/>
              <w:spacing w:before="60"/>
              <w:rPr>
                <w:b w:val="0"/>
                <w:bCs w:val="0"/>
                <w:noProof w:val="0"/>
                <w:rtl/>
              </w:rPr>
            </w:pPr>
            <w:r w:rsidRPr="0097353A">
              <w:rPr>
                <w:noProof w:val="0"/>
                <w:spacing w:val="40"/>
                <w:rtl/>
              </w:rPr>
              <w:t>היערכות ועבודת מטה:</w:t>
            </w:r>
            <w:r w:rsidRPr="0097353A">
              <w:rPr>
                <w:rFonts w:hint="cs"/>
                <w:b w:val="0"/>
                <w:bCs w:val="0"/>
                <w:noProof w:val="0"/>
                <w:spacing w:val="40"/>
                <w:rtl/>
              </w:rPr>
              <w:t xml:space="preserve"> </w:t>
            </w:r>
            <w:r w:rsidRPr="0097353A">
              <w:rPr>
                <w:rFonts w:hint="cs"/>
                <w:b w:val="0"/>
                <w:bCs w:val="0"/>
                <w:noProof w:val="0"/>
                <w:rtl/>
              </w:rPr>
              <w:t>על הממשלה לשפר את איכותו של המידע הנדרש לגופים הרלוונטיים לקבלת החלטות מושכלות בתחום הדיור ולשכלל את הכלים לאיסופו ולניתוחו; יש לפתח מודלים לאפיון הביקושים, למדוד את נטל ההוצאות של משקי בית על דיור ולעמוד על משמעותו, לנתח את המשמעויות הנגזרות מפעילותם של משקיעים בשוק הדיור, לשפר את מהימנות הנתונים המשמשים לקביעת מדדי מחירי הדיור ולהגביר את השקיפות בתחום, לאסוף מידע מהימן על המלאי התכנוני ולסווגו לפי רמת זמינותו ולאפיין את האוכלוסייה הזכאית לדיור בר השגה. כמו כן, מומלץ ליצור</w:t>
            </w:r>
            <w:r w:rsidRPr="0097353A">
              <w:rPr>
                <w:b w:val="0"/>
                <w:bCs w:val="0"/>
                <w:noProof w:val="0"/>
                <w:rtl/>
              </w:rPr>
              <w:t xml:space="preserve"> מערכת מידע</w:t>
            </w:r>
            <w:r w:rsidRPr="0097353A">
              <w:rPr>
                <w:rFonts w:hint="cs"/>
                <w:b w:val="0"/>
                <w:bCs w:val="0"/>
                <w:noProof w:val="0"/>
                <w:rtl/>
              </w:rPr>
              <w:t xml:space="preserve"> ממשלתית משותפת</w:t>
            </w:r>
            <w:r w:rsidRPr="0097353A">
              <w:rPr>
                <w:b w:val="0"/>
                <w:bCs w:val="0"/>
                <w:noProof w:val="0"/>
                <w:rtl/>
              </w:rPr>
              <w:t xml:space="preserve"> </w:t>
            </w:r>
            <w:r w:rsidRPr="0097353A">
              <w:rPr>
                <w:rFonts w:hint="cs"/>
                <w:b w:val="0"/>
                <w:bCs w:val="0"/>
                <w:noProof w:val="0"/>
                <w:rtl/>
              </w:rPr>
              <w:t>ממוחשבת שתכלול נתונים גאוגרפיים ותאפשר להפיק שאילתות וניתוחים של המידע הנאסף בתחום המקרקעין, בכפוף ל</w:t>
            </w:r>
            <w:r w:rsidRPr="0097353A">
              <w:rPr>
                <w:b w:val="0"/>
                <w:bCs w:val="0"/>
                <w:noProof w:val="0"/>
                <w:rtl/>
              </w:rPr>
              <w:t xml:space="preserve">מגבלות </w:t>
            </w:r>
            <w:r w:rsidRPr="0097353A">
              <w:rPr>
                <w:rFonts w:hint="cs"/>
                <w:b w:val="0"/>
                <w:bCs w:val="0"/>
                <w:noProof w:val="0"/>
                <w:rtl/>
              </w:rPr>
              <w:t xml:space="preserve">הקבועות בדין בעניין </w:t>
            </w:r>
            <w:r w:rsidRPr="0097353A">
              <w:rPr>
                <w:b w:val="0"/>
                <w:bCs w:val="0"/>
                <w:noProof w:val="0"/>
                <w:rtl/>
              </w:rPr>
              <w:t>הגנת הפרטיות</w:t>
            </w:r>
            <w:r w:rsidRPr="0097353A">
              <w:rPr>
                <w:rFonts w:hint="cs"/>
                <w:b w:val="0"/>
                <w:bCs w:val="0"/>
                <w:noProof w:val="0"/>
                <w:rtl/>
              </w:rPr>
              <w:t>.</w:t>
            </w:r>
          </w:p>
          <w:p w:rsidR="0097353A" w:rsidRPr="0097353A" w:rsidP="0097353A">
            <w:pPr>
              <w:pStyle w:val="takzir"/>
              <w:rPr>
                <w:b w:val="0"/>
                <w:bCs w:val="0"/>
                <w:noProof w:val="0"/>
                <w:rtl/>
              </w:rPr>
            </w:pPr>
            <w:r w:rsidRPr="0097353A">
              <w:rPr>
                <w:rFonts w:hint="cs"/>
                <w:b w:val="0"/>
                <w:bCs w:val="0"/>
                <w:noProof w:val="0"/>
                <w:rtl/>
              </w:rPr>
              <w:t>מאחר</w:t>
            </w:r>
            <w:r w:rsidRPr="0097353A">
              <w:rPr>
                <w:b w:val="0"/>
                <w:bCs w:val="0"/>
                <w:noProof w:val="0"/>
                <w:rtl/>
              </w:rPr>
              <w:t xml:space="preserve"> ששוק הדיור </w:t>
            </w:r>
            <w:r w:rsidRPr="0097353A">
              <w:rPr>
                <w:rFonts w:hint="cs"/>
                <w:b w:val="0"/>
                <w:bCs w:val="0"/>
                <w:noProof w:val="0"/>
                <w:rtl/>
              </w:rPr>
              <w:t>מתאפיין</w:t>
            </w:r>
            <w:r w:rsidRPr="0097353A">
              <w:rPr>
                <w:b w:val="0"/>
                <w:bCs w:val="0"/>
                <w:noProof w:val="0"/>
                <w:rtl/>
              </w:rPr>
              <w:t xml:space="preserve"> במחזוריות</w:t>
            </w:r>
            <w:r w:rsidRPr="0097353A">
              <w:rPr>
                <w:rFonts w:hint="cs"/>
                <w:b w:val="0"/>
                <w:bCs w:val="0"/>
                <w:noProof w:val="0"/>
                <w:rtl/>
              </w:rPr>
              <w:t>, על הממשלה לשפר את יכולתה להגיב לתנודתיות שבו ולצמצם את הנזקים העלולים להיגרם מתנודות קיצוניות ומעליית מחירי השוק ולהיערך מראש לשינויים מעין אלו.</w:t>
            </w:r>
            <w:r w:rsidRPr="0097353A">
              <w:rPr>
                <w:b w:val="0"/>
                <w:bCs w:val="0"/>
                <w:noProof w:val="0"/>
                <w:rtl/>
              </w:rPr>
              <w:t xml:space="preserve"> על משרדי הממשלה להביא בחשבון את הצורך בקביעת מדיניות דיור לאומית כוללת וארוכת טווח </w:t>
            </w:r>
            <w:r w:rsidRPr="0097353A">
              <w:rPr>
                <w:rFonts w:hint="cs"/>
                <w:b w:val="0"/>
                <w:bCs w:val="0"/>
                <w:noProof w:val="0"/>
                <w:rtl/>
              </w:rPr>
              <w:t>וב</w:t>
            </w:r>
            <w:r w:rsidRPr="0097353A">
              <w:rPr>
                <w:b w:val="0"/>
                <w:bCs w:val="0"/>
                <w:noProof w:val="0"/>
                <w:rtl/>
              </w:rPr>
              <w:t>קביעת</w:t>
            </w:r>
            <w:r w:rsidRPr="0097353A">
              <w:rPr>
                <w:rFonts w:hint="cs"/>
                <w:b w:val="0"/>
                <w:bCs w:val="0"/>
                <w:noProof w:val="0"/>
                <w:rtl/>
              </w:rPr>
              <w:t xml:space="preserve"> לוחות זמנים בני מימוש להשגת יעדי הממשלה</w:t>
            </w:r>
            <w:r w:rsidRPr="0097353A">
              <w:rPr>
                <w:b w:val="0"/>
                <w:bCs w:val="0"/>
                <w:noProof w:val="0"/>
                <w:rtl/>
              </w:rPr>
              <w:t xml:space="preserve"> </w:t>
            </w:r>
            <w:r w:rsidRPr="0097353A">
              <w:rPr>
                <w:rFonts w:hint="cs"/>
                <w:b w:val="0"/>
                <w:bCs w:val="0"/>
                <w:noProof w:val="0"/>
                <w:rtl/>
              </w:rPr>
              <w:t xml:space="preserve">לכל אחד משלביה של שרשרת הייצור של יחידות דיור, לרבות </w:t>
            </w:r>
            <w:r w:rsidRPr="0097353A">
              <w:rPr>
                <w:b w:val="0"/>
                <w:bCs w:val="0"/>
                <w:noProof w:val="0"/>
                <w:rtl/>
              </w:rPr>
              <w:t>דיור בר השגה</w:t>
            </w:r>
            <w:r w:rsidRPr="0097353A">
              <w:rPr>
                <w:rFonts w:hint="cs"/>
                <w:b w:val="0"/>
                <w:bCs w:val="0"/>
                <w:noProof w:val="0"/>
                <w:rtl/>
              </w:rPr>
              <w:t>.</w:t>
            </w:r>
          </w:p>
          <w:p w:rsidR="0097353A" w:rsidRPr="0097353A" w:rsidP="0097353A">
            <w:pPr>
              <w:pStyle w:val="takzir"/>
              <w:rPr>
                <w:b w:val="0"/>
                <w:bCs w:val="0"/>
                <w:noProof w:val="0"/>
                <w:rtl/>
              </w:rPr>
            </w:pPr>
            <w:r w:rsidRPr="0097353A">
              <w:rPr>
                <w:b w:val="0"/>
                <w:bCs w:val="0"/>
                <w:noProof w:val="0"/>
                <w:rtl/>
              </w:rPr>
              <w:t xml:space="preserve">מומלץ </w:t>
            </w:r>
            <w:r w:rsidRPr="0097353A">
              <w:rPr>
                <w:rFonts w:hint="cs"/>
                <w:b w:val="0"/>
                <w:bCs w:val="0"/>
                <w:noProof w:val="0"/>
                <w:rtl/>
              </w:rPr>
              <w:t xml:space="preserve">לשקול הפעלת </w:t>
            </w:r>
            <w:r w:rsidRPr="0097353A">
              <w:rPr>
                <w:b w:val="0"/>
                <w:bCs w:val="0"/>
                <w:noProof w:val="0"/>
                <w:rtl/>
              </w:rPr>
              <w:t>דרג מטה שמתפקידיו לתכלל את תהליך התוויית מדיניות הדיור הממשלתית ול</w:t>
            </w:r>
            <w:r w:rsidRPr="0097353A">
              <w:rPr>
                <w:rFonts w:hint="cs"/>
                <w:b w:val="0"/>
                <w:bCs w:val="0"/>
                <w:noProof w:val="0"/>
                <w:rtl/>
              </w:rPr>
              <w:t>שמש</w:t>
            </w:r>
            <w:r w:rsidRPr="0097353A">
              <w:rPr>
                <w:b w:val="0"/>
                <w:bCs w:val="0"/>
                <w:noProof w:val="0"/>
                <w:rtl/>
              </w:rPr>
              <w:t xml:space="preserve"> </w:t>
            </w:r>
            <w:r w:rsidRPr="0097353A">
              <w:rPr>
                <w:rFonts w:hint="cs"/>
                <w:b w:val="0"/>
                <w:bCs w:val="0"/>
                <w:noProof w:val="0"/>
                <w:rtl/>
              </w:rPr>
              <w:t xml:space="preserve">מישק </w:t>
            </w:r>
            <w:r w:rsidRPr="0097353A">
              <w:rPr>
                <w:b w:val="0"/>
                <w:bCs w:val="0"/>
                <w:noProof w:val="0"/>
                <w:rtl/>
              </w:rPr>
              <w:t xml:space="preserve">בין הדרג המדיני הקובע את מדיניות הדיור </w:t>
            </w:r>
            <w:r w:rsidRPr="0097353A">
              <w:rPr>
                <w:rFonts w:hint="cs"/>
                <w:b w:val="0"/>
                <w:bCs w:val="0"/>
                <w:noProof w:val="0"/>
                <w:rtl/>
              </w:rPr>
              <w:t>ו</w:t>
            </w:r>
            <w:r w:rsidRPr="0097353A">
              <w:rPr>
                <w:b w:val="0"/>
                <w:bCs w:val="0"/>
                <w:noProof w:val="0"/>
                <w:rtl/>
              </w:rPr>
              <w:t xml:space="preserve">בין הדרג הביצועי </w:t>
            </w:r>
            <w:r w:rsidRPr="0097353A">
              <w:rPr>
                <w:rFonts w:hint="cs"/>
                <w:b w:val="0"/>
                <w:bCs w:val="0"/>
                <w:noProof w:val="0"/>
                <w:rtl/>
              </w:rPr>
              <w:t>ה</w:t>
            </w:r>
            <w:r w:rsidRPr="0097353A">
              <w:rPr>
                <w:b w:val="0"/>
                <w:bCs w:val="0"/>
                <w:noProof w:val="0"/>
                <w:rtl/>
              </w:rPr>
              <w:t xml:space="preserve">מפעיל </w:t>
            </w:r>
            <w:r w:rsidRPr="0097353A">
              <w:rPr>
                <w:rFonts w:hint="cs"/>
                <w:b w:val="0"/>
                <w:bCs w:val="0"/>
                <w:noProof w:val="0"/>
                <w:rtl/>
              </w:rPr>
              <w:t xml:space="preserve">את </w:t>
            </w:r>
            <w:r w:rsidRPr="0097353A">
              <w:rPr>
                <w:b w:val="0"/>
                <w:bCs w:val="0"/>
                <w:noProof w:val="0"/>
                <w:rtl/>
              </w:rPr>
              <w:t>שרשרת הייצור.</w:t>
            </w:r>
          </w:p>
          <w:p w:rsidR="0097353A" w:rsidRPr="0097353A" w:rsidP="0097353A">
            <w:pPr>
              <w:pStyle w:val="takzir"/>
              <w:spacing w:after="0"/>
              <w:rPr>
                <w:b w:val="0"/>
                <w:bCs w:val="0"/>
                <w:noProof w:val="0"/>
                <w:rtl/>
              </w:rPr>
            </w:pPr>
            <w:r w:rsidRPr="0097353A">
              <w:rPr>
                <w:rFonts w:hint="eastAsia"/>
                <w:noProof w:val="0"/>
                <w:spacing w:val="40"/>
                <w:rtl/>
              </w:rPr>
              <w:t>מיסוי</w:t>
            </w:r>
            <w:r w:rsidRPr="0097353A">
              <w:rPr>
                <w:noProof w:val="0"/>
                <w:spacing w:val="40"/>
                <w:rtl/>
              </w:rPr>
              <w:t xml:space="preserve"> </w:t>
            </w:r>
            <w:r w:rsidRPr="0097353A">
              <w:rPr>
                <w:rFonts w:hint="eastAsia"/>
                <w:noProof w:val="0"/>
                <w:spacing w:val="40"/>
                <w:rtl/>
              </w:rPr>
              <w:t>מקרקעין</w:t>
            </w:r>
            <w:r w:rsidRPr="0097353A">
              <w:rPr>
                <w:noProof w:val="0"/>
                <w:spacing w:val="40"/>
                <w:rtl/>
              </w:rPr>
              <w:t>:</w:t>
            </w:r>
            <w:r w:rsidRPr="0097353A">
              <w:rPr>
                <w:rFonts w:hint="cs"/>
                <w:b w:val="0"/>
                <w:bCs w:val="0"/>
                <w:noProof w:val="0"/>
                <w:rtl/>
              </w:rPr>
              <w:t xml:space="preserve"> </w:t>
            </w:r>
            <w:r w:rsidRPr="0097353A">
              <w:rPr>
                <w:b w:val="0"/>
                <w:bCs w:val="0"/>
                <w:noProof w:val="0"/>
                <w:rtl/>
              </w:rPr>
              <w:t>על משרד האוצר לבחון את רכיבי עלויות הבני</w:t>
            </w:r>
            <w:r w:rsidRPr="0097353A">
              <w:rPr>
                <w:rFonts w:hint="cs"/>
                <w:b w:val="0"/>
                <w:bCs w:val="0"/>
                <w:noProof w:val="0"/>
                <w:rtl/>
              </w:rPr>
              <w:t>י</w:t>
            </w:r>
            <w:r w:rsidRPr="0097353A">
              <w:rPr>
                <w:b w:val="0"/>
                <w:bCs w:val="0"/>
                <w:noProof w:val="0"/>
                <w:rtl/>
              </w:rPr>
              <w:t>ה למגורים ומשקלם במחיר הדירה בכלל ואת ש</w:t>
            </w:r>
            <w:r w:rsidRPr="0097353A">
              <w:rPr>
                <w:rFonts w:hint="cs"/>
                <w:b w:val="0"/>
                <w:bCs w:val="0"/>
                <w:noProof w:val="0"/>
                <w:rtl/>
              </w:rPr>
              <w:t>י</w:t>
            </w:r>
            <w:r w:rsidRPr="0097353A">
              <w:rPr>
                <w:b w:val="0"/>
                <w:bCs w:val="0"/>
                <w:noProof w:val="0"/>
                <w:rtl/>
              </w:rPr>
              <w:t xml:space="preserve">עור המסים וחלקה של המדינה במחיר הדירה בפרט, </w:t>
            </w:r>
            <w:r w:rsidRPr="0097353A">
              <w:rPr>
                <w:rFonts w:hint="cs"/>
                <w:b w:val="0"/>
                <w:bCs w:val="0"/>
                <w:noProof w:val="0"/>
                <w:rtl/>
              </w:rPr>
              <w:t>כדי שיוכלו לסייע בידו</w:t>
            </w:r>
            <w:r w:rsidRPr="0097353A">
              <w:rPr>
                <w:b w:val="0"/>
                <w:bCs w:val="0"/>
                <w:noProof w:val="0"/>
                <w:rtl/>
              </w:rPr>
              <w:t xml:space="preserve"> בקבלת החלטות </w:t>
            </w:r>
            <w:r w:rsidRPr="0097353A">
              <w:rPr>
                <w:rFonts w:hint="cs"/>
                <w:b w:val="0"/>
                <w:bCs w:val="0"/>
                <w:noProof w:val="0"/>
                <w:rtl/>
              </w:rPr>
              <w:t>בנוגע ל</w:t>
            </w:r>
            <w:r w:rsidRPr="0097353A">
              <w:rPr>
                <w:b w:val="0"/>
                <w:bCs w:val="0"/>
                <w:noProof w:val="0"/>
                <w:rtl/>
              </w:rPr>
              <w:t>ש</w:t>
            </w:r>
            <w:r w:rsidRPr="0097353A">
              <w:rPr>
                <w:rFonts w:hint="cs"/>
                <w:b w:val="0"/>
                <w:bCs w:val="0"/>
                <w:noProof w:val="0"/>
                <w:rtl/>
              </w:rPr>
              <w:t>י</w:t>
            </w:r>
            <w:r w:rsidRPr="0097353A">
              <w:rPr>
                <w:b w:val="0"/>
                <w:bCs w:val="0"/>
                <w:noProof w:val="0"/>
                <w:rtl/>
              </w:rPr>
              <w:t>עורי המס השונים והפטורים הקבועים בחוקי מיסוי מקרקעין. כמו כן</w:t>
            </w:r>
            <w:r w:rsidRPr="0097353A">
              <w:rPr>
                <w:rFonts w:hint="cs"/>
                <w:b w:val="0"/>
                <w:bCs w:val="0"/>
                <w:noProof w:val="0"/>
                <w:rtl/>
              </w:rPr>
              <w:t>,</w:t>
            </w:r>
            <w:r w:rsidRPr="0097353A">
              <w:rPr>
                <w:b w:val="0"/>
                <w:bCs w:val="0"/>
                <w:noProof w:val="0"/>
                <w:rtl/>
              </w:rPr>
              <w:t xml:space="preserve"> עליו לבנות תהליך מוסדר</w:t>
            </w:r>
            <w:r w:rsidRPr="0097353A">
              <w:rPr>
                <w:rFonts w:hint="cs"/>
                <w:b w:val="0"/>
                <w:bCs w:val="0"/>
                <w:noProof w:val="0"/>
                <w:rtl/>
              </w:rPr>
              <w:t xml:space="preserve"> ומובנה</w:t>
            </w:r>
            <w:r w:rsidRPr="0097353A">
              <w:rPr>
                <w:b w:val="0"/>
                <w:bCs w:val="0"/>
                <w:noProof w:val="0"/>
                <w:rtl/>
              </w:rPr>
              <w:t xml:space="preserve"> לבחינת התאמת סעיפים שונים בהוראות מיסוי המקרקעין למצבו המשתנה של המשק אם בהיבטי המקרו אם בהיבטי המיקרו</w:t>
            </w:r>
            <w:r w:rsidRPr="0097353A">
              <w:rPr>
                <w:rFonts w:hint="cs"/>
                <w:b w:val="0"/>
                <w:bCs w:val="0"/>
                <w:noProof w:val="0"/>
                <w:rtl/>
              </w:rPr>
              <w:t>,</w:t>
            </w:r>
            <w:r w:rsidRPr="0097353A">
              <w:rPr>
                <w:b w:val="0"/>
                <w:bCs w:val="0"/>
                <w:noProof w:val="0"/>
                <w:rtl/>
              </w:rPr>
              <w:t xml:space="preserve"> למעקב אחר תום תוקפן של הוראות שעה ולבחינת השגת מטרות הממשלה בהוראות חוק שונות שחוקקו בעבר.</w:t>
            </w:r>
            <w:r w:rsidRPr="0097353A">
              <w:rPr>
                <w:rFonts w:hint="cs"/>
                <w:b w:val="0"/>
                <w:bCs w:val="0"/>
                <w:noProof w:val="0"/>
                <w:rtl/>
              </w:rPr>
              <w:t xml:space="preserve"> נדרש גם </w:t>
            </w:r>
            <w:r w:rsidRPr="0097353A">
              <w:rPr>
                <w:b w:val="0"/>
                <w:bCs w:val="0"/>
                <w:noProof w:val="0"/>
                <w:rtl/>
              </w:rPr>
              <w:t xml:space="preserve">להשלים את נוהל חקיקת מסים </w:t>
            </w:r>
            <w:r w:rsidRPr="0097353A">
              <w:rPr>
                <w:rFonts w:hint="cs"/>
                <w:b w:val="0"/>
                <w:bCs w:val="0"/>
                <w:noProof w:val="0"/>
                <w:rtl/>
              </w:rPr>
              <w:t>ה</w:t>
            </w:r>
            <w:r w:rsidRPr="0097353A">
              <w:rPr>
                <w:b w:val="0"/>
                <w:bCs w:val="0"/>
                <w:noProof w:val="0"/>
                <w:rtl/>
              </w:rPr>
              <w:t>אמור להסדיר את נושא גיבוש מדינ</w:t>
            </w:r>
            <w:r w:rsidRPr="0097353A">
              <w:rPr>
                <w:rFonts w:hint="cs"/>
                <w:b w:val="0"/>
                <w:bCs w:val="0"/>
                <w:noProof w:val="0"/>
                <w:rtl/>
              </w:rPr>
              <w:t>י</w:t>
            </w:r>
            <w:r w:rsidRPr="0097353A">
              <w:rPr>
                <w:b w:val="0"/>
                <w:bCs w:val="0"/>
                <w:noProof w:val="0"/>
                <w:rtl/>
              </w:rPr>
              <w:t>ות מס וחקיקה במשרד האוצר</w:t>
            </w:r>
            <w:r w:rsidRPr="0097353A">
              <w:rPr>
                <w:rFonts w:hint="cs"/>
                <w:b w:val="0"/>
                <w:bCs w:val="0"/>
                <w:noProof w:val="0"/>
                <w:rtl/>
              </w:rPr>
              <w:t>.</w:t>
            </w:r>
          </w:p>
          <w:p w:rsidR="0097353A" w:rsidRPr="0097353A" w:rsidP="0097353A">
            <w:pPr>
              <w:pStyle w:val="takzir"/>
              <w:spacing w:after="0" w:line="120" w:lineRule="exact"/>
              <w:rPr>
                <w:b w:val="0"/>
                <w:bCs w:val="0"/>
                <w:noProof w:val="0"/>
                <w:sz w:val="12"/>
                <w:szCs w:val="12"/>
                <w:rtl/>
              </w:rPr>
            </w:pPr>
          </w:p>
          <w:p w:rsidR="0097353A" w:rsidRPr="0097353A" w:rsidP="0097353A">
            <w:pPr>
              <w:pStyle w:val="takzir"/>
              <w:rPr>
                <w:b w:val="0"/>
                <w:bCs w:val="0"/>
                <w:noProof w:val="0"/>
                <w:rtl/>
              </w:rPr>
            </w:pPr>
            <w:r w:rsidRPr="0097353A">
              <w:rPr>
                <w:rFonts w:hint="cs"/>
                <w:noProof w:val="0"/>
                <w:spacing w:val="40"/>
                <w:rtl/>
              </w:rPr>
              <w:t>ייעול שרשרת הייצור:</w:t>
            </w:r>
            <w:r w:rsidRPr="0097353A">
              <w:rPr>
                <w:rFonts w:hint="cs"/>
                <w:b w:val="0"/>
                <w:bCs w:val="0"/>
                <w:noProof w:val="0"/>
                <w:rtl/>
              </w:rPr>
              <w:t xml:space="preserve"> על הממשלה לפעול לייעולה של שרשרת הייצור של יחידות דיור ולהגדלת האפקטיביות שלה. יש לעדכן את התכנון המתארי הארצי והמקומי, לעקוב אחר יישום תכניות המתאר המחוזיות, לקבוע תקן למלאי התכנוני הנדרש למשק בכל זמן נתון ולגזור בהתאם לכך יעדים לגופים היוזמים תכניות וכן למוסדות התכנון. יש לייעל את הליכי התכנון ולקצר את משכם ולשפר את התיאום הבין-משרדי הנדרש לצורך קידומן היעיל של תכניות.</w:t>
            </w:r>
          </w:p>
          <w:p w:rsidR="001275A6" w:rsidP="0097353A">
            <w:pPr>
              <w:pStyle w:val="takzir"/>
              <w:rPr>
                <w:b w:val="0"/>
                <w:bCs w:val="0"/>
                <w:rtl/>
              </w:rPr>
            </w:pPr>
            <w:r w:rsidRPr="0097353A">
              <w:rPr>
                <w:rFonts w:hint="cs"/>
                <w:b w:val="0"/>
                <w:bCs w:val="0"/>
                <w:noProof w:val="0"/>
                <w:rtl/>
              </w:rPr>
              <w:t>על הממשלה להמשיך לפעול להסרת חסמים המונעים את אישור התכניות ואת יישומן כדי להימנע מהצורך ליזום תכניות חדשות על עתודות קרקע שאינן מתוכננות, ובאופן זה לאפשר שימוש יעיל בקרקע ולחסוך בעלויות תכנון.</w:t>
            </w:r>
          </w:p>
        </w:tc>
      </w:tr>
    </w:tbl>
    <w:p w:rsidR="00DB5B9A"/>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07161C">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jc w:val="center"/>
        </w:trPr>
        <w:tc>
          <w:tcPr>
            <w:tcW w:w="6691" w:type="dxa"/>
          </w:tcPr>
          <w:p w:rsidR="00DB5B9A" w:rsidRPr="0097353A" w:rsidP="00DB5B9A">
            <w:pPr>
              <w:pStyle w:val="takzir"/>
              <w:spacing w:before="60"/>
              <w:rPr>
                <w:b w:val="0"/>
                <w:bCs w:val="0"/>
                <w:noProof w:val="0"/>
                <w:rtl/>
              </w:rPr>
            </w:pPr>
            <w:r w:rsidRPr="0097353A">
              <w:rPr>
                <w:rFonts w:hint="cs"/>
                <w:b w:val="0"/>
                <w:bCs w:val="0"/>
                <w:noProof w:val="0"/>
                <w:rtl/>
              </w:rPr>
              <w:t xml:space="preserve">על מועצת מקרקעי ישראל לגבש מדיניות לתכנון ולשיווק קרקעות ובתוך כך להביא בחשבון את היעדים שקבעה הממשלה ואת מטרות התכנון הלאומי. על רמ"י לשפר את אופן גיבוש תכניות העבודה שלה לשיווק קרקעות ולהעריך את סיכויי השיווק במסגרת התכנית. </w:t>
            </w:r>
          </w:p>
          <w:p w:rsidR="00DB5B9A" w:rsidRPr="0097353A" w:rsidP="0097353A">
            <w:pPr>
              <w:pStyle w:val="takzir"/>
              <w:rPr>
                <w:b w:val="0"/>
                <w:bCs w:val="0"/>
                <w:noProof w:val="0"/>
                <w:rtl/>
              </w:rPr>
            </w:pPr>
            <w:r w:rsidRPr="0097353A">
              <w:rPr>
                <w:rFonts w:hint="cs"/>
                <w:b w:val="0"/>
                <w:bCs w:val="0"/>
                <w:noProof w:val="0"/>
                <w:rtl/>
              </w:rPr>
              <w:t>על הממשלה ועל הרשויות המקומיות לבחון דרכים לקצר את תהליכי המימוש של תכניות. יש לבחון חלופות למתכונת הקיימת למימון עבודות הפיתוח של תשתיות מוניציפליות, וליישם את ההמלצות לייעול תהליכי רישוי הבנייה.</w:t>
            </w:r>
          </w:p>
          <w:p w:rsidR="00DB5B9A" w:rsidRPr="0097353A" w:rsidP="0097353A">
            <w:pPr>
              <w:pStyle w:val="takzir"/>
              <w:rPr>
                <w:b w:val="0"/>
                <w:bCs w:val="0"/>
                <w:noProof w:val="0"/>
                <w:rtl/>
              </w:rPr>
            </w:pPr>
            <w:r w:rsidRPr="0097353A">
              <w:rPr>
                <w:rFonts w:hint="eastAsia"/>
                <w:noProof w:val="0"/>
                <w:spacing w:val="40"/>
                <w:rtl/>
              </w:rPr>
              <w:t>דיור</w:t>
            </w:r>
            <w:r w:rsidRPr="0097353A">
              <w:rPr>
                <w:noProof w:val="0"/>
                <w:spacing w:val="40"/>
                <w:rtl/>
              </w:rPr>
              <w:t xml:space="preserve"> </w:t>
            </w:r>
            <w:r w:rsidRPr="0097353A">
              <w:rPr>
                <w:rFonts w:hint="eastAsia"/>
                <w:noProof w:val="0"/>
                <w:spacing w:val="40"/>
                <w:rtl/>
              </w:rPr>
              <w:t>בר</w:t>
            </w:r>
            <w:r w:rsidRPr="0097353A">
              <w:rPr>
                <w:noProof w:val="0"/>
                <w:spacing w:val="40"/>
                <w:rtl/>
              </w:rPr>
              <w:t xml:space="preserve"> </w:t>
            </w:r>
            <w:r w:rsidRPr="0097353A">
              <w:rPr>
                <w:rFonts w:hint="eastAsia"/>
                <w:noProof w:val="0"/>
                <w:spacing w:val="40"/>
                <w:rtl/>
              </w:rPr>
              <w:t>השגה</w:t>
            </w:r>
            <w:r w:rsidRPr="0097353A">
              <w:rPr>
                <w:noProof w:val="0"/>
                <w:spacing w:val="40"/>
                <w:rtl/>
              </w:rPr>
              <w:t>:</w:t>
            </w:r>
            <w:r w:rsidRPr="0097353A">
              <w:rPr>
                <w:rFonts w:hint="cs"/>
                <w:b w:val="0"/>
                <w:bCs w:val="0"/>
                <w:noProof w:val="0"/>
                <w:rtl/>
              </w:rPr>
              <w:t xml:space="preserve"> </w:t>
            </w:r>
            <w:r w:rsidRPr="0097353A">
              <w:rPr>
                <w:b w:val="0"/>
                <w:bCs w:val="0"/>
                <w:noProof w:val="0"/>
                <w:rtl/>
              </w:rPr>
              <w:t>על הממשלה לפעול להסדרה כוללת של תחום הדיור בר ההשגה</w:t>
            </w:r>
            <w:r w:rsidRPr="0097353A">
              <w:rPr>
                <w:rFonts w:hint="cs"/>
                <w:b w:val="0"/>
                <w:bCs w:val="0"/>
                <w:noProof w:val="0"/>
                <w:rtl/>
              </w:rPr>
              <w:t>,</w:t>
            </w:r>
            <w:r w:rsidRPr="0097353A">
              <w:rPr>
                <w:b w:val="0"/>
                <w:bCs w:val="0"/>
                <w:noProof w:val="0"/>
                <w:rtl/>
              </w:rPr>
              <w:t xml:space="preserve"> על מכלול היבטיו התכנוניים, הקנייניים והתפעוליים</w:t>
            </w:r>
            <w:r w:rsidRPr="0097353A">
              <w:rPr>
                <w:rFonts w:hint="cs"/>
                <w:b w:val="0"/>
                <w:bCs w:val="0"/>
                <w:noProof w:val="0"/>
                <w:rtl/>
              </w:rPr>
              <w:t>,</w:t>
            </w:r>
            <w:r w:rsidRPr="0097353A">
              <w:rPr>
                <w:b w:val="0"/>
                <w:bCs w:val="0"/>
                <w:noProof w:val="0"/>
                <w:rtl/>
              </w:rPr>
              <w:t xml:space="preserve"> כמרכיב חיוני במדיניות הדיור ה</w:t>
            </w:r>
            <w:r w:rsidRPr="0097353A">
              <w:rPr>
                <w:rFonts w:hint="cs"/>
                <w:b w:val="0"/>
                <w:bCs w:val="0"/>
                <w:noProof w:val="0"/>
                <w:rtl/>
              </w:rPr>
              <w:t>לאומית</w:t>
            </w:r>
            <w:r w:rsidRPr="0097353A">
              <w:rPr>
                <w:b w:val="0"/>
                <w:bCs w:val="0"/>
                <w:noProof w:val="0"/>
                <w:rtl/>
              </w:rPr>
              <w:t xml:space="preserve"> הכוללת וארוכת </w:t>
            </w:r>
            <w:r w:rsidRPr="0097353A">
              <w:rPr>
                <w:rFonts w:hint="cs"/>
                <w:b w:val="0"/>
                <w:bCs w:val="0"/>
                <w:noProof w:val="0"/>
                <w:rtl/>
              </w:rPr>
              <w:t>ה</w:t>
            </w:r>
            <w:r w:rsidRPr="0097353A">
              <w:rPr>
                <w:b w:val="0"/>
                <w:bCs w:val="0"/>
                <w:noProof w:val="0"/>
                <w:rtl/>
              </w:rPr>
              <w:t>טווח.</w:t>
            </w:r>
          </w:p>
          <w:p w:rsidR="00DB5B9A" w:rsidRPr="0097353A" w:rsidP="0097353A">
            <w:pPr>
              <w:pStyle w:val="takzir"/>
              <w:rPr>
                <w:b w:val="0"/>
                <w:bCs w:val="0"/>
                <w:noProof w:val="0"/>
                <w:rtl/>
              </w:rPr>
            </w:pPr>
            <w:r w:rsidRPr="0097353A">
              <w:rPr>
                <w:b w:val="0"/>
                <w:bCs w:val="0"/>
                <w:noProof w:val="0"/>
                <w:rtl/>
              </w:rPr>
              <w:t xml:space="preserve">על משרד הבינוי, בשיתוף הגורמים האחרים העוסקים בתחום השיכון והבינוי ובהם מועצת מקרקעי ישראל, רמ"י </w:t>
            </w:r>
            <w:r w:rsidRPr="0097353A">
              <w:rPr>
                <w:rFonts w:hint="cs"/>
                <w:b w:val="0"/>
                <w:bCs w:val="0"/>
                <w:noProof w:val="0"/>
                <w:rtl/>
              </w:rPr>
              <w:t xml:space="preserve">ואגף </w:t>
            </w:r>
            <w:r w:rsidR="00586A9D">
              <w:rPr>
                <w:rFonts w:hint="cs"/>
                <w:b w:val="0"/>
                <w:bCs w:val="0"/>
                <w:noProof w:val="0"/>
                <w:rtl/>
              </w:rPr>
              <w:t>ה</w:t>
            </w:r>
            <w:r w:rsidRPr="0097353A">
              <w:rPr>
                <w:rFonts w:hint="cs"/>
                <w:b w:val="0"/>
                <w:bCs w:val="0"/>
                <w:noProof w:val="0"/>
                <w:rtl/>
              </w:rPr>
              <w:t>תקציבים</w:t>
            </w:r>
            <w:r w:rsidRPr="0097353A">
              <w:rPr>
                <w:b w:val="0"/>
                <w:bCs w:val="0"/>
                <w:noProof w:val="0"/>
                <w:rtl/>
              </w:rPr>
              <w:t>, להפיק לקחים מהפעלת ה</w:t>
            </w:r>
            <w:r w:rsidRPr="0097353A">
              <w:rPr>
                <w:rFonts w:hint="cs"/>
                <w:b w:val="0"/>
                <w:bCs w:val="0"/>
                <w:noProof w:val="0"/>
                <w:rtl/>
              </w:rPr>
              <w:t>מסלול "מחיר דירה למשתכן"</w:t>
            </w:r>
            <w:r w:rsidRPr="0097353A">
              <w:rPr>
                <w:b w:val="0"/>
                <w:bCs w:val="0"/>
                <w:noProof w:val="0"/>
                <w:rtl/>
              </w:rPr>
              <w:t xml:space="preserve"> ומהליקויים ש</w:t>
            </w:r>
            <w:r w:rsidRPr="0097353A">
              <w:rPr>
                <w:rFonts w:hint="cs"/>
                <w:b w:val="0"/>
                <w:bCs w:val="0"/>
                <w:noProof w:val="0"/>
                <w:rtl/>
              </w:rPr>
              <w:t xml:space="preserve">התגלו בהפעלתו </w:t>
            </w:r>
            <w:r w:rsidRPr="0097353A">
              <w:rPr>
                <w:b w:val="0"/>
                <w:bCs w:val="0"/>
                <w:noProof w:val="0"/>
                <w:rtl/>
              </w:rPr>
              <w:t>ולגבש תכנית אסטרטגית סדורה שתאפשר לספק את צורכי האוכלוסייה השוני</w:t>
            </w:r>
            <w:r w:rsidRPr="0097353A">
              <w:rPr>
                <w:rFonts w:hint="cs"/>
                <w:b w:val="0"/>
                <w:bCs w:val="0"/>
                <w:noProof w:val="0"/>
                <w:rtl/>
              </w:rPr>
              <w:t>ם.</w:t>
            </w:r>
          </w:p>
          <w:p w:rsidR="00DB5B9A" w:rsidRPr="0097353A" w:rsidP="0097353A">
            <w:pPr>
              <w:pStyle w:val="takzir"/>
              <w:rPr>
                <w:b w:val="0"/>
                <w:bCs w:val="0"/>
                <w:noProof w:val="0"/>
                <w:rtl/>
              </w:rPr>
            </w:pPr>
            <w:r w:rsidRPr="0097353A">
              <w:rPr>
                <w:rFonts w:hint="cs"/>
                <w:b w:val="0"/>
                <w:bCs w:val="0"/>
                <w:noProof w:val="0"/>
                <w:rtl/>
              </w:rPr>
              <w:t>מאחר</w:t>
            </w:r>
            <w:r w:rsidRPr="0097353A">
              <w:rPr>
                <w:b w:val="0"/>
                <w:bCs w:val="0"/>
                <w:noProof w:val="0"/>
                <w:rtl/>
              </w:rPr>
              <w:t xml:space="preserve"> ש</w:t>
            </w:r>
            <w:r w:rsidRPr="0097353A">
              <w:rPr>
                <w:rFonts w:hint="cs"/>
                <w:b w:val="0"/>
                <w:bCs w:val="0"/>
                <w:noProof w:val="0"/>
                <w:rtl/>
              </w:rPr>
              <w:t>ב</w:t>
            </w:r>
            <w:r w:rsidRPr="0097353A">
              <w:rPr>
                <w:b w:val="0"/>
                <w:bCs w:val="0"/>
                <w:noProof w:val="0"/>
                <w:rtl/>
              </w:rPr>
              <w:t>שוק השכירות בישראל כבר</w:t>
            </w:r>
            <w:r w:rsidRPr="0097353A">
              <w:rPr>
                <w:rFonts w:hint="cs"/>
                <w:b w:val="0"/>
                <w:bCs w:val="0"/>
                <w:noProof w:val="0"/>
                <w:rtl/>
              </w:rPr>
              <w:t xml:space="preserve"> נמצאו</w:t>
            </w:r>
            <w:r w:rsidRPr="0097353A">
              <w:rPr>
                <w:b w:val="0"/>
                <w:bCs w:val="0"/>
                <w:noProof w:val="0"/>
                <w:rtl/>
              </w:rPr>
              <w:t xml:space="preserve"> כ-600,000 משקי בית במועד סיום הביקורת, ראוי שבד בבד עם הניסיון לבסס שוק </w:t>
            </w:r>
            <w:r w:rsidRPr="0097353A">
              <w:rPr>
                <w:rFonts w:hint="cs"/>
                <w:b w:val="0"/>
                <w:bCs w:val="0"/>
                <w:noProof w:val="0"/>
                <w:rtl/>
              </w:rPr>
              <w:t>השכרה ל</w:t>
            </w:r>
            <w:r w:rsidRPr="0097353A">
              <w:rPr>
                <w:b w:val="0"/>
                <w:bCs w:val="0"/>
                <w:noProof w:val="0"/>
                <w:rtl/>
              </w:rPr>
              <w:t>טווח</w:t>
            </w:r>
            <w:r w:rsidRPr="0097353A">
              <w:rPr>
                <w:rFonts w:hint="cs"/>
                <w:b w:val="0"/>
                <w:bCs w:val="0"/>
                <w:noProof w:val="0"/>
                <w:rtl/>
              </w:rPr>
              <w:t xml:space="preserve"> ארוך</w:t>
            </w:r>
            <w:r w:rsidRPr="0097353A">
              <w:rPr>
                <w:b w:val="0"/>
                <w:bCs w:val="0"/>
                <w:noProof w:val="0"/>
                <w:rtl/>
              </w:rPr>
              <w:t xml:space="preserve"> באמצעות שילוב גופים עסקיים, ועל מנת להשלימו ואף לייצר תחרות הוגנת </w:t>
            </w:r>
            <w:r w:rsidRPr="0097353A">
              <w:rPr>
                <w:rFonts w:hint="cs"/>
                <w:b w:val="0"/>
                <w:bCs w:val="0"/>
                <w:noProof w:val="0"/>
                <w:rtl/>
              </w:rPr>
              <w:t>לטובת</w:t>
            </w:r>
            <w:r w:rsidRPr="0097353A">
              <w:rPr>
                <w:b w:val="0"/>
                <w:bCs w:val="0"/>
                <w:noProof w:val="0"/>
                <w:rtl/>
              </w:rPr>
              <w:t xml:space="preserve"> הציבור, תבחן הממשלה אם יש מקום ל</w:t>
            </w:r>
            <w:r w:rsidRPr="0097353A">
              <w:rPr>
                <w:rFonts w:hint="cs"/>
                <w:b w:val="0"/>
                <w:bCs w:val="0"/>
                <w:noProof w:val="0"/>
                <w:rtl/>
              </w:rPr>
              <w:t>א</w:t>
            </w:r>
            <w:r w:rsidRPr="0097353A">
              <w:rPr>
                <w:b w:val="0"/>
                <w:bCs w:val="0"/>
                <w:noProof w:val="0"/>
                <w:rtl/>
              </w:rPr>
              <w:t>סדרת שוק השכירות הקיים כדי להגן הן על המשכיר הן על השוכר, בשים לב לנהוג גם במדינות אחרות.</w:t>
            </w:r>
          </w:p>
          <w:p w:rsidR="00DB5B9A" w:rsidRPr="0097353A" w:rsidP="0097353A">
            <w:pPr>
              <w:pStyle w:val="takzir"/>
              <w:rPr>
                <w:noProof w:val="0"/>
                <w:spacing w:val="40"/>
                <w:rtl/>
              </w:rPr>
            </w:pPr>
            <w:r w:rsidRPr="0097353A">
              <w:rPr>
                <w:b w:val="0"/>
                <w:bCs w:val="0"/>
                <w:noProof w:val="0"/>
                <w:rtl/>
              </w:rPr>
              <w:t xml:space="preserve">על </w:t>
            </w:r>
            <w:r w:rsidR="00FF71E2">
              <w:rPr>
                <w:b w:val="0"/>
                <w:bCs w:val="0"/>
                <w:noProof w:val="0"/>
                <w:rtl/>
              </w:rPr>
              <w:t>משרדי הבינוי</w:t>
            </w:r>
            <w:r w:rsidRPr="0097353A">
              <w:rPr>
                <w:b w:val="0"/>
                <w:bCs w:val="0"/>
                <w:noProof w:val="0"/>
                <w:rtl/>
              </w:rPr>
              <w:t xml:space="preserve"> </w:t>
            </w:r>
            <w:r w:rsidRPr="0097353A">
              <w:rPr>
                <w:rFonts w:hint="cs"/>
                <w:b w:val="0"/>
                <w:bCs w:val="0"/>
                <w:noProof w:val="0"/>
                <w:rtl/>
              </w:rPr>
              <w:t>ו</w:t>
            </w:r>
            <w:r w:rsidRPr="0097353A">
              <w:rPr>
                <w:b w:val="0"/>
                <w:bCs w:val="0"/>
                <w:noProof w:val="0"/>
                <w:rtl/>
              </w:rPr>
              <w:t>האוצר</w:t>
            </w:r>
            <w:r w:rsidRPr="0097353A">
              <w:rPr>
                <w:rFonts w:hint="cs"/>
                <w:b w:val="0"/>
                <w:bCs w:val="0"/>
                <w:noProof w:val="0"/>
                <w:rtl/>
              </w:rPr>
              <w:t xml:space="preserve">, על </w:t>
            </w:r>
            <w:r w:rsidRPr="0097353A">
              <w:rPr>
                <w:b w:val="0"/>
                <w:bCs w:val="0"/>
                <w:noProof w:val="0"/>
                <w:rtl/>
              </w:rPr>
              <w:t>רמ"י ו</w:t>
            </w:r>
            <w:r w:rsidRPr="0097353A">
              <w:rPr>
                <w:rFonts w:hint="cs"/>
                <w:b w:val="0"/>
                <w:bCs w:val="0"/>
                <w:noProof w:val="0"/>
                <w:rtl/>
              </w:rPr>
              <w:t xml:space="preserve">על </w:t>
            </w:r>
            <w:r w:rsidRPr="0097353A">
              <w:rPr>
                <w:b w:val="0"/>
                <w:bCs w:val="0"/>
                <w:noProof w:val="0"/>
                <w:rtl/>
              </w:rPr>
              <w:t xml:space="preserve">רשות המסים לבצע בדיקת היתכנות שבמסגרתה יובאו בחשבון כל המרכיבים שיש בהם כדי להשפיע על כדאיות </w:t>
            </w:r>
            <w:r w:rsidRPr="0097353A">
              <w:rPr>
                <w:rFonts w:hint="cs"/>
                <w:b w:val="0"/>
                <w:bCs w:val="0"/>
                <w:noProof w:val="0"/>
                <w:rtl/>
              </w:rPr>
              <w:t>המסלול "</w:t>
            </w:r>
            <w:r w:rsidRPr="0097353A">
              <w:rPr>
                <w:b w:val="0"/>
                <w:bCs w:val="0"/>
                <w:noProof w:val="0"/>
                <w:rtl/>
              </w:rPr>
              <w:t xml:space="preserve">השכרה </w:t>
            </w:r>
            <w:r w:rsidRPr="0097353A">
              <w:rPr>
                <w:rFonts w:hint="cs"/>
                <w:b w:val="0"/>
                <w:bCs w:val="0"/>
                <w:noProof w:val="0"/>
                <w:rtl/>
              </w:rPr>
              <w:t>ל</w:t>
            </w:r>
            <w:r w:rsidRPr="0097353A">
              <w:rPr>
                <w:b w:val="0"/>
                <w:bCs w:val="0"/>
                <w:noProof w:val="0"/>
                <w:rtl/>
              </w:rPr>
              <w:t>טווח</w:t>
            </w:r>
            <w:r w:rsidRPr="0097353A">
              <w:rPr>
                <w:rFonts w:hint="cs"/>
                <w:b w:val="0"/>
                <w:bCs w:val="0"/>
                <w:noProof w:val="0"/>
                <w:rtl/>
              </w:rPr>
              <w:t xml:space="preserve"> ארוך במחיר מפוקח"</w:t>
            </w:r>
            <w:r w:rsidRPr="0097353A">
              <w:rPr>
                <w:b w:val="0"/>
                <w:bCs w:val="0"/>
                <w:noProof w:val="0"/>
                <w:rtl/>
              </w:rPr>
              <w:t>, הן למשקיעים הן למדינה, ולקבוע את התנאים להפעלת</w:t>
            </w:r>
            <w:r w:rsidRPr="0097353A">
              <w:rPr>
                <w:rFonts w:hint="cs"/>
                <w:b w:val="0"/>
                <w:bCs w:val="0"/>
                <w:noProof w:val="0"/>
                <w:rtl/>
              </w:rPr>
              <w:t>ו</w:t>
            </w:r>
            <w:r w:rsidRPr="0097353A">
              <w:rPr>
                <w:b w:val="0"/>
                <w:bCs w:val="0"/>
                <w:noProof w:val="0"/>
                <w:rtl/>
              </w:rPr>
              <w:t>. עליהם גם</w:t>
            </w:r>
            <w:r w:rsidRPr="0097353A">
              <w:rPr>
                <w:rFonts w:hint="cs"/>
                <w:b w:val="0"/>
                <w:bCs w:val="0"/>
                <w:noProof w:val="0"/>
                <w:rtl/>
              </w:rPr>
              <w:t xml:space="preserve"> לקיים תהליך הפקת</w:t>
            </w:r>
            <w:r w:rsidRPr="0097353A">
              <w:rPr>
                <w:b w:val="0"/>
                <w:bCs w:val="0"/>
                <w:noProof w:val="0"/>
                <w:rtl/>
              </w:rPr>
              <w:t xml:space="preserve"> לקחים מ</w:t>
            </w:r>
            <w:r w:rsidRPr="0097353A">
              <w:rPr>
                <w:rFonts w:hint="cs"/>
                <w:b w:val="0"/>
                <w:bCs w:val="0"/>
                <w:noProof w:val="0"/>
                <w:rtl/>
              </w:rPr>
              <w:t xml:space="preserve">תוצאות </w:t>
            </w:r>
            <w:r w:rsidRPr="0097353A">
              <w:rPr>
                <w:b w:val="0"/>
                <w:bCs w:val="0"/>
                <w:noProof w:val="0"/>
                <w:rtl/>
              </w:rPr>
              <w:t>המכרזים שהתקיימו</w:t>
            </w:r>
            <w:r w:rsidRPr="0097353A">
              <w:rPr>
                <w:rFonts w:hint="cs"/>
                <w:b w:val="0"/>
                <w:bCs w:val="0"/>
                <w:noProof w:val="0"/>
                <w:rtl/>
              </w:rPr>
              <w:t xml:space="preserve"> במסגרת מסלול זה</w:t>
            </w:r>
            <w:r w:rsidRPr="0097353A">
              <w:rPr>
                <w:b w:val="0"/>
                <w:bCs w:val="0"/>
                <w:noProof w:val="0"/>
                <w:rtl/>
              </w:rPr>
              <w:t xml:space="preserve"> ולעמוד על התנאים שבהם יש להפעיל את המסלול באופן שיניב תפוקות שיאזנו בין ההשקעה הממשלתית הראויה ובין הסיוע בדיור למאות אלפי הנזקקים לדיור בר השגה.</w:t>
            </w:r>
          </w:p>
        </w:tc>
      </w:tr>
    </w:tbl>
    <w:p w:rsidR="001275A6" w:rsidP="00D5796D">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1275A6" w:rsidP="00D5796D">
            <w:pPr>
              <w:pStyle w:val="KOT4"/>
              <w:spacing w:before="120"/>
              <w:jc w:val="center"/>
              <w:rPr>
                <w:rtl/>
              </w:rPr>
            </w:pPr>
            <w:r>
              <w:rPr>
                <w:rtl/>
              </w:rPr>
              <w:t>סיכום</w:t>
            </w:r>
          </w:p>
        </w:tc>
      </w:tr>
      <w:tr w:rsidTr="00E44678">
        <w:tblPrEx>
          <w:tblW w:w="6691" w:type="dxa"/>
          <w:jc w:val="center"/>
          <w:tblLook w:val="04A0"/>
        </w:tblPrEx>
        <w:trPr>
          <w:cantSplit/>
          <w:jc w:val="center"/>
        </w:trPr>
        <w:tc>
          <w:tcPr>
            <w:tcW w:w="7018" w:type="dxa"/>
          </w:tcPr>
          <w:p w:rsidR="00712819" w:rsidRPr="00712819" w:rsidP="00712819">
            <w:pPr>
              <w:spacing w:before="60" w:after="120"/>
              <w:jc w:val="both"/>
              <w:rPr>
                <w:b/>
                <w:bCs/>
                <w:sz w:val="22"/>
                <w:szCs w:val="22"/>
                <w:rtl/>
                <w:lang w:eastAsia="he-IL"/>
              </w:rPr>
            </w:pPr>
            <w:r w:rsidRPr="00712819">
              <w:rPr>
                <w:b/>
                <w:bCs/>
                <w:sz w:val="22"/>
                <w:szCs w:val="22"/>
                <w:rtl/>
                <w:lang w:eastAsia="he-IL"/>
              </w:rPr>
              <w:t xml:space="preserve">משבר הדיור, דהיינו עליית מחירי הדיור וההכבדה בנטל הוצאות הדיור, מסכן את חוסנם הכלכלי של משקי בית רבים ופוגע ברמת חייהם, ואף יותר מכך, הוא טומן בחובו סכנה לחוסן הכלכלי של המשק כולו. </w:t>
            </w:r>
            <w:r w:rsidRPr="00712819">
              <w:rPr>
                <w:rFonts w:hint="cs"/>
                <w:b/>
                <w:bCs/>
                <w:sz w:val="22"/>
                <w:szCs w:val="22"/>
                <w:rtl/>
                <w:lang w:eastAsia="he-IL"/>
              </w:rPr>
              <w:t>דיור נאות</w:t>
            </w:r>
            <w:r w:rsidRPr="00712819">
              <w:rPr>
                <w:b/>
                <w:bCs/>
                <w:sz w:val="22"/>
                <w:szCs w:val="22"/>
                <w:rtl/>
                <w:lang w:eastAsia="he-IL"/>
              </w:rPr>
              <w:t xml:space="preserve"> אינו </w:t>
            </w:r>
            <w:r w:rsidRPr="00712819">
              <w:rPr>
                <w:rFonts w:hint="cs"/>
                <w:b/>
                <w:bCs/>
                <w:sz w:val="22"/>
                <w:szCs w:val="22"/>
                <w:rtl/>
                <w:lang w:eastAsia="he-IL"/>
              </w:rPr>
              <w:t xml:space="preserve">רק ביטוי </w:t>
            </w:r>
            <w:r w:rsidRPr="00712819">
              <w:rPr>
                <w:b/>
                <w:bCs/>
                <w:sz w:val="22"/>
                <w:szCs w:val="22"/>
                <w:rtl/>
                <w:lang w:eastAsia="he-IL"/>
              </w:rPr>
              <w:t>נדל</w:t>
            </w:r>
            <w:r w:rsidRPr="00712819">
              <w:rPr>
                <w:rFonts w:hint="cs"/>
                <w:b/>
                <w:bCs/>
                <w:sz w:val="22"/>
                <w:szCs w:val="22"/>
                <w:rtl/>
                <w:lang w:eastAsia="he-IL"/>
              </w:rPr>
              <w:t>"ני</w:t>
            </w:r>
            <w:r w:rsidRPr="00712819">
              <w:rPr>
                <w:b/>
                <w:bCs/>
                <w:sz w:val="22"/>
                <w:szCs w:val="22"/>
                <w:rtl/>
                <w:lang w:eastAsia="he-IL"/>
              </w:rPr>
              <w:t xml:space="preserve"> גרידא</w:t>
            </w:r>
            <w:r w:rsidRPr="00712819">
              <w:rPr>
                <w:rFonts w:hint="cs"/>
                <w:b/>
                <w:bCs/>
                <w:sz w:val="22"/>
                <w:szCs w:val="22"/>
                <w:rtl/>
                <w:lang w:eastAsia="he-IL"/>
              </w:rPr>
              <w:t xml:space="preserve">, זהו </w:t>
            </w:r>
            <w:r w:rsidRPr="00712819">
              <w:rPr>
                <w:b/>
                <w:bCs/>
                <w:sz w:val="22"/>
                <w:szCs w:val="22"/>
                <w:rtl/>
                <w:lang w:eastAsia="he-IL"/>
              </w:rPr>
              <w:t xml:space="preserve">צורך </w:t>
            </w:r>
            <w:r w:rsidRPr="00712819">
              <w:rPr>
                <w:rFonts w:hint="cs"/>
                <w:b/>
                <w:bCs/>
                <w:sz w:val="22"/>
                <w:szCs w:val="22"/>
                <w:rtl/>
                <w:lang w:eastAsia="he-IL"/>
              </w:rPr>
              <w:t xml:space="preserve">אזרחי </w:t>
            </w:r>
            <w:r w:rsidRPr="00712819">
              <w:rPr>
                <w:b/>
                <w:bCs/>
                <w:sz w:val="22"/>
                <w:szCs w:val="22"/>
                <w:rtl/>
                <w:lang w:eastAsia="he-IL"/>
              </w:rPr>
              <w:t xml:space="preserve">בסיסי. </w:t>
            </w:r>
            <w:r w:rsidRPr="00712819">
              <w:rPr>
                <w:rFonts w:hint="cs"/>
                <w:b/>
                <w:bCs/>
                <w:sz w:val="22"/>
                <w:szCs w:val="22"/>
                <w:rtl/>
                <w:lang w:eastAsia="he-IL"/>
              </w:rPr>
              <w:t xml:space="preserve">מעורבות </w:t>
            </w:r>
            <w:r w:rsidRPr="00712819">
              <w:rPr>
                <w:b/>
                <w:bCs/>
                <w:sz w:val="22"/>
                <w:szCs w:val="22"/>
                <w:rtl/>
                <w:lang w:eastAsia="he-IL"/>
              </w:rPr>
              <w:t xml:space="preserve">הממשלה בשוק הדיור ובשרשרת הייצור של יחידות דיור מטילה לפתחה אחריות עליונה לקיום היצע של </w:t>
            </w:r>
            <w:r w:rsidRPr="00712819">
              <w:rPr>
                <w:rFonts w:hint="cs"/>
                <w:b/>
                <w:bCs/>
                <w:sz w:val="22"/>
                <w:szCs w:val="22"/>
                <w:rtl/>
                <w:lang w:eastAsia="he-IL"/>
              </w:rPr>
              <w:t xml:space="preserve">פתרונות דיור </w:t>
            </w:r>
            <w:r w:rsidRPr="00712819">
              <w:rPr>
                <w:b/>
                <w:bCs/>
                <w:sz w:val="22"/>
                <w:szCs w:val="22"/>
                <w:rtl/>
                <w:lang w:eastAsia="he-IL"/>
              </w:rPr>
              <w:t>במחיר</w:t>
            </w:r>
            <w:r w:rsidRPr="00712819">
              <w:rPr>
                <w:rFonts w:hint="cs"/>
                <w:b/>
                <w:bCs/>
                <w:sz w:val="22"/>
                <w:szCs w:val="22"/>
                <w:rtl/>
                <w:lang w:eastAsia="he-IL"/>
              </w:rPr>
              <w:t>ים</w:t>
            </w:r>
            <w:r w:rsidRPr="00712819">
              <w:rPr>
                <w:b/>
                <w:bCs/>
                <w:sz w:val="22"/>
                <w:szCs w:val="22"/>
                <w:rtl/>
                <w:lang w:eastAsia="he-IL"/>
              </w:rPr>
              <w:t xml:space="preserve"> שאינ</w:t>
            </w:r>
            <w:r w:rsidRPr="00712819">
              <w:rPr>
                <w:rFonts w:hint="cs"/>
                <w:b/>
                <w:bCs/>
                <w:sz w:val="22"/>
                <w:szCs w:val="22"/>
                <w:rtl/>
                <w:lang w:eastAsia="he-IL"/>
              </w:rPr>
              <w:t>ם</w:t>
            </w:r>
            <w:r w:rsidRPr="00712819">
              <w:rPr>
                <w:b/>
                <w:bCs/>
                <w:sz w:val="22"/>
                <w:szCs w:val="22"/>
                <w:rtl/>
                <w:lang w:eastAsia="he-IL"/>
              </w:rPr>
              <w:t xml:space="preserve"> מכביד</w:t>
            </w:r>
            <w:r w:rsidRPr="00712819">
              <w:rPr>
                <w:rFonts w:hint="cs"/>
                <w:b/>
                <w:bCs/>
                <w:sz w:val="22"/>
                <w:szCs w:val="22"/>
                <w:rtl/>
                <w:lang w:eastAsia="he-IL"/>
              </w:rPr>
              <w:t>ים</w:t>
            </w:r>
            <w:r w:rsidRPr="00712819">
              <w:rPr>
                <w:b/>
                <w:bCs/>
                <w:sz w:val="22"/>
                <w:szCs w:val="22"/>
                <w:rtl/>
                <w:lang w:eastAsia="he-IL"/>
              </w:rPr>
              <w:t xml:space="preserve"> יתר על המידה על האזרח ואינ</w:t>
            </w:r>
            <w:r w:rsidRPr="00712819">
              <w:rPr>
                <w:rFonts w:hint="cs"/>
                <w:b/>
                <w:bCs/>
                <w:sz w:val="22"/>
                <w:szCs w:val="22"/>
                <w:rtl/>
                <w:lang w:eastAsia="he-IL"/>
              </w:rPr>
              <w:t>ם פוגעים</w:t>
            </w:r>
            <w:r w:rsidRPr="00712819">
              <w:rPr>
                <w:b/>
                <w:bCs/>
                <w:sz w:val="22"/>
                <w:szCs w:val="22"/>
                <w:rtl/>
                <w:lang w:eastAsia="he-IL"/>
              </w:rPr>
              <w:t xml:space="preserve"> ביכולתו לממן את צרכיו הבסיסיים האחרים.</w:t>
            </w:r>
          </w:p>
          <w:p w:rsidR="00712819" w:rsidRPr="00712819" w:rsidP="00712819">
            <w:pPr>
              <w:spacing w:after="120"/>
              <w:jc w:val="both"/>
              <w:rPr>
                <w:b/>
                <w:bCs/>
                <w:sz w:val="22"/>
                <w:szCs w:val="22"/>
                <w:rtl/>
                <w:lang w:eastAsia="he-IL"/>
              </w:rPr>
            </w:pPr>
            <w:r w:rsidRPr="00712819">
              <w:rPr>
                <w:b/>
                <w:bCs/>
                <w:sz w:val="22"/>
                <w:szCs w:val="22"/>
                <w:rtl/>
                <w:lang w:eastAsia="he-IL"/>
              </w:rPr>
              <w:t>בדוח זה הו</w:t>
            </w:r>
            <w:r w:rsidRPr="00712819">
              <w:rPr>
                <w:rFonts w:hint="cs"/>
                <w:b/>
                <w:bCs/>
                <w:sz w:val="22"/>
                <w:szCs w:val="22"/>
                <w:rtl/>
                <w:lang w:eastAsia="he-IL"/>
              </w:rPr>
              <w:t>על</w:t>
            </w:r>
            <w:r w:rsidRPr="00712819">
              <w:rPr>
                <w:b/>
                <w:bCs/>
                <w:sz w:val="22"/>
                <w:szCs w:val="22"/>
                <w:rtl/>
                <w:lang w:eastAsia="he-IL"/>
              </w:rPr>
              <w:t>ו ליקויים מהותיים בהיערכות</w:t>
            </w:r>
            <w:r w:rsidRPr="00712819">
              <w:rPr>
                <w:rFonts w:hint="cs"/>
                <w:b/>
                <w:bCs/>
                <w:sz w:val="22"/>
                <w:szCs w:val="22"/>
                <w:rtl/>
                <w:lang w:eastAsia="he-IL"/>
              </w:rPr>
              <w:t>ן של</w:t>
            </w:r>
            <w:r w:rsidRPr="00712819">
              <w:rPr>
                <w:b/>
                <w:bCs/>
                <w:sz w:val="22"/>
                <w:szCs w:val="22"/>
                <w:rtl/>
                <w:lang w:eastAsia="he-IL"/>
              </w:rPr>
              <w:t xml:space="preserve"> הממשלה </w:t>
            </w:r>
            <w:r w:rsidRPr="00712819">
              <w:rPr>
                <w:rFonts w:hint="cs"/>
                <w:b/>
                <w:bCs/>
                <w:sz w:val="22"/>
                <w:szCs w:val="22"/>
                <w:rtl/>
                <w:lang w:eastAsia="he-IL"/>
              </w:rPr>
              <w:t>ושל רשויות נוספות</w:t>
            </w:r>
            <w:r w:rsidRPr="00712819">
              <w:rPr>
                <w:b/>
                <w:bCs/>
                <w:sz w:val="22"/>
                <w:szCs w:val="22"/>
                <w:rtl/>
                <w:lang w:eastAsia="he-IL"/>
              </w:rPr>
              <w:t xml:space="preserve"> ל</w:t>
            </w:r>
            <w:r w:rsidRPr="00712819">
              <w:rPr>
                <w:rFonts w:hint="cs"/>
                <w:b/>
                <w:bCs/>
                <w:sz w:val="22"/>
                <w:szCs w:val="22"/>
                <w:rtl/>
                <w:lang w:eastAsia="he-IL"/>
              </w:rPr>
              <w:t>טיפול ב</w:t>
            </w:r>
            <w:r w:rsidRPr="00712819">
              <w:rPr>
                <w:b/>
                <w:bCs/>
                <w:sz w:val="22"/>
                <w:szCs w:val="22"/>
                <w:rtl/>
                <w:lang w:eastAsia="he-IL"/>
              </w:rPr>
              <w:t xml:space="preserve">משבר הדיור ותוארו הכשלים בהתמודדות עמו. </w:t>
            </w:r>
            <w:r w:rsidRPr="00712819">
              <w:rPr>
                <w:rFonts w:hint="cs"/>
                <w:b/>
                <w:bCs/>
                <w:sz w:val="22"/>
                <w:szCs w:val="22"/>
                <w:rtl/>
                <w:lang w:eastAsia="he-IL"/>
              </w:rPr>
              <w:t>חלק מ</w:t>
            </w:r>
            <w:r w:rsidRPr="00712819">
              <w:rPr>
                <w:b/>
                <w:bCs/>
                <w:sz w:val="22"/>
                <w:szCs w:val="22"/>
                <w:rtl/>
                <w:lang w:eastAsia="he-IL"/>
              </w:rPr>
              <w:t xml:space="preserve">הליקויים מערכתיים, </w:t>
            </w:r>
            <w:r w:rsidRPr="00712819">
              <w:rPr>
                <w:rFonts w:hint="cs"/>
                <w:b/>
                <w:bCs/>
                <w:sz w:val="22"/>
                <w:szCs w:val="22"/>
                <w:rtl/>
                <w:lang w:eastAsia="he-IL"/>
              </w:rPr>
              <w:t>ה</w:t>
            </w:r>
            <w:r w:rsidRPr="00712819">
              <w:rPr>
                <w:b/>
                <w:bCs/>
                <w:sz w:val="22"/>
                <w:szCs w:val="22"/>
                <w:rtl/>
                <w:lang w:eastAsia="he-IL"/>
              </w:rPr>
              <w:t>חוצים את הדרגים השונים הנושאים באחריות, ו</w:t>
            </w:r>
            <w:r w:rsidRPr="00712819">
              <w:rPr>
                <w:rFonts w:hint="cs"/>
                <w:b/>
                <w:bCs/>
                <w:sz w:val="22"/>
                <w:szCs w:val="22"/>
                <w:rtl/>
                <w:lang w:eastAsia="he-IL"/>
              </w:rPr>
              <w:t xml:space="preserve">הם </w:t>
            </w:r>
            <w:r w:rsidRPr="00712819">
              <w:rPr>
                <w:b/>
                <w:bCs/>
                <w:sz w:val="22"/>
                <w:szCs w:val="22"/>
                <w:rtl/>
                <w:lang w:eastAsia="he-IL"/>
              </w:rPr>
              <w:t>מלמדים על בעיות מבניות בתפקוד הממשלה ו</w:t>
            </w:r>
            <w:r w:rsidRPr="00712819">
              <w:rPr>
                <w:rFonts w:hint="cs"/>
                <w:b/>
                <w:bCs/>
                <w:sz w:val="22"/>
                <w:szCs w:val="22"/>
                <w:rtl/>
                <w:lang w:eastAsia="he-IL"/>
              </w:rPr>
              <w:t xml:space="preserve">בתפקודם של </w:t>
            </w:r>
            <w:r w:rsidRPr="00712819">
              <w:rPr>
                <w:b/>
                <w:bCs/>
                <w:sz w:val="22"/>
                <w:szCs w:val="22"/>
                <w:rtl/>
                <w:lang w:eastAsia="he-IL"/>
              </w:rPr>
              <w:t>מכלול הגו</w:t>
            </w:r>
            <w:r w:rsidRPr="00712819">
              <w:rPr>
                <w:rFonts w:hint="cs"/>
                <w:b/>
                <w:bCs/>
                <w:sz w:val="22"/>
                <w:szCs w:val="22"/>
                <w:rtl/>
                <w:lang w:eastAsia="he-IL"/>
              </w:rPr>
              <w:t>פ</w:t>
            </w:r>
            <w:r w:rsidRPr="00712819">
              <w:rPr>
                <w:b/>
                <w:bCs/>
                <w:sz w:val="22"/>
                <w:szCs w:val="22"/>
                <w:rtl/>
                <w:lang w:eastAsia="he-IL"/>
              </w:rPr>
              <w:t xml:space="preserve">ים המעורבים בשרשרת הייצור של יחידות דיור. </w:t>
            </w:r>
          </w:p>
          <w:p w:rsidR="00712819" w:rsidRPr="00712819" w:rsidP="00664346">
            <w:pPr>
              <w:spacing w:after="120"/>
              <w:jc w:val="both"/>
              <w:rPr>
                <w:b/>
                <w:bCs/>
                <w:sz w:val="22"/>
                <w:szCs w:val="22"/>
                <w:rtl/>
                <w:lang w:eastAsia="he-IL"/>
              </w:rPr>
            </w:pPr>
            <w:r w:rsidRPr="00582A43">
              <w:rPr>
                <w:b/>
                <w:bCs/>
                <w:sz w:val="22"/>
                <w:szCs w:val="22"/>
                <w:rtl/>
                <w:lang w:eastAsia="he-IL"/>
              </w:rPr>
              <w:t xml:space="preserve">הממשלה </w:t>
            </w:r>
            <w:r w:rsidRPr="00582A43" w:rsidR="00664346">
              <w:rPr>
                <w:rFonts w:hint="cs"/>
                <w:b/>
                <w:bCs/>
                <w:sz w:val="22"/>
                <w:szCs w:val="22"/>
                <w:rtl/>
                <w:lang w:eastAsia="he-IL"/>
              </w:rPr>
              <w:t>ומשרדיה</w:t>
            </w:r>
            <w:r w:rsidRPr="00582A43">
              <w:rPr>
                <w:b/>
                <w:bCs/>
                <w:sz w:val="22"/>
                <w:szCs w:val="22"/>
                <w:rtl/>
                <w:lang w:eastAsia="he-IL"/>
              </w:rPr>
              <w:t xml:space="preserve"> </w:t>
            </w:r>
            <w:r w:rsidRPr="00582A43" w:rsidR="00664346">
              <w:rPr>
                <w:rFonts w:hint="cs"/>
                <w:b/>
                <w:bCs/>
                <w:sz w:val="22"/>
                <w:szCs w:val="22"/>
                <w:rtl/>
                <w:lang w:eastAsia="he-IL"/>
              </w:rPr>
              <w:t xml:space="preserve">התוו </w:t>
            </w:r>
            <w:r w:rsidRPr="00582A43">
              <w:rPr>
                <w:b/>
                <w:bCs/>
                <w:sz w:val="22"/>
                <w:szCs w:val="22"/>
                <w:rtl/>
                <w:lang w:eastAsia="he-IL"/>
              </w:rPr>
              <w:t xml:space="preserve">מדיניות </w:t>
            </w:r>
            <w:r w:rsidRPr="00582A43">
              <w:rPr>
                <w:rFonts w:hint="cs"/>
                <w:b/>
                <w:bCs/>
                <w:sz w:val="22"/>
                <w:szCs w:val="22"/>
                <w:rtl/>
                <w:lang w:eastAsia="he-IL"/>
              </w:rPr>
              <w:t xml:space="preserve">דיור לאומית </w:t>
            </w:r>
            <w:r w:rsidRPr="00582A43" w:rsidR="00664346">
              <w:rPr>
                <w:rFonts w:hint="cs"/>
                <w:b/>
                <w:bCs/>
                <w:sz w:val="22"/>
                <w:szCs w:val="22"/>
                <w:rtl/>
                <w:lang w:eastAsia="he-IL"/>
              </w:rPr>
              <w:t>באופן לקוי</w:t>
            </w:r>
            <w:r w:rsidRPr="00582A43">
              <w:rPr>
                <w:rFonts w:hint="cs"/>
                <w:b/>
                <w:bCs/>
                <w:sz w:val="22"/>
                <w:szCs w:val="22"/>
                <w:rtl/>
                <w:lang w:eastAsia="he-IL"/>
              </w:rPr>
              <w:t>.</w:t>
            </w:r>
            <w:r w:rsidRPr="00582A43">
              <w:rPr>
                <w:b/>
                <w:bCs/>
                <w:sz w:val="22"/>
                <w:szCs w:val="22"/>
                <w:rtl/>
                <w:lang w:eastAsia="he-IL"/>
              </w:rPr>
              <w:t xml:space="preserve"> בהיבטים</w:t>
            </w:r>
            <w:r w:rsidRPr="00712819">
              <w:rPr>
                <w:b/>
                <w:bCs/>
                <w:sz w:val="22"/>
                <w:szCs w:val="22"/>
                <w:rtl/>
                <w:lang w:eastAsia="he-IL"/>
              </w:rPr>
              <w:t xml:space="preserve"> רבים </w:t>
            </w:r>
            <w:r w:rsidRPr="00712819">
              <w:rPr>
                <w:rFonts w:hint="cs"/>
                <w:b/>
                <w:bCs/>
                <w:sz w:val="22"/>
                <w:szCs w:val="22"/>
                <w:rtl/>
                <w:lang w:eastAsia="he-IL"/>
              </w:rPr>
              <w:t>הממשלה</w:t>
            </w:r>
            <w:r w:rsidRPr="00712819">
              <w:rPr>
                <w:b/>
                <w:bCs/>
                <w:sz w:val="22"/>
                <w:szCs w:val="22"/>
                <w:rtl/>
                <w:lang w:eastAsia="he-IL"/>
              </w:rPr>
              <w:t xml:space="preserve"> פועלת ללא מידע </w:t>
            </w:r>
            <w:r w:rsidRPr="00712819">
              <w:rPr>
                <w:rFonts w:hint="cs"/>
                <w:b/>
                <w:bCs/>
                <w:sz w:val="22"/>
                <w:szCs w:val="22"/>
                <w:rtl/>
                <w:lang w:eastAsia="he-IL"/>
              </w:rPr>
              <w:t xml:space="preserve">מלא </w:t>
            </w:r>
            <w:r w:rsidRPr="00712819">
              <w:rPr>
                <w:b/>
                <w:bCs/>
                <w:sz w:val="22"/>
                <w:szCs w:val="22"/>
                <w:rtl/>
                <w:lang w:eastAsia="he-IL"/>
              </w:rPr>
              <w:t>מהימן ורלוונטי</w:t>
            </w:r>
            <w:r w:rsidRPr="00712819">
              <w:rPr>
                <w:rFonts w:hint="cs"/>
                <w:b/>
                <w:bCs/>
                <w:sz w:val="22"/>
                <w:szCs w:val="22"/>
                <w:rtl/>
                <w:lang w:eastAsia="he-IL"/>
              </w:rPr>
              <w:t xml:space="preserve"> ונוקטת פעולות מאולתרות ובלתי מתוכננות.</w:t>
            </w:r>
            <w:r w:rsidRPr="00712819">
              <w:rPr>
                <w:b/>
                <w:bCs/>
                <w:sz w:val="22"/>
                <w:szCs w:val="22"/>
                <w:rtl/>
                <w:lang w:eastAsia="he-IL"/>
              </w:rPr>
              <w:t xml:space="preserve"> חלק </w:t>
            </w:r>
            <w:r w:rsidRPr="00712819">
              <w:rPr>
                <w:rFonts w:hint="cs"/>
                <w:b/>
                <w:bCs/>
                <w:sz w:val="22"/>
                <w:szCs w:val="22"/>
                <w:rtl/>
                <w:lang w:eastAsia="he-IL"/>
              </w:rPr>
              <w:t xml:space="preserve">ניכר </w:t>
            </w:r>
            <w:r w:rsidRPr="00712819">
              <w:rPr>
                <w:b/>
                <w:bCs/>
                <w:sz w:val="22"/>
                <w:szCs w:val="22"/>
                <w:rtl/>
                <w:lang w:eastAsia="he-IL"/>
              </w:rPr>
              <w:t xml:space="preserve">מהחלטותיה </w:t>
            </w:r>
            <w:r w:rsidRPr="00712819">
              <w:rPr>
                <w:rFonts w:hint="cs"/>
                <w:b/>
                <w:bCs/>
                <w:sz w:val="22"/>
                <w:szCs w:val="22"/>
                <w:rtl/>
                <w:lang w:eastAsia="he-IL"/>
              </w:rPr>
              <w:t>לא</w:t>
            </w:r>
            <w:r w:rsidRPr="00712819">
              <w:rPr>
                <w:b/>
                <w:bCs/>
                <w:sz w:val="22"/>
                <w:szCs w:val="22"/>
                <w:rtl/>
                <w:lang w:eastAsia="he-IL"/>
              </w:rPr>
              <w:t xml:space="preserve"> יושם או </w:t>
            </w:r>
            <w:r w:rsidRPr="00712819">
              <w:rPr>
                <w:rFonts w:hint="cs"/>
                <w:b/>
                <w:bCs/>
                <w:sz w:val="22"/>
                <w:szCs w:val="22"/>
                <w:rtl/>
                <w:lang w:eastAsia="he-IL"/>
              </w:rPr>
              <w:t>שיישומן</w:t>
            </w:r>
            <w:r w:rsidRPr="00712819">
              <w:rPr>
                <w:b/>
                <w:bCs/>
                <w:sz w:val="22"/>
                <w:szCs w:val="22"/>
                <w:rtl/>
                <w:lang w:eastAsia="he-IL"/>
              </w:rPr>
              <w:t xml:space="preserve"> </w:t>
            </w:r>
            <w:r w:rsidRPr="00712819">
              <w:rPr>
                <w:rFonts w:hint="cs"/>
                <w:b/>
                <w:bCs/>
                <w:sz w:val="22"/>
                <w:szCs w:val="22"/>
                <w:rtl/>
                <w:lang w:eastAsia="he-IL"/>
              </w:rPr>
              <w:t>ה</w:t>
            </w:r>
            <w:r w:rsidRPr="00712819">
              <w:rPr>
                <w:b/>
                <w:bCs/>
                <w:sz w:val="22"/>
                <w:szCs w:val="22"/>
                <w:rtl/>
                <w:lang w:eastAsia="he-IL"/>
              </w:rPr>
              <w:t>תעכב.</w:t>
            </w:r>
            <w:r w:rsidRPr="00712819">
              <w:rPr>
                <w:rFonts w:hint="cs"/>
                <w:b/>
                <w:bCs/>
                <w:sz w:val="22"/>
                <w:szCs w:val="22"/>
                <w:rtl/>
                <w:lang w:eastAsia="he-IL"/>
              </w:rPr>
              <w:t xml:space="preserve"> הממשלה לא הצליחה להכווין את הביקושים מהמרכז לפריפריה וחלים עיכובים בפיתוחה של הפריפריה. שרשרת הייצור התנהלה באטיות, לעתים ללא יעדים ברורים ותפוקותיה במשך כמה שנים היו נמוכות מהנדרש למשק. </w:t>
            </w:r>
            <w:r w:rsidRPr="00712819">
              <w:rPr>
                <w:b/>
                <w:bCs/>
                <w:sz w:val="22"/>
                <w:szCs w:val="22"/>
                <w:rtl/>
                <w:lang w:eastAsia="he-IL"/>
              </w:rPr>
              <w:t xml:space="preserve">כפועל יוצא </w:t>
            </w:r>
            <w:r w:rsidRPr="00712819">
              <w:rPr>
                <w:rFonts w:hint="cs"/>
                <w:b/>
                <w:bCs/>
                <w:sz w:val="22"/>
                <w:szCs w:val="22"/>
                <w:rtl/>
                <w:lang w:eastAsia="he-IL"/>
              </w:rPr>
              <w:t xml:space="preserve">מהכשלים </w:t>
            </w:r>
            <w:r w:rsidRPr="00712819">
              <w:rPr>
                <w:b/>
                <w:bCs/>
                <w:sz w:val="22"/>
                <w:szCs w:val="22"/>
                <w:rtl/>
                <w:lang w:eastAsia="he-IL"/>
              </w:rPr>
              <w:t>בכל</w:t>
            </w:r>
            <w:r w:rsidRPr="00712819">
              <w:rPr>
                <w:rFonts w:hint="cs"/>
                <w:b/>
                <w:bCs/>
                <w:sz w:val="22"/>
                <w:szCs w:val="22"/>
                <w:rtl/>
                <w:lang w:eastAsia="he-IL"/>
              </w:rPr>
              <w:t xml:space="preserve"> אחד</w:t>
            </w:r>
            <w:r w:rsidRPr="00712819">
              <w:rPr>
                <w:b/>
                <w:bCs/>
                <w:sz w:val="22"/>
                <w:szCs w:val="22"/>
                <w:rtl/>
                <w:lang w:eastAsia="he-IL"/>
              </w:rPr>
              <w:t xml:space="preserve"> </w:t>
            </w:r>
            <w:r w:rsidRPr="00712819">
              <w:rPr>
                <w:rFonts w:hint="cs"/>
                <w:b/>
                <w:bCs/>
                <w:sz w:val="22"/>
                <w:szCs w:val="22"/>
                <w:rtl/>
                <w:lang w:eastAsia="he-IL"/>
              </w:rPr>
              <w:t>מ</w:t>
            </w:r>
            <w:r w:rsidRPr="00712819">
              <w:rPr>
                <w:b/>
                <w:bCs/>
                <w:sz w:val="22"/>
                <w:szCs w:val="22"/>
                <w:rtl/>
                <w:lang w:eastAsia="he-IL"/>
              </w:rPr>
              <w:t>שלבי שרשרת הייצור</w:t>
            </w:r>
            <w:r w:rsidRPr="00712819">
              <w:rPr>
                <w:rFonts w:hint="cs"/>
                <w:b/>
                <w:bCs/>
                <w:sz w:val="22"/>
                <w:szCs w:val="22"/>
                <w:rtl/>
                <w:lang w:eastAsia="he-IL"/>
              </w:rPr>
              <w:t xml:space="preserve"> </w:t>
            </w:r>
            <w:r w:rsidRPr="00712819">
              <w:rPr>
                <w:b/>
                <w:bCs/>
                <w:sz w:val="22"/>
                <w:szCs w:val="22"/>
                <w:rtl/>
                <w:lang w:eastAsia="he-IL"/>
              </w:rPr>
              <w:t>נוצרו פערים גדולים</w:t>
            </w:r>
            <w:r w:rsidRPr="00712819">
              <w:rPr>
                <w:rFonts w:hint="cs"/>
                <w:b/>
                <w:bCs/>
                <w:sz w:val="22"/>
                <w:szCs w:val="22"/>
                <w:rtl/>
                <w:lang w:eastAsia="he-IL"/>
              </w:rPr>
              <w:t xml:space="preserve"> בין היצע לביקוש</w:t>
            </w:r>
            <w:r w:rsidRPr="00712819">
              <w:rPr>
                <w:b/>
                <w:bCs/>
                <w:sz w:val="22"/>
                <w:szCs w:val="22"/>
                <w:rtl/>
                <w:lang w:eastAsia="he-IL"/>
              </w:rPr>
              <w:t xml:space="preserve"> </w:t>
            </w:r>
            <w:r w:rsidRPr="00712819">
              <w:rPr>
                <w:rFonts w:hint="cs"/>
                <w:b/>
                <w:bCs/>
                <w:sz w:val="22"/>
                <w:szCs w:val="22"/>
                <w:rtl/>
                <w:lang w:eastAsia="he-IL"/>
              </w:rPr>
              <w:t>וחלה עלייה חדה במחירי הדיור. ל</w:t>
            </w:r>
            <w:r w:rsidRPr="00712819">
              <w:rPr>
                <w:b/>
                <w:bCs/>
                <w:sz w:val="22"/>
                <w:szCs w:val="22"/>
                <w:rtl/>
                <w:lang w:eastAsia="he-IL"/>
              </w:rPr>
              <w:t>נוכח</w:t>
            </w:r>
            <w:r w:rsidRPr="00712819">
              <w:rPr>
                <w:rFonts w:hint="cs"/>
                <w:b/>
                <w:bCs/>
                <w:sz w:val="22"/>
                <w:szCs w:val="22"/>
                <w:rtl/>
                <w:lang w:eastAsia="he-IL"/>
              </w:rPr>
              <w:t xml:space="preserve"> העובדה</w:t>
            </w:r>
            <w:r w:rsidRPr="00712819">
              <w:rPr>
                <w:b/>
                <w:bCs/>
                <w:sz w:val="22"/>
                <w:szCs w:val="22"/>
                <w:rtl/>
                <w:lang w:eastAsia="he-IL"/>
              </w:rPr>
              <w:t xml:space="preserve"> </w:t>
            </w:r>
            <w:r w:rsidRPr="00712819">
              <w:rPr>
                <w:rFonts w:hint="cs"/>
                <w:b/>
                <w:bCs/>
                <w:sz w:val="22"/>
                <w:szCs w:val="22"/>
                <w:rtl/>
                <w:lang w:eastAsia="he-IL"/>
              </w:rPr>
              <w:t>ש</w:t>
            </w:r>
            <w:r w:rsidRPr="00712819">
              <w:rPr>
                <w:b/>
                <w:bCs/>
                <w:sz w:val="22"/>
                <w:szCs w:val="22"/>
                <w:rtl/>
                <w:lang w:eastAsia="he-IL"/>
              </w:rPr>
              <w:t xml:space="preserve">הליכי </w:t>
            </w:r>
            <w:r w:rsidRPr="00712819">
              <w:rPr>
                <w:rFonts w:hint="cs"/>
                <w:b/>
                <w:bCs/>
                <w:sz w:val="22"/>
                <w:szCs w:val="22"/>
                <w:rtl/>
                <w:lang w:eastAsia="he-IL"/>
              </w:rPr>
              <w:t>התכנון ותהליכי מימוש התכניות</w:t>
            </w:r>
            <w:r w:rsidRPr="00712819">
              <w:rPr>
                <w:b/>
                <w:bCs/>
                <w:sz w:val="22"/>
                <w:szCs w:val="22"/>
                <w:rtl/>
                <w:lang w:eastAsia="he-IL"/>
              </w:rPr>
              <w:t xml:space="preserve"> </w:t>
            </w:r>
            <w:r w:rsidRPr="00712819">
              <w:rPr>
                <w:rFonts w:hint="cs"/>
                <w:b/>
                <w:bCs/>
                <w:sz w:val="22"/>
                <w:szCs w:val="22"/>
                <w:rtl/>
                <w:lang w:eastAsia="he-IL"/>
              </w:rPr>
              <w:t xml:space="preserve">עדיין </w:t>
            </w:r>
            <w:r w:rsidRPr="00712819">
              <w:rPr>
                <w:b/>
                <w:bCs/>
                <w:sz w:val="22"/>
                <w:szCs w:val="22"/>
                <w:rtl/>
                <w:lang w:eastAsia="he-IL"/>
              </w:rPr>
              <w:t>נמשכים בממוצע כ</w:t>
            </w:r>
            <w:r w:rsidRPr="00712819">
              <w:rPr>
                <w:rFonts w:hint="cs"/>
                <w:b/>
                <w:bCs/>
                <w:sz w:val="22"/>
                <w:szCs w:val="22"/>
                <w:rtl/>
                <w:lang w:eastAsia="he-IL"/>
              </w:rPr>
              <w:t>-12</w:t>
            </w:r>
            <w:r w:rsidRPr="00712819">
              <w:rPr>
                <w:b/>
                <w:bCs/>
                <w:sz w:val="22"/>
                <w:szCs w:val="22"/>
                <w:rtl/>
                <w:lang w:eastAsia="he-IL"/>
              </w:rPr>
              <w:t xml:space="preserve"> שנים, </w:t>
            </w:r>
            <w:r w:rsidRPr="00712819">
              <w:rPr>
                <w:rFonts w:hint="cs"/>
                <w:b/>
                <w:bCs/>
                <w:sz w:val="22"/>
                <w:szCs w:val="22"/>
                <w:rtl/>
                <w:lang w:eastAsia="he-IL"/>
              </w:rPr>
              <w:t>ובשל המחסור המסתמן בכל שלב משלבי שרשרת הייצור, מסתמן מצב העלול להקשות על</w:t>
            </w:r>
            <w:r w:rsidRPr="00712819">
              <w:rPr>
                <w:b/>
                <w:bCs/>
                <w:sz w:val="22"/>
                <w:szCs w:val="22"/>
                <w:rtl/>
                <w:lang w:eastAsia="he-IL"/>
              </w:rPr>
              <w:t xml:space="preserve"> </w:t>
            </w:r>
            <w:r w:rsidRPr="00712819">
              <w:rPr>
                <w:rFonts w:hint="cs"/>
                <w:b/>
                <w:bCs/>
                <w:sz w:val="22"/>
                <w:szCs w:val="22"/>
                <w:rtl/>
                <w:lang w:eastAsia="he-IL"/>
              </w:rPr>
              <w:t>הגדלת</w:t>
            </w:r>
            <w:r w:rsidRPr="00712819">
              <w:rPr>
                <w:b/>
                <w:bCs/>
                <w:sz w:val="22"/>
                <w:szCs w:val="22"/>
                <w:rtl/>
                <w:lang w:eastAsia="he-IL"/>
              </w:rPr>
              <w:t xml:space="preserve"> ההיצע </w:t>
            </w:r>
            <w:r w:rsidRPr="00712819">
              <w:rPr>
                <w:rFonts w:hint="cs"/>
                <w:b/>
                <w:bCs/>
                <w:sz w:val="22"/>
                <w:szCs w:val="22"/>
                <w:rtl/>
                <w:lang w:eastAsia="he-IL"/>
              </w:rPr>
              <w:t xml:space="preserve">במידה הנדרשת </w:t>
            </w:r>
            <w:r w:rsidRPr="00712819">
              <w:rPr>
                <w:b/>
                <w:bCs/>
                <w:sz w:val="22"/>
                <w:szCs w:val="22"/>
                <w:rtl/>
                <w:lang w:eastAsia="he-IL"/>
              </w:rPr>
              <w:t>גם בשנים הקרובות.</w:t>
            </w:r>
          </w:p>
          <w:p w:rsidR="001275A6" w:rsidP="00712819">
            <w:pPr>
              <w:spacing w:after="120"/>
              <w:jc w:val="both"/>
              <w:rPr>
                <w:b/>
                <w:bCs/>
                <w:sz w:val="22"/>
                <w:szCs w:val="22"/>
                <w:rtl/>
                <w:lang w:eastAsia="he-IL"/>
              </w:rPr>
            </w:pPr>
            <w:r w:rsidRPr="00712819">
              <w:rPr>
                <w:rFonts w:hint="cs"/>
                <w:b/>
                <w:bCs/>
                <w:sz w:val="22"/>
                <w:szCs w:val="22"/>
                <w:rtl/>
                <w:lang w:eastAsia="he-IL"/>
              </w:rPr>
              <w:t xml:space="preserve">גיבוש מדיניות דיור כוללת וארוכת טווח, </w:t>
            </w:r>
            <w:r w:rsidRPr="00712819">
              <w:rPr>
                <w:b/>
                <w:bCs/>
                <w:sz w:val="22"/>
                <w:szCs w:val="22"/>
                <w:rtl/>
                <w:lang w:eastAsia="he-IL"/>
              </w:rPr>
              <w:t>שיפור תהליכי קבלת ההחלטות ויישומן</w:t>
            </w:r>
            <w:r w:rsidRPr="00712819">
              <w:rPr>
                <w:rFonts w:hint="cs"/>
                <w:b/>
                <w:bCs/>
                <w:sz w:val="22"/>
                <w:szCs w:val="22"/>
                <w:rtl/>
                <w:lang w:eastAsia="he-IL"/>
              </w:rPr>
              <w:t xml:space="preserve"> וייעול שרשרת הייצור חיוניים כדי להבטיח היצע דיור מגוון ובמחירים הוגנים, דהיינו היצע ההולם את צרכיה של האוכלוסייה ואת יכולתה הכלכלית. להתמודדות עם משבר הדיור ולהסרת החסמים המונעים את התאמת היצע הדיור המצוי לזה הרצוי ישנה חשיבות לאומית, ובכוחן לחזק את החוסן החברתי והכלכלי של מדינת ישראל. </w:t>
            </w:r>
          </w:p>
        </w:tc>
      </w:tr>
    </w:tbl>
    <w:p w:rsidR="001275A6" w:rsidP="00D5796D">
      <w:pPr>
        <w:spacing w:after="120" w:line="230" w:lineRule="exact"/>
        <w:jc w:val="both"/>
        <w:rPr>
          <w:rFonts w:cs="FrankRuehl"/>
          <w:sz w:val="20"/>
          <w:szCs w:val="22"/>
          <w:rtl/>
        </w:rPr>
      </w:pPr>
    </w:p>
    <w:p w:rsidR="001275A6" w:rsidP="00D5796D">
      <w:pPr>
        <w:pStyle w:val="KOT1"/>
        <w:keepNext w:val="0"/>
        <w:spacing w:after="0" w:line="240" w:lineRule="atLeast"/>
        <w:rPr>
          <w:rFonts w:ascii="Arial" w:hAnsi="Arial" w:cs="Arial"/>
          <w:lang w:eastAsia="en-US"/>
        </w:rPr>
      </w:pPr>
      <w:r>
        <w:rPr>
          <w:rFonts w:ascii="Arial" w:hAnsi="Arial" w:cs="Arial"/>
          <w:lang w:eastAsia="en-US"/>
        </w:rPr>
        <w:t>♦</w:t>
      </w:r>
    </w:p>
    <w:p w:rsidR="001275A6" w:rsidP="00D5796D">
      <w:pPr>
        <w:spacing w:after="120" w:line="230" w:lineRule="exact"/>
        <w:jc w:val="both"/>
        <w:rPr>
          <w:rFonts w:cs="FrankRuehl"/>
          <w:sz w:val="20"/>
          <w:szCs w:val="22"/>
          <w:rtl/>
        </w:rPr>
      </w:pPr>
    </w:p>
    <w:p w:rsidR="001275A6" w:rsidP="00D5796D">
      <w:pPr>
        <w:pStyle w:val="KOT4"/>
        <w:rPr>
          <w:rtl/>
        </w:rPr>
      </w:pPr>
      <w:bookmarkEnd w:id="0"/>
      <w:bookmarkEnd w:id="1"/>
      <w:bookmarkEnd w:id="2"/>
      <w:bookmarkEnd w:id="3"/>
      <w:bookmarkEnd w:id="4"/>
      <w:r>
        <w:rPr>
          <w:rtl/>
        </w:rPr>
        <w:br w:type="page"/>
      </w:r>
      <w:r>
        <w:rPr>
          <w:rFonts w:hint="eastAsia"/>
          <w:rtl/>
        </w:rPr>
        <w:t>מבוא</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הזכות לדיור נאות מוכרת כאחת מזכויות האדם במשפט הבין-לאומי ומעוגנת בהכרזה של ארגון האומות המאוחדות</w:t>
      </w:r>
      <w:r>
        <w:rPr>
          <w:rFonts w:cs="FrankRuehl"/>
          <w:sz w:val="18"/>
          <w:szCs w:val="22"/>
          <w:vertAlign w:val="superscript"/>
          <w:rtl/>
          <w:lang w:eastAsia="he-IL"/>
        </w:rPr>
        <w:footnoteReference w:id="4"/>
      </w:r>
      <w:r w:rsidRPr="00F41E78">
        <w:rPr>
          <w:rFonts w:cs="FrankRuehl" w:hint="cs"/>
          <w:sz w:val="18"/>
          <w:szCs w:val="22"/>
          <w:rtl/>
          <w:lang w:eastAsia="he-IL"/>
        </w:rPr>
        <w:t xml:space="preserve"> וכמו כן באמנה בין-לאומית בנושא שמירה על זכויות אדם</w:t>
      </w:r>
      <w:r>
        <w:rPr>
          <w:rFonts w:cs="FrankRuehl"/>
          <w:sz w:val="18"/>
          <w:szCs w:val="22"/>
          <w:vertAlign w:val="superscript"/>
          <w:rtl/>
          <w:lang w:eastAsia="he-IL"/>
        </w:rPr>
        <w:footnoteReference w:id="5"/>
      </w:r>
      <w:r w:rsidRPr="00F41E78">
        <w:rPr>
          <w:rFonts w:cs="FrankRuehl" w:hint="cs"/>
          <w:sz w:val="18"/>
          <w:szCs w:val="22"/>
          <w:rtl/>
          <w:lang w:eastAsia="he-IL"/>
        </w:rPr>
        <w:t xml:space="preserve">, שגם ישראל חתומה עליה. זכויות חברתיות, שהזכות לדיור היא אחת מהן, אינן זכויות מוחלטות - טיבן והיקפן משתנה על פי עיגונן של הזכויות בחקיקה ובמדיניות הממשלה, ובהתאם לכך גם בסדר העדיפות הלאומי להקצאת המשאבים לצורך יישומן.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יכולת ההשפעה של הממשלה, ושל השלטון המקומי על שוק הדיור בישראל רבה. בראש ובראשונה יכולת זו מקורה בהיות רוב רובו של שטח המדינה מנוהל בידי רמ"י</w:t>
      </w:r>
      <w:r>
        <w:rPr>
          <w:rFonts w:cs="FrankRuehl"/>
          <w:sz w:val="18"/>
          <w:szCs w:val="22"/>
          <w:vertAlign w:val="superscript"/>
          <w:rtl/>
          <w:lang w:eastAsia="he-IL"/>
        </w:rPr>
        <w:footnoteReference w:id="6"/>
      </w:r>
      <w:r w:rsidRPr="00F41E78">
        <w:rPr>
          <w:rFonts w:cs="FrankRuehl" w:hint="cs"/>
          <w:sz w:val="18"/>
          <w:szCs w:val="22"/>
          <w:rtl/>
          <w:lang w:eastAsia="he-IL"/>
        </w:rPr>
        <w:t xml:space="preserve">. נוסף על כך, מוסדות התכנון, רמ"י והשלטון המקומי הם הגורמים העיקריים המעורבים בשרשרת הייצור של יחידת הדיור על כל שלביה לרבות הקצאת הקרקע, תכנונה ושיווקה. לאלו יש להוסיף גם את השפעת המדיניות המוניטרית של בנק ישראל ומדיניות המיסוי הלאומית על רמת הביקושים בשוק הדיור.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פעילות</w:t>
      </w:r>
      <w:r w:rsidRPr="00F41E78">
        <w:rPr>
          <w:rFonts w:cs="FrankRuehl"/>
          <w:sz w:val="18"/>
          <w:szCs w:val="22"/>
          <w:rtl/>
          <w:lang w:eastAsia="he-IL"/>
        </w:rPr>
        <w:t xml:space="preserve"> </w:t>
      </w:r>
      <w:r w:rsidRPr="00F41E78">
        <w:rPr>
          <w:rFonts w:cs="FrankRuehl" w:hint="cs"/>
          <w:sz w:val="18"/>
          <w:szCs w:val="22"/>
          <w:rtl/>
          <w:lang w:eastAsia="he-IL"/>
        </w:rPr>
        <w:t>הממשלה בתחום הדיור יכולה להשפיע אפוא על הביקוש וביתר שאת על ההיצע ואגב כך לווסת את המחירים על פי מדיניותה של הממשלה. כמו כן, הממשלה יכולה ליצור תנאים</w:t>
      </w:r>
      <w:r w:rsidRPr="00F41E78">
        <w:rPr>
          <w:rFonts w:cs="FrankRuehl"/>
          <w:sz w:val="18"/>
          <w:szCs w:val="22"/>
          <w:rtl/>
          <w:lang w:eastAsia="he-IL"/>
        </w:rPr>
        <w:t xml:space="preserve"> </w:t>
      </w:r>
      <w:r w:rsidRPr="00F41E78">
        <w:rPr>
          <w:rFonts w:cs="FrankRuehl" w:hint="cs"/>
          <w:sz w:val="18"/>
          <w:szCs w:val="22"/>
          <w:rtl/>
          <w:lang w:eastAsia="he-IL"/>
        </w:rPr>
        <w:t>שיאפשרו</w:t>
      </w:r>
      <w:r w:rsidRPr="00F41E78">
        <w:rPr>
          <w:rFonts w:cs="FrankRuehl"/>
          <w:sz w:val="18"/>
          <w:szCs w:val="22"/>
          <w:rtl/>
          <w:lang w:eastAsia="he-IL"/>
        </w:rPr>
        <w:t xml:space="preserve"> </w:t>
      </w:r>
      <w:r w:rsidRPr="00F41E78">
        <w:rPr>
          <w:rFonts w:cs="FrankRuehl" w:hint="cs"/>
          <w:sz w:val="18"/>
          <w:szCs w:val="22"/>
          <w:rtl/>
          <w:lang w:eastAsia="he-IL"/>
        </w:rPr>
        <w:t>מציאת פתרון</w:t>
      </w:r>
      <w:r w:rsidRPr="00F41E78">
        <w:rPr>
          <w:rFonts w:cs="FrankRuehl"/>
          <w:sz w:val="18"/>
          <w:szCs w:val="22"/>
          <w:rtl/>
          <w:lang w:eastAsia="he-IL"/>
        </w:rPr>
        <w:t xml:space="preserve"> </w:t>
      </w:r>
      <w:r w:rsidRPr="00F41E78">
        <w:rPr>
          <w:rFonts w:cs="FrankRuehl" w:hint="cs"/>
          <w:sz w:val="18"/>
          <w:szCs w:val="22"/>
          <w:rtl/>
          <w:lang w:eastAsia="he-IL"/>
        </w:rPr>
        <w:t>דיור</w:t>
      </w:r>
      <w:r w:rsidRPr="00F41E78">
        <w:rPr>
          <w:rFonts w:cs="FrankRuehl"/>
          <w:sz w:val="18"/>
          <w:szCs w:val="22"/>
          <w:rtl/>
          <w:lang w:eastAsia="he-IL"/>
        </w:rPr>
        <w:t xml:space="preserve"> </w:t>
      </w:r>
      <w:r w:rsidRPr="00F41E78">
        <w:rPr>
          <w:rFonts w:cs="FrankRuehl" w:hint="cs"/>
          <w:sz w:val="18"/>
          <w:szCs w:val="22"/>
          <w:rtl/>
          <w:lang w:eastAsia="he-IL"/>
        </w:rPr>
        <w:t>במחיר</w:t>
      </w:r>
      <w:r w:rsidRPr="00F41E78">
        <w:rPr>
          <w:rFonts w:cs="FrankRuehl"/>
          <w:sz w:val="18"/>
          <w:szCs w:val="22"/>
          <w:rtl/>
          <w:lang w:eastAsia="he-IL"/>
        </w:rPr>
        <w:t xml:space="preserve"> </w:t>
      </w:r>
      <w:r w:rsidRPr="00F41E78">
        <w:rPr>
          <w:rFonts w:cs="FrankRuehl" w:hint="cs"/>
          <w:sz w:val="18"/>
          <w:szCs w:val="22"/>
          <w:rtl/>
          <w:lang w:eastAsia="he-IL"/>
        </w:rPr>
        <w:t>סביר</w:t>
      </w:r>
      <w:r w:rsidRPr="00F41E78">
        <w:rPr>
          <w:rFonts w:cs="FrankRuehl"/>
          <w:sz w:val="18"/>
          <w:szCs w:val="22"/>
          <w:rtl/>
          <w:lang w:eastAsia="he-IL"/>
        </w:rPr>
        <w:t xml:space="preserve"> </w:t>
      </w:r>
      <w:r w:rsidRPr="00F41E78">
        <w:rPr>
          <w:rFonts w:cs="FrankRuehl" w:hint="cs"/>
          <w:sz w:val="18"/>
          <w:szCs w:val="22"/>
          <w:rtl/>
          <w:lang w:eastAsia="he-IL"/>
        </w:rPr>
        <w:t>לכלל</w:t>
      </w:r>
      <w:r w:rsidRPr="00F41E78">
        <w:rPr>
          <w:rFonts w:cs="FrankRuehl"/>
          <w:sz w:val="18"/>
          <w:szCs w:val="22"/>
          <w:rtl/>
          <w:lang w:eastAsia="he-IL"/>
        </w:rPr>
        <w:t xml:space="preserve"> </w:t>
      </w:r>
      <w:r w:rsidRPr="00F41E78">
        <w:rPr>
          <w:rFonts w:cs="FrankRuehl" w:hint="cs"/>
          <w:sz w:val="18"/>
          <w:szCs w:val="22"/>
          <w:rtl/>
          <w:lang w:eastAsia="he-IL"/>
        </w:rPr>
        <w:t>האוכלוסייה ולתמוך באופן פרטני בקבוצות</w:t>
      </w:r>
      <w:r w:rsidRPr="00F41E78">
        <w:rPr>
          <w:rFonts w:cs="FrankRuehl"/>
          <w:sz w:val="18"/>
          <w:szCs w:val="22"/>
          <w:rtl/>
          <w:lang w:eastAsia="he-IL"/>
        </w:rPr>
        <w:t xml:space="preserve"> </w:t>
      </w:r>
      <w:r w:rsidRPr="00F41E78">
        <w:rPr>
          <w:rFonts w:cs="FrankRuehl" w:hint="cs"/>
          <w:sz w:val="18"/>
          <w:szCs w:val="22"/>
          <w:rtl/>
          <w:lang w:eastAsia="he-IL"/>
        </w:rPr>
        <w:t>אוכלוסייה שהכנסותיהן נמוכות</w:t>
      </w:r>
      <w:r w:rsidRPr="00F41E78">
        <w:rPr>
          <w:rFonts w:cs="FrankRuehl"/>
          <w:sz w:val="18"/>
          <w:szCs w:val="22"/>
          <w:rtl/>
          <w:lang w:eastAsia="he-IL"/>
        </w:rPr>
        <w:t xml:space="preserve"> </w:t>
      </w:r>
      <w:r w:rsidRPr="00F41E78">
        <w:rPr>
          <w:rFonts w:cs="FrankRuehl" w:hint="cs"/>
          <w:sz w:val="18"/>
          <w:szCs w:val="22"/>
          <w:rtl/>
          <w:lang w:eastAsia="he-IL"/>
        </w:rPr>
        <w:t>יחסית, באמצעות סיוע כספי ומתן פתרונות במסגרת דיור ציבורי.</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משבר הדיור בא לידי ביטוי בנטל הולך וגובר של הוצאות הדיור של משקי בית רבים. </w:t>
      </w:r>
      <w:r w:rsidRPr="00F41E78">
        <w:rPr>
          <w:rFonts w:cs="FrankRuehl" w:hint="eastAsia"/>
          <w:sz w:val="18"/>
          <w:szCs w:val="22"/>
          <w:rtl/>
          <w:lang w:eastAsia="he-IL"/>
        </w:rPr>
        <w:t>במועד</w:t>
      </w:r>
      <w:r w:rsidRPr="00F41E78">
        <w:rPr>
          <w:rFonts w:cs="FrankRuehl"/>
          <w:sz w:val="18"/>
          <w:szCs w:val="22"/>
          <w:rtl/>
          <w:lang w:eastAsia="he-IL"/>
        </w:rPr>
        <w:t xml:space="preserve"> </w:t>
      </w:r>
      <w:r w:rsidRPr="00F41E78">
        <w:rPr>
          <w:rFonts w:cs="FrankRuehl" w:hint="eastAsia"/>
          <w:sz w:val="18"/>
          <w:szCs w:val="22"/>
          <w:rtl/>
          <w:lang w:eastAsia="he-IL"/>
        </w:rPr>
        <w:t>סיום</w:t>
      </w:r>
      <w:r w:rsidRPr="00F41E78">
        <w:rPr>
          <w:rFonts w:cs="FrankRuehl"/>
          <w:sz w:val="18"/>
          <w:szCs w:val="22"/>
          <w:rtl/>
          <w:lang w:eastAsia="he-IL"/>
        </w:rPr>
        <w:t xml:space="preserve"> </w:t>
      </w:r>
      <w:r w:rsidRPr="00F41E78">
        <w:rPr>
          <w:rFonts w:cs="FrankRuehl" w:hint="eastAsia"/>
          <w:sz w:val="18"/>
          <w:szCs w:val="22"/>
          <w:rtl/>
          <w:lang w:eastAsia="he-IL"/>
        </w:rPr>
        <w:t>הביקורת</w:t>
      </w:r>
      <w:r w:rsidRPr="00F41E78">
        <w:rPr>
          <w:rFonts w:cs="FrankRuehl"/>
          <w:sz w:val="18"/>
          <w:szCs w:val="22"/>
          <w:rtl/>
          <w:lang w:eastAsia="he-IL"/>
        </w:rPr>
        <w:t xml:space="preserve"> </w:t>
      </w:r>
      <w:r w:rsidRPr="00F41E78">
        <w:rPr>
          <w:rFonts w:cs="FrankRuehl" w:hint="eastAsia"/>
          <w:sz w:val="18"/>
          <w:szCs w:val="22"/>
          <w:rtl/>
          <w:lang w:eastAsia="he-IL"/>
        </w:rPr>
        <w:t>בדצמבר</w:t>
      </w:r>
      <w:r w:rsidRPr="00F41E78">
        <w:rPr>
          <w:rFonts w:cs="FrankRuehl"/>
          <w:sz w:val="18"/>
          <w:szCs w:val="22"/>
          <w:rtl/>
          <w:lang w:eastAsia="he-IL"/>
        </w:rPr>
        <w:t xml:space="preserve"> 2013</w:t>
      </w:r>
      <w:r w:rsidRPr="00F41E78">
        <w:rPr>
          <w:rFonts w:cs="FrankRuehl" w:hint="cs"/>
          <w:sz w:val="18"/>
          <w:szCs w:val="22"/>
          <w:rtl/>
          <w:lang w:eastAsia="he-IL"/>
        </w:rPr>
        <w:t xml:space="preserve"> (להלן - מועד סיום הביקורת) עדיין הסתמנה מגמת העלייה החדה במחירי הדיור</w:t>
      </w:r>
      <w:r>
        <w:rPr>
          <w:rFonts w:cs="FrankRuehl"/>
          <w:sz w:val="18"/>
          <w:szCs w:val="22"/>
          <w:vertAlign w:val="superscript"/>
          <w:rtl/>
          <w:lang w:eastAsia="he-IL"/>
        </w:rPr>
        <w:footnoteReference w:id="7"/>
      </w:r>
      <w:r w:rsidRPr="00F41E78">
        <w:rPr>
          <w:rFonts w:cs="FrankRuehl" w:hint="cs"/>
          <w:sz w:val="18"/>
          <w:szCs w:val="22"/>
          <w:rtl/>
          <w:lang w:eastAsia="he-IL"/>
        </w:rPr>
        <w:t xml:space="preserve">, שהחלה כבר בשנת 2008, ואילו </w:t>
      </w:r>
      <w:r w:rsidRPr="00F41E78">
        <w:rPr>
          <w:rFonts w:cs="FrankRuehl" w:hint="cs"/>
          <w:sz w:val="18"/>
          <w:szCs w:val="22"/>
          <w:rtl/>
        </w:rPr>
        <w:t>ההכנסה נטו של משקי הבית גדלה באופן מתון יותר</w:t>
      </w:r>
      <w:r w:rsidRPr="00F41E78">
        <w:rPr>
          <w:rFonts w:cs="FrankRuehl" w:hint="cs"/>
          <w:sz w:val="18"/>
          <w:szCs w:val="22"/>
          <w:rtl/>
          <w:lang w:eastAsia="he-IL"/>
        </w:rPr>
        <w:t xml:space="preserve">. שוק הדיור נתון אפוא במשבר הנמשך כבר כמה שנים ועדיין לא בא על פתרונו. יודגש כי נטל הוצאות הדיור מכביד בעיקר על </w:t>
      </w:r>
      <w:r w:rsidRPr="00F41E78">
        <w:rPr>
          <w:rFonts w:cs="FrankRuehl" w:hint="eastAsia"/>
          <w:sz w:val="18"/>
          <w:szCs w:val="22"/>
          <w:rtl/>
          <w:lang w:eastAsia="he-IL"/>
        </w:rPr>
        <w:t>שכבות</w:t>
      </w:r>
      <w:r w:rsidRPr="00F41E78">
        <w:rPr>
          <w:rFonts w:cs="FrankRuehl"/>
          <w:sz w:val="18"/>
          <w:szCs w:val="22"/>
          <w:rtl/>
          <w:lang w:eastAsia="he-IL"/>
        </w:rPr>
        <w:t xml:space="preserve"> האוכלוסייה </w:t>
      </w:r>
      <w:r w:rsidRPr="00F41E78">
        <w:rPr>
          <w:rFonts w:cs="FrankRuehl" w:hint="cs"/>
          <w:sz w:val="18"/>
          <w:szCs w:val="22"/>
          <w:rtl/>
          <w:lang w:eastAsia="he-IL"/>
        </w:rPr>
        <w:t>שהכנסותיהן נמוכות או בינוניות, ולדבר ישנה השפעה על רווחתן וחוסנן הכלכלי. אולם אם יחמיר המשבר הוא עלול להשפיע לרעה על מצב המשק כולו.</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בחודשים פברואר-דצמבר 2013 בדק משרד מבקר המדינה את התמודדותן של הממשלה ושל רשויות נוספות רלוונטיות</w:t>
      </w:r>
      <w:r>
        <w:rPr>
          <w:rFonts w:cs="FrankRuehl"/>
          <w:sz w:val="18"/>
          <w:szCs w:val="22"/>
          <w:vertAlign w:val="superscript"/>
          <w:rtl/>
          <w:lang w:eastAsia="he-IL"/>
        </w:rPr>
        <w:footnoteReference w:id="8"/>
      </w:r>
      <w:r w:rsidRPr="00F41E78">
        <w:rPr>
          <w:rFonts w:cs="FrankRuehl" w:hint="cs"/>
          <w:sz w:val="18"/>
          <w:szCs w:val="22"/>
          <w:rtl/>
          <w:lang w:eastAsia="he-IL"/>
        </w:rPr>
        <w:t xml:space="preserve"> עם משבר הדיור, </w:t>
      </w:r>
      <w:r w:rsidRPr="00F41E78">
        <w:rPr>
          <w:rFonts w:cs="FrankRuehl" w:hint="eastAsia"/>
          <w:sz w:val="18"/>
          <w:szCs w:val="22"/>
          <w:rtl/>
          <w:lang w:eastAsia="he-IL"/>
        </w:rPr>
        <w:t>בעיקר</w:t>
      </w:r>
      <w:r w:rsidRPr="00F41E78">
        <w:rPr>
          <w:rFonts w:cs="FrankRuehl"/>
          <w:sz w:val="18"/>
          <w:szCs w:val="22"/>
          <w:rtl/>
          <w:lang w:eastAsia="he-IL"/>
        </w:rPr>
        <w:t xml:space="preserve"> </w:t>
      </w:r>
      <w:r w:rsidRPr="00F41E78">
        <w:rPr>
          <w:rFonts w:cs="FrankRuehl" w:hint="cs"/>
          <w:sz w:val="18"/>
          <w:szCs w:val="22"/>
          <w:rtl/>
          <w:lang w:eastAsia="he-IL"/>
        </w:rPr>
        <w:t>ב</w:t>
      </w:r>
      <w:r w:rsidRPr="00F41E78">
        <w:rPr>
          <w:rFonts w:cs="FrankRuehl" w:hint="eastAsia"/>
          <w:sz w:val="18"/>
          <w:szCs w:val="22"/>
          <w:rtl/>
          <w:lang w:eastAsia="he-IL"/>
        </w:rPr>
        <w:t>שנים</w:t>
      </w:r>
      <w:r w:rsidRPr="00F41E78">
        <w:rPr>
          <w:rFonts w:cs="FrankRuehl"/>
          <w:sz w:val="18"/>
          <w:szCs w:val="22"/>
          <w:rtl/>
          <w:lang w:eastAsia="he-IL"/>
        </w:rPr>
        <w:t xml:space="preserve"> </w:t>
      </w:r>
      <w:r w:rsidRPr="00F41E78">
        <w:rPr>
          <w:rFonts w:cs="FrankRuehl" w:hint="cs"/>
          <w:sz w:val="18"/>
          <w:szCs w:val="22"/>
          <w:rtl/>
          <w:lang w:eastAsia="he-IL"/>
        </w:rPr>
        <w:t>2013-2008. בין השאר עסקה הבדיקה בנושאים אלו: גיבושה של מדיניות לאומית בתחום הדיור; בחינת שלבים עיקריים בשרשרת הייצור של יחידות הדיור; פעולות הממשלה בתחום דיור בר השגה; והאופן שבו התקבלו ויושמו החלטות ותכניות ממשלתיות בנושא הדיור, ובכלל זה ההמלצות של ועדת טרכטנברג</w:t>
      </w:r>
      <w:r>
        <w:rPr>
          <w:rFonts w:cs="FrankRuehl"/>
          <w:sz w:val="18"/>
          <w:szCs w:val="22"/>
          <w:vertAlign w:val="superscript"/>
          <w:rtl/>
          <w:lang w:eastAsia="he-IL"/>
        </w:rPr>
        <w:footnoteReference w:id="9"/>
      </w:r>
      <w:r w:rsidRPr="00F41E78">
        <w:rPr>
          <w:rFonts w:cs="FrankRuehl" w:hint="cs"/>
          <w:sz w:val="18"/>
          <w:szCs w:val="22"/>
          <w:rtl/>
          <w:lang w:eastAsia="he-IL"/>
        </w:rPr>
        <w:t>. בדיקות השלמה ועדכונים נעשו בחודשים ינואר-אוגוסט 2014.</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הביקורת נעשתה במשרד הבינוי ובמחוזותיו, ברמ"י ובמחוזותיה, במשרד הפנים - במינהל התכנון ובלשכות התכנון המחוזיות, במשרד האוצר, במשרד הכלכלה במשרד ראש הממשלה ובכמה רשויות מקומיות. בדיקות השלמה נעשו </w:t>
      </w:r>
      <w:r w:rsidRPr="00F41E78">
        <w:rPr>
          <w:rFonts w:cs="FrankRuehl" w:hint="cs"/>
          <w:sz w:val="18"/>
          <w:szCs w:val="22"/>
          <w:rtl/>
        </w:rPr>
        <w:t>במשרד לפיתוח הנגב והגליל,</w:t>
      </w:r>
      <w:r w:rsidRPr="00F41E78">
        <w:rPr>
          <w:rFonts w:cs="FrankRuehl" w:hint="cs"/>
          <w:sz w:val="18"/>
          <w:szCs w:val="22"/>
          <w:rtl/>
          <w:lang w:eastAsia="he-IL"/>
        </w:rPr>
        <w:t xml:space="preserve"> במשרד התעשייה והמסחר, במשרד המשפטים, בלשכה המרכזית לסטטיסטיקה (להלן - הלמ"ס) וכן בבנק ישראל.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בדוח ארבעה שערים המתארים היבטים הנוגעים לשוק הדיור ולשרשרת הייצור של יחידות דיור.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בשער הראשון מוצגת תמונת מצב של שוק הדיור בישראל - אפיון של המגמות העיקריות בנושאי מחירי הדיור ונטל הוצאות הדיור וסקירה של גורמי הביקוש וההיצע בשוק. בשער זה מוצגים גם ממצאים הנוגעים לאיכות הנתונים והמדדים, המשמשים את גורמי השלטון במסגרת תהליכי קבלת החלטות.</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בשער השני מובאים ממצאים על התוויית מדיניות הממשלה בשנים שלפני עליית מחירי הדיור ולאחר עלייתם. בשער זה נבחנים השלבים השונים של תהליכי התוויית המדיניות וביצועה בדרגים השונים ומוצגים בו ליקויים בעבודת המטה הנוגעים לתהליכי קבלת ההחלטות, ליישומן ולמעקב אחר היישום כדי לעמוד על ההיערכות למשבר ועל דרכי ההתמודדות אתו. שער זה עוסק גם בהיבטים כלכליים הנוגעים להתמודדות עם משבר הדיור ומציג ממצאים בתחום מימון שוק הדיור וכן ממצאים הנוגעים להשפעתם של צעדי מיסוי מקרקעין על השוק.</w:t>
      </w:r>
    </w:p>
    <w:p w:rsidR="00E97EDA" w:rsidRPr="00F41E78" w:rsidP="00247595">
      <w:pPr>
        <w:spacing w:after="120" w:line="230" w:lineRule="exact"/>
        <w:jc w:val="both"/>
        <w:rPr>
          <w:rFonts w:cs="FrankRuehl"/>
          <w:sz w:val="18"/>
          <w:szCs w:val="22"/>
          <w:rtl/>
          <w:lang w:eastAsia="he-IL"/>
        </w:rPr>
      </w:pPr>
      <w:r w:rsidRPr="00F41E78">
        <w:rPr>
          <w:rFonts w:cs="FrankRuehl" w:hint="cs"/>
          <w:sz w:val="18"/>
          <w:szCs w:val="22"/>
          <w:rtl/>
          <w:lang w:eastAsia="he-IL"/>
        </w:rPr>
        <w:t xml:space="preserve">השער השלישי עוסק בשרשרת הייצור של יחידות דיור על שלביה השונים: תכנון הקרקעות ושיווקן (במקרה של מקרקעי ישראל), פיתוח התשתיות הנדרשות לשכונות מגורים ורישוי הבנייה. בתהליכים אלו מעורבים משרדי </w:t>
      </w:r>
      <w:r w:rsidRPr="00582A43">
        <w:rPr>
          <w:rFonts w:cs="FrankRuehl" w:hint="cs"/>
          <w:sz w:val="18"/>
          <w:szCs w:val="22"/>
          <w:rtl/>
          <w:lang w:eastAsia="he-IL"/>
        </w:rPr>
        <w:t xml:space="preserve">ממשלה, </w:t>
      </w:r>
      <w:r w:rsidRPr="00582A43" w:rsidR="00247595">
        <w:rPr>
          <w:rFonts w:cs="FrankRuehl" w:hint="cs"/>
          <w:sz w:val="18"/>
          <w:szCs w:val="22"/>
          <w:rtl/>
          <w:lang w:eastAsia="he-IL"/>
        </w:rPr>
        <w:t>רמ"י</w:t>
      </w:r>
      <w:r w:rsidRPr="00582A43">
        <w:rPr>
          <w:rFonts w:cs="FrankRuehl" w:hint="cs"/>
          <w:sz w:val="18"/>
          <w:szCs w:val="22"/>
          <w:rtl/>
          <w:lang w:eastAsia="he-IL"/>
        </w:rPr>
        <w:t>, מוסדות</w:t>
      </w:r>
      <w:r w:rsidRPr="00F41E78">
        <w:rPr>
          <w:rFonts w:cs="FrankRuehl" w:hint="cs"/>
          <w:sz w:val="18"/>
          <w:szCs w:val="22"/>
          <w:rtl/>
          <w:lang w:eastAsia="he-IL"/>
        </w:rPr>
        <w:t xml:space="preserve"> התכנון והרשויות המקומיות, והם משפיעים בסופו של דבר על ההיצע בשוק הדיור ועל היכולת לווסת אותו על פי מדיניותה של הממשלה. בשער זה מוצגים ממצאים על פעילותם של משרד הבינוי ושל רמ"י בתחום ייזום תכניות מפורטות למגורים ושיווק הקרקעות. כמו כן מוצגים ממצאים על השגת יעדי התכנון הלאומי, מצב עתודות הקרקע למגורים, עדכניות התכנון המתארי, היקפו של מלאי התכניות המאושרות למגורים ומשכם ויעילותם של הליכי התכנון.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השער הרביעי בוחן את פעולות הממשלה בתחום דיור בר השגה. בשער זה מובאים ממצאים על ההסדרה החוקית והמינהלית של תחום זה ועל הצורך בגיבושה של מדיניות ויישומה. כמו כן, בשער מובאים ממצאים הנוגעים לשני מסלולים לבנייה למגורים במחיר מופחת - מסלול מחיר דירה למשתכן ומסלול השכרה לטווח ארוך במחיר מפוקח.</w:t>
      </w:r>
    </w:p>
    <w:p w:rsidR="00E97EDA" w:rsidRPr="00F41E78" w:rsidP="00F41E78">
      <w:pPr>
        <w:spacing w:after="120" w:line="230" w:lineRule="exact"/>
        <w:jc w:val="both"/>
        <w:rPr>
          <w:rFonts w:cs="FrankRuehl"/>
          <w:sz w:val="18"/>
          <w:szCs w:val="22"/>
          <w:rtl/>
          <w:lang w:eastAsia="he-IL"/>
        </w:rPr>
      </w:pPr>
    </w:p>
    <w:p w:rsidR="00E97EDA" w:rsidRPr="00F41E78" w:rsidP="00F41E78">
      <w:pPr>
        <w:spacing w:after="120" w:line="230" w:lineRule="exact"/>
        <w:jc w:val="both"/>
        <w:rPr>
          <w:rFonts w:cs="FrankRuehl"/>
          <w:sz w:val="18"/>
          <w:szCs w:val="22"/>
          <w:rtl/>
          <w:lang w:eastAsia="he-IL"/>
        </w:rPr>
      </w:pPr>
    </w:p>
    <w:p w:rsidR="00DB5B9A" w:rsidP="00D5796D">
      <w:pPr>
        <w:keepNext/>
        <w:keepLines/>
        <w:jc w:val="center"/>
        <w:outlineLvl w:val="0"/>
        <w:rPr>
          <w:bCs/>
          <w:szCs w:val="36"/>
          <w:u w:val="single"/>
          <w:rtl/>
          <w:lang w:eastAsia="he-IL"/>
        </w:rPr>
        <w:sectPr>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6" w:h="16838" w:code="9"/>
          <w:pgMar w:top="1758" w:right="2552" w:bottom="4253" w:left="2552" w:header="1247" w:footer="1134" w:gutter="0"/>
          <w:cols w:space="720"/>
          <w:titlePg/>
          <w:rtlGutter/>
        </w:sectPr>
      </w:pPr>
    </w:p>
    <w:p w:rsidR="00D51850" w:rsidP="00D51850">
      <w:pPr>
        <w:spacing w:after="120" w:line="230" w:lineRule="exact"/>
        <w:jc w:val="center"/>
        <w:rPr>
          <w:rtl/>
        </w:rPr>
      </w:pPr>
    </w:p>
    <w:p w:rsidR="00D51850" w:rsidP="00D51850">
      <w:pPr>
        <w:spacing w:after="120" w:line="230" w:lineRule="exact"/>
        <w:jc w:val="center"/>
      </w:pPr>
    </w:p>
    <w:p w:rsidR="00D51850" w:rsidP="00D51850">
      <w:pPr>
        <w:spacing w:after="120" w:line="230" w:lineRule="exact"/>
        <w:jc w:val="center"/>
        <w:rPr>
          <w:rtl/>
        </w:rPr>
      </w:pPr>
    </w:p>
    <w:p w:rsidR="00D51850" w:rsidP="00D51850">
      <w:pPr>
        <w:spacing w:after="120" w:line="230" w:lineRule="exact"/>
        <w:jc w:val="center"/>
      </w:pPr>
    </w:p>
    <w:p w:rsidR="00D51850" w:rsidP="00D51850">
      <w:pPr>
        <w:spacing w:after="120" w:line="230" w:lineRule="exact"/>
        <w:jc w:val="center"/>
      </w:pPr>
    </w:p>
    <w:p w:rsidR="00D51850" w:rsidP="00D51850">
      <w:pPr>
        <w:spacing w:after="120" w:line="230" w:lineRule="exact"/>
        <w:jc w:val="center"/>
      </w:pPr>
    </w:p>
    <w:p w:rsidR="00D51850" w:rsidP="00D51850">
      <w:pPr>
        <w:spacing w:after="120" w:line="230" w:lineRule="exact"/>
        <w:jc w:val="center"/>
        <w:rPr>
          <w:rtl/>
        </w:rPr>
      </w:pPr>
    </w:p>
    <w:p w:rsidR="00D51850" w:rsidP="00D51850">
      <w:pPr>
        <w:spacing w:after="120" w:line="230" w:lineRule="exact"/>
        <w:jc w:val="center"/>
        <w:rPr>
          <w:rtl/>
        </w:rPr>
      </w:pPr>
    </w:p>
    <w:p w:rsidR="00D51850" w:rsidP="00F4484B">
      <w:pPr>
        <w:pStyle w:val="KOT1"/>
        <w:tabs>
          <w:tab w:val="right" w:leader="dot" w:pos="6237"/>
          <w:tab w:val="left" w:pos="6350"/>
        </w:tabs>
        <w:spacing w:after="120"/>
        <w:outlineLvl w:val="0"/>
        <w:rPr>
          <w:b w:val="0"/>
          <w:bCs w:val="0"/>
          <w:sz w:val="32"/>
          <w:szCs w:val="32"/>
          <w:rtl/>
        </w:rPr>
      </w:pPr>
      <w:r>
        <w:rPr>
          <w:rFonts w:hint="cs"/>
          <w:b w:val="0"/>
          <w:bCs w:val="0"/>
          <w:sz w:val="32"/>
          <w:szCs w:val="32"/>
          <w:rtl/>
        </w:rPr>
        <w:t>שער</w:t>
      </w:r>
      <w:r>
        <w:rPr>
          <w:b w:val="0"/>
          <w:bCs w:val="0"/>
          <w:sz w:val="32"/>
          <w:szCs w:val="32"/>
          <w:rtl/>
        </w:rPr>
        <w:t xml:space="preserve"> ראשון</w:t>
      </w:r>
      <w:r w:rsidR="00F4484B">
        <w:rPr>
          <w:rFonts w:hint="cs"/>
          <w:b w:val="0"/>
          <w:bCs w:val="0"/>
          <w:sz w:val="32"/>
          <w:szCs w:val="32"/>
          <w:rtl/>
        </w:rPr>
        <w:br/>
      </w:r>
      <w:r w:rsidRPr="00D51850" w:rsidR="00F4484B">
        <w:rPr>
          <w:rFonts w:hint="cs"/>
          <w:b w:val="0"/>
          <w:bCs w:val="0"/>
          <w:sz w:val="40"/>
          <w:szCs w:val="40"/>
          <w:rtl/>
        </w:rPr>
        <w:t>תמונת מצב של שוק הדיור בישראל</w:t>
      </w:r>
    </w:p>
    <w:p w:rsidR="009F533E" w:rsidRPr="00E97EDA" w:rsidP="00A01D32">
      <w:pPr>
        <w:keepNext/>
        <w:keepLines/>
        <w:jc w:val="center"/>
        <w:rPr>
          <w:bCs/>
          <w:szCs w:val="36"/>
          <w:u w:val="single"/>
          <w:rtl/>
          <w:lang w:eastAsia="he-IL"/>
        </w:rPr>
      </w:pPr>
    </w:p>
    <w:p w:rsidR="00417CBF" w:rsidP="00DB5B9A">
      <w:pPr>
        <w:spacing w:after="120" w:line="230" w:lineRule="exact"/>
        <w:jc w:val="both"/>
        <w:rPr>
          <w:rFonts w:cs="FrankRuehl"/>
          <w:sz w:val="18"/>
          <w:szCs w:val="22"/>
          <w:rtl/>
          <w:lang w:eastAsia="he-IL"/>
        </w:rPr>
        <w:sectPr>
          <w:headerReference w:type="first" r:id="rId15"/>
          <w:footnotePr>
            <w:numRestart w:val="eachSect"/>
          </w:footnotePr>
          <w:pgSz w:w="11906" w:h="16838" w:code="9"/>
          <w:pgMar w:top="1758" w:right="2552" w:bottom="4253" w:left="2552" w:header="1247" w:footer="1134" w:gutter="0"/>
          <w:cols w:space="720"/>
          <w:titlePg/>
          <w:rtlGutter/>
        </w:sectPr>
      </w:pPr>
      <w:bookmarkStart w:id="6" w:name="_Toc381281524"/>
    </w:p>
    <w:p w:rsidR="00DB5B9A" w:rsidP="00DB5B9A">
      <w:pPr>
        <w:spacing w:after="120" w:line="230" w:lineRule="exact"/>
        <w:jc w:val="both"/>
        <w:rPr>
          <w:rFonts w:cs="FrankRuehl"/>
          <w:sz w:val="18"/>
          <w:szCs w:val="22"/>
          <w:lang w:eastAsia="he-IL"/>
        </w:rPr>
      </w:pPr>
    </w:p>
    <w:p w:rsidR="00DB5B9A" w:rsidRPr="00DB5B9A" w:rsidP="00DB5B9A">
      <w:pPr>
        <w:spacing w:after="120" w:line="230" w:lineRule="exact"/>
        <w:jc w:val="both"/>
        <w:rPr>
          <w:rFonts w:cs="FrankRuehl"/>
          <w:sz w:val="18"/>
          <w:szCs w:val="22"/>
          <w:lang w:eastAsia="he-IL"/>
        </w:rPr>
      </w:pPr>
    </w:p>
    <w:p w:rsidR="00DB5B9A" w:rsidP="00EC0156">
      <w:pPr>
        <w:pStyle w:val="KOT2"/>
        <w:rPr>
          <w:rtl/>
        </w:rPr>
        <w:sectPr>
          <w:footerReference w:type="first" r:id="rId16"/>
          <w:footnotePr>
            <w:numRestart w:val="eachSect"/>
          </w:footnotePr>
          <w:pgSz w:w="11906" w:h="16838" w:code="9"/>
          <w:pgMar w:top="1758" w:right="2552" w:bottom="4253" w:left="2552" w:header="1247" w:footer="1134" w:gutter="0"/>
          <w:cols w:space="720"/>
          <w:titlePg/>
          <w:rtlGutter/>
        </w:sectPr>
      </w:pPr>
    </w:p>
    <w:p w:rsidR="00E97EDA" w:rsidRPr="00E97EDA" w:rsidP="00A01D32">
      <w:pPr>
        <w:pStyle w:val="KOT2"/>
        <w:outlineLvl w:val="0"/>
        <w:rPr>
          <w:rtl/>
        </w:rPr>
      </w:pPr>
      <w:r w:rsidRPr="00A01D32">
        <w:rPr>
          <w:rFonts w:hint="cs"/>
          <w:b w:val="0"/>
          <w:bCs w:val="0"/>
          <w:sz w:val="28"/>
          <w:szCs w:val="28"/>
          <w:rtl/>
        </w:rPr>
        <w:t>פרק ראשון</w:t>
      </w:r>
      <w:r w:rsidRPr="00A01D32">
        <w:rPr>
          <w:b w:val="0"/>
          <w:bCs w:val="0"/>
          <w:sz w:val="28"/>
          <w:szCs w:val="28"/>
          <w:rtl/>
        </w:rPr>
        <w:br/>
      </w:r>
      <w:r w:rsidRPr="00E97EDA">
        <w:rPr>
          <w:rFonts w:hint="eastAsia"/>
          <w:rtl/>
        </w:rPr>
        <w:t>שוק</w:t>
      </w:r>
      <w:r w:rsidRPr="00E97EDA">
        <w:rPr>
          <w:rtl/>
        </w:rPr>
        <w:t xml:space="preserve"> </w:t>
      </w:r>
      <w:r w:rsidRPr="00E97EDA">
        <w:rPr>
          <w:rFonts w:hint="eastAsia"/>
          <w:rtl/>
        </w:rPr>
        <w:t>הדיור</w:t>
      </w:r>
      <w:r w:rsidRPr="00E97EDA">
        <w:rPr>
          <w:rtl/>
        </w:rPr>
        <w:t xml:space="preserve"> </w:t>
      </w:r>
      <w:r w:rsidRPr="00E97EDA">
        <w:rPr>
          <w:rFonts w:hint="eastAsia"/>
          <w:rtl/>
        </w:rPr>
        <w:t>בישראל</w:t>
      </w:r>
      <w:r w:rsidRPr="00E97EDA">
        <w:rPr>
          <w:rtl/>
        </w:rPr>
        <w:t xml:space="preserve"> - </w:t>
      </w:r>
      <w:bookmarkEnd w:id="6"/>
      <w:r w:rsidRPr="00E97EDA">
        <w:rPr>
          <w:rFonts w:hint="cs"/>
          <w:rtl/>
        </w:rPr>
        <w:t>מגמות עיקריות</w:t>
      </w:r>
    </w:p>
    <w:p w:rsidR="00E97EDA" w:rsidRPr="00F41E78" w:rsidP="00F41E78">
      <w:pPr>
        <w:spacing w:after="120" w:line="230" w:lineRule="exact"/>
        <w:jc w:val="both"/>
        <w:rPr>
          <w:rFonts w:cs="FrankRuehl"/>
          <w:sz w:val="18"/>
          <w:szCs w:val="22"/>
          <w:lang w:eastAsia="he-IL"/>
        </w:rPr>
      </w:pPr>
      <w:r w:rsidRPr="00F41E78">
        <w:rPr>
          <w:rFonts w:cs="FrankRuehl" w:hint="cs"/>
          <w:sz w:val="18"/>
          <w:szCs w:val="22"/>
          <w:rtl/>
          <w:lang w:eastAsia="he-IL"/>
        </w:rPr>
        <w:t xml:space="preserve">פרק זה עוסק בסקירת המגמות העיקריות שאפיינו את שוק הדיור </w:t>
      </w:r>
      <w:r w:rsidRPr="00F41E78">
        <w:rPr>
          <w:rFonts w:cs="FrankRuehl" w:hint="eastAsia"/>
          <w:sz w:val="18"/>
          <w:szCs w:val="22"/>
          <w:rtl/>
          <w:lang w:eastAsia="he-IL"/>
        </w:rPr>
        <w:t>בעשור</w:t>
      </w:r>
      <w:r w:rsidRPr="00F41E78">
        <w:rPr>
          <w:rFonts w:cs="FrankRuehl"/>
          <w:sz w:val="18"/>
          <w:szCs w:val="22"/>
          <w:rtl/>
          <w:lang w:eastAsia="he-IL"/>
        </w:rPr>
        <w:t xml:space="preserve"> </w:t>
      </w:r>
      <w:r w:rsidRPr="00F41E78">
        <w:rPr>
          <w:rFonts w:cs="FrankRuehl" w:hint="eastAsia"/>
          <w:sz w:val="18"/>
          <w:szCs w:val="22"/>
          <w:rtl/>
          <w:lang w:eastAsia="he-IL"/>
        </w:rPr>
        <w:t>האחרון</w:t>
      </w:r>
      <w:r w:rsidRPr="00F41E78">
        <w:rPr>
          <w:rFonts w:cs="FrankRuehl" w:hint="cs"/>
          <w:sz w:val="18"/>
          <w:szCs w:val="22"/>
          <w:rtl/>
          <w:lang w:eastAsia="he-IL"/>
        </w:rPr>
        <w:t xml:space="preserve"> ובייחוד העלייה הניכרת במחירי הדירות ובשכר הדירה, שהחלה בשנת 2008 ונמשכה גם </w:t>
      </w:r>
      <w:r w:rsidRPr="00F41E78">
        <w:rPr>
          <w:rFonts w:cs="FrankRuehl" w:hint="eastAsia"/>
          <w:sz w:val="18"/>
          <w:szCs w:val="22"/>
          <w:rtl/>
          <w:lang w:eastAsia="he-IL"/>
        </w:rPr>
        <w:t>במועד</w:t>
      </w:r>
      <w:r w:rsidRPr="00F41E78">
        <w:rPr>
          <w:rFonts w:cs="FrankRuehl"/>
          <w:sz w:val="18"/>
          <w:szCs w:val="22"/>
          <w:rtl/>
          <w:lang w:eastAsia="he-IL"/>
        </w:rPr>
        <w:t xml:space="preserve"> </w:t>
      </w:r>
      <w:r w:rsidRPr="00F41E78">
        <w:rPr>
          <w:rFonts w:cs="FrankRuehl" w:hint="eastAsia"/>
          <w:sz w:val="18"/>
          <w:szCs w:val="22"/>
          <w:rtl/>
          <w:lang w:eastAsia="he-IL"/>
        </w:rPr>
        <w:t>סיום</w:t>
      </w:r>
      <w:r w:rsidRPr="00F41E78">
        <w:rPr>
          <w:rFonts w:cs="FrankRuehl"/>
          <w:sz w:val="18"/>
          <w:szCs w:val="22"/>
          <w:rtl/>
          <w:lang w:eastAsia="he-IL"/>
        </w:rPr>
        <w:t xml:space="preserve"> </w:t>
      </w:r>
      <w:r w:rsidRPr="00F41E78">
        <w:rPr>
          <w:rFonts w:cs="FrankRuehl" w:hint="eastAsia"/>
          <w:sz w:val="18"/>
          <w:szCs w:val="22"/>
          <w:rtl/>
          <w:lang w:eastAsia="he-IL"/>
        </w:rPr>
        <w:t>הביקורת</w:t>
      </w:r>
      <w:r w:rsidRPr="00F41E78">
        <w:rPr>
          <w:rFonts w:cs="FrankRuehl"/>
          <w:sz w:val="18"/>
          <w:szCs w:val="22"/>
          <w:rtl/>
          <w:lang w:eastAsia="he-IL"/>
        </w:rPr>
        <w:t>;</w:t>
      </w:r>
      <w:r w:rsidRPr="00F41E78">
        <w:rPr>
          <w:rFonts w:cs="FrankRuehl" w:hint="cs"/>
          <w:sz w:val="18"/>
          <w:szCs w:val="22"/>
          <w:rtl/>
          <w:lang w:eastAsia="he-IL"/>
        </w:rPr>
        <w:t xml:space="preserve"> מגמות נוספות הן הפער ההולך וגדל בין ההיצע לביקוש בשוק הדיור וההכבדה של נטל הוצאות הדיור על משקי בית</w:t>
      </w:r>
      <w:r>
        <w:rPr>
          <w:rFonts w:cs="FrankRuehl"/>
          <w:sz w:val="18"/>
          <w:szCs w:val="22"/>
          <w:vertAlign w:val="superscript"/>
          <w:rtl/>
          <w:lang w:eastAsia="he-IL"/>
        </w:rPr>
        <w:footnoteReference w:id="10"/>
      </w:r>
      <w:r w:rsidRPr="00F41E78">
        <w:rPr>
          <w:rFonts w:cs="FrankRuehl" w:hint="cs"/>
          <w:sz w:val="18"/>
          <w:szCs w:val="22"/>
          <w:rtl/>
          <w:lang w:eastAsia="he-IL"/>
        </w:rPr>
        <w:t xml:space="preserve"> בישראל, בעיקר בקרב </w:t>
      </w:r>
      <w:r w:rsidRPr="00F41E78">
        <w:rPr>
          <w:rFonts w:cs="FrankRuehl" w:hint="eastAsia"/>
          <w:sz w:val="18"/>
          <w:szCs w:val="22"/>
          <w:rtl/>
          <w:lang w:eastAsia="he-IL"/>
        </w:rPr>
        <w:t>שכבות</w:t>
      </w:r>
      <w:r w:rsidRPr="00F41E78">
        <w:rPr>
          <w:rFonts w:cs="FrankRuehl" w:hint="cs"/>
          <w:sz w:val="18"/>
          <w:szCs w:val="22"/>
          <w:rtl/>
          <w:lang w:eastAsia="he-IL"/>
        </w:rPr>
        <w:t xml:space="preserve"> אוכלוסייה</w:t>
      </w:r>
      <w:r w:rsidRPr="00F41E78">
        <w:rPr>
          <w:rFonts w:cs="FrankRuehl"/>
          <w:sz w:val="18"/>
          <w:szCs w:val="22"/>
          <w:rtl/>
          <w:lang w:eastAsia="he-IL"/>
        </w:rPr>
        <w:t xml:space="preserve"> </w:t>
      </w:r>
      <w:r w:rsidRPr="00F41E78">
        <w:rPr>
          <w:rFonts w:cs="FrankRuehl" w:hint="cs"/>
          <w:sz w:val="18"/>
          <w:szCs w:val="22"/>
          <w:rtl/>
          <w:lang w:eastAsia="he-IL"/>
        </w:rPr>
        <w:t>שרמת הכנסתן נמוכה או בינונית.</w:t>
      </w:r>
    </w:p>
    <w:p w:rsidR="007147BC" w:rsidRPr="00F41E78" w:rsidP="00F41E78">
      <w:pPr>
        <w:spacing w:after="120" w:line="230" w:lineRule="exact"/>
        <w:jc w:val="both"/>
        <w:rPr>
          <w:rFonts w:cs="FrankRuehl"/>
          <w:sz w:val="18"/>
          <w:szCs w:val="22"/>
          <w:lang w:eastAsia="he-IL"/>
        </w:rPr>
      </w:pPr>
    </w:p>
    <w:p w:rsidR="007147BC" w:rsidRPr="00F41E78" w:rsidP="00F41E78">
      <w:pPr>
        <w:spacing w:after="120" w:line="230" w:lineRule="exact"/>
        <w:jc w:val="both"/>
        <w:rPr>
          <w:rFonts w:cs="FrankRuehl"/>
          <w:sz w:val="18"/>
          <w:szCs w:val="22"/>
          <w:rtl/>
          <w:lang w:eastAsia="he-IL"/>
        </w:rPr>
      </w:pPr>
    </w:p>
    <w:p w:rsidR="00E97EDA" w:rsidRPr="00E97EDA" w:rsidP="00EC0156">
      <w:pPr>
        <w:pStyle w:val="KOT4"/>
        <w:rPr>
          <w:rtl/>
        </w:rPr>
      </w:pPr>
      <w:bookmarkStart w:id="7" w:name="_Toc389492333"/>
      <w:r w:rsidRPr="00E97EDA">
        <w:rPr>
          <w:rFonts w:hint="eastAsia"/>
          <w:rtl/>
        </w:rPr>
        <w:t>הגופים</w:t>
      </w:r>
      <w:r w:rsidRPr="00E97EDA">
        <w:rPr>
          <w:rtl/>
        </w:rPr>
        <w:t xml:space="preserve"> </w:t>
      </w:r>
      <w:r w:rsidRPr="00E97EDA">
        <w:rPr>
          <w:rFonts w:hint="eastAsia"/>
          <w:rtl/>
        </w:rPr>
        <w:t>השלטוניים</w:t>
      </w:r>
      <w:r w:rsidRPr="00E97EDA">
        <w:rPr>
          <w:rtl/>
        </w:rPr>
        <w:t xml:space="preserve"> - </w:t>
      </w:r>
      <w:r w:rsidRPr="00E97EDA">
        <w:rPr>
          <w:rFonts w:hint="eastAsia"/>
          <w:rtl/>
        </w:rPr>
        <w:t>תפקידים</w:t>
      </w:r>
      <w:r w:rsidRPr="00E97EDA">
        <w:rPr>
          <w:rtl/>
        </w:rPr>
        <w:t xml:space="preserve"> </w:t>
      </w:r>
      <w:r w:rsidRPr="00E97EDA">
        <w:rPr>
          <w:rFonts w:hint="eastAsia"/>
          <w:rtl/>
        </w:rPr>
        <w:t>ותחומי</w:t>
      </w:r>
      <w:r w:rsidRPr="00E97EDA">
        <w:rPr>
          <w:rtl/>
        </w:rPr>
        <w:t xml:space="preserve"> </w:t>
      </w:r>
      <w:r w:rsidRPr="00E97EDA">
        <w:rPr>
          <w:rFonts w:hint="eastAsia"/>
          <w:rtl/>
        </w:rPr>
        <w:t>אחריות</w:t>
      </w:r>
      <w:bookmarkEnd w:id="7"/>
    </w:p>
    <w:p w:rsidR="00E97EDA" w:rsidRPr="00F41E78" w:rsidP="00F41E78">
      <w:pPr>
        <w:spacing w:after="120" w:line="230" w:lineRule="exact"/>
        <w:jc w:val="both"/>
        <w:rPr>
          <w:rFonts w:cs="FrankRuehl"/>
          <w:sz w:val="18"/>
          <w:szCs w:val="22"/>
          <w:lang w:eastAsia="he-IL"/>
        </w:rPr>
      </w:pPr>
      <w:r w:rsidRPr="00F41E78">
        <w:rPr>
          <w:rFonts w:cs="FrankRuehl" w:hint="cs"/>
          <w:sz w:val="18"/>
          <w:szCs w:val="22"/>
          <w:rtl/>
          <w:lang w:eastAsia="he-IL"/>
        </w:rPr>
        <w:t xml:space="preserve">מעורבות הממשלה, מוסדות התכנון, רמ"י והשלטון המקומי בשוק הדיור ניכרת ובאה לידי ביטוי בדרכים שונות כמו גיבוש מדיניות בתחום הדיור, הקצאת קרקעות לדיור ותכנונן ושיווקן בכל אזורי הארץ, יצירת פתרונות דיור ציבורי לנזקקים ומתן סיוע לצורך רכישת דירה או שכירתה. </w:t>
      </w:r>
    </w:p>
    <w:p w:rsidR="00EC0156" w:rsidRPr="00F41E78" w:rsidP="00F41E78">
      <w:pPr>
        <w:spacing w:after="120" w:line="230" w:lineRule="exact"/>
        <w:jc w:val="both"/>
        <w:rPr>
          <w:rFonts w:cs="FrankRuehl"/>
          <w:sz w:val="18"/>
          <w:szCs w:val="22"/>
          <w:rtl/>
          <w:lang w:eastAsia="he-IL"/>
        </w:rPr>
      </w:pPr>
    </w:p>
    <w:p w:rsidR="00E97EDA" w:rsidRPr="00E719A9" w:rsidP="00EC0156">
      <w:pPr>
        <w:pStyle w:val="KOT5"/>
        <w:rPr>
          <w:rtl/>
          <w:lang w:eastAsia="he-IL"/>
        </w:rPr>
      </w:pPr>
      <w:bookmarkStart w:id="8" w:name="_Toc389492334"/>
      <w:r w:rsidRPr="00E719A9">
        <w:rPr>
          <w:rFonts w:hint="cs"/>
          <w:rtl/>
          <w:lang w:eastAsia="he-IL"/>
        </w:rPr>
        <w:t>משרדי ממשלה</w:t>
      </w:r>
      <w:bookmarkEnd w:id="8"/>
    </w:p>
    <w:p w:rsidR="00E97EDA" w:rsidRPr="00F41E78" w:rsidP="00F41E78">
      <w:pPr>
        <w:spacing w:after="120" w:line="230" w:lineRule="exact"/>
        <w:jc w:val="both"/>
        <w:rPr>
          <w:rFonts w:cs="FrankRuehl"/>
          <w:sz w:val="18"/>
          <w:szCs w:val="22"/>
          <w:rtl/>
          <w:lang w:eastAsia="he-IL"/>
        </w:rPr>
      </w:pPr>
      <w:r w:rsidRPr="00F41E78">
        <w:rPr>
          <w:rFonts w:cs="FrankRuehl" w:hint="eastAsia"/>
          <w:bCs/>
          <w:spacing w:val="40"/>
          <w:sz w:val="18"/>
          <w:szCs w:val="22"/>
          <w:rtl/>
        </w:rPr>
        <w:t>משרד הבינוי</w:t>
      </w:r>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המשרד נמנה עם הגופים הממשלתיים הממונים</w:t>
      </w:r>
      <w:r w:rsidRPr="00F41E78">
        <w:rPr>
          <w:rFonts w:cs="FrankRuehl"/>
          <w:sz w:val="18"/>
          <w:szCs w:val="22"/>
          <w:rtl/>
          <w:lang w:eastAsia="he-IL"/>
        </w:rPr>
        <w:t xml:space="preserve"> על ייזום וביצוע </w:t>
      </w:r>
      <w:r w:rsidRPr="00F41E78">
        <w:rPr>
          <w:rFonts w:cs="FrankRuehl" w:hint="cs"/>
          <w:sz w:val="18"/>
          <w:szCs w:val="22"/>
          <w:rtl/>
          <w:lang w:eastAsia="he-IL"/>
        </w:rPr>
        <w:t xml:space="preserve">של </w:t>
      </w:r>
      <w:r w:rsidRPr="00F41E78">
        <w:rPr>
          <w:rFonts w:cs="FrankRuehl"/>
          <w:sz w:val="18"/>
          <w:szCs w:val="22"/>
          <w:rtl/>
          <w:lang w:eastAsia="he-IL"/>
        </w:rPr>
        <w:t>מדיניות הממשלה בתחומי השיכון והבנייה למגורים, ובכלל זה ייזום תכנון, פיתוח תשתיות לבנייה למגורים ושיווק קרקעות מפותחות לבנייה.</w:t>
      </w:r>
      <w:r w:rsidRPr="00F41E78">
        <w:rPr>
          <w:rFonts w:cs="FrankRuehl" w:hint="cs"/>
          <w:sz w:val="18"/>
          <w:szCs w:val="22"/>
          <w:rtl/>
          <w:lang w:eastAsia="he-IL"/>
        </w:rPr>
        <w:t xml:space="preserve"> </w:t>
      </w:r>
      <w:r w:rsidRPr="00F41E78">
        <w:rPr>
          <w:rFonts w:cs="FrankRuehl" w:hint="cs"/>
          <w:sz w:val="18"/>
          <w:szCs w:val="22"/>
          <w:rtl/>
        </w:rPr>
        <w:t>משרד הבינוי פועל</w:t>
      </w:r>
      <w:r w:rsidRPr="00F41E78">
        <w:rPr>
          <w:rFonts w:cs="FrankRuehl"/>
          <w:sz w:val="18"/>
          <w:szCs w:val="22"/>
          <w:rtl/>
        </w:rPr>
        <w:t xml:space="preserve"> </w:t>
      </w:r>
      <w:r w:rsidRPr="00F41E78">
        <w:rPr>
          <w:rFonts w:cs="FrankRuehl" w:hint="cs"/>
          <w:sz w:val="18"/>
          <w:szCs w:val="22"/>
          <w:rtl/>
        </w:rPr>
        <w:t>בשני</w:t>
      </w:r>
      <w:r w:rsidRPr="00F41E78">
        <w:rPr>
          <w:rFonts w:cs="FrankRuehl"/>
          <w:sz w:val="18"/>
          <w:szCs w:val="22"/>
          <w:rtl/>
        </w:rPr>
        <w:t xml:space="preserve"> </w:t>
      </w:r>
      <w:r w:rsidRPr="00F41E78">
        <w:rPr>
          <w:rFonts w:cs="FrankRuehl" w:hint="cs"/>
          <w:sz w:val="18"/>
          <w:szCs w:val="22"/>
          <w:rtl/>
        </w:rPr>
        <w:t>מישורים עיקריים; האחד,</w:t>
      </w:r>
      <w:r w:rsidRPr="00F41E78">
        <w:rPr>
          <w:rFonts w:cs="FrankRuehl"/>
          <w:sz w:val="18"/>
          <w:szCs w:val="22"/>
          <w:rtl/>
        </w:rPr>
        <w:t xml:space="preserve"> </w:t>
      </w:r>
      <w:r w:rsidRPr="00F41E78">
        <w:rPr>
          <w:rFonts w:cs="FrankRuehl" w:hint="cs"/>
          <w:sz w:val="18"/>
          <w:szCs w:val="22"/>
          <w:rtl/>
        </w:rPr>
        <w:t>פעילות בתחומי ה</w:t>
      </w:r>
      <w:r w:rsidRPr="00F41E78">
        <w:rPr>
          <w:rFonts w:cs="FrankRuehl"/>
          <w:sz w:val="18"/>
          <w:szCs w:val="22"/>
          <w:rtl/>
        </w:rPr>
        <w:t>ביקוש ו</w:t>
      </w:r>
      <w:r w:rsidRPr="00F41E78">
        <w:rPr>
          <w:rFonts w:cs="FrankRuehl" w:hint="cs"/>
          <w:sz w:val="18"/>
          <w:szCs w:val="22"/>
          <w:rtl/>
        </w:rPr>
        <w:t>ה</w:t>
      </w:r>
      <w:r w:rsidRPr="00F41E78">
        <w:rPr>
          <w:rFonts w:cs="FrankRuehl"/>
          <w:sz w:val="18"/>
          <w:szCs w:val="22"/>
          <w:rtl/>
        </w:rPr>
        <w:t>היצע</w:t>
      </w:r>
      <w:r w:rsidRPr="00F41E78">
        <w:rPr>
          <w:rFonts w:cs="FrankRuehl" w:hint="cs"/>
          <w:sz w:val="18"/>
          <w:szCs w:val="22"/>
          <w:rtl/>
        </w:rPr>
        <w:t xml:space="preserve"> של שוק הדיור</w:t>
      </w:r>
      <w:r w:rsidRPr="00F41E78">
        <w:rPr>
          <w:rFonts w:cs="FrankRuehl"/>
          <w:sz w:val="18"/>
          <w:szCs w:val="22"/>
          <w:rtl/>
        </w:rPr>
        <w:t xml:space="preserve"> </w:t>
      </w:r>
      <w:r w:rsidRPr="00F41E78">
        <w:rPr>
          <w:rFonts w:cs="FrankRuehl" w:hint="cs"/>
          <w:sz w:val="18"/>
          <w:szCs w:val="22"/>
          <w:rtl/>
        </w:rPr>
        <w:t>ה</w:t>
      </w:r>
      <w:r w:rsidRPr="00F41E78">
        <w:rPr>
          <w:rFonts w:cs="FrankRuehl" w:hint="eastAsia"/>
          <w:sz w:val="18"/>
          <w:szCs w:val="22"/>
          <w:rtl/>
        </w:rPr>
        <w:t>מכוּונת</w:t>
      </w:r>
      <w:r w:rsidRPr="00F41E78">
        <w:rPr>
          <w:rFonts w:cs="FrankRuehl"/>
          <w:sz w:val="18"/>
          <w:szCs w:val="22"/>
          <w:rtl/>
        </w:rPr>
        <w:t xml:space="preserve"> </w:t>
      </w:r>
      <w:r w:rsidRPr="00F41E78">
        <w:rPr>
          <w:rFonts w:cs="FrankRuehl" w:hint="eastAsia"/>
          <w:sz w:val="18"/>
          <w:szCs w:val="22"/>
          <w:rtl/>
        </w:rPr>
        <w:t>ליצירת</w:t>
      </w:r>
      <w:r w:rsidRPr="00F41E78">
        <w:rPr>
          <w:rFonts w:cs="FrankRuehl"/>
          <w:sz w:val="18"/>
          <w:szCs w:val="22"/>
          <w:rtl/>
        </w:rPr>
        <w:t xml:space="preserve"> </w:t>
      </w:r>
      <w:r w:rsidRPr="00F41E78">
        <w:rPr>
          <w:rFonts w:cs="FrankRuehl" w:hint="eastAsia"/>
          <w:sz w:val="18"/>
          <w:szCs w:val="22"/>
          <w:rtl/>
        </w:rPr>
        <w:t>תנאים</w:t>
      </w:r>
      <w:r w:rsidRPr="00F41E78">
        <w:rPr>
          <w:rFonts w:cs="FrankRuehl" w:hint="cs"/>
          <w:sz w:val="18"/>
          <w:szCs w:val="22"/>
          <w:rtl/>
        </w:rPr>
        <w:t xml:space="preserve"> </w:t>
      </w:r>
      <w:r w:rsidRPr="00F41E78">
        <w:rPr>
          <w:rFonts w:cs="FrankRuehl" w:hint="eastAsia"/>
          <w:sz w:val="18"/>
          <w:szCs w:val="22"/>
          <w:rtl/>
        </w:rPr>
        <w:t>שיאפשרו</w:t>
      </w:r>
      <w:r w:rsidRPr="00F41E78">
        <w:rPr>
          <w:rFonts w:cs="FrankRuehl" w:hint="cs"/>
          <w:sz w:val="18"/>
          <w:szCs w:val="22"/>
          <w:rtl/>
        </w:rPr>
        <w:t xml:space="preserve"> </w:t>
      </w:r>
      <w:r w:rsidRPr="00F41E78">
        <w:rPr>
          <w:rFonts w:cs="FrankRuehl" w:hint="eastAsia"/>
          <w:sz w:val="18"/>
          <w:szCs w:val="22"/>
          <w:rtl/>
        </w:rPr>
        <w:t>מציאת</w:t>
      </w:r>
      <w:r w:rsidRPr="00F41E78">
        <w:rPr>
          <w:rFonts w:cs="FrankRuehl"/>
          <w:sz w:val="18"/>
          <w:szCs w:val="22"/>
          <w:rtl/>
        </w:rPr>
        <w:t xml:space="preserve"> </w:t>
      </w:r>
      <w:r w:rsidRPr="00F41E78">
        <w:rPr>
          <w:rFonts w:cs="FrankRuehl" w:hint="eastAsia"/>
          <w:sz w:val="18"/>
          <w:szCs w:val="22"/>
          <w:rtl/>
        </w:rPr>
        <w:t>פתרון</w:t>
      </w:r>
      <w:r w:rsidRPr="00F41E78">
        <w:rPr>
          <w:rFonts w:cs="FrankRuehl"/>
          <w:sz w:val="18"/>
          <w:szCs w:val="22"/>
          <w:rtl/>
        </w:rPr>
        <w:t xml:space="preserve"> </w:t>
      </w:r>
      <w:r w:rsidRPr="00F41E78">
        <w:rPr>
          <w:rFonts w:cs="FrankRuehl" w:hint="eastAsia"/>
          <w:sz w:val="18"/>
          <w:szCs w:val="22"/>
          <w:rtl/>
        </w:rPr>
        <w:t>דיור</w:t>
      </w:r>
      <w:r w:rsidRPr="00F41E78">
        <w:rPr>
          <w:rFonts w:cs="FrankRuehl"/>
          <w:sz w:val="18"/>
          <w:szCs w:val="22"/>
          <w:rtl/>
        </w:rPr>
        <w:t xml:space="preserve"> </w:t>
      </w:r>
      <w:r w:rsidRPr="00F41E78">
        <w:rPr>
          <w:rFonts w:cs="FrankRuehl" w:hint="eastAsia"/>
          <w:sz w:val="18"/>
          <w:szCs w:val="22"/>
          <w:rtl/>
        </w:rPr>
        <w:t>במחיר</w:t>
      </w:r>
      <w:r w:rsidRPr="00F41E78">
        <w:rPr>
          <w:rFonts w:cs="FrankRuehl"/>
          <w:sz w:val="18"/>
          <w:szCs w:val="22"/>
          <w:rtl/>
        </w:rPr>
        <w:t xml:space="preserve"> </w:t>
      </w:r>
      <w:r w:rsidRPr="00F41E78">
        <w:rPr>
          <w:rFonts w:cs="FrankRuehl" w:hint="eastAsia"/>
          <w:sz w:val="18"/>
          <w:szCs w:val="22"/>
          <w:rtl/>
        </w:rPr>
        <w:t>סביר</w:t>
      </w:r>
      <w:r w:rsidRPr="00F41E78">
        <w:rPr>
          <w:rFonts w:cs="FrankRuehl"/>
          <w:sz w:val="18"/>
          <w:szCs w:val="22"/>
          <w:rtl/>
        </w:rPr>
        <w:t xml:space="preserve"> </w:t>
      </w:r>
      <w:r w:rsidRPr="00F41E78">
        <w:rPr>
          <w:rFonts w:cs="FrankRuehl" w:hint="eastAsia"/>
          <w:sz w:val="18"/>
          <w:szCs w:val="22"/>
          <w:rtl/>
        </w:rPr>
        <w:t>לכלל</w:t>
      </w:r>
      <w:r w:rsidRPr="00F41E78">
        <w:rPr>
          <w:rFonts w:cs="FrankRuehl"/>
          <w:sz w:val="18"/>
          <w:szCs w:val="22"/>
          <w:rtl/>
        </w:rPr>
        <w:t xml:space="preserve"> </w:t>
      </w:r>
      <w:r w:rsidRPr="00F41E78">
        <w:rPr>
          <w:rFonts w:cs="FrankRuehl" w:hint="eastAsia"/>
          <w:sz w:val="18"/>
          <w:szCs w:val="22"/>
          <w:rtl/>
        </w:rPr>
        <w:t>האוכלוסייה</w:t>
      </w:r>
      <w:r w:rsidRPr="00F41E78">
        <w:rPr>
          <w:rFonts w:cs="FrankRuehl" w:hint="cs"/>
          <w:sz w:val="18"/>
          <w:szCs w:val="22"/>
          <w:rtl/>
        </w:rPr>
        <w:t>; המישור האחר הוא פעילות לתמיכה</w:t>
      </w:r>
      <w:r w:rsidRPr="00F41E78">
        <w:rPr>
          <w:rFonts w:cs="FrankRuehl"/>
          <w:sz w:val="18"/>
          <w:szCs w:val="22"/>
          <w:rtl/>
          <w:lang w:eastAsia="he-IL"/>
        </w:rPr>
        <w:t xml:space="preserve"> </w:t>
      </w:r>
      <w:r w:rsidRPr="00F41E78">
        <w:rPr>
          <w:rFonts w:cs="FrankRuehl" w:hint="cs"/>
          <w:sz w:val="18"/>
          <w:szCs w:val="22"/>
          <w:rtl/>
          <w:lang w:eastAsia="he-IL"/>
        </w:rPr>
        <w:t>בקבוצות אוכלוסייה</w:t>
      </w:r>
      <w:r w:rsidRPr="00F41E78">
        <w:rPr>
          <w:rFonts w:cs="FrankRuehl"/>
          <w:sz w:val="18"/>
          <w:szCs w:val="22"/>
          <w:rtl/>
          <w:lang w:eastAsia="he-IL"/>
        </w:rPr>
        <w:t xml:space="preserve"> </w:t>
      </w:r>
      <w:r w:rsidRPr="00F41E78">
        <w:rPr>
          <w:rFonts w:cs="FrankRuehl" w:hint="cs"/>
          <w:sz w:val="18"/>
          <w:szCs w:val="22"/>
          <w:rtl/>
          <w:lang w:eastAsia="he-IL"/>
        </w:rPr>
        <w:t>שהכנסותיהן נמוכות</w:t>
      </w:r>
      <w:r w:rsidRPr="00F41E78">
        <w:rPr>
          <w:rFonts w:cs="FrankRuehl"/>
          <w:sz w:val="18"/>
          <w:szCs w:val="22"/>
          <w:rtl/>
          <w:lang w:eastAsia="he-IL"/>
        </w:rPr>
        <w:t xml:space="preserve"> </w:t>
      </w:r>
      <w:r w:rsidRPr="00F41E78">
        <w:rPr>
          <w:rFonts w:cs="FrankRuehl" w:hint="cs"/>
          <w:sz w:val="18"/>
          <w:szCs w:val="22"/>
          <w:rtl/>
          <w:lang w:eastAsia="he-IL"/>
        </w:rPr>
        <w:t xml:space="preserve">יחסית, באמצעות סיוע כספי ומתן פתרונות במסגרת דיור ציבורי. </w:t>
      </w:r>
    </w:p>
    <w:p w:rsidR="00E97EDA" w:rsidRPr="00F41E78" w:rsidP="00F41E78">
      <w:pPr>
        <w:spacing w:after="120" w:line="230" w:lineRule="exact"/>
        <w:jc w:val="both"/>
        <w:rPr>
          <w:rFonts w:cs="FrankRuehl"/>
          <w:sz w:val="18"/>
          <w:szCs w:val="22"/>
          <w:rtl/>
          <w:lang w:eastAsia="he-IL"/>
        </w:rPr>
      </w:pPr>
      <w:r w:rsidRPr="00F41E78">
        <w:rPr>
          <w:rFonts w:cs="FrankRuehl" w:hint="eastAsia"/>
          <w:bCs/>
          <w:spacing w:val="40"/>
          <w:sz w:val="18"/>
          <w:szCs w:val="22"/>
          <w:rtl/>
        </w:rPr>
        <w:t>משרד</w:t>
      </w:r>
      <w:r w:rsidRPr="00F41E78">
        <w:rPr>
          <w:rFonts w:cs="FrankRuehl"/>
          <w:bCs/>
          <w:spacing w:val="40"/>
          <w:sz w:val="18"/>
          <w:szCs w:val="22"/>
          <w:rtl/>
        </w:rPr>
        <w:t xml:space="preserve"> </w:t>
      </w:r>
      <w:r w:rsidRPr="00F41E78">
        <w:rPr>
          <w:rFonts w:cs="FrankRuehl" w:hint="eastAsia"/>
          <w:bCs/>
          <w:spacing w:val="40"/>
          <w:sz w:val="18"/>
          <w:szCs w:val="22"/>
          <w:rtl/>
        </w:rPr>
        <w:t>הפנים</w:t>
      </w:r>
      <w:r w:rsidRPr="00F41E78">
        <w:rPr>
          <w:rFonts w:cs="FrankRuehl"/>
          <w:bCs/>
          <w:spacing w:val="40"/>
          <w:sz w:val="18"/>
          <w:szCs w:val="22"/>
          <w:rtl/>
        </w:rPr>
        <w:t>:</w:t>
      </w:r>
      <w:r w:rsidRPr="00F41E78">
        <w:rPr>
          <w:rFonts w:cs="FrankRuehl" w:hint="cs"/>
          <w:sz w:val="18"/>
          <w:szCs w:val="22"/>
          <w:rtl/>
          <w:lang w:eastAsia="he-IL"/>
        </w:rPr>
        <w:t xml:space="preserve"> המשרד אחראי לתחום התכנון ורישוי הבנייה וכן לפיקוח על השלטון המקומי והכוונתו. במשרד הפנים פועלים גופים מקצועיים שתפקידם לתמוך בתהליכי קבלת ההחלטות ולנהל את עבודת מוסדות התכנון (ראו להלן). מינהל התכנון הוא גוף המטה בדרג הארצי, ותפקידיו העיקריים הם גיבוש מדיניות תכנון לטווח הארוך במישור הארצי, ייזום תכניות מתאר ותפעול מוסדות התכנון המחוזיים והארציים</w:t>
      </w:r>
      <w:r>
        <w:rPr>
          <w:rFonts w:cs="FrankRuehl"/>
          <w:sz w:val="18"/>
          <w:szCs w:val="22"/>
          <w:vertAlign w:val="superscript"/>
          <w:rtl/>
          <w:lang w:eastAsia="he-IL"/>
        </w:rPr>
        <w:footnoteReference w:id="11"/>
      </w:r>
      <w:r w:rsidRPr="00F41E78">
        <w:rPr>
          <w:rFonts w:cs="FrankRuehl" w:hint="cs"/>
          <w:sz w:val="18"/>
          <w:szCs w:val="22"/>
          <w:rtl/>
          <w:lang w:eastAsia="he-IL"/>
        </w:rPr>
        <w:t xml:space="preserve">. בדרג המחוזי פועלת בכל מחוז של המשרד לשכת תכנון מחוזית שתפקידיה העיקריים הם גיבוש חוות דעת מקצועיות שיוצגו לוועדה המחוזית, ריכוז עבודת הוועדה המחוזית, ניהול הליכי התכנון ומעקב אחר התקדמותם על פי השלבים הקבועים בחוק. </w:t>
      </w:r>
    </w:p>
    <w:p w:rsidR="00E97EDA" w:rsidRPr="00F41E78" w:rsidP="00F41E78">
      <w:pPr>
        <w:spacing w:after="120" w:line="230" w:lineRule="exact"/>
        <w:jc w:val="both"/>
        <w:rPr>
          <w:rFonts w:cs="FrankRuehl"/>
          <w:sz w:val="18"/>
          <w:szCs w:val="22"/>
          <w:rtl/>
          <w:lang w:eastAsia="he-IL"/>
        </w:rPr>
      </w:pPr>
      <w:r w:rsidRPr="00F41E78">
        <w:rPr>
          <w:rFonts w:cs="FrankRuehl" w:hint="eastAsia"/>
          <w:bCs/>
          <w:spacing w:val="40"/>
          <w:sz w:val="18"/>
          <w:szCs w:val="22"/>
          <w:rtl/>
        </w:rPr>
        <w:t>משרד</w:t>
      </w:r>
      <w:r w:rsidRPr="00F41E78">
        <w:rPr>
          <w:rFonts w:cs="FrankRuehl"/>
          <w:bCs/>
          <w:spacing w:val="40"/>
          <w:sz w:val="18"/>
          <w:szCs w:val="22"/>
          <w:rtl/>
        </w:rPr>
        <w:t xml:space="preserve"> </w:t>
      </w:r>
      <w:r w:rsidRPr="00F41E78">
        <w:rPr>
          <w:rFonts w:cs="FrankRuehl" w:hint="eastAsia"/>
          <w:bCs/>
          <w:spacing w:val="40"/>
          <w:sz w:val="18"/>
          <w:szCs w:val="22"/>
          <w:rtl/>
        </w:rPr>
        <w:t>האוצר</w:t>
      </w:r>
      <w:r w:rsidRPr="00F41E78">
        <w:rPr>
          <w:rFonts w:cs="FrankRuehl"/>
          <w:bCs/>
          <w:spacing w:val="40"/>
          <w:sz w:val="18"/>
          <w:szCs w:val="22"/>
          <w:rtl/>
        </w:rPr>
        <w:t xml:space="preserve">: </w:t>
      </w:r>
      <w:r w:rsidRPr="00F41E78">
        <w:rPr>
          <w:rFonts w:cs="FrankRuehl" w:hint="cs"/>
          <w:sz w:val="18"/>
          <w:szCs w:val="22"/>
          <w:rtl/>
          <w:lang w:eastAsia="he-IL"/>
        </w:rPr>
        <w:t>המשרד אחראי בין היתר לקביעת המדיניות הכלכלית של ממשלת ישראל, לוויסות הפעילות הכלכלית והעסקית במשק, לקביעת תקציב המדינה השנתי ולהקצאתו למשרדי הממשלה השונים באמצעות</w:t>
      </w:r>
      <w:r w:rsidR="006C43FF">
        <w:rPr>
          <w:rFonts w:cs="FrankRuehl" w:hint="cs"/>
          <w:sz w:val="18"/>
          <w:szCs w:val="22"/>
          <w:rtl/>
          <w:lang w:eastAsia="he-IL"/>
        </w:rPr>
        <w:t xml:space="preserve"> </w:t>
      </w:r>
      <w:r w:rsidRPr="00582A43" w:rsidR="006C43FF">
        <w:rPr>
          <w:rFonts w:cs="FrankRuehl" w:hint="cs"/>
          <w:sz w:val="18"/>
          <w:szCs w:val="22"/>
          <w:rtl/>
          <w:lang w:eastAsia="he-IL"/>
        </w:rPr>
        <w:t>אגף התקציבים</w:t>
      </w:r>
      <w:r w:rsidRPr="00582A43">
        <w:rPr>
          <w:rFonts w:cs="FrankRuehl" w:hint="cs"/>
          <w:sz w:val="18"/>
          <w:szCs w:val="22"/>
          <w:rtl/>
          <w:lang w:eastAsia="he-IL"/>
        </w:rPr>
        <w:t xml:space="preserve"> (להלן - אג"ת).</w:t>
      </w:r>
      <w:r w:rsidRPr="00F41E78">
        <w:rPr>
          <w:rFonts w:cs="FrankRuehl" w:hint="cs"/>
          <w:sz w:val="18"/>
          <w:szCs w:val="22"/>
          <w:rtl/>
          <w:lang w:eastAsia="he-IL"/>
        </w:rPr>
        <w:t xml:space="preserve"> במהלך הכנת תקציב המדינה ולפני הגשתו לאישור הממשלה והכנסת, אג"ת מקיים דיונים עם משרדי הממשלה השונים בנושא סכום התקציב של כל אחד מהמשרדים ובוחן אם הפרויקטים שהמדינה משתתפת במימונם כדאיים וכיצד </w:t>
      </w:r>
      <w:r w:rsidRPr="00F41E78">
        <w:rPr>
          <w:rFonts w:cs="FrankRuehl" w:hint="cs"/>
          <w:sz w:val="18"/>
          <w:szCs w:val="22"/>
          <w:rtl/>
          <w:lang w:eastAsia="he-IL"/>
        </w:rPr>
        <w:t xml:space="preserve">הם עשויים להשפיע על המשק מהבחינה הכלכלית. לכן, למשרד האוצר השפעה ישירה וכבדת משקל על מדיניות הדיור בישראל. </w:t>
      </w:r>
    </w:p>
    <w:p w:rsidR="00E97EDA" w:rsidRPr="00F41E78" w:rsidP="00F41E78">
      <w:pPr>
        <w:spacing w:after="120" w:line="230" w:lineRule="exact"/>
        <w:jc w:val="both"/>
        <w:rPr>
          <w:rFonts w:cs="FrankRuehl"/>
          <w:sz w:val="18"/>
          <w:szCs w:val="22"/>
          <w:rtl/>
          <w:lang w:eastAsia="he-IL"/>
        </w:rPr>
      </w:pPr>
      <w:r w:rsidRPr="00F41E78">
        <w:rPr>
          <w:rFonts w:cs="FrankRuehl" w:hint="eastAsia"/>
          <w:bCs/>
          <w:spacing w:val="40"/>
          <w:sz w:val="18"/>
          <w:szCs w:val="22"/>
          <w:rtl/>
        </w:rPr>
        <w:t>משרד</w:t>
      </w:r>
      <w:r w:rsidRPr="00F41E78">
        <w:rPr>
          <w:rFonts w:cs="FrankRuehl"/>
          <w:bCs/>
          <w:spacing w:val="40"/>
          <w:sz w:val="18"/>
          <w:szCs w:val="22"/>
          <w:rtl/>
        </w:rPr>
        <w:t xml:space="preserve"> </w:t>
      </w:r>
      <w:r w:rsidRPr="00F41E78">
        <w:rPr>
          <w:rFonts w:cs="FrankRuehl" w:hint="eastAsia"/>
          <w:bCs/>
          <w:spacing w:val="40"/>
          <w:sz w:val="18"/>
          <w:szCs w:val="22"/>
          <w:rtl/>
        </w:rPr>
        <w:t>ראש</w:t>
      </w:r>
      <w:r w:rsidRPr="00F41E78">
        <w:rPr>
          <w:rFonts w:cs="FrankRuehl"/>
          <w:bCs/>
          <w:spacing w:val="40"/>
          <w:sz w:val="18"/>
          <w:szCs w:val="22"/>
          <w:rtl/>
        </w:rPr>
        <w:t xml:space="preserve"> </w:t>
      </w:r>
      <w:r w:rsidRPr="00F41E78">
        <w:rPr>
          <w:rFonts w:cs="FrankRuehl" w:hint="eastAsia"/>
          <w:bCs/>
          <w:spacing w:val="40"/>
          <w:sz w:val="18"/>
          <w:szCs w:val="22"/>
          <w:rtl/>
        </w:rPr>
        <w:t>הממשלה</w:t>
      </w:r>
      <w:r w:rsidRPr="00F41E78">
        <w:rPr>
          <w:rFonts w:cs="FrankRuehl"/>
          <w:bCs/>
          <w:spacing w:val="40"/>
          <w:sz w:val="18"/>
          <w:szCs w:val="22"/>
          <w:rtl/>
        </w:rPr>
        <w:t xml:space="preserve">: </w:t>
      </w:r>
      <w:r w:rsidRPr="00F41E78">
        <w:rPr>
          <w:rFonts w:cs="FrankRuehl" w:hint="cs"/>
          <w:sz w:val="18"/>
          <w:szCs w:val="22"/>
          <w:rtl/>
          <w:lang w:eastAsia="he-IL"/>
        </w:rPr>
        <w:t xml:space="preserve">המשרד הוא גוף מטה הפועל בתחומים מוגדרים על פי סמכותו, בעיקר בתחום ייזום וקידום של רפורמות רחבות היקף, של החלטות בעלות השפעה רוחבית ניכרת ושל פרויקטים ארוכי טווח המצריכים תיאום בין משרדי ממשלה רבים. במשרד ראש הממשלה פועלת ועדה להסרת חסמים בקידום פרויקטים לבנייה למגורים, לרבות בפרויקטים של דיור בר השגה. הוועדה הוקמה על פי החלטת ממשלה מיולי 2010 (החלטה מס' 1980) ובראשה עומד מנכ"ל משרד ראש הממשלה. בוועדה חברים גם מנכ"ל משרד הבינוי, מנהל רמ"י, </w:t>
      </w:r>
      <w:r w:rsidRPr="00F41E78">
        <w:rPr>
          <w:rFonts w:cs="FrankRuehl" w:hint="eastAsia"/>
          <w:sz w:val="18"/>
          <w:szCs w:val="22"/>
          <w:rtl/>
          <w:lang w:eastAsia="he-IL"/>
        </w:rPr>
        <w:t>הממונה</w:t>
      </w:r>
      <w:r w:rsidRPr="00F41E78">
        <w:rPr>
          <w:rFonts w:cs="FrankRuehl"/>
          <w:sz w:val="18"/>
          <w:szCs w:val="22"/>
          <w:rtl/>
          <w:lang w:eastAsia="he-IL"/>
        </w:rPr>
        <w:t xml:space="preserve"> </w:t>
      </w:r>
      <w:r w:rsidRPr="00F41E78">
        <w:rPr>
          <w:rFonts w:cs="FrankRuehl" w:hint="eastAsia"/>
          <w:sz w:val="18"/>
          <w:szCs w:val="22"/>
          <w:rtl/>
          <w:lang w:eastAsia="he-IL"/>
        </w:rPr>
        <w:t>על</w:t>
      </w:r>
      <w:r w:rsidRPr="00F41E78">
        <w:rPr>
          <w:rFonts w:cs="FrankRuehl"/>
          <w:sz w:val="18"/>
          <w:szCs w:val="22"/>
          <w:rtl/>
          <w:lang w:eastAsia="he-IL"/>
        </w:rPr>
        <w:t xml:space="preserve"> </w:t>
      </w:r>
      <w:r w:rsidRPr="00F41E78">
        <w:rPr>
          <w:rFonts w:cs="FrankRuehl" w:hint="eastAsia"/>
          <w:sz w:val="18"/>
          <w:szCs w:val="22"/>
          <w:rtl/>
          <w:lang w:eastAsia="he-IL"/>
        </w:rPr>
        <w:t>התקציבים</w:t>
      </w:r>
      <w:r w:rsidRPr="00F41E78">
        <w:rPr>
          <w:rFonts w:cs="FrankRuehl"/>
          <w:sz w:val="18"/>
          <w:szCs w:val="22"/>
          <w:rtl/>
          <w:lang w:eastAsia="he-IL"/>
        </w:rPr>
        <w:t xml:space="preserve"> </w:t>
      </w:r>
      <w:r w:rsidRPr="00F41E78">
        <w:rPr>
          <w:rFonts w:cs="FrankRuehl" w:hint="cs"/>
          <w:sz w:val="18"/>
          <w:szCs w:val="22"/>
          <w:rtl/>
        </w:rPr>
        <w:t>במשרד</w:t>
      </w:r>
      <w:r w:rsidRPr="00F41E78">
        <w:rPr>
          <w:rFonts w:cs="FrankRuehl"/>
          <w:sz w:val="18"/>
          <w:szCs w:val="22"/>
          <w:rtl/>
        </w:rPr>
        <w:t xml:space="preserve"> </w:t>
      </w:r>
      <w:r w:rsidRPr="00F41E78">
        <w:rPr>
          <w:rFonts w:cs="FrankRuehl" w:hint="cs"/>
          <w:sz w:val="18"/>
          <w:szCs w:val="22"/>
          <w:rtl/>
        </w:rPr>
        <w:t>האוצר</w:t>
      </w:r>
      <w:r w:rsidRPr="00F41E78">
        <w:rPr>
          <w:rFonts w:cs="FrankRuehl" w:hint="cs"/>
          <w:sz w:val="18"/>
          <w:szCs w:val="22"/>
          <w:rtl/>
          <w:lang w:eastAsia="he-IL"/>
        </w:rPr>
        <w:t xml:space="preserve"> ומנכ"ל משרד הפנים. כמו כן, במשרד פועל המטה הכלכלי-חברתי. תפקידיו המרכזיים הם ייזום וניהול של פרויקטים לאומיים שעל סדר יומה של הממשלה בכלל ושל ראש הממשלה בפרט, ריכוז עבודת מטה וקידום פרויקטים בין-משרדיים, הסרת חסמים והכרעה במחלוקות המעכבות את קידומה של מדיניות הממשלה</w:t>
      </w:r>
      <w:r>
        <w:rPr>
          <w:rFonts w:cs="FrankRuehl"/>
          <w:sz w:val="18"/>
          <w:szCs w:val="22"/>
          <w:vertAlign w:val="superscript"/>
          <w:rtl/>
          <w:lang w:eastAsia="he-IL"/>
        </w:rPr>
        <w:footnoteReference w:id="12"/>
      </w:r>
      <w:r w:rsidRPr="00F41E78">
        <w:rPr>
          <w:rFonts w:cs="FrankRuehl" w:hint="cs"/>
          <w:sz w:val="18"/>
          <w:szCs w:val="22"/>
          <w:rtl/>
          <w:lang w:eastAsia="he-IL"/>
        </w:rPr>
        <w:t>. בתכנית העבודה של משרד ראש הממשלה לשנת 2012 קבע לעצמו המשרד יעד והוא שכלול שוק הדיור באמצעות פיתוח כלי מדיניות בשוק הנדל"ן וקידום דיור בר השגה.</w:t>
      </w:r>
    </w:p>
    <w:p w:rsidR="00E97EDA" w:rsidRPr="00E719A9" w:rsidP="00F41E78">
      <w:pPr>
        <w:spacing w:after="120" w:line="230" w:lineRule="exact"/>
        <w:jc w:val="both"/>
        <w:rPr>
          <w:bCs/>
          <w:szCs w:val="26"/>
          <w:rtl/>
          <w:lang w:eastAsia="he-IL"/>
        </w:rPr>
      </w:pPr>
      <w:r w:rsidRPr="00F41E78">
        <w:rPr>
          <w:rFonts w:cs="FrankRuehl" w:hint="eastAsia"/>
          <w:bCs/>
          <w:spacing w:val="40"/>
          <w:sz w:val="18"/>
          <w:szCs w:val="22"/>
          <w:rtl/>
        </w:rPr>
        <w:t>משרד</w:t>
      </w:r>
      <w:r w:rsidRPr="00F41E78">
        <w:rPr>
          <w:rFonts w:cs="FrankRuehl"/>
          <w:bCs/>
          <w:spacing w:val="40"/>
          <w:sz w:val="18"/>
          <w:szCs w:val="22"/>
          <w:rtl/>
        </w:rPr>
        <w:t xml:space="preserve"> </w:t>
      </w:r>
      <w:r w:rsidRPr="00F41E78">
        <w:rPr>
          <w:rFonts w:cs="FrankRuehl" w:hint="eastAsia"/>
          <w:bCs/>
          <w:spacing w:val="40"/>
          <w:sz w:val="18"/>
          <w:szCs w:val="22"/>
          <w:rtl/>
        </w:rPr>
        <w:t>המשפטים</w:t>
      </w:r>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 xml:space="preserve">משרד המשפטים הוא משרד מטה האחראי למערכת המשפט בישראל, לענייני חקיקה שונים ולהסדרת פעילויות רבות בשוק העסקי והפרטי. היועץ המשפטי לממשלה קובע את הפירוש המחייב של הדין עבור גופים ממשלתיים שונים והנחייתו בסוגיות משפטיות מחייבת אותם. כמו כן, היועץ המשפטי לממשלה פועל מול משרדי הממשלה השונים, מספק להם הכוונה משפטית מקצועית וקובע עבורם את המדיניות המשפטית והחוקתית. </w:t>
      </w:r>
    </w:p>
    <w:p w:rsidR="00E97EDA" w:rsidRPr="00F41E78" w:rsidP="00F41E78">
      <w:pPr>
        <w:spacing w:after="120" w:line="230" w:lineRule="exact"/>
        <w:jc w:val="both"/>
        <w:rPr>
          <w:rFonts w:cs="FrankRuehl"/>
          <w:bCs/>
          <w:spacing w:val="40"/>
          <w:sz w:val="18"/>
          <w:szCs w:val="22"/>
          <w:rtl/>
        </w:rPr>
      </w:pPr>
    </w:p>
    <w:p w:rsidR="00E97EDA" w:rsidRPr="00E97EDA" w:rsidP="00EC0156">
      <w:pPr>
        <w:pStyle w:val="KOT5"/>
        <w:rPr>
          <w:rtl/>
        </w:rPr>
      </w:pPr>
      <w:bookmarkStart w:id="9" w:name="_Toc389492335"/>
      <w:r w:rsidRPr="00E97EDA">
        <w:rPr>
          <w:rFonts w:hint="cs"/>
          <w:rtl/>
        </w:rPr>
        <w:t>גופים</w:t>
      </w:r>
      <w:r w:rsidRPr="00E97EDA">
        <w:rPr>
          <w:rtl/>
        </w:rPr>
        <w:t xml:space="preserve"> </w:t>
      </w:r>
      <w:r w:rsidRPr="00E97EDA">
        <w:rPr>
          <w:rFonts w:hint="cs"/>
          <w:rtl/>
        </w:rPr>
        <w:t>סטטוטוריים</w:t>
      </w:r>
      <w:bookmarkEnd w:id="9"/>
    </w:p>
    <w:p w:rsidR="00E97EDA" w:rsidRPr="00582A43" w:rsidP="0015642F">
      <w:pPr>
        <w:spacing w:after="120" w:line="230" w:lineRule="exact"/>
        <w:jc w:val="both"/>
        <w:rPr>
          <w:rFonts w:cs="FrankRuehl"/>
          <w:sz w:val="18"/>
          <w:szCs w:val="22"/>
          <w:rtl/>
          <w:lang w:eastAsia="he-IL"/>
        </w:rPr>
      </w:pPr>
      <w:r w:rsidRPr="00582A43">
        <w:rPr>
          <w:rFonts w:cs="FrankRuehl" w:hint="eastAsia"/>
          <w:bCs/>
          <w:spacing w:val="40"/>
          <w:sz w:val="18"/>
          <w:szCs w:val="22"/>
          <w:rtl/>
        </w:rPr>
        <w:t>רשות</w:t>
      </w:r>
      <w:r w:rsidRPr="00582A43">
        <w:rPr>
          <w:rFonts w:cs="FrankRuehl"/>
          <w:bCs/>
          <w:spacing w:val="40"/>
          <w:sz w:val="18"/>
          <w:szCs w:val="22"/>
          <w:rtl/>
        </w:rPr>
        <w:t xml:space="preserve"> </w:t>
      </w:r>
      <w:r w:rsidRPr="00582A43">
        <w:rPr>
          <w:rFonts w:cs="FrankRuehl" w:hint="eastAsia"/>
          <w:bCs/>
          <w:spacing w:val="40"/>
          <w:sz w:val="18"/>
          <w:szCs w:val="22"/>
          <w:rtl/>
        </w:rPr>
        <w:t>מקרקעי</w:t>
      </w:r>
      <w:r w:rsidRPr="00582A43">
        <w:rPr>
          <w:rFonts w:cs="FrankRuehl"/>
          <w:bCs/>
          <w:spacing w:val="40"/>
          <w:sz w:val="18"/>
          <w:szCs w:val="22"/>
          <w:rtl/>
        </w:rPr>
        <w:t xml:space="preserve"> </w:t>
      </w:r>
      <w:r w:rsidRPr="00582A43">
        <w:rPr>
          <w:rFonts w:cs="FrankRuehl" w:hint="eastAsia"/>
          <w:bCs/>
          <w:spacing w:val="40"/>
          <w:sz w:val="18"/>
          <w:szCs w:val="22"/>
          <w:rtl/>
        </w:rPr>
        <w:t>ישראל</w:t>
      </w:r>
      <w:r w:rsidRPr="00582A43">
        <w:rPr>
          <w:rFonts w:cs="FrankRuehl"/>
          <w:bCs/>
          <w:spacing w:val="40"/>
          <w:sz w:val="18"/>
          <w:szCs w:val="22"/>
          <w:rtl/>
        </w:rPr>
        <w:t>:</w:t>
      </w:r>
      <w:r w:rsidRPr="00582A43">
        <w:rPr>
          <w:rFonts w:cs="FrankRuehl"/>
          <w:sz w:val="18"/>
          <w:szCs w:val="22"/>
          <w:rtl/>
          <w:lang w:eastAsia="he-IL"/>
        </w:rPr>
        <w:t xml:space="preserve"> </w:t>
      </w:r>
      <w:r w:rsidRPr="00582A43">
        <w:rPr>
          <w:rFonts w:cs="FrankRuehl" w:hint="cs"/>
          <w:sz w:val="18"/>
          <w:szCs w:val="22"/>
          <w:rtl/>
          <w:lang w:eastAsia="he-IL"/>
        </w:rPr>
        <w:t xml:space="preserve">על פי חוק </w:t>
      </w:r>
      <w:r w:rsidRPr="00582A43" w:rsidR="0015642F">
        <w:rPr>
          <w:rFonts w:cs="FrankRuehl" w:hint="cs"/>
          <w:sz w:val="18"/>
          <w:szCs w:val="22"/>
          <w:rtl/>
          <w:lang w:eastAsia="he-IL"/>
        </w:rPr>
        <w:t>רשות</w:t>
      </w:r>
      <w:r w:rsidRPr="00582A43">
        <w:rPr>
          <w:rFonts w:cs="FrankRuehl" w:hint="cs"/>
          <w:sz w:val="18"/>
          <w:szCs w:val="22"/>
          <w:rtl/>
          <w:lang w:eastAsia="he-IL"/>
        </w:rPr>
        <w:t xml:space="preserve"> מקרקעי ישראל, התש"ך-1960, רמ"י היא הגוף המנהל את </w:t>
      </w:r>
      <w:r w:rsidRPr="00582A43">
        <w:rPr>
          <w:rFonts w:cs="FrankRuehl" w:hint="eastAsia"/>
          <w:sz w:val="18"/>
          <w:szCs w:val="22"/>
          <w:rtl/>
          <w:lang w:eastAsia="he-IL"/>
        </w:rPr>
        <w:t>מקרקעי</w:t>
      </w:r>
      <w:r w:rsidRPr="00582A43">
        <w:rPr>
          <w:rFonts w:cs="FrankRuehl"/>
          <w:sz w:val="18"/>
          <w:szCs w:val="22"/>
          <w:rtl/>
          <w:lang w:eastAsia="he-IL"/>
        </w:rPr>
        <w:t xml:space="preserve"> </w:t>
      </w:r>
      <w:r w:rsidRPr="00582A43">
        <w:rPr>
          <w:rFonts w:cs="FrankRuehl" w:hint="eastAsia"/>
          <w:sz w:val="18"/>
          <w:szCs w:val="22"/>
          <w:rtl/>
          <w:lang w:eastAsia="he-IL"/>
        </w:rPr>
        <w:t>ישראל</w:t>
      </w:r>
      <w:r>
        <w:rPr>
          <w:rFonts w:cs="FrankRuehl"/>
          <w:sz w:val="18"/>
          <w:szCs w:val="22"/>
          <w:vertAlign w:val="superscript"/>
          <w:rtl/>
          <w:lang w:eastAsia="he-IL"/>
        </w:rPr>
        <w:footnoteReference w:id="13"/>
      </w:r>
      <w:r w:rsidRPr="00582A43">
        <w:rPr>
          <w:rFonts w:cs="FrankRuehl" w:hint="cs"/>
          <w:sz w:val="18"/>
          <w:szCs w:val="22"/>
          <w:rtl/>
          <w:lang w:eastAsia="he-IL"/>
        </w:rPr>
        <w:t xml:space="preserve"> ששטחם הוא כ-93% משטח המדינה. במסגרת אחריותה למשאב הקרקעי של מדינת ישראל, רמ"י מופקדת על תחומים אלו: ניהול מלאי המקרקעין שבאחריות </w:t>
      </w:r>
      <w:r w:rsidRPr="00582A43" w:rsidR="00681388">
        <w:rPr>
          <w:rFonts w:cs="FrankRuehl" w:hint="cs"/>
          <w:sz w:val="18"/>
          <w:szCs w:val="22"/>
          <w:rtl/>
          <w:lang w:eastAsia="he-IL"/>
        </w:rPr>
        <w:t>רמ"י</w:t>
      </w:r>
      <w:r w:rsidRPr="00582A43">
        <w:rPr>
          <w:rFonts w:cs="FrankRuehl" w:hint="cs"/>
          <w:sz w:val="18"/>
          <w:szCs w:val="22"/>
          <w:rtl/>
          <w:lang w:eastAsia="he-IL"/>
        </w:rPr>
        <w:t>, יצירת עתודות לקרקע בבעלות ציבורית למטרות לאומיות ושיווק קרקעות והקצאתן ליעדים שונים על פי מדיניות שקובעת מועצת מקרקעי ישראל, שבראשה עומד שר הבינוי. כמו כן, רמ"י יוזמת תכנון קרקע לבנייה</w:t>
      </w:r>
      <w:r w:rsidRPr="00582A43">
        <w:rPr>
          <w:rFonts w:cs="FrankRuehl"/>
          <w:sz w:val="18"/>
          <w:szCs w:val="22"/>
          <w:rtl/>
          <w:lang w:eastAsia="he-IL"/>
        </w:rPr>
        <w:t xml:space="preserve"> למגורים</w:t>
      </w:r>
      <w:r w:rsidRPr="00582A43">
        <w:rPr>
          <w:rFonts w:cs="FrankRuehl" w:hint="cs"/>
          <w:sz w:val="18"/>
          <w:szCs w:val="22"/>
          <w:rtl/>
          <w:lang w:eastAsia="he-IL"/>
        </w:rPr>
        <w:t xml:space="preserve">, </w:t>
      </w:r>
      <w:r w:rsidRPr="00582A43">
        <w:rPr>
          <w:rFonts w:cs="FrankRuehl"/>
          <w:sz w:val="18"/>
          <w:szCs w:val="22"/>
          <w:rtl/>
          <w:lang w:eastAsia="he-IL"/>
        </w:rPr>
        <w:t>באמצעות חברות מנהלות וחברות מתכננות</w:t>
      </w:r>
      <w:r w:rsidRPr="00582A43">
        <w:rPr>
          <w:rFonts w:cs="FrankRuehl" w:hint="cs"/>
          <w:sz w:val="18"/>
          <w:szCs w:val="22"/>
          <w:rtl/>
          <w:lang w:eastAsia="he-IL"/>
        </w:rPr>
        <w:t xml:space="preserve">. </w:t>
      </w:r>
    </w:p>
    <w:p w:rsidR="00E97EDA" w:rsidRPr="00F41E78" w:rsidP="00F41E78">
      <w:pPr>
        <w:spacing w:after="120" w:line="230" w:lineRule="exact"/>
        <w:jc w:val="both"/>
        <w:rPr>
          <w:rFonts w:cs="FrankRuehl"/>
          <w:sz w:val="18"/>
          <w:szCs w:val="22"/>
          <w:lang w:eastAsia="he-IL"/>
        </w:rPr>
      </w:pPr>
      <w:r w:rsidRPr="00F41E78">
        <w:rPr>
          <w:rFonts w:cs="FrankRuehl" w:hint="eastAsia"/>
          <w:bCs/>
          <w:spacing w:val="40"/>
          <w:sz w:val="18"/>
          <w:szCs w:val="22"/>
          <w:rtl/>
        </w:rPr>
        <w:t>מוסדות</w:t>
      </w:r>
      <w:r w:rsidRPr="00F41E78">
        <w:rPr>
          <w:rFonts w:cs="FrankRuehl"/>
          <w:bCs/>
          <w:spacing w:val="40"/>
          <w:sz w:val="18"/>
          <w:szCs w:val="22"/>
          <w:rtl/>
        </w:rPr>
        <w:t xml:space="preserve"> </w:t>
      </w:r>
      <w:r w:rsidRPr="00F41E78">
        <w:rPr>
          <w:rFonts w:cs="FrankRuehl" w:hint="eastAsia"/>
          <w:bCs/>
          <w:spacing w:val="40"/>
          <w:sz w:val="18"/>
          <w:szCs w:val="22"/>
          <w:rtl/>
        </w:rPr>
        <w:t>התכנון</w:t>
      </w:r>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 xml:space="preserve">חוק התכנון והבניה, התשכ"ה-1965 (להלן </w:t>
      </w:r>
      <w:r w:rsidRPr="00F41E78">
        <w:rPr>
          <w:rFonts w:cs="FrankRuehl"/>
          <w:sz w:val="18"/>
          <w:szCs w:val="22"/>
          <w:rtl/>
          <w:lang w:eastAsia="he-IL"/>
        </w:rPr>
        <w:t>-</w:t>
      </w:r>
      <w:r w:rsidRPr="00F41E78">
        <w:rPr>
          <w:rFonts w:cs="FrankRuehl" w:hint="cs"/>
          <w:sz w:val="18"/>
          <w:szCs w:val="22"/>
          <w:rtl/>
          <w:lang w:eastAsia="he-IL"/>
        </w:rPr>
        <w:t xml:space="preserve"> חוק התכנון והבנייה), קובע מדרג של מוסדות תכנון ומסמיך אותם לקבל החלטות בנוגע לתכנון המרחבי של המדינה. בראש המדרג עומדים מוסדות התכנון הארציים, בעיקר המועצה הארצית לתכנון ולבנייה (להלן - המועצה הארצית) המוסמכת לדון בתכניות מתאר ארציות (לקראת הכרעת הממשלה בעניינן) ולהחליט בנוגע לתכניות מתאר מחוזיות. הנדבך הבא כולל את שש הוועדות המחוזיות לתכנון ולבנייה (להלן - הוועדות המחוזיות) המוסמכות להחליט בעניינן של תכניות מתאר מקומיות ותכניות מפורטות. הנדבך השלישי כולל כ-125 ועדות מקומיות לתכנון ולבנייה (להלן - הוועדות המקומיות) שבסמכותן לאשר חלק מהתכניות המפורטות וכן להעביר המלצות והסתייגויות לוועדות המחוזיות בנוגע לאישור תכניות מתאר החלות בתחום שיפוטן. בידי הוועדות המקומיות מצויה הסמכות להוציא היתרי בנייה בתחום שיפוטן. הוועדות המקומיות פועלות ברובן במסגרת הרשויות המקומיות והרכבן שווה להרכבה של מועצת הרשות המקומית</w:t>
      </w:r>
      <w:r>
        <w:rPr>
          <w:rFonts w:cs="FrankRuehl"/>
          <w:sz w:val="18"/>
          <w:szCs w:val="22"/>
          <w:vertAlign w:val="superscript"/>
          <w:rtl/>
          <w:lang w:eastAsia="he-IL"/>
        </w:rPr>
        <w:footnoteReference w:id="14"/>
      </w:r>
      <w:r w:rsidRPr="00F41E78">
        <w:rPr>
          <w:rFonts w:cs="FrankRuehl" w:hint="cs"/>
          <w:sz w:val="18"/>
          <w:szCs w:val="22"/>
          <w:rtl/>
          <w:lang w:eastAsia="he-IL"/>
        </w:rPr>
        <w:t>.</w:t>
      </w:r>
    </w:p>
    <w:p w:rsidR="00E97EDA" w:rsidRPr="00E719A9" w:rsidP="007147BC">
      <w:pPr>
        <w:pStyle w:val="KOT5"/>
        <w:rPr>
          <w:rtl/>
          <w:lang w:eastAsia="he-IL"/>
        </w:rPr>
      </w:pPr>
      <w:r w:rsidRPr="00E719A9">
        <w:rPr>
          <w:rFonts w:hint="cs"/>
          <w:rtl/>
          <w:lang w:eastAsia="he-IL"/>
        </w:rPr>
        <w:t>השלטון המקומי</w:t>
      </w:r>
    </w:p>
    <w:p w:rsidR="00E97EDA" w:rsidRPr="00F41E78" w:rsidP="00F41E78">
      <w:pPr>
        <w:spacing w:after="120" w:line="230" w:lineRule="exact"/>
        <w:jc w:val="both"/>
        <w:rPr>
          <w:rFonts w:cs="FrankRuehl"/>
          <w:sz w:val="18"/>
          <w:szCs w:val="22"/>
          <w:lang w:eastAsia="he-IL"/>
        </w:rPr>
      </w:pPr>
      <w:r w:rsidRPr="00F41E78">
        <w:rPr>
          <w:rFonts w:cs="FrankRuehl" w:hint="cs"/>
          <w:sz w:val="18"/>
          <w:szCs w:val="22"/>
          <w:rtl/>
          <w:lang w:eastAsia="he-IL"/>
        </w:rPr>
        <w:t>לרשויות המקומיות ישנה השפעה ניכרת על שוק הדיור, בעיקר על הליכי תכנון של תכניות מפורטות המקודמות בתחומן ועל תהליכי מימושן. כמו כן, הן נושאות באחריות לביצוע עבודות הפיתוח של תשתיות מוניציפליות שבניית שכונות מגורים מותנית בקיומן, ומוסמכות לקבל החלטות בנוגע לתהליכי רישוי בנייה.</w:t>
      </w:r>
    </w:p>
    <w:p w:rsidR="007147BC" w:rsidRPr="00F41E78" w:rsidP="00F41E78">
      <w:pPr>
        <w:spacing w:after="120" w:line="230" w:lineRule="exact"/>
        <w:jc w:val="both"/>
        <w:rPr>
          <w:rFonts w:cs="FrankRuehl"/>
          <w:sz w:val="18"/>
          <w:szCs w:val="22"/>
          <w:lang w:eastAsia="he-IL"/>
        </w:rPr>
      </w:pPr>
    </w:p>
    <w:p w:rsidR="007147BC" w:rsidRPr="00F41E78" w:rsidP="00F41E78">
      <w:pPr>
        <w:spacing w:after="120" w:line="230" w:lineRule="exact"/>
        <w:jc w:val="both"/>
        <w:rPr>
          <w:rFonts w:cs="FrankRuehl"/>
          <w:sz w:val="18"/>
          <w:szCs w:val="22"/>
          <w:rtl/>
          <w:lang w:eastAsia="he-IL"/>
        </w:rPr>
      </w:pPr>
    </w:p>
    <w:p w:rsidR="00E97EDA" w:rsidRPr="00E719A9" w:rsidP="007147BC">
      <w:pPr>
        <w:pStyle w:val="KOT4"/>
        <w:rPr>
          <w:rtl/>
          <w:lang w:eastAsia="he-IL"/>
        </w:rPr>
      </w:pPr>
      <w:bookmarkStart w:id="10" w:name="_Toc389492336"/>
      <w:r w:rsidRPr="00E719A9">
        <w:rPr>
          <w:rFonts w:hint="cs"/>
          <w:rtl/>
          <w:lang w:eastAsia="he-IL"/>
        </w:rPr>
        <w:t>מסד נורמטיבי</w:t>
      </w:r>
      <w:bookmarkEnd w:id="10"/>
    </w:p>
    <w:p w:rsidR="00E97EDA" w:rsidRPr="00E719A9" w:rsidP="007147BC">
      <w:pPr>
        <w:pStyle w:val="KOT5"/>
        <w:rPr>
          <w:u w:val="single"/>
          <w:rtl/>
          <w:lang w:eastAsia="he-IL"/>
        </w:rPr>
      </w:pPr>
      <w:bookmarkStart w:id="11" w:name="_Toc389492337"/>
      <w:r w:rsidRPr="00E719A9">
        <w:rPr>
          <w:rFonts w:hint="cs"/>
          <w:rtl/>
          <w:lang w:eastAsia="he-IL"/>
        </w:rPr>
        <w:t>הזכות לדיור - המסד החוקי בישראל</w:t>
      </w:r>
      <w:bookmarkEnd w:id="11"/>
      <w:r w:rsidRPr="00E719A9">
        <w:rPr>
          <w:rFonts w:hint="cs"/>
          <w:rtl/>
          <w:lang w:eastAsia="he-IL"/>
        </w:rPr>
        <w:t xml:space="preserve"> </w:t>
      </w:r>
    </w:p>
    <w:p w:rsidR="00E97EDA" w:rsidRPr="00F41E78" w:rsidP="00F41E78">
      <w:pPr>
        <w:spacing w:after="120" w:line="230" w:lineRule="exact"/>
        <w:jc w:val="both"/>
        <w:rPr>
          <w:rFonts w:cs="FrankRuehl"/>
          <w:sz w:val="18"/>
          <w:szCs w:val="22"/>
          <w:rtl/>
          <w:lang w:eastAsia="he-IL"/>
        </w:rPr>
      </w:pPr>
      <w:r w:rsidRPr="00F41E78">
        <w:rPr>
          <w:rFonts w:cs="FrankRuehl" w:hint="eastAsia"/>
          <w:sz w:val="18"/>
          <w:szCs w:val="22"/>
          <w:rtl/>
          <w:lang w:eastAsia="he-IL"/>
        </w:rPr>
        <w:t>ה</w:t>
      </w:r>
      <w:r w:rsidRPr="00F41E78">
        <w:rPr>
          <w:rFonts w:cs="FrankRuehl"/>
          <w:sz w:val="18"/>
          <w:szCs w:val="22"/>
          <w:rtl/>
          <w:lang w:eastAsia="he-IL"/>
        </w:rPr>
        <w:t>זכות לדיור נאות מוכרת כאחת מזכויות האדם במשפט הבין-לאומי ומעוגנת בהצהרות של ארגון האומות המאוחדות</w:t>
      </w:r>
      <w:r>
        <w:rPr>
          <w:rFonts w:cs="FrankRuehl"/>
          <w:sz w:val="18"/>
          <w:szCs w:val="22"/>
          <w:vertAlign w:val="superscript"/>
          <w:rtl/>
          <w:lang w:eastAsia="he-IL"/>
        </w:rPr>
        <w:footnoteReference w:id="15"/>
      </w:r>
      <w:r w:rsidRPr="00F41E78">
        <w:rPr>
          <w:rFonts w:cs="FrankRuehl"/>
          <w:sz w:val="18"/>
          <w:szCs w:val="22"/>
          <w:rtl/>
          <w:lang w:eastAsia="he-IL"/>
        </w:rPr>
        <w:t xml:space="preserve"> </w:t>
      </w:r>
      <w:r w:rsidRPr="00F41E78">
        <w:rPr>
          <w:rFonts w:cs="FrankRuehl"/>
          <w:sz w:val="18"/>
          <w:szCs w:val="22"/>
          <w:rtl/>
        </w:rPr>
        <w:t>וב</w:t>
      </w:r>
      <w:r w:rsidRPr="00F41E78">
        <w:rPr>
          <w:rFonts w:cs="FrankRuehl" w:hint="cs"/>
          <w:sz w:val="18"/>
          <w:szCs w:val="22"/>
          <w:rtl/>
        </w:rPr>
        <w:t>אמנה</w:t>
      </w:r>
      <w:r w:rsidRPr="00F41E78">
        <w:rPr>
          <w:rFonts w:cs="FrankRuehl"/>
          <w:sz w:val="18"/>
          <w:szCs w:val="22"/>
          <w:rtl/>
        </w:rPr>
        <w:t xml:space="preserve"> </w:t>
      </w:r>
      <w:r w:rsidRPr="00F41E78">
        <w:rPr>
          <w:rFonts w:cs="FrankRuehl" w:hint="cs"/>
          <w:sz w:val="18"/>
          <w:szCs w:val="22"/>
          <w:rtl/>
        </w:rPr>
        <w:t>הבין</w:t>
      </w:r>
      <w:r w:rsidRPr="00F41E78">
        <w:rPr>
          <w:rFonts w:cs="FrankRuehl"/>
          <w:sz w:val="18"/>
          <w:szCs w:val="22"/>
          <w:rtl/>
        </w:rPr>
        <w:t xml:space="preserve">-לאומית </w:t>
      </w:r>
      <w:r w:rsidRPr="00F41E78">
        <w:rPr>
          <w:rFonts w:cs="FrankRuehl" w:hint="cs"/>
          <w:sz w:val="18"/>
          <w:szCs w:val="22"/>
          <w:rtl/>
        </w:rPr>
        <w:t>בדבר</w:t>
      </w:r>
      <w:r w:rsidRPr="00F41E78">
        <w:rPr>
          <w:rFonts w:cs="FrankRuehl"/>
          <w:sz w:val="18"/>
          <w:szCs w:val="22"/>
          <w:rtl/>
        </w:rPr>
        <w:t xml:space="preserve"> </w:t>
      </w:r>
      <w:r w:rsidRPr="00F41E78">
        <w:rPr>
          <w:rFonts w:cs="FrankRuehl" w:hint="cs"/>
          <w:sz w:val="18"/>
          <w:szCs w:val="22"/>
          <w:rtl/>
        </w:rPr>
        <w:t>זכויות</w:t>
      </w:r>
      <w:r w:rsidRPr="00F41E78">
        <w:rPr>
          <w:rFonts w:cs="FrankRuehl"/>
          <w:sz w:val="18"/>
          <w:szCs w:val="22"/>
          <w:rtl/>
        </w:rPr>
        <w:t xml:space="preserve"> </w:t>
      </w:r>
      <w:r w:rsidRPr="00F41E78">
        <w:rPr>
          <w:rFonts w:cs="FrankRuehl" w:hint="cs"/>
          <w:sz w:val="18"/>
          <w:szCs w:val="22"/>
          <w:rtl/>
        </w:rPr>
        <w:t>האדם</w:t>
      </w:r>
      <w:r w:rsidRPr="00F41E78">
        <w:rPr>
          <w:rFonts w:cs="FrankRuehl"/>
          <w:sz w:val="18"/>
          <w:szCs w:val="22"/>
          <w:rtl/>
        </w:rPr>
        <w:t xml:space="preserve"> </w:t>
      </w:r>
      <w:r w:rsidRPr="00F41E78">
        <w:rPr>
          <w:rFonts w:cs="FrankRuehl" w:hint="cs"/>
          <w:sz w:val="18"/>
          <w:szCs w:val="22"/>
          <w:rtl/>
        </w:rPr>
        <w:t>מהבחינה</w:t>
      </w:r>
      <w:r w:rsidRPr="00F41E78">
        <w:rPr>
          <w:rFonts w:cs="FrankRuehl"/>
          <w:sz w:val="18"/>
          <w:szCs w:val="22"/>
          <w:rtl/>
        </w:rPr>
        <w:t xml:space="preserve"> </w:t>
      </w:r>
      <w:r w:rsidRPr="00F41E78">
        <w:rPr>
          <w:rFonts w:cs="FrankRuehl" w:hint="cs"/>
          <w:sz w:val="18"/>
          <w:szCs w:val="22"/>
          <w:rtl/>
        </w:rPr>
        <w:t>הכלכלית</w:t>
      </w:r>
      <w:r w:rsidRPr="00F41E78">
        <w:rPr>
          <w:rFonts w:cs="FrankRuehl"/>
          <w:sz w:val="18"/>
          <w:szCs w:val="22"/>
          <w:rtl/>
        </w:rPr>
        <w:t xml:space="preserve">, </w:t>
      </w:r>
      <w:r w:rsidRPr="00F41E78">
        <w:rPr>
          <w:rFonts w:cs="FrankRuehl" w:hint="cs"/>
          <w:sz w:val="18"/>
          <w:szCs w:val="22"/>
          <w:rtl/>
        </w:rPr>
        <w:t>החברתית</w:t>
      </w:r>
      <w:r w:rsidRPr="00F41E78">
        <w:rPr>
          <w:rFonts w:cs="FrankRuehl"/>
          <w:sz w:val="18"/>
          <w:szCs w:val="22"/>
          <w:rtl/>
        </w:rPr>
        <w:t xml:space="preserve"> </w:t>
      </w:r>
      <w:r w:rsidRPr="00F41E78">
        <w:rPr>
          <w:rFonts w:cs="FrankRuehl" w:hint="cs"/>
          <w:sz w:val="18"/>
          <w:szCs w:val="22"/>
          <w:rtl/>
        </w:rPr>
        <w:t>והתרבותית</w:t>
      </w:r>
      <w:r>
        <w:rPr>
          <w:rFonts w:cs="FrankRuehl"/>
          <w:sz w:val="18"/>
          <w:szCs w:val="22"/>
          <w:vertAlign w:val="superscript"/>
          <w:rtl/>
        </w:rPr>
        <w:footnoteReference w:id="16"/>
      </w:r>
      <w:r w:rsidRPr="00F41E78">
        <w:rPr>
          <w:rFonts w:cs="FrankRuehl"/>
          <w:sz w:val="18"/>
          <w:szCs w:val="22"/>
          <w:rtl/>
        </w:rPr>
        <w:t>.</w:t>
      </w:r>
      <w:r w:rsidRPr="00F41E78">
        <w:rPr>
          <w:rFonts w:cs="FrankRuehl" w:hint="cs"/>
          <w:sz w:val="18"/>
          <w:szCs w:val="22"/>
          <w:rtl/>
          <w:lang w:eastAsia="he-IL"/>
        </w:rPr>
        <w:t xml:space="preserve"> </w:t>
      </w:r>
    </w:p>
    <w:p w:rsidR="00E97EDA" w:rsidRPr="00F41E78" w:rsidP="004256B4">
      <w:pPr>
        <w:spacing w:after="240" w:line="230" w:lineRule="exact"/>
        <w:jc w:val="both"/>
        <w:rPr>
          <w:rFonts w:cs="FrankRuehl"/>
          <w:sz w:val="18"/>
          <w:szCs w:val="22"/>
          <w:rtl/>
          <w:lang w:eastAsia="he-IL"/>
        </w:rPr>
      </w:pPr>
      <w:r w:rsidRPr="00F41E78">
        <w:rPr>
          <w:rFonts w:cs="FrankRuehl"/>
          <w:sz w:val="18"/>
          <w:szCs w:val="22"/>
          <w:rtl/>
          <w:lang w:eastAsia="he-IL"/>
        </w:rPr>
        <w:t xml:space="preserve">כמו רוב מדינות העולם, </w:t>
      </w:r>
      <w:r w:rsidRPr="00F41E78">
        <w:rPr>
          <w:rFonts w:cs="FrankRuehl" w:hint="eastAsia"/>
          <w:sz w:val="18"/>
          <w:szCs w:val="22"/>
          <w:rtl/>
          <w:lang w:eastAsia="he-IL"/>
        </w:rPr>
        <w:t>גם</w:t>
      </w:r>
      <w:r w:rsidRPr="00F41E78">
        <w:rPr>
          <w:rFonts w:cs="FrankRuehl"/>
          <w:sz w:val="18"/>
          <w:szCs w:val="22"/>
          <w:rtl/>
          <w:lang w:eastAsia="he-IL"/>
        </w:rPr>
        <w:t xml:space="preserve"> </w:t>
      </w:r>
      <w:r w:rsidRPr="00F41E78">
        <w:rPr>
          <w:rFonts w:cs="FrankRuehl" w:hint="eastAsia"/>
          <w:sz w:val="18"/>
          <w:szCs w:val="22"/>
          <w:rtl/>
          <w:lang w:eastAsia="he-IL"/>
        </w:rPr>
        <w:t>מדינת</w:t>
      </w:r>
      <w:r w:rsidRPr="00F41E78">
        <w:rPr>
          <w:rFonts w:cs="FrankRuehl"/>
          <w:sz w:val="18"/>
          <w:szCs w:val="22"/>
          <w:rtl/>
          <w:lang w:eastAsia="he-IL"/>
        </w:rPr>
        <w:t xml:space="preserve"> ישראל חתומה כאמור על אמנה בין-לאומית בנושא שמירה על זכויות </w:t>
      </w:r>
      <w:r w:rsidRPr="00F41E78">
        <w:rPr>
          <w:rFonts w:cs="FrankRuehl" w:hint="cs"/>
          <w:sz w:val="18"/>
          <w:szCs w:val="22"/>
          <w:rtl/>
          <w:lang w:eastAsia="he-IL"/>
        </w:rPr>
        <w:t>ה</w:t>
      </w:r>
      <w:r w:rsidRPr="00F41E78">
        <w:rPr>
          <w:rFonts w:cs="FrankRuehl" w:hint="eastAsia"/>
          <w:sz w:val="18"/>
          <w:szCs w:val="22"/>
          <w:rtl/>
          <w:lang w:eastAsia="he-IL"/>
        </w:rPr>
        <w:t>אדם</w:t>
      </w:r>
      <w:r w:rsidRPr="00F41E78">
        <w:rPr>
          <w:rFonts w:cs="FrankRuehl"/>
          <w:sz w:val="18"/>
          <w:szCs w:val="22"/>
          <w:rtl/>
          <w:lang w:eastAsia="he-IL"/>
        </w:rPr>
        <w:t xml:space="preserve"> ובזאת היא מחויבת לכבד את הזכות לדיור נאות.</w:t>
      </w:r>
      <w:r w:rsidRPr="00F41E78">
        <w:rPr>
          <w:rFonts w:cs="FrankRuehl" w:hint="cs"/>
          <w:sz w:val="18"/>
          <w:szCs w:val="22"/>
          <w:rtl/>
          <w:lang w:eastAsia="he-IL"/>
        </w:rPr>
        <w:t xml:space="preserve"> </w:t>
      </w:r>
      <w:r w:rsidRPr="00F41E78">
        <w:rPr>
          <w:rFonts w:cs="FrankRuehl" w:hint="eastAsia"/>
          <w:sz w:val="18"/>
          <w:szCs w:val="22"/>
          <w:rtl/>
          <w:lang w:eastAsia="he-IL"/>
        </w:rPr>
        <w:t>יודגש</w:t>
      </w:r>
      <w:r w:rsidRPr="00F41E78">
        <w:rPr>
          <w:rFonts w:cs="FrankRuehl"/>
          <w:sz w:val="18"/>
          <w:szCs w:val="22"/>
          <w:rtl/>
          <w:lang w:eastAsia="he-IL"/>
        </w:rPr>
        <w:t xml:space="preserve"> כי הזכות לדיור נאות מקבלת משנה תוקף מכוח </w:t>
      </w:r>
      <w:r w:rsidRPr="00F41E78">
        <w:rPr>
          <w:rFonts w:cs="FrankRuehl" w:hint="eastAsia"/>
          <w:sz w:val="18"/>
          <w:szCs w:val="22"/>
          <w:rtl/>
          <w:lang w:eastAsia="he-IL"/>
        </w:rPr>
        <w:t>שליטת</w:t>
      </w:r>
      <w:r w:rsidRPr="00F41E78">
        <w:rPr>
          <w:rFonts w:cs="FrankRuehl" w:hint="cs"/>
          <w:sz w:val="18"/>
          <w:szCs w:val="22"/>
          <w:rtl/>
          <w:lang w:eastAsia="he-IL"/>
        </w:rPr>
        <w:t>ה של</w:t>
      </w:r>
      <w:r w:rsidRPr="00F41E78">
        <w:rPr>
          <w:rFonts w:cs="FrankRuehl"/>
          <w:sz w:val="18"/>
          <w:szCs w:val="22"/>
          <w:rtl/>
          <w:lang w:eastAsia="he-IL"/>
        </w:rPr>
        <w:t xml:space="preserve"> המדינה</w:t>
      </w:r>
      <w:r w:rsidRPr="00F41E78">
        <w:rPr>
          <w:rFonts w:cs="FrankRuehl" w:hint="cs"/>
          <w:sz w:val="18"/>
          <w:szCs w:val="22"/>
          <w:rtl/>
          <w:lang w:eastAsia="he-IL"/>
        </w:rPr>
        <w:t>,</w:t>
      </w:r>
      <w:r w:rsidRPr="00F41E78">
        <w:rPr>
          <w:rFonts w:cs="FrankRuehl"/>
          <w:sz w:val="18"/>
          <w:szCs w:val="22"/>
          <w:rtl/>
          <w:lang w:eastAsia="he-IL"/>
        </w:rPr>
        <w:t xml:space="preserve"> כמעט באופן מוחלט</w:t>
      </w:r>
      <w:r w:rsidRPr="00F41E78">
        <w:rPr>
          <w:rFonts w:cs="FrankRuehl" w:hint="cs"/>
          <w:sz w:val="18"/>
          <w:szCs w:val="22"/>
          <w:rtl/>
          <w:lang w:eastAsia="he-IL"/>
        </w:rPr>
        <w:t>,</w:t>
      </w:r>
      <w:r w:rsidRPr="00F41E78">
        <w:rPr>
          <w:rFonts w:cs="FrankRuehl"/>
          <w:sz w:val="18"/>
          <w:szCs w:val="22"/>
          <w:rtl/>
          <w:lang w:eastAsia="he-IL"/>
        </w:rPr>
        <w:t xml:space="preserve"> על </w:t>
      </w:r>
      <w:r w:rsidRPr="00F41E78">
        <w:rPr>
          <w:rFonts w:cs="FrankRuehl" w:hint="eastAsia"/>
          <w:sz w:val="18"/>
          <w:szCs w:val="22"/>
          <w:rtl/>
          <w:lang w:eastAsia="he-IL"/>
        </w:rPr>
        <w:t>שטחי</w:t>
      </w:r>
      <w:r w:rsidRPr="00F41E78">
        <w:rPr>
          <w:rFonts w:cs="FrankRuehl"/>
          <w:sz w:val="18"/>
          <w:szCs w:val="22"/>
          <w:rtl/>
          <w:lang w:eastAsia="he-IL"/>
        </w:rPr>
        <w:t xml:space="preserve"> </w:t>
      </w:r>
      <w:r w:rsidRPr="00F41E78">
        <w:rPr>
          <w:rFonts w:cs="FrankRuehl" w:hint="eastAsia"/>
          <w:sz w:val="18"/>
          <w:szCs w:val="22"/>
          <w:rtl/>
          <w:lang w:eastAsia="he-IL"/>
        </w:rPr>
        <w:t>מקרקעי</w:t>
      </w:r>
      <w:r w:rsidRPr="00F41E78">
        <w:rPr>
          <w:rFonts w:cs="FrankRuehl"/>
          <w:sz w:val="18"/>
          <w:szCs w:val="22"/>
          <w:rtl/>
          <w:lang w:eastAsia="he-IL"/>
        </w:rPr>
        <w:t xml:space="preserve"> ישראל (93%)</w:t>
      </w:r>
      <w:r w:rsidRPr="00F41E78">
        <w:rPr>
          <w:rFonts w:cs="FrankRuehl" w:hint="cs"/>
          <w:sz w:val="18"/>
          <w:szCs w:val="22"/>
          <w:rtl/>
          <w:lang w:eastAsia="he-IL"/>
        </w:rPr>
        <w:t xml:space="preserve">. </w:t>
      </w:r>
    </w:p>
    <w:p w:rsidR="00D22B16" w:rsidRPr="00F41E78" w:rsidP="00D22B16">
      <w:pPr>
        <w:pStyle w:val="RESHET"/>
        <w:keepLines/>
      </w:pPr>
      <w:r w:rsidRPr="00F41E78">
        <w:rPr>
          <w:rFonts w:hint="cs"/>
          <w:rtl/>
        </w:rPr>
        <w:t>אחת הדרכים לממש את הזכות לדיור נאות היא פתרונות דיור בר השגה - דיור ההולם את מכלול צרכיו של הפרט, כך שהוצאותיו עבור דיור לא יפגעו ביכולתו לספק לעצמו צרכים חיוניים אחרים. בישראל, שלא כמו ברוב מדינות המערב המפותחות, לא הונח מסד חוקי המסדיר את הזכות לדיור נאות ובכלל זה את נושא דיור בר ההשגה; לרבות ההגדרה של המונח, של קהל היעד ושל הכלים שבאמצעותם יש ליישם את הפתרונות וכן קביעת מנגנוני שליטה ו</w:t>
      </w:r>
      <w:r w:rsidRPr="00F41E78">
        <w:rPr>
          <w:rFonts w:hint="eastAsia"/>
          <w:rtl/>
        </w:rPr>
        <w:t>פיקוח</w:t>
      </w:r>
      <w:r w:rsidRPr="00F41E78">
        <w:rPr>
          <w:rtl/>
        </w:rPr>
        <w:t xml:space="preserve"> </w:t>
      </w:r>
      <w:r w:rsidRPr="00F41E78">
        <w:rPr>
          <w:rFonts w:hint="cs"/>
          <w:rtl/>
        </w:rPr>
        <w:t xml:space="preserve">על יישומם. </w:t>
      </w:r>
    </w:p>
    <w:p w:rsidR="007147BC" w:rsidRPr="00F41E78" w:rsidP="00F41E78">
      <w:pPr>
        <w:spacing w:after="120" w:line="230" w:lineRule="exact"/>
        <w:jc w:val="both"/>
        <w:rPr>
          <w:rFonts w:cs="FrankRuehl"/>
          <w:b/>
          <w:bCs/>
          <w:sz w:val="18"/>
          <w:szCs w:val="22"/>
          <w:lang w:eastAsia="he-IL"/>
        </w:rPr>
      </w:pPr>
    </w:p>
    <w:p w:rsidR="00E97EDA" w:rsidRPr="00E719A9" w:rsidP="007147BC">
      <w:pPr>
        <w:pStyle w:val="KOT5"/>
        <w:rPr>
          <w:rtl/>
          <w:lang w:eastAsia="he-IL"/>
        </w:rPr>
      </w:pPr>
      <w:r w:rsidRPr="00E719A9">
        <w:rPr>
          <w:rFonts w:hint="cs"/>
          <w:rtl/>
          <w:lang w:eastAsia="he-IL"/>
        </w:rPr>
        <w:t xml:space="preserve">הליכי התכנון ותהליכי רישוי הבנייה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הליכי התכנון ותהליכי רישוי הבנייה מוסדרים בדברי חקיקה שונים, ובעיקר בחוק התכנון והבנייה ובתקנות שהותקנו מכוחו. החוק קובע כאמור מדרג של מוסדות תכנון ובהתאם לכך מדרג של תכניות. מדרג התכניות אינו רק מרחבי אלא הוא גם מבטא יחסי כפיפות בין התכניות; </w:t>
      </w:r>
      <w:r w:rsidRPr="00F41E78">
        <w:rPr>
          <w:rFonts w:cs="FrankRuehl" w:hint="eastAsia"/>
          <w:sz w:val="18"/>
          <w:szCs w:val="22"/>
          <w:rtl/>
          <w:lang w:eastAsia="he-IL"/>
        </w:rPr>
        <w:t>כוחן</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תכניות</w:t>
      </w:r>
      <w:r w:rsidRPr="00F41E78">
        <w:rPr>
          <w:rFonts w:cs="FrankRuehl"/>
          <w:sz w:val="18"/>
          <w:szCs w:val="22"/>
          <w:rtl/>
          <w:lang w:eastAsia="he-IL"/>
        </w:rPr>
        <w:t xml:space="preserve"> </w:t>
      </w:r>
      <w:r w:rsidRPr="00F41E78">
        <w:rPr>
          <w:rFonts w:cs="FrankRuehl" w:hint="eastAsia"/>
          <w:sz w:val="18"/>
          <w:szCs w:val="22"/>
          <w:rtl/>
          <w:lang w:eastAsia="he-IL"/>
        </w:rPr>
        <w:t>מתאר</w:t>
      </w:r>
      <w:r w:rsidRPr="00F41E78">
        <w:rPr>
          <w:rFonts w:cs="FrankRuehl"/>
          <w:sz w:val="18"/>
          <w:szCs w:val="22"/>
          <w:rtl/>
          <w:lang w:eastAsia="he-IL"/>
        </w:rPr>
        <w:t xml:space="preserve"> </w:t>
      </w:r>
      <w:r w:rsidRPr="00F41E78">
        <w:rPr>
          <w:rFonts w:cs="FrankRuehl" w:hint="eastAsia"/>
          <w:sz w:val="18"/>
          <w:szCs w:val="22"/>
          <w:rtl/>
          <w:lang w:eastAsia="he-IL"/>
        </w:rPr>
        <w:t>ארציות</w:t>
      </w:r>
      <w:r w:rsidRPr="00F41E78">
        <w:rPr>
          <w:rFonts w:cs="FrankRuehl"/>
          <w:sz w:val="18"/>
          <w:szCs w:val="22"/>
          <w:rtl/>
          <w:lang w:eastAsia="he-IL"/>
        </w:rPr>
        <w:t xml:space="preserve"> </w:t>
      </w:r>
      <w:r w:rsidRPr="00F41E78">
        <w:rPr>
          <w:rFonts w:cs="FrankRuehl" w:hint="eastAsia"/>
          <w:sz w:val="18"/>
          <w:szCs w:val="22"/>
          <w:rtl/>
          <w:lang w:eastAsia="he-IL"/>
        </w:rPr>
        <w:t>יפה</w:t>
      </w:r>
      <w:r w:rsidRPr="00F41E78">
        <w:rPr>
          <w:rFonts w:cs="FrankRuehl"/>
          <w:sz w:val="18"/>
          <w:szCs w:val="22"/>
          <w:rtl/>
          <w:lang w:eastAsia="he-IL"/>
        </w:rPr>
        <w:t xml:space="preserve"> </w:t>
      </w:r>
      <w:r w:rsidRPr="00F41E78">
        <w:rPr>
          <w:rFonts w:cs="FrankRuehl" w:hint="eastAsia"/>
          <w:sz w:val="18"/>
          <w:szCs w:val="22"/>
          <w:rtl/>
          <w:lang w:eastAsia="he-IL"/>
        </w:rPr>
        <w:t>מכוחה</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כל</w:t>
      </w:r>
      <w:r w:rsidRPr="00F41E78">
        <w:rPr>
          <w:rFonts w:cs="FrankRuehl"/>
          <w:sz w:val="18"/>
          <w:szCs w:val="22"/>
          <w:rtl/>
          <w:lang w:eastAsia="he-IL"/>
        </w:rPr>
        <w:t xml:space="preserve"> </w:t>
      </w:r>
      <w:r w:rsidRPr="00F41E78">
        <w:rPr>
          <w:rFonts w:cs="FrankRuehl" w:hint="eastAsia"/>
          <w:sz w:val="18"/>
          <w:szCs w:val="22"/>
          <w:rtl/>
          <w:lang w:eastAsia="he-IL"/>
        </w:rPr>
        <w:t>תכנית</w:t>
      </w:r>
      <w:r w:rsidRPr="00F41E78">
        <w:rPr>
          <w:rFonts w:cs="FrankRuehl"/>
          <w:sz w:val="18"/>
          <w:szCs w:val="22"/>
          <w:rtl/>
          <w:lang w:eastAsia="he-IL"/>
        </w:rPr>
        <w:t xml:space="preserve"> </w:t>
      </w:r>
      <w:r w:rsidRPr="00F41E78">
        <w:rPr>
          <w:rFonts w:cs="FrankRuehl" w:hint="eastAsia"/>
          <w:sz w:val="18"/>
          <w:szCs w:val="22"/>
          <w:rtl/>
          <w:lang w:eastAsia="he-IL"/>
        </w:rPr>
        <w:t>אחרת</w:t>
      </w:r>
      <w:r w:rsidRPr="00F41E78">
        <w:rPr>
          <w:rFonts w:cs="FrankRuehl"/>
          <w:sz w:val="18"/>
          <w:szCs w:val="22"/>
          <w:rtl/>
          <w:lang w:eastAsia="he-IL"/>
        </w:rPr>
        <w:t xml:space="preserve">, </w:t>
      </w:r>
      <w:r w:rsidRPr="00F41E78">
        <w:rPr>
          <w:rFonts w:cs="FrankRuehl" w:hint="eastAsia"/>
          <w:sz w:val="18"/>
          <w:szCs w:val="22"/>
          <w:rtl/>
          <w:lang w:eastAsia="he-IL"/>
        </w:rPr>
        <w:t>תכנית</w:t>
      </w:r>
      <w:r w:rsidRPr="00F41E78">
        <w:rPr>
          <w:rFonts w:cs="FrankRuehl"/>
          <w:sz w:val="18"/>
          <w:szCs w:val="22"/>
          <w:rtl/>
          <w:lang w:eastAsia="he-IL"/>
        </w:rPr>
        <w:t xml:space="preserve"> מתאר מחוזית </w:t>
      </w:r>
      <w:r w:rsidRPr="00F41E78">
        <w:rPr>
          <w:rFonts w:cs="FrankRuehl" w:hint="eastAsia"/>
          <w:sz w:val="18"/>
          <w:szCs w:val="22"/>
          <w:rtl/>
          <w:lang w:eastAsia="he-IL"/>
        </w:rPr>
        <w:t>כוחה</w:t>
      </w:r>
      <w:r w:rsidRPr="00F41E78">
        <w:rPr>
          <w:rFonts w:cs="FrankRuehl"/>
          <w:sz w:val="18"/>
          <w:szCs w:val="22"/>
          <w:rtl/>
          <w:lang w:eastAsia="he-IL"/>
        </w:rPr>
        <w:t xml:space="preserve"> </w:t>
      </w:r>
      <w:r w:rsidRPr="00F41E78">
        <w:rPr>
          <w:rFonts w:cs="FrankRuehl" w:hint="eastAsia"/>
          <w:sz w:val="18"/>
          <w:szCs w:val="22"/>
          <w:rtl/>
          <w:lang w:eastAsia="he-IL"/>
        </w:rPr>
        <w:t>יפה</w:t>
      </w:r>
      <w:r w:rsidRPr="00F41E78">
        <w:rPr>
          <w:rFonts w:cs="FrankRuehl"/>
          <w:sz w:val="18"/>
          <w:szCs w:val="22"/>
          <w:rtl/>
          <w:lang w:eastAsia="he-IL"/>
        </w:rPr>
        <w:t xml:space="preserve"> </w:t>
      </w:r>
      <w:r w:rsidRPr="00F41E78">
        <w:rPr>
          <w:rFonts w:cs="FrankRuehl" w:hint="eastAsia"/>
          <w:sz w:val="18"/>
          <w:szCs w:val="22"/>
          <w:rtl/>
          <w:lang w:eastAsia="he-IL"/>
        </w:rPr>
        <w:t>מכוחה</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תכנית</w:t>
      </w:r>
      <w:r w:rsidRPr="00F41E78">
        <w:rPr>
          <w:rFonts w:cs="FrankRuehl"/>
          <w:sz w:val="18"/>
          <w:szCs w:val="22"/>
          <w:rtl/>
          <w:lang w:eastAsia="he-IL"/>
        </w:rPr>
        <w:t xml:space="preserve"> </w:t>
      </w:r>
      <w:r w:rsidRPr="00F41E78">
        <w:rPr>
          <w:rFonts w:cs="FrankRuehl" w:hint="eastAsia"/>
          <w:sz w:val="18"/>
          <w:szCs w:val="22"/>
          <w:rtl/>
          <w:lang w:eastAsia="he-IL"/>
        </w:rPr>
        <w:t>מתאר</w:t>
      </w:r>
      <w:r w:rsidRPr="00F41E78">
        <w:rPr>
          <w:rFonts w:cs="FrankRuehl"/>
          <w:sz w:val="18"/>
          <w:szCs w:val="22"/>
          <w:rtl/>
          <w:lang w:eastAsia="he-IL"/>
        </w:rPr>
        <w:t xml:space="preserve"> </w:t>
      </w:r>
      <w:r w:rsidRPr="00F41E78">
        <w:rPr>
          <w:rFonts w:cs="FrankRuehl" w:hint="eastAsia"/>
          <w:sz w:val="18"/>
          <w:szCs w:val="22"/>
          <w:rtl/>
          <w:lang w:eastAsia="he-IL"/>
        </w:rPr>
        <w:t>מקומית</w:t>
      </w:r>
      <w:r w:rsidRPr="00F41E78">
        <w:rPr>
          <w:rFonts w:cs="FrankRuehl"/>
          <w:sz w:val="18"/>
          <w:szCs w:val="22"/>
          <w:rtl/>
          <w:lang w:eastAsia="he-IL"/>
        </w:rPr>
        <w:t xml:space="preserve"> </w:t>
      </w:r>
      <w:r w:rsidRPr="00F41E78">
        <w:rPr>
          <w:rFonts w:cs="FrankRuehl" w:hint="eastAsia"/>
          <w:sz w:val="18"/>
          <w:szCs w:val="22"/>
          <w:rtl/>
          <w:lang w:eastAsia="he-IL"/>
        </w:rPr>
        <w:t>ושל</w:t>
      </w:r>
      <w:r w:rsidRPr="00F41E78">
        <w:rPr>
          <w:rFonts w:cs="FrankRuehl"/>
          <w:sz w:val="18"/>
          <w:szCs w:val="22"/>
          <w:rtl/>
          <w:lang w:eastAsia="he-IL"/>
        </w:rPr>
        <w:t xml:space="preserve"> </w:t>
      </w:r>
      <w:r w:rsidRPr="00F41E78">
        <w:rPr>
          <w:rFonts w:cs="FrankRuehl" w:hint="eastAsia"/>
          <w:sz w:val="18"/>
          <w:szCs w:val="22"/>
          <w:rtl/>
          <w:lang w:eastAsia="he-IL"/>
        </w:rPr>
        <w:t>תכנית</w:t>
      </w:r>
      <w:r w:rsidRPr="00F41E78">
        <w:rPr>
          <w:rFonts w:cs="FrankRuehl"/>
          <w:sz w:val="18"/>
          <w:szCs w:val="22"/>
          <w:rtl/>
          <w:lang w:eastAsia="he-IL"/>
        </w:rPr>
        <w:t xml:space="preserve"> </w:t>
      </w:r>
      <w:r w:rsidRPr="00F41E78">
        <w:rPr>
          <w:rFonts w:cs="FrankRuehl" w:hint="eastAsia"/>
          <w:sz w:val="18"/>
          <w:szCs w:val="22"/>
          <w:rtl/>
          <w:lang w:eastAsia="he-IL"/>
        </w:rPr>
        <w:t>מפורטת</w:t>
      </w:r>
      <w:r w:rsidRPr="00F41E78">
        <w:rPr>
          <w:rFonts w:cs="FrankRuehl"/>
          <w:sz w:val="18"/>
          <w:szCs w:val="22"/>
          <w:rtl/>
          <w:lang w:eastAsia="he-IL"/>
        </w:rPr>
        <w:t xml:space="preserve"> </w:t>
      </w:r>
      <w:r w:rsidRPr="00F41E78">
        <w:rPr>
          <w:rFonts w:cs="FrankRuehl" w:hint="eastAsia"/>
          <w:sz w:val="18"/>
          <w:szCs w:val="22"/>
          <w:rtl/>
          <w:lang w:eastAsia="he-IL"/>
        </w:rPr>
        <w:t>ותכנית</w:t>
      </w:r>
      <w:r w:rsidRPr="00F41E78">
        <w:rPr>
          <w:rFonts w:cs="FrankRuehl"/>
          <w:sz w:val="18"/>
          <w:szCs w:val="22"/>
          <w:rtl/>
          <w:lang w:eastAsia="he-IL"/>
        </w:rPr>
        <w:t xml:space="preserve"> </w:t>
      </w:r>
      <w:r w:rsidRPr="00F41E78">
        <w:rPr>
          <w:rFonts w:cs="FrankRuehl" w:hint="eastAsia"/>
          <w:sz w:val="18"/>
          <w:szCs w:val="22"/>
          <w:rtl/>
          <w:lang w:eastAsia="he-IL"/>
        </w:rPr>
        <w:t>מתאר</w:t>
      </w:r>
      <w:r w:rsidRPr="00F41E78">
        <w:rPr>
          <w:rFonts w:cs="FrankRuehl"/>
          <w:sz w:val="18"/>
          <w:szCs w:val="22"/>
          <w:rtl/>
          <w:lang w:eastAsia="he-IL"/>
        </w:rPr>
        <w:t xml:space="preserve"> </w:t>
      </w:r>
      <w:r w:rsidRPr="00F41E78">
        <w:rPr>
          <w:rFonts w:cs="FrankRuehl" w:hint="eastAsia"/>
          <w:sz w:val="18"/>
          <w:szCs w:val="22"/>
          <w:rtl/>
          <w:lang w:eastAsia="he-IL"/>
        </w:rPr>
        <w:t>מקומית</w:t>
      </w:r>
      <w:r w:rsidRPr="00F41E78">
        <w:rPr>
          <w:rFonts w:cs="FrankRuehl"/>
          <w:sz w:val="18"/>
          <w:szCs w:val="22"/>
          <w:rtl/>
          <w:lang w:eastAsia="he-IL"/>
        </w:rPr>
        <w:t xml:space="preserve"> </w:t>
      </w:r>
      <w:r w:rsidRPr="00F41E78">
        <w:rPr>
          <w:rFonts w:cs="FrankRuehl" w:hint="eastAsia"/>
          <w:sz w:val="18"/>
          <w:szCs w:val="22"/>
          <w:rtl/>
          <w:lang w:eastAsia="he-IL"/>
        </w:rPr>
        <w:t>כוחה</w:t>
      </w:r>
      <w:r w:rsidRPr="00F41E78">
        <w:rPr>
          <w:rFonts w:cs="FrankRuehl"/>
          <w:sz w:val="18"/>
          <w:szCs w:val="22"/>
          <w:rtl/>
          <w:lang w:eastAsia="he-IL"/>
        </w:rPr>
        <w:t xml:space="preserve"> </w:t>
      </w:r>
      <w:r w:rsidRPr="00F41E78">
        <w:rPr>
          <w:rFonts w:cs="FrankRuehl" w:hint="eastAsia"/>
          <w:sz w:val="18"/>
          <w:szCs w:val="22"/>
          <w:rtl/>
          <w:lang w:eastAsia="he-IL"/>
        </w:rPr>
        <w:t>יפה</w:t>
      </w:r>
      <w:r w:rsidRPr="00F41E78">
        <w:rPr>
          <w:rFonts w:cs="FrankRuehl"/>
          <w:sz w:val="18"/>
          <w:szCs w:val="22"/>
          <w:rtl/>
          <w:lang w:eastAsia="he-IL"/>
        </w:rPr>
        <w:t xml:space="preserve"> </w:t>
      </w:r>
      <w:r w:rsidRPr="00F41E78">
        <w:rPr>
          <w:rFonts w:cs="FrankRuehl" w:hint="eastAsia"/>
          <w:sz w:val="18"/>
          <w:szCs w:val="22"/>
          <w:rtl/>
          <w:lang w:eastAsia="he-IL"/>
        </w:rPr>
        <w:t>מכוחה</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תכנית</w:t>
      </w:r>
      <w:r w:rsidRPr="00F41E78">
        <w:rPr>
          <w:rFonts w:cs="FrankRuehl"/>
          <w:sz w:val="18"/>
          <w:szCs w:val="22"/>
          <w:rtl/>
          <w:lang w:eastAsia="he-IL"/>
        </w:rPr>
        <w:t xml:space="preserve"> </w:t>
      </w:r>
      <w:r w:rsidRPr="00F41E78">
        <w:rPr>
          <w:rFonts w:cs="FrankRuehl" w:hint="eastAsia"/>
          <w:sz w:val="18"/>
          <w:szCs w:val="22"/>
          <w:rtl/>
          <w:lang w:eastAsia="he-IL"/>
        </w:rPr>
        <w:t>מפורטת</w:t>
      </w:r>
      <w:r w:rsidRPr="00F41E78">
        <w:rPr>
          <w:rFonts w:cs="FrankRuehl"/>
          <w:sz w:val="18"/>
          <w:szCs w:val="22"/>
          <w:rtl/>
          <w:lang w:eastAsia="he-IL"/>
        </w:rPr>
        <w:t>.</w:t>
      </w:r>
      <w:r w:rsidRPr="00F41E78">
        <w:rPr>
          <w:rFonts w:cs="FrankRuehl" w:hint="cs"/>
          <w:sz w:val="18"/>
          <w:szCs w:val="22"/>
          <w:rtl/>
          <w:lang w:eastAsia="he-IL"/>
        </w:rPr>
        <w:t xml:space="preserve"> בחוק נקבע כי כל בנייה טעונה היתר בנייה ועל ההיתרים להתאים להוראות שנקבעו בתכניות. </w:t>
      </w:r>
    </w:p>
    <w:p w:rsidR="00E97EDA" w:rsidRPr="00F41E78" w:rsidP="00F41E78">
      <w:pPr>
        <w:tabs>
          <w:tab w:val="num" w:pos="12"/>
        </w:tabs>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בשנים 2005-1991 הייתה בתוקף תכנית מתאר ארצית משולבת לבנייה, לפיתוח ולקליטת עלייה (להלן - תמ"א 31). בשנת 2005 אישרה הממשלה "תכנית מתאר ארצית משולבת לבנייה, לפיתוח ולשימור" (להלן - תמ"א 35). מטרת תמ"א 35 הייתה להגדיר את עקרונות התכנון הפיזי, הפיתוח </w:t>
      </w:r>
      <w:r w:rsidRPr="00F41E78">
        <w:rPr>
          <w:rFonts w:cs="FrankRuehl" w:hint="cs"/>
          <w:sz w:val="18"/>
          <w:szCs w:val="22"/>
          <w:rtl/>
          <w:lang w:eastAsia="he-IL"/>
        </w:rPr>
        <w:t>והבינוי באזורי המדינה השונים עד 2020 (להלן - שנת היעד). על פי תמ"א 35, מוסדות התכנון הם האחראים להבטחת התמהיל הרצוי של יחידות דיור שיתאים לכל פלחי האוכלוסייה, ועליהם לגעת בזאת בבואם לאשר תכניות בנייה למגורים.</w:t>
      </w:r>
    </w:p>
    <w:p w:rsidR="00E97EDA" w:rsidRPr="00F41E78" w:rsidP="00F41E78">
      <w:pPr>
        <w:tabs>
          <w:tab w:val="num" w:pos="12"/>
        </w:tabs>
        <w:spacing w:after="120" w:line="230" w:lineRule="exact"/>
        <w:ind w:left="12"/>
        <w:jc w:val="both"/>
        <w:rPr>
          <w:rFonts w:cs="FrankRuehl"/>
          <w:sz w:val="18"/>
          <w:szCs w:val="22"/>
          <w:rtl/>
          <w:lang w:eastAsia="he-IL"/>
        </w:rPr>
      </w:pPr>
    </w:p>
    <w:p w:rsidR="00E97EDA" w:rsidRPr="00E719A9" w:rsidP="007147BC">
      <w:pPr>
        <w:pStyle w:val="KOT6"/>
        <w:rPr>
          <w:rtl/>
          <w:lang w:eastAsia="he-IL"/>
        </w:rPr>
      </w:pPr>
      <w:bookmarkStart w:id="12" w:name="_Toc389492339"/>
      <w:r w:rsidRPr="00E719A9">
        <w:rPr>
          <w:rFonts w:hint="cs"/>
          <w:rtl/>
          <w:lang w:eastAsia="he-IL"/>
        </w:rPr>
        <w:t xml:space="preserve">הוראת שעה להאצת הבנייה </w:t>
      </w:r>
      <w:bookmarkEnd w:id="12"/>
    </w:p>
    <w:p w:rsidR="00E97EDA" w:rsidRPr="00B57076" w:rsidP="00F41E78">
      <w:pPr>
        <w:spacing w:after="120" w:line="230" w:lineRule="exact"/>
        <w:jc w:val="both"/>
        <w:rPr>
          <w:rFonts w:cs="FrankRuehl"/>
          <w:sz w:val="22"/>
          <w:szCs w:val="22"/>
          <w:lang w:eastAsia="he-IL"/>
        </w:rPr>
      </w:pPr>
      <w:r w:rsidRPr="00F41E78">
        <w:rPr>
          <w:rFonts w:cs="FrankRuehl" w:hint="cs"/>
          <w:sz w:val="18"/>
          <w:szCs w:val="22"/>
          <w:rtl/>
          <w:lang w:eastAsia="he-IL"/>
        </w:rPr>
        <w:t>באוגוסט 2011 אישרה הכנסת את חוק הליכי תכנון ובנייה להאצת הבנייה למגורים (הוראת שעה), התשע"א-2011 (להלן - חוק הווד"לים). בדצמבר 2013 הכנסת תיקנה את החוק והאריכה את תוקפו ב-18 חודשים. על פי הוראות החוק הוקמו ועדות משנה לדיור לאומי בדרג הארצי והמחוזי</w:t>
      </w:r>
      <w:r>
        <w:rPr>
          <w:rFonts w:ascii="David"/>
          <w:sz w:val="23"/>
          <w:szCs w:val="23"/>
          <w:vertAlign w:val="superscript"/>
          <w:rtl/>
        </w:rPr>
        <w:footnoteReference w:id="17"/>
      </w:r>
      <w:r w:rsidRPr="00E719A9">
        <w:rPr>
          <w:rFonts w:hint="cs"/>
          <w:rtl/>
          <w:lang w:eastAsia="he-IL"/>
        </w:rPr>
        <w:t xml:space="preserve"> </w:t>
      </w:r>
      <w:r w:rsidRPr="00B57076">
        <w:rPr>
          <w:rFonts w:cs="FrankRuehl" w:hint="cs"/>
          <w:sz w:val="22"/>
          <w:szCs w:val="22"/>
          <w:rtl/>
          <w:lang w:eastAsia="he-IL"/>
        </w:rPr>
        <w:t>(להלן - הווד"לים) המוסמכות לדון בתכניות דיור לאומיות שהכינו והגישו גופים שלטוניים ולאשרן או לדחותן.</w:t>
      </w:r>
    </w:p>
    <w:p w:rsidR="00E97EDA" w:rsidRPr="00F41E78" w:rsidP="00F41E78">
      <w:pPr>
        <w:spacing w:after="120" w:line="230" w:lineRule="exact"/>
        <w:jc w:val="both"/>
        <w:rPr>
          <w:rFonts w:cs="FrankRuehl"/>
          <w:sz w:val="18"/>
          <w:szCs w:val="22"/>
          <w:lang w:eastAsia="he-IL"/>
        </w:rPr>
      </w:pPr>
      <w:r w:rsidRPr="00F41E78">
        <w:rPr>
          <w:rFonts w:cs="FrankRuehl" w:hint="cs"/>
          <w:sz w:val="18"/>
          <w:szCs w:val="22"/>
          <w:rtl/>
        </w:rPr>
        <w:t xml:space="preserve">חוק הווד"לים עוסק גם בתחום דיור בר השגה וקובע כי </w:t>
      </w:r>
      <w:r w:rsidRPr="00F41E78">
        <w:rPr>
          <w:rFonts w:cs="FrankRuehl" w:hint="cs"/>
          <w:sz w:val="18"/>
          <w:szCs w:val="22"/>
          <w:rtl/>
          <w:lang w:eastAsia="he-IL"/>
        </w:rPr>
        <w:t>תכנית דיור לאומית תכלול גם הוראות שעניינן תכנון דירות קטנות</w:t>
      </w:r>
      <w:r w:rsidRPr="00F41E78">
        <w:rPr>
          <w:rFonts w:cs="FrankRuehl"/>
          <w:sz w:val="18"/>
          <w:szCs w:val="22"/>
          <w:rtl/>
          <w:lang w:eastAsia="he-IL"/>
        </w:rPr>
        <w:t xml:space="preserve"> </w:t>
      </w:r>
      <w:r w:rsidRPr="00F41E78">
        <w:rPr>
          <w:rFonts w:cs="FrankRuehl" w:hint="cs"/>
          <w:sz w:val="18"/>
          <w:szCs w:val="22"/>
          <w:rtl/>
          <w:lang w:eastAsia="he-IL"/>
        </w:rPr>
        <w:t>ו</w:t>
      </w:r>
      <w:r w:rsidRPr="00F41E78">
        <w:rPr>
          <w:rFonts w:cs="FrankRuehl"/>
          <w:sz w:val="18"/>
          <w:szCs w:val="22"/>
          <w:rtl/>
          <w:lang w:eastAsia="he-IL"/>
        </w:rPr>
        <w:t>ייעוד</w:t>
      </w:r>
      <w:r w:rsidRPr="00F41E78">
        <w:rPr>
          <w:rFonts w:cs="FrankRuehl" w:hint="cs"/>
          <w:sz w:val="18"/>
          <w:szCs w:val="22"/>
          <w:rtl/>
          <w:lang w:eastAsia="he-IL"/>
        </w:rPr>
        <w:t xml:space="preserve"> חלק מיחידות הדיור להשכרה.</w:t>
      </w:r>
      <w:r w:rsidRPr="00F41E78">
        <w:rPr>
          <w:rFonts w:cs="FrankRuehl"/>
          <w:sz w:val="18"/>
          <w:szCs w:val="22"/>
          <w:rtl/>
          <w:lang w:eastAsia="he-IL"/>
        </w:rPr>
        <w:t xml:space="preserve"> </w:t>
      </w:r>
      <w:bookmarkStart w:id="13" w:name="_Toc363734796"/>
      <w:bookmarkStart w:id="14" w:name="_Toc363738632"/>
    </w:p>
    <w:p w:rsidR="007147BC" w:rsidRPr="00F41E78" w:rsidP="00F41E78">
      <w:pPr>
        <w:spacing w:after="120" w:line="230" w:lineRule="exact"/>
        <w:jc w:val="both"/>
        <w:rPr>
          <w:rFonts w:cs="FrankRuehl"/>
          <w:sz w:val="18"/>
          <w:szCs w:val="22"/>
          <w:lang w:eastAsia="he-IL"/>
        </w:rPr>
      </w:pPr>
    </w:p>
    <w:p w:rsidR="007147BC" w:rsidRPr="00F41E78" w:rsidP="00F41E78">
      <w:pPr>
        <w:spacing w:after="120" w:line="230" w:lineRule="exact"/>
        <w:jc w:val="both"/>
        <w:rPr>
          <w:rFonts w:cs="FrankRuehl"/>
          <w:sz w:val="18"/>
          <w:szCs w:val="22"/>
          <w:rtl/>
          <w:lang w:eastAsia="he-IL"/>
        </w:rPr>
      </w:pPr>
    </w:p>
    <w:p w:rsidR="00E97EDA" w:rsidRPr="00E719A9" w:rsidP="007147BC">
      <w:pPr>
        <w:pStyle w:val="KOT4"/>
        <w:rPr>
          <w:rtl/>
          <w:lang w:eastAsia="he-IL"/>
        </w:rPr>
      </w:pPr>
      <w:bookmarkStart w:id="15" w:name="_Toc389492340"/>
      <w:r w:rsidRPr="00E719A9">
        <w:rPr>
          <w:rFonts w:hint="cs"/>
          <w:rtl/>
          <w:lang w:eastAsia="he-IL"/>
        </w:rPr>
        <w:t>שוק הדיור בישראל - מגמות ותמונת מצב</w:t>
      </w:r>
      <w:bookmarkEnd w:id="13"/>
      <w:bookmarkEnd w:id="14"/>
      <w:bookmarkEnd w:id="15"/>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בפרק זה מוצגות המגמו</w:t>
      </w:r>
      <w:r w:rsidRPr="00F41E78">
        <w:rPr>
          <w:rFonts w:cs="FrankRuehl" w:hint="eastAsia"/>
          <w:sz w:val="18"/>
          <w:szCs w:val="22"/>
          <w:rtl/>
          <w:lang w:eastAsia="he-IL"/>
        </w:rPr>
        <w:t>ת</w:t>
      </w:r>
      <w:r w:rsidRPr="00F41E78">
        <w:rPr>
          <w:rFonts w:cs="FrankRuehl" w:hint="cs"/>
          <w:sz w:val="18"/>
          <w:szCs w:val="22"/>
          <w:rtl/>
          <w:lang w:eastAsia="he-IL"/>
        </w:rPr>
        <w:t xml:space="preserve"> העיקריות שאפיינו את שוק הדיור בעשור האחרון. המגמות מוצגות בחתכים ארציים ומחוזיים</w:t>
      </w:r>
      <w:r>
        <w:rPr>
          <w:rFonts w:cs="FrankRuehl"/>
          <w:sz w:val="18"/>
          <w:szCs w:val="22"/>
          <w:vertAlign w:val="superscript"/>
          <w:rtl/>
          <w:lang w:eastAsia="he-IL"/>
        </w:rPr>
        <w:footnoteReference w:id="18"/>
      </w:r>
      <w:r w:rsidRPr="00F41E78">
        <w:rPr>
          <w:rFonts w:cs="FrankRuehl" w:hint="cs"/>
          <w:sz w:val="18"/>
          <w:szCs w:val="22"/>
          <w:rtl/>
          <w:lang w:eastAsia="he-IL"/>
        </w:rPr>
        <w:t xml:space="preserve"> המבוססים על המדדים ועל מסד הנתונים של שוק הדיור. המקורות לנתונים אלו הם הלמ"ס, מינהל הכנסות המדינה שבמשרד האוצר ומשרד הבינוי המשתמש גם בנתונים של רשות המסים. הפעילויות העיקריות בשוק הדיור הן רכישה ומכירה של דירות ושכירה והשכרה של דירות. לכן, ניתן לומר ששוק הדיור בכללותו כולל שני תת-שווקים והם רכישה והשכרה. את הדירות ניתן לסווג לפי שטחן וגילן (דירות חדשות לעומת דירות ישנות המכונות לעתים "דירות יד שנייה").</w:t>
      </w:r>
    </w:p>
    <w:p w:rsidR="00E97EDA" w:rsidRPr="00F41E78" w:rsidP="00F41E78">
      <w:pPr>
        <w:spacing w:after="120" w:line="230" w:lineRule="exact"/>
        <w:jc w:val="both"/>
        <w:rPr>
          <w:rFonts w:cs="FrankRuehl"/>
          <w:sz w:val="18"/>
          <w:szCs w:val="22"/>
          <w:rtl/>
        </w:rPr>
      </w:pPr>
      <w:r w:rsidRPr="00F41E78">
        <w:rPr>
          <w:rFonts w:cs="FrankRuehl" w:hint="cs"/>
          <w:sz w:val="18"/>
          <w:szCs w:val="22"/>
          <w:rtl/>
        </w:rPr>
        <w:t>יצוין כי בבחינת המגמות של שוק הדיור עלה גם הצורך לגעת באיכות מסד הנתונים הממשלתי של שוק הדיור, דהיינו שלמותו, אמינותו ומידת ההתאמה בין הנתונים של הגופים הממשלתיים השונים. איכות מסד הנתונים משפיעה על אמינות הנתונים ותקפותם בנוגע לשינויים במחירי הדיור, לאומדני ההיצע והביקוש, לנטל הכלכלי המוטל על משקי בית בגין הוצאות הדיור ועוד. בפרק זה, ובייחוד בפרק השני של שער זה, יובאו ממצאי ביקורת על איכות</w:t>
      </w:r>
      <w:r w:rsidRPr="00F41E78">
        <w:rPr>
          <w:rFonts w:cs="FrankRuehl"/>
          <w:sz w:val="18"/>
          <w:szCs w:val="22"/>
          <w:rtl/>
        </w:rPr>
        <w:t xml:space="preserve"> הנתונים המשמשים </w:t>
      </w:r>
      <w:r w:rsidRPr="00F41E78">
        <w:rPr>
          <w:rFonts w:cs="FrankRuehl" w:hint="cs"/>
          <w:sz w:val="18"/>
          <w:szCs w:val="22"/>
          <w:rtl/>
        </w:rPr>
        <w:t>בסיס לקבלת החלטות בתחום הדיור.</w:t>
      </w:r>
    </w:p>
    <w:p w:rsidR="00E97EDA" w:rsidRPr="00F41E78" w:rsidP="00F41E78">
      <w:pPr>
        <w:spacing w:after="120" w:line="230" w:lineRule="exact"/>
        <w:jc w:val="both"/>
        <w:rPr>
          <w:rFonts w:cs="FrankRuehl"/>
          <w:sz w:val="18"/>
          <w:szCs w:val="22"/>
          <w:rtl/>
        </w:rPr>
      </w:pPr>
    </w:p>
    <w:p w:rsidR="00E97EDA" w:rsidRPr="00E719A9" w:rsidP="007147BC">
      <w:pPr>
        <w:pStyle w:val="KOT5"/>
        <w:rPr>
          <w:rtl/>
          <w:lang w:eastAsia="he-IL"/>
        </w:rPr>
      </w:pPr>
      <w:bookmarkStart w:id="16" w:name="_Toc363738634"/>
      <w:bookmarkStart w:id="17" w:name="_Toc389492342"/>
      <w:r w:rsidRPr="00E719A9">
        <w:rPr>
          <w:rFonts w:hint="cs"/>
          <w:rtl/>
          <w:lang w:eastAsia="he-IL"/>
        </w:rPr>
        <w:t>תמורות במחירי הדיור</w:t>
      </w:r>
      <w:bookmarkEnd w:id="16"/>
      <w:bookmarkEnd w:id="17"/>
    </w:p>
    <w:p w:rsidR="00E97EDA" w:rsidRPr="00F41E78" w:rsidP="004256B4">
      <w:pPr>
        <w:spacing w:after="240" w:line="230" w:lineRule="exact"/>
        <w:jc w:val="both"/>
        <w:rPr>
          <w:rFonts w:cs="FrankRuehl"/>
          <w:sz w:val="18"/>
          <w:szCs w:val="22"/>
          <w:rtl/>
          <w:lang w:eastAsia="he-IL"/>
        </w:rPr>
      </w:pPr>
      <w:bookmarkStart w:id="18" w:name="_Toc363738635"/>
      <w:r w:rsidRPr="00F41E78">
        <w:rPr>
          <w:rFonts w:cs="FrankRuehl" w:hint="eastAsia"/>
          <w:bCs/>
          <w:spacing w:val="40"/>
          <w:sz w:val="18"/>
          <w:szCs w:val="22"/>
          <w:rtl/>
        </w:rPr>
        <w:t>המחזוריות</w:t>
      </w:r>
      <w:r w:rsidRPr="00F41E78">
        <w:rPr>
          <w:rFonts w:cs="FrankRuehl"/>
          <w:bCs/>
          <w:spacing w:val="40"/>
          <w:sz w:val="18"/>
          <w:szCs w:val="22"/>
          <w:rtl/>
        </w:rPr>
        <w:t xml:space="preserve"> </w:t>
      </w:r>
      <w:r w:rsidRPr="00F41E78">
        <w:rPr>
          <w:rFonts w:cs="FrankRuehl" w:hint="eastAsia"/>
          <w:bCs/>
          <w:spacing w:val="40"/>
          <w:sz w:val="18"/>
          <w:szCs w:val="22"/>
          <w:rtl/>
        </w:rPr>
        <w:t>בשוק</w:t>
      </w:r>
      <w:r w:rsidRPr="00F41E78">
        <w:rPr>
          <w:rFonts w:cs="FrankRuehl"/>
          <w:bCs/>
          <w:spacing w:val="40"/>
          <w:sz w:val="18"/>
          <w:szCs w:val="22"/>
          <w:rtl/>
        </w:rPr>
        <w:t xml:space="preserve"> </w:t>
      </w:r>
      <w:r w:rsidRPr="00F41E78">
        <w:rPr>
          <w:rFonts w:cs="FrankRuehl" w:hint="eastAsia"/>
          <w:bCs/>
          <w:spacing w:val="40"/>
          <w:sz w:val="18"/>
          <w:szCs w:val="22"/>
          <w:rtl/>
        </w:rPr>
        <w:t>הדיור</w:t>
      </w:r>
      <w:bookmarkEnd w:id="18"/>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rPr>
        <w:t>התנהגות</w:t>
      </w:r>
      <w:r w:rsidRPr="00F41E78">
        <w:rPr>
          <w:rFonts w:cs="FrankRuehl"/>
          <w:sz w:val="18"/>
          <w:szCs w:val="22"/>
          <w:rtl/>
        </w:rPr>
        <w:t xml:space="preserve"> </w:t>
      </w:r>
      <w:r w:rsidRPr="00F41E78">
        <w:rPr>
          <w:rFonts w:cs="FrankRuehl" w:hint="cs"/>
          <w:sz w:val="18"/>
          <w:szCs w:val="22"/>
          <w:rtl/>
        </w:rPr>
        <w:t>שוק</w:t>
      </w:r>
      <w:r w:rsidRPr="00F41E78">
        <w:rPr>
          <w:rFonts w:cs="FrankRuehl"/>
          <w:sz w:val="18"/>
          <w:szCs w:val="22"/>
          <w:rtl/>
        </w:rPr>
        <w:t xml:space="preserve"> </w:t>
      </w:r>
      <w:r w:rsidRPr="00F41E78">
        <w:rPr>
          <w:rFonts w:cs="FrankRuehl" w:hint="cs"/>
          <w:sz w:val="18"/>
          <w:szCs w:val="22"/>
          <w:rtl/>
        </w:rPr>
        <w:t>הדיור</w:t>
      </w:r>
      <w:r w:rsidRPr="00F41E78">
        <w:rPr>
          <w:rFonts w:cs="FrankRuehl"/>
          <w:sz w:val="18"/>
          <w:szCs w:val="22"/>
          <w:rtl/>
        </w:rPr>
        <w:t xml:space="preserve"> </w:t>
      </w:r>
      <w:r w:rsidRPr="00F41E78">
        <w:rPr>
          <w:rFonts w:cs="FrankRuehl" w:hint="cs"/>
          <w:sz w:val="18"/>
          <w:szCs w:val="22"/>
          <w:rtl/>
        </w:rPr>
        <w:t>בישראל</w:t>
      </w:r>
      <w:r w:rsidRPr="00F41E78">
        <w:rPr>
          <w:rFonts w:cs="FrankRuehl"/>
          <w:sz w:val="18"/>
          <w:szCs w:val="22"/>
          <w:rtl/>
        </w:rPr>
        <w:t xml:space="preserve"> </w:t>
      </w:r>
      <w:r w:rsidRPr="00F41E78">
        <w:rPr>
          <w:rFonts w:cs="FrankRuehl" w:hint="cs"/>
          <w:sz w:val="18"/>
          <w:szCs w:val="22"/>
          <w:rtl/>
        </w:rPr>
        <w:t>מושפעת</w:t>
      </w:r>
      <w:r w:rsidRPr="00F41E78">
        <w:rPr>
          <w:rFonts w:cs="FrankRuehl"/>
          <w:sz w:val="18"/>
          <w:szCs w:val="22"/>
          <w:rtl/>
        </w:rPr>
        <w:t xml:space="preserve"> </w:t>
      </w:r>
      <w:r w:rsidRPr="00F41E78">
        <w:rPr>
          <w:rFonts w:cs="FrankRuehl" w:hint="cs"/>
          <w:sz w:val="18"/>
          <w:szCs w:val="22"/>
          <w:rtl/>
        </w:rPr>
        <w:t>בעיקר</w:t>
      </w:r>
      <w:r w:rsidRPr="00F41E78">
        <w:rPr>
          <w:rFonts w:cs="FrankRuehl"/>
          <w:sz w:val="18"/>
          <w:szCs w:val="22"/>
          <w:rtl/>
        </w:rPr>
        <w:t xml:space="preserve"> </w:t>
      </w:r>
      <w:r w:rsidRPr="00F41E78">
        <w:rPr>
          <w:rFonts w:cs="FrankRuehl" w:hint="cs"/>
          <w:sz w:val="18"/>
          <w:szCs w:val="22"/>
          <w:rtl/>
        </w:rPr>
        <w:t>ממחירי</w:t>
      </w:r>
      <w:r w:rsidRPr="00F41E78">
        <w:rPr>
          <w:rFonts w:cs="FrankRuehl"/>
          <w:sz w:val="18"/>
          <w:szCs w:val="22"/>
          <w:rtl/>
        </w:rPr>
        <w:t xml:space="preserve"> </w:t>
      </w:r>
      <w:r w:rsidRPr="00F41E78">
        <w:rPr>
          <w:rFonts w:cs="FrankRuehl" w:hint="cs"/>
          <w:sz w:val="18"/>
          <w:szCs w:val="22"/>
          <w:rtl/>
        </w:rPr>
        <w:t>הדירות</w:t>
      </w:r>
      <w:r w:rsidRPr="00F41E78">
        <w:rPr>
          <w:rFonts w:cs="FrankRuehl"/>
          <w:sz w:val="18"/>
          <w:szCs w:val="22"/>
          <w:rtl/>
        </w:rPr>
        <w:t xml:space="preserve"> </w:t>
      </w:r>
      <w:r w:rsidRPr="00F41E78">
        <w:rPr>
          <w:rFonts w:cs="FrankRuehl" w:hint="cs"/>
          <w:sz w:val="18"/>
          <w:szCs w:val="22"/>
          <w:rtl/>
        </w:rPr>
        <w:t>לרכישה,</w:t>
      </w:r>
      <w:r w:rsidRPr="00F41E78">
        <w:rPr>
          <w:rFonts w:cs="FrankRuehl"/>
          <w:sz w:val="18"/>
          <w:szCs w:val="22"/>
          <w:rtl/>
        </w:rPr>
        <w:t xml:space="preserve"> </w:t>
      </w:r>
      <w:r w:rsidRPr="00F41E78">
        <w:rPr>
          <w:rFonts w:cs="FrankRuehl" w:hint="cs"/>
          <w:sz w:val="18"/>
          <w:szCs w:val="22"/>
          <w:rtl/>
        </w:rPr>
        <w:t>והיא</w:t>
      </w:r>
      <w:r w:rsidRPr="00F41E78">
        <w:rPr>
          <w:rFonts w:cs="FrankRuehl"/>
          <w:sz w:val="18"/>
          <w:szCs w:val="22"/>
          <w:rtl/>
        </w:rPr>
        <w:t xml:space="preserve"> </w:t>
      </w:r>
      <w:r w:rsidRPr="00F41E78">
        <w:rPr>
          <w:rFonts w:cs="FrankRuehl" w:hint="cs"/>
          <w:sz w:val="18"/>
          <w:szCs w:val="22"/>
          <w:rtl/>
        </w:rPr>
        <w:t xml:space="preserve">מחזורית; במשך השנים מחירי הדירות עולים ויורדים לעתים באופן חד </w:t>
      </w:r>
      <w:r w:rsidRPr="00F41E78">
        <w:rPr>
          <w:rFonts w:cs="FrankRuehl" w:hint="cs"/>
          <w:sz w:val="18"/>
          <w:szCs w:val="22"/>
          <w:rtl/>
        </w:rPr>
        <w:t>ולעתים באופן מתון. הסיבות לשינויים במחירי הדירות יכולות להיות סיבות מקומיות, למשל גלי עלייה, שינויים במצב הביטחוני והאטה במשק, או סיבות גלובליות כמו משברים כלכליים במשק העולמי דוגמת משבר הסאבפריים</w:t>
      </w:r>
      <w:r>
        <w:rPr>
          <w:rFonts w:cs="FrankRuehl"/>
          <w:sz w:val="18"/>
          <w:szCs w:val="22"/>
          <w:vertAlign w:val="superscript"/>
          <w:rtl/>
        </w:rPr>
        <w:footnoteReference w:id="19"/>
      </w:r>
      <w:r w:rsidRPr="00F41E78">
        <w:rPr>
          <w:rFonts w:cs="FrankRuehl" w:hint="cs"/>
          <w:sz w:val="18"/>
          <w:szCs w:val="22"/>
          <w:rtl/>
        </w:rPr>
        <w:t xml:space="preserve"> שפרץ בשנת 2007.</w:t>
      </w:r>
    </w:p>
    <w:p w:rsidR="00813F66" w:rsidRPr="00687567" w:rsidP="004256B4">
      <w:pPr>
        <w:spacing w:after="240" w:line="240" w:lineRule="atLeast"/>
        <w:jc w:val="center"/>
        <w:rPr>
          <w:rFonts w:ascii="Arial" w:hAnsi="Arial" w:cs="Arial"/>
          <w:rtl/>
          <w:lang w:eastAsia="he-IL"/>
        </w:rPr>
      </w:pPr>
      <w:r>
        <w:rPr>
          <w:rFonts w:ascii="Arial" w:hAnsi="Arial" w:cs="Arial"/>
          <w:noProof/>
        </w:rPr>
        <w:pict>
          <v:shape id="_x0000_i1028" type="#_x0000_t75" style="width:340pt;height:214pt">
            <v:imagedata r:id="rId6" o:title="A1-1-Cx"/>
          </v:shape>
        </w:pict>
      </w:r>
    </w:p>
    <w:p w:rsidR="00E97EDA" w:rsidRPr="00B57076" w:rsidP="00F41E78">
      <w:pPr>
        <w:spacing w:after="120" w:line="230" w:lineRule="exact"/>
        <w:jc w:val="both"/>
        <w:rPr>
          <w:rFonts w:cs="FrankRuehl"/>
          <w:sz w:val="22"/>
          <w:szCs w:val="22"/>
          <w:rtl/>
          <w:lang w:eastAsia="he-IL"/>
        </w:rPr>
      </w:pPr>
      <w:r w:rsidRPr="00B57076">
        <w:rPr>
          <w:rFonts w:cs="FrankRuehl" w:hint="cs"/>
          <w:sz w:val="22"/>
          <w:szCs w:val="22"/>
          <w:rtl/>
          <w:lang w:eastAsia="he-IL"/>
        </w:rPr>
        <w:t xml:space="preserve">מהתרשים עולה כי </w:t>
      </w:r>
      <w:r w:rsidRPr="00B57076">
        <w:rPr>
          <w:rFonts w:cs="FrankRuehl" w:hint="cs"/>
          <w:sz w:val="22"/>
          <w:szCs w:val="22"/>
          <w:rtl/>
        </w:rPr>
        <w:t>משנת 1967 נרשמו שינויים ריאליים</w:t>
      </w:r>
      <w:r>
        <w:rPr>
          <w:rFonts w:cs="FrankRuehl"/>
          <w:sz w:val="22"/>
          <w:szCs w:val="22"/>
          <w:vertAlign w:val="superscript"/>
          <w:rtl/>
        </w:rPr>
        <w:footnoteReference w:id="20"/>
      </w:r>
      <w:r w:rsidRPr="00B57076">
        <w:rPr>
          <w:rFonts w:cs="FrankRuehl" w:hint="cs"/>
          <w:sz w:val="22"/>
          <w:szCs w:val="22"/>
          <w:rtl/>
        </w:rPr>
        <w:t xml:space="preserve"> במדד מחירי הדירות</w:t>
      </w:r>
      <w:r>
        <w:rPr>
          <w:rStyle w:val="FootnoteReference0"/>
          <w:rFonts w:cs="FrankRuehl"/>
          <w:sz w:val="22"/>
          <w:szCs w:val="22"/>
          <w:rtl/>
        </w:rPr>
        <w:footnoteReference w:id="21"/>
      </w:r>
      <w:r w:rsidRPr="00B57076">
        <w:rPr>
          <w:rFonts w:cs="FrankRuehl" w:hint="cs"/>
          <w:sz w:val="22"/>
          <w:szCs w:val="22"/>
          <w:rtl/>
        </w:rPr>
        <w:t xml:space="preserve"> בישראל, המעידים גם על התנודתיות הניכרת של השוק הדיור. לדוגמה, ניתן לזהות מחזור שבו שנות השפל במחירי הדירות היו בשנים 1967 ו-1977 ומחירי השיא היו בשנת 1973; מחזור נוסף ניתן לזהות בין שנות שפל בשנים 1977 ו-1987 למחירי שיא בשנת 1984. משנת 2008 מסתמנת מגמת עלייה ששיאה עדיין לא נקבע.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עוד עולה מהתרשים כי מבחינת התנודתיות במחירי הדירות</w:t>
      </w:r>
      <w:r>
        <w:rPr>
          <w:rFonts w:cs="FrankRuehl"/>
          <w:sz w:val="18"/>
          <w:szCs w:val="22"/>
          <w:vertAlign w:val="superscript"/>
          <w:rtl/>
          <w:lang w:eastAsia="he-IL"/>
        </w:rPr>
        <w:footnoteReference w:id="22"/>
      </w:r>
      <w:r w:rsidRPr="00F41E78">
        <w:rPr>
          <w:rFonts w:cs="FrankRuehl" w:hint="cs"/>
          <w:sz w:val="18"/>
          <w:szCs w:val="22"/>
          <w:rtl/>
          <w:lang w:eastAsia="he-IL"/>
        </w:rPr>
        <w:t xml:space="preserve">, </w:t>
      </w:r>
      <w:r w:rsidRPr="00F41E78">
        <w:rPr>
          <w:rFonts w:cs="FrankRuehl" w:hint="eastAsia"/>
          <w:sz w:val="18"/>
          <w:szCs w:val="22"/>
          <w:rtl/>
          <w:lang w:eastAsia="he-IL"/>
        </w:rPr>
        <w:t>משנת</w:t>
      </w:r>
      <w:r w:rsidRPr="00F41E78">
        <w:rPr>
          <w:rFonts w:cs="FrankRuehl" w:hint="cs"/>
          <w:sz w:val="18"/>
          <w:szCs w:val="22"/>
          <w:rtl/>
          <w:lang w:eastAsia="he-IL"/>
        </w:rPr>
        <w:t xml:space="preserve"> 1967 עד סוף 2013, קצב עליית המחירים הריאליים הרב-שנתי הוא מעט מעל 2% בממוצע לשנה.</w:t>
      </w:r>
    </w:p>
    <w:p w:rsidR="00E97EDA" w:rsidRPr="00F41E78" w:rsidP="004256B4">
      <w:pPr>
        <w:spacing w:after="240" w:line="230" w:lineRule="exact"/>
        <w:jc w:val="both"/>
        <w:rPr>
          <w:rFonts w:cs="FrankRuehl"/>
          <w:sz w:val="18"/>
          <w:szCs w:val="22"/>
          <w:rtl/>
          <w:lang w:eastAsia="he-IL"/>
        </w:rPr>
      </w:pPr>
      <w:r w:rsidRPr="00F41E78">
        <w:rPr>
          <w:rFonts w:cs="FrankRuehl" w:hint="cs"/>
          <w:sz w:val="18"/>
          <w:szCs w:val="22"/>
          <w:rtl/>
          <w:lang w:eastAsia="he-IL"/>
        </w:rPr>
        <w:t>יצוין כי על אף העלייה הריאלית התלולה שנצפית משנת 2008 עד סוף 2013, שהממוצע השנתי שלה הוא כ-9%, רמת מחירי הדירות לפי הנתונים המעודכנים לשנת 2013 אינה חורגת במידה ניכרת מקו המגמה של עליית המחירים הריאליים לטווח ארוך (משנת 1967).</w:t>
      </w:r>
    </w:p>
    <w:p w:rsidR="00D22B16" w:rsidRPr="00F41E78" w:rsidP="00D22B16">
      <w:pPr>
        <w:pStyle w:val="RESHET"/>
        <w:keepLines/>
        <w:rPr>
          <w:rtl/>
        </w:rPr>
      </w:pPr>
      <w:bookmarkStart w:id="19" w:name="_Toc363738636"/>
      <w:r w:rsidRPr="00F41E78">
        <w:rPr>
          <w:rFonts w:hint="cs"/>
          <w:rtl/>
        </w:rPr>
        <w:t xml:space="preserve">מאחר ששוק הדיור בכלל ושוק הדירות לרכישה בפרט מתאפיינים במחזוריות, הרי תופעות כמו עלייה במחירי הדירות ומנגד ירידתם הן תופעות צפויות. הדבר מחייב יצירת מנגנון לניהול סיכונים שיאפשר התמודדות עם שינויים צפויים וחריגים במחירי הדיור. פירוט בנושא זה ראו בשער השני העוסק ב"התוויית מדיניות הממשלה בהתמודדותה עם משבר הדיור". </w:t>
      </w:r>
    </w:p>
    <w:p w:rsidR="00E97EDA" w:rsidRPr="0081651E" w:rsidP="004256B4">
      <w:pPr>
        <w:spacing w:before="180" w:after="120" w:line="230" w:lineRule="exact"/>
        <w:jc w:val="both"/>
        <w:outlineLvl w:val="6"/>
        <w:rPr>
          <w:rFonts w:cs="FrankRuehl"/>
          <w:sz w:val="22"/>
          <w:szCs w:val="22"/>
          <w:rtl/>
          <w:lang w:eastAsia="he-IL"/>
        </w:rPr>
      </w:pPr>
      <w:r w:rsidRPr="0081651E">
        <w:rPr>
          <w:rFonts w:cs="FrankRuehl" w:hint="eastAsia"/>
          <w:bCs/>
          <w:spacing w:val="40"/>
          <w:sz w:val="22"/>
          <w:szCs w:val="22"/>
          <w:rtl/>
        </w:rPr>
        <w:t>תמורות</w:t>
      </w:r>
      <w:r w:rsidRPr="0081651E">
        <w:rPr>
          <w:rFonts w:cs="FrankRuehl"/>
          <w:bCs/>
          <w:spacing w:val="40"/>
          <w:sz w:val="22"/>
          <w:szCs w:val="22"/>
          <w:rtl/>
        </w:rPr>
        <w:t xml:space="preserve"> במחירי הדירות בחתך ארצי (ינואר 2008</w:t>
      </w:r>
      <w:r w:rsidRPr="0081651E">
        <w:rPr>
          <w:rFonts w:cs="FrankRuehl" w:hint="cs"/>
          <w:bCs/>
          <w:spacing w:val="40"/>
          <w:sz w:val="22"/>
          <w:szCs w:val="22"/>
          <w:rtl/>
        </w:rPr>
        <w:t xml:space="preserve"> </w:t>
      </w:r>
      <w:r w:rsidRPr="0081651E">
        <w:rPr>
          <w:rFonts w:cs="FrankRuehl"/>
          <w:bCs/>
          <w:spacing w:val="40"/>
          <w:sz w:val="22"/>
          <w:szCs w:val="22"/>
          <w:rtl/>
        </w:rPr>
        <w:t>-</w:t>
      </w:r>
      <w:r w:rsidR="00CD7EA8">
        <w:rPr>
          <w:rFonts w:cs="FrankRuehl" w:hint="cs"/>
          <w:bCs/>
          <w:spacing w:val="40"/>
          <w:sz w:val="22"/>
          <w:szCs w:val="22"/>
          <w:rtl/>
        </w:rPr>
        <w:t xml:space="preserve"> </w:t>
      </w:r>
      <w:r w:rsidRPr="0081651E">
        <w:rPr>
          <w:rFonts w:cs="FrankRuehl" w:hint="eastAsia"/>
          <w:bCs/>
          <w:spacing w:val="40"/>
          <w:sz w:val="22"/>
          <w:szCs w:val="22"/>
          <w:rtl/>
        </w:rPr>
        <w:t>דצמבר</w:t>
      </w:r>
      <w:r w:rsidRPr="0081651E">
        <w:rPr>
          <w:rFonts w:cs="FrankRuehl"/>
          <w:bCs/>
          <w:spacing w:val="40"/>
          <w:sz w:val="22"/>
          <w:szCs w:val="22"/>
          <w:rtl/>
        </w:rPr>
        <w:t xml:space="preserve"> 2013)</w:t>
      </w:r>
      <w:bookmarkEnd w:id="19"/>
      <w:r w:rsidRPr="0081651E">
        <w:rPr>
          <w:rFonts w:cs="FrankRuehl"/>
          <w:bCs/>
          <w:spacing w:val="40"/>
          <w:sz w:val="22"/>
          <w:szCs w:val="22"/>
          <w:rtl/>
        </w:rPr>
        <w:t>:</w:t>
      </w:r>
      <w:r w:rsidRPr="00CD7EA8">
        <w:rPr>
          <w:rFonts w:cs="FrankRuehl"/>
          <w:spacing w:val="40"/>
          <w:sz w:val="22"/>
          <w:szCs w:val="22"/>
          <w:rtl/>
          <w:lang w:eastAsia="he-IL"/>
        </w:rPr>
        <w:t xml:space="preserve"> </w:t>
      </w:r>
      <w:r w:rsidRPr="0081651E">
        <w:rPr>
          <w:rFonts w:cs="FrankRuehl" w:hint="cs"/>
          <w:sz w:val="22"/>
          <w:szCs w:val="22"/>
          <w:rtl/>
          <w:lang w:eastAsia="he-IL"/>
        </w:rPr>
        <w:t>גופים ממשלתיים אחדים מפרסמים נתונים על מחירי הדירות, ובהם הלמ"ס</w:t>
      </w:r>
      <w:r>
        <w:rPr>
          <w:rStyle w:val="FootnoteReference0"/>
          <w:rFonts w:cs="FrankRuehl"/>
          <w:sz w:val="22"/>
          <w:szCs w:val="22"/>
          <w:rtl/>
          <w:lang w:eastAsia="he-IL"/>
        </w:rPr>
        <w:footnoteReference w:id="23"/>
      </w:r>
      <w:r w:rsidRPr="0081651E">
        <w:rPr>
          <w:rFonts w:cs="FrankRuehl" w:hint="cs"/>
          <w:sz w:val="22"/>
          <w:szCs w:val="22"/>
          <w:rtl/>
          <w:lang w:eastAsia="he-IL"/>
        </w:rPr>
        <w:t xml:space="preserve">, אגף מידע וניתוח כלכלי במשרד הבינוי, השמאי הממשלתי הראשי במשרד המשפטים (להלן - השמאי הממשלתי) ומינהל הכנסות המדינה במשרד האוצר. בשל שיטות המדידה השונות שהגופים נוקטים אותן, גם הנתונים שהם מציגים שונים. למשל, נרשם פער של כ-24% בין שיעור העלייה במחירי הדיור בשנים 2013-2008 שהלמ"ס מציגה ובין השיעור שמשרד הבינוי מציג. להלן הפרטים: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על פי נתוני הלמ"ס, מינואר 2008 עד דצמבר 2013 חלה </w:t>
      </w:r>
      <w:r w:rsidRPr="00F41E78">
        <w:rPr>
          <w:rFonts w:cs="FrankRuehl" w:hint="eastAsia"/>
          <w:sz w:val="18"/>
          <w:szCs w:val="22"/>
          <w:rtl/>
          <w:lang w:eastAsia="he-IL"/>
        </w:rPr>
        <w:t>במחירי</w:t>
      </w:r>
      <w:r w:rsidRPr="00F41E78">
        <w:rPr>
          <w:rFonts w:cs="FrankRuehl"/>
          <w:sz w:val="18"/>
          <w:szCs w:val="22"/>
          <w:rtl/>
          <w:lang w:eastAsia="he-IL"/>
        </w:rPr>
        <w:t xml:space="preserve"> </w:t>
      </w:r>
      <w:r w:rsidRPr="00F41E78">
        <w:rPr>
          <w:rFonts w:cs="FrankRuehl" w:hint="eastAsia"/>
          <w:sz w:val="18"/>
          <w:szCs w:val="22"/>
          <w:rtl/>
          <w:lang w:eastAsia="he-IL"/>
        </w:rPr>
        <w:t>הדירות</w:t>
      </w:r>
      <w:r w:rsidRPr="00F41E78">
        <w:rPr>
          <w:rFonts w:cs="FrankRuehl" w:hint="cs"/>
          <w:sz w:val="18"/>
          <w:szCs w:val="22"/>
          <w:rtl/>
          <w:lang w:eastAsia="he-IL"/>
        </w:rPr>
        <w:t xml:space="preserve"> עלייה ריאלית בשיעור </w:t>
      </w:r>
      <w:r w:rsidRPr="00F41E78">
        <w:rPr>
          <w:rFonts w:cs="FrankRuehl" w:hint="eastAsia"/>
          <w:sz w:val="18"/>
          <w:szCs w:val="22"/>
          <w:rtl/>
          <w:lang w:eastAsia="he-IL"/>
        </w:rPr>
        <w:t>חד</w:t>
      </w:r>
      <w:r w:rsidRPr="00F41E78">
        <w:rPr>
          <w:rFonts w:cs="FrankRuehl" w:hint="cs"/>
          <w:sz w:val="18"/>
          <w:szCs w:val="22"/>
          <w:rtl/>
          <w:lang w:eastAsia="he-IL"/>
        </w:rPr>
        <w:t xml:space="preserve"> של כ-55%, דהיינו קצב שנתי ממוצע של כ-9%. קצב זה גבוה במידה ניכרת מקצב עליית מחירי הדירות הרב-שנתי, שהוא כאמור כ-2% בממוצע לשנה. יודגש כי מגמת העלייה במחירי הדירות מאפיינת את כל האזורים בארץ.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ניתוח של מגמת העלייה במחירי הדירות, לפי הלמ"ס, מינואר </w:t>
      </w:r>
      <w:r w:rsidRPr="00F41E78">
        <w:rPr>
          <w:rFonts w:cs="FrankRuehl"/>
          <w:sz w:val="18"/>
          <w:szCs w:val="22"/>
          <w:rtl/>
          <w:lang w:eastAsia="he-IL"/>
        </w:rPr>
        <w:t xml:space="preserve">2008 עד </w:t>
      </w:r>
      <w:r w:rsidRPr="00F41E78">
        <w:rPr>
          <w:rFonts w:cs="FrankRuehl" w:hint="cs"/>
          <w:sz w:val="18"/>
          <w:szCs w:val="22"/>
          <w:rtl/>
          <w:lang w:eastAsia="he-IL"/>
        </w:rPr>
        <w:t>2013,</w:t>
      </w:r>
      <w:r w:rsidRPr="00F41E78">
        <w:rPr>
          <w:rFonts w:cs="FrankRuehl"/>
          <w:sz w:val="18"/>
          <w:szCs w:val="22"/>
          <w:rtl/>
          <w:lang w:eastAsia="he-IL"/>
        </w:rPr>
        <w:t xml:space="preserve"> </w:t>
      </w:r>
      <w:r w:rsidRPr="00F41E78">
        <w:rPr>
          <w:rFonts w:cs="FrankRuehl" w:hint="cs"/>
          <w:sz w:val="18"/>
          <w:szCs w:val="22"/>
          <w:rtl/>
          <w:lang w:eastAsia="he-IL"/>
        </w:rPr>
        <w:t xml:space="preserve">מלמד על שני שלבים של עלייה; השלב הראשון, בשנים 2010-2008, התאפיין בזינוק חד </w:t>
      </w:r>
      <w:r w:rsidRPr="00F41E78">
        <w:rPr>
          <w:rFonts w:cs="FrankRuehl" w:hint="eastAsia"/>
          <w:sz w:val="18"/>
          <w:szCs w:val="22"/>
          <w:rtl/>
          <w:lang w:eastAsia="he-IL"/>
        </w:rPr>
        <w:t>במחירי</w:t>
      </w:r>
      <w:r w:rsidRPr="00F41E78">
        <w:rPr>
          <w:rFonts w:cs="FrankRuehl"/>
          <w:sz w:val="18"/>
          <w:szCs w:val="22"/>
          <w:rtl/>
          <w:lang w:eastAsia="he-IL"/>
        </w:rPr>
        <w:t xml:space="preserve"> </w:t>
      </w:r>
      <w:r w:rsidRPr="00F41E78">
        <w:rPr>
          <w:rFonts w:cs="FrankRuehl" w:hint="eastAsia"/>
          <w:sz w:val="18"/>
          <w:szCs w:val="22"/>
          <w:rtl/>
          <w:lang w:eastAsia="he-IL"/>
        </w:rPr>
        <w:t>ה</w:t>
      </w:r>
      <w:r w:rsidRPr="00F41E78">
        <w:rPr>
          <w:rFonts w:cs="FrankRuehl" w:hint="cs"/>
          <w:sz w:val="18"/>
          <w:szCs w:val="22"/>
          <w:rtl/>
          <w:lang w:eastAsia="he-IL"/>
        </w:rPr>
        <w:t xml:space="preserve">דירות בשיעור של </w:t>
      </w:r>
      <w:r w:rsidR="004256B4">
        <w:rPr>
          <w:rFonts w:cs="FrankRuehl"/>
          <w:sz w:val="18"/>
          <w:szCs w:val="22"/>
          <w:lang w:eastAsia="he-IL"/>
        </w:rPr>
        <w:br/>
      </w:r>
      <w:r w:rsidRPr="00F41E78">
        <w:rPr>
          <w:rFonts w:cs="FrankRuehl" w:hint="cs"/>
          <w:sz w:val="18"/>
          <w:szCs w:val="22"/>
          <w:rtl/>
          <w:lang w:eastAsia="he-IL"/>
        </w:rPr>
        <w:t xml:space="preserve">כ-36% במונחים ריאליים ובקצב עלייה של 12% בממוצע לשנה. השלב האחר, בשנים 2013-2011, התאפיין בקצב עלייה מתון באופן ניכר יחסית לתקופה הקודמת - שיעור העלייה הריאלית בתקופה זו היה כ-11% ובקצב עלייה של כ-4% בממוצע לשנה. </w:t>
      </w:r>
    </w:p>
    <w:p w:rsidR="00E97EDA" w:rsidRPr="00F41E78" w:rsidP="003D6B99">
      <w:pPr>
        <w:spacing w:after="120" w:line="230" w:lineRule="exact"/>
        <w:jc w:val="both"/>
        <w:rPr>
          <w:rFonts w:cs="FrankRuehl"/>
          <w:sz w:val="18"/>
          <w:szCs w:val="22"/>
          <w:rtl/>
          <w:lang w:eastAsia="he-IL"/>
        </w:rPr>
      </w:pPr>
      <w:r w:rsidRPr="00F41E78">
        <w:rPr>
          <w:rFonts w:cs="FrankRuehl" w:hint="cs"/>
          <w:sz w:val="18"/>
          <w:szCs w:val="22"/>
          <w:rtl/>
          <w:lang w:eastAsia="he-IL"/>
        </w:rPr>
        <w:t>מניתוח הנתונים של משרד הבינוי עולה כי מינואר 2008 עד דצמבר 2013 עלה המחיר הממוצע של דירת מגורים (דירות חדשות ויד שנייה) בשיעור של כ-52% (עלייה ריאלית של כ-31%). כלומר, פער של כ-24% לעומת נתוני הלמ"ס (ראו להלן בפרק "איכות הנתונים המשמשים לקביעת מדדי מחירי הדיור").</w:t>
      </w:r>
    </w:p>
    <w:p w:rsidR="00E97EDA" w:rsidRPr="00F41E78" w:rsidP="00F41E78">
      <w:pPr>
        <w:spacing w:after="120" w:line="230" w:lineRule="exact"/>
        <w:jc w:val="both"/>
        <w:rPr>
          <w:rFonts w:cs="FrankRuehl"/>
          <w:sz w:val="18"/>
          <w:szCs w:val="22"/>
          <w:rtl/>
          <w:lang w:eastAsia="he-IL"/>
        </w:rPr>
      </w:pPr>
      <w:bookmarkStart w:id="20" w:name="_Toc363738637"/>
      <w:r w:rsidRPr="00F41E78">
        <w:rPr>
          <w:rFonts w:cs="FrankRuehl" w:hint="eastAsia"/>
          <w:bCs/>
          <w:spacing w:val="40"/>
          <w:sz w:val="18"/>
          <w:szCs w:val="22"/>
          <w:rtl/>
        </w:rPr>
        <w:t>תמורות</w:t>
      </w:r>
      <w:r w:rsidRPr="00F41E78">
        <w:rPr>
          <w:rFonts w:cs="FrankRuehl"/>
          <w:bCs/>
          <w:spacing w:val="40"/>
          <w:sz w:val="18"/>
          <w:szCs w:val="22"/>
          <w:rtl/>
        </w:rPr>
        <w:t xml:space="preserve"> במחירי הדירות בחתך </w:t>
      </w:r>
      <w:r w:rsidRPr="00F41E78">
        <w:rPr>
          <w:rFonts w:cs="FrankRuehl" w:hint="eastAsia"/>
          <w:bCs/>
          <w:spacing w:val="40"/>
          <w:sz w:val="18"/>
          <w:szCs w:val="22"/>
          <w:rtl/>
        </w:rPr>
        <w:t>מחוזי</w:t>
      </w:r>
      <w:r w:rsidRPr="00F41E78">
        <w:rPr>
          <w:rFonts w:cs="FrankRuehl"/>
          <w:bCs/>
          <w:spacing w:val="40"/>
          <w:sz w:val="18"/>
          <w:szCs w:val="22"/>
          <w:rtl/>
        </w:rPr>
        <w:t xml:space="preserve"> (ינואר 2008</w:t>
      </w:r>
      <w:r w:rsidRPr="00F41E78">
        <w:rPr>
          <w:rFonts w:cs="FrankRuehl" w:hint="cs"/>
          <w:bCs/>
          <w:spacing w:val="40"/>
          <w:sz w:val="18"/>
          <w:szCs w:val="22"/>
          <w:rtl/>
        </w:rPr>
        <w:t xml:space="preserve"> </w:t>
      </w:r>
      <w:r w:rsidRPr="00F41E78">
        <w:rPr>
          <w:rFonts w:cs="FrankRuehl"/>
          <w:bCs/>
          <w:spacing w:val="40"/>
          <w:sz w:val="18"/>
          <w:szCs w:val="22"/>
          <w:rtl/>
        </w:rPr>
        <w:t>-</w:t>
      </w:r>
      <w:r w:rsidR="00CD7EA8">
        <w:rPr>
          <w:rFonts w:cs="FrankRuehl" w:hint="cs"/>
          <w:bCs/>
          <w:spacing w:val="40"/>
          <w:sz w:val="18"/>
          <w:szCs w:val="22"/>
          <w:rtl/>
        </w:rPr>
        <w:t xml:space="preserve"> </w:t>
      </w:r>
      <w:r w:rsidRPr="00F41E78">
        <w:rPr>
          <w:rFonts w:cs="FrankRuehl" w:hint="eastAsia"/>
          <w:bCs/>
          <w:spacing w:val="40"/>
          <w:sz w:val="18"/>
          <w:szCs w:val="22"/>
          <w:rtl/>
        </w:rPr>
        <w:t>דצמבר</w:t>
      </w:r>
      <w:r w:rsidRPr="00F41E78">
        <w:rPr>
          <w:rFonts w:cs="FrankRuehl"/>
          <w:bCs/>
          <w:spacing w:val="40"/>
          <w:sz w:val="18"/>
          <w:szCs w:val="22"/>
          <w:rtl/>
        </w:rPr>
        <w:t xml:space="preserve"> 2013)</w:t>
      </w:r>
      <w:bookmarkEnd w:id="20"/>
      <w:r w:rsidRPr="00F41E78">
        <w:rPr>
          <w:rFonts w:cs="FrankRuehl"/>
          <w:bCs/>
          <w:spacing w:val="40"/>
          <w:sz w:val="18"/>
          <w:szCs w:val="22"/>
          <w:rtl/>
        </w:rPr>
        <w:t>:</w:t>
      </w:r>
      <w:r w:rsidRPr="00CD7EA8">
        <w:rPr>
          <w:rFonts w:cs="FrankRuehl"/>
          <w:spacing w:val="40"/>
          <w:sz w:val="18"/>
          <w:szCs w:val="22"/>
          <w:rtl/>
          <w:lang w:eastAsia="he-IL"/>
        </w:rPr>
        <w:t xml:space="preserve"> </w:t>
      </w:r>
      <w:r w:rsidRPr="00F41E78">
        <w:rPr>
          <w:rFonts w:cs="FrankRuehl" w:hint="cs"/>
          <w:sz w:val="18"/>
          <w:szCs w:val="22"/>
          <w:rtl/>
          <w:lang w:eastAsia="he-IL"/>
        </w:rPr>
        <w:t>מנתוני משרד הבינוי עולה כי מגמת העלייה הכלל-ארצית</w:t>
      </w:r>
      <w:r>
        <w:rPr>
          <w:rFonts w:cs="FrankRuehl"/>
          <w:sz w:val="18"/>
          <w:szCs w:val="22"/>
          <w:vertAlign w:val="superscript"/>
          <w:rtl/>
          <w:lang w:eastAsia="he-IL"/>
        </w:rPr>
        <w:footnoteReference w:id="24"/>
      </w:r>
      <w:r w:rsidRPr="00F41E78">
        <w:rPr>
          <w:rFonts w:cs="FrankRuehl" w:hint="cs"/>
          <w:sz w:val="18"/>
          <w:szCs w:val="22"/>
          <w:rtl/>
          <w:lang w:eastAsia="he-IL"/>
        </w:rPr>
        <w:t xml:space="preserve"> במחירי הדירות בתקופה האמורה משתקפת באופן דומה גם בנתוני המחוזות.</w:t>
      </w:r>
    </w:p>
    <w:p w:rsidR="00813F66" w:rsidRPr="00687567" w:rsidP="004256B4">
      <w:pPr>
        <w:spacing w:after="240" w:line="240" w:lineRule="atLeast"/>
        <w:jc w:val="center"/>
        <w:rPr>
          <w:rFonts w:ascii="Arial" w:hAnsi="Arial" w:cs="Arial"/>
          <w:szCs w:val="20"/>
          <w:rtl/>
          <w:lang w:eastAsia="he-IL"/>
        </w:rPr>
      </w:pPr>
      <w:r>
        <w:rPr>
          <w:rFonts w:ascii="Arial" w:hAnsi="Arial" w:cs="Arial"/>
          <w:noProof/>
        </w:rPr>
        <w:pict>
          <v:shape id="_x0000_i1029" type="#_x0000_t75" style="width:340pt;height:204.5pt">
            <v:imagedata r:id="rId17" o:title="A1-2-Cx"/>
          </v:shape>
        </w:pict>
      </w:r>
    </w:p>
    <w:p w:rsidR="00D22B16" w:rsidRPr="00F41E78" w:rsidP="00D22B16">
      <w:pPr>
        <w:pStyle w:val="RESHET"/>
        <w:keepLines/>
        <w:rPr>
          <w:rtl/>
        </w:rPr>
      </w:pPr>
      <w:bookmarkStart w:id="21" w:name="_Toc363738638"/>
      <w:r w:rsidRPr="00F41E78">
        <w:rPr>
          <w:rFonts w:hint="cs"/>
          <w:rtl/>
        </w:rPr>
        <w:t xml:space="preserve">מהתרשים עולה כי בין ינואר 2008 לדצמבר 2013 עלה שיעור עליית מחירי הדירות בפריפריה - מחוזות חיפה, הצפון, הדרום ויהודה ושומרון (להלן - מחוזות הפריפריה) - עלייה חדה יותר מאשר במחוזות ירושלים, תל אביב והמרכז (להלן - מחוזות מרכז הארץ). במחוזות הפריפריה שיעור העלייה נע בין 68% במחוזות יהודה ושומרון וחיפה לבין 66% במחוז הדרום; לעומת זאת, שיעור העלייה במחוזות מרכז הארץ היה מתון יותר - בין 43% במחוז ירושלים ל-61% במחוז תל אביב. </w:t>
      </w:r>
    </w:p>
    <w:p w:rsidR="00D22B16" w:rsidRPr="00F41E78" w:rsidP="00D22B16">
      <w:pPr>
        <w:pStyle w:val="RESHET"/>
        <w:keepLines/>
        <w:rPr>
          <w:rtl/>
        </w:rPr>
      </w:pPr>
      <w:r w:rsidRPr="00F41E78">
        <w:rPr>
          <w:rFonts w:hint="cs"/>
          <w:rtl/>
        </w:rPr>
        <w:t xml:space="preserve">עוד עולה מהתרשים כי אף שהעלייה במחירי הדירות במחוזות הפריפריה </w:t>
      </w:r>
      <w:r w:rsidRPr="00F41E78">
        <w:rPr>
          <w:rtl/>
        </w:rPr>
        <w:t>גבוהה באופן ניכר</w:t>
      </w:r>
      <w:r w:rsidRPr="00F41E78">
        <w:rPr>
          <w:rFonts w:hint="cs"/>
          <w:rtl/>
        </w:rPr>
        <w:t xml:space="preserve"> מהעלייה במחוזות מרכז הארץ, מחירי הדירות הממוצעים (של כלל הדירות החדשות והישנות) במחוזות הפריפריה עדיין נמוכים במידה ניכרת מאלו שבמרכז הארץ. לדוגמה, בשנת 2013 המחיר הממוצע של דירת מגורים במחוזות מרכז הארץ היה 1.6 מיליון ש"ח - מחיר הגבוה בכ-69% מהמחיר הממוצע במחוזות הפריפריה - 948,000 ש"ח, וגבוה </w:t>
      </w:r>
      <w:r>
        <w:br/>
      </w:r>
      <w:r w:rsidRPr="00F41E78">
        <w:rPr>
          <w:rFonts w:hint="cs"/>
          <w:rtl/>
        </w:rPr>
        <w:t>בכ-29% מהממוצע הארצי - 1.26 מיליון ש"ח.</w:t>
      </w:r>
    </w:p>
    <w:p w:rsidR="00E97EDA" w:rsidRPr="00F41E78" w:rsidP="004256B4">
      <w:pPr>
        <w:spacing w:before="180" w:after="120" w:line="230" w:lineRule="exact"/>
        <w:jc w:val="both"/>
        <w:rPr>
          <w:rFonts w:cs="FrankRuehl"/>
          <w:b/>
          <w:bCs/>
          <w:spacing w:val="40"/>
          <w:sz w:val="18"/>
          <w:szCs w:val="22"/>
          <w:rtl/>
          <w:lang w:eastAsia="he-IL"/>
        </w:rPr>
      </w:pPr>
      <w:r w:rsidRPr="00F41E78">
        <w:rPr>
          <w:rFonts w:cs="FrankRuehl" w:hint="eastAsia"/>
          <w:bCs/>
          <w:spacing w:val="40"/>
          <w:sz w:val="18"/>
          <w:szCs w:val="22"/>
          <w:rtl/>
        </w:rPr>
        <w:t>תמורות</w:t>
      </w:r>
      <w:r w:rsidRPr="00F41E78">
        <w:rPr>
          <w:rFonts w:cs="FrankRuehl"/>
          <w:bCs/>
          <w:spacing w:val="40"/>
          <w:sz w:val="18"/>
          <w:szCs w:val="22"/>
          <w:rtl/>
        </w:rPr>
        <w:t xml:space="preserve"> </w:t>
      </w:r>
      <w:r w:rsidRPr="00F41E78">
        <w:rPr>
          <w:rFonts w:cs="FrankRuehl" w:hint="eastAsia"/>
          <w:bCs/>
          <w:spacing w:val="40"/>
          <w:sz w:val="18"/>
          <w:szCs w:val="22"/>
          <w:rtl/>
        </w:rPr>
        <w:t>במחירי</w:t>
      </w:r>
      <w:r w:rsidRPr="00F41E78">
        <w:rPr>
          <w:rFonts w:cs="FrankRuehl"/>
          <w:bCs/>
          <w:spacing w:val="40"/>
          <w:sz w:val="18"/>
          <w:szCs w:val="22"/>
          <w:rtl/>
        </w:rPr>
        <w:t xml:space="preserve"> </w:t>
      </w:r>
      <w:r w:rsidRPr="00F41E78">
        <w:rPr>
          <w:rFonts w:cs="FrankRuehl" w:hint="eastAsia"/>
          <w:bCs/>
          <w:spacing w:val="40"/>
          <w:sz w:val="18"/>
          <w:szCs w:val="22"/>
          <w:rtl/>
        </w:rPr>
        <w:t>שכר</w:t>
      </w:r>
      <w:r w:rsidRPr="00F41E78">
        <w:rPr>
          <w:rFonts w:cs="FrankRuehl"/>
          <w:bCs/>
          <w:spacing w:val="40"/>
          <w:sz w:val="18"/>
          <w:szCs w:val="22"/>
          <w:rtl/>
        </w:rPr>
        <w:t xml:space="preserve"> </w:t>
      </w:r>
      <w:r w:rsidRPr="00F41E78">
        <w:rPr>
          <w:rFonts w:cs="FrankRuehl" w:hint="eastAsia"/>
          <w:bCs/>
          <w:spacing w:val="40"/>
          <w:sz w:val="18"/>
          <w:szCs w:val="22"/>
          <w:rtl/>
        </w:rPr>
        <w:t>דירה</w:t>
      </w:r>
      <w:r w:rsidRPr="00F41E78">
        <w:rPr>
          <w:rFonts w:cs="FrankRuehl"/>
          <w:bCs/>
          <w:spacing w:val="40"/>
          <w:sz w:val="18"/>
          <w:szCs w:val="22"/>
          <w:rtl/>
        </w:rPr>
        <w:t xml:space="preserve"> (ינואר 2008</w:t>
      </w:r>
      <w:r w:rsidRPr="00F41E78">
        <w:rPr>
          <w:rFonts w:cs="FrankRuehl" w:hint="cs"/>
          <w:bCs/>
          <w:spacing w:val="40"/>
          <w:sz w:val="18"/>
          <w:szCs w:val="22"/>
          <w:rtl/>
        </w:rPr>
        <w:t xml:space="preserve"> -</w:t>
      </w:r>
      <w:r w:rsidRPr="00F41E78" w:rsidR="007147BC">
        <w:rPr>
          <w:rFonts w:cs="FrankRuehl" w:hint="cs"/>
          <w:bCs/>
          <w:spacing w:val="40"/>
          <w:sz w:val="18"/>
          <w:szCs w:val="22"/>
          <w:rtl/>
        </w:rPr>
        <w:t xml:space="preserve"> </w:t>
      </w:r>
      <w:r w:rsidRPr="00F41E78">
        <w:rPr>
          <w:rFonts w:cs="FrankRuehl" w:hint="cs"/>
          <w:bCs/>
          <w:spacing w:val="40"/>
          <w:sz w:val="18"/>
          <w:szCs w:val="22"/>
          <w:rtl/>
        </w:rPr>
        <w:t>ד</w:t>
      </w:r>
      <w:r w:rsidRPr="00F41E78">
        <w:rPr>
          <w:rFonts w:cs="FrankRuehl" w:hint="eastAsia"/>
          <w:bCs/>
          <w:spacing w:val="40"/>
          <w:sz w:val="18"/>
          <w:szCs w:val="22"/>
          <w:rtl/>
        </w:rPr>
        <w:t>צמבר</w:t>
      </w:r>
      <w:r w:rsidRPr="00F41E78">
        <w:rPr>
          <w:rFonts w:cs="FrankRuehl"/>
          <w:bCs/>
          <w:spacing w:val="40"/>
          <w:sz w:val="18"/>
          <w:szCs w:val="22"/>
          <w:rtl/>
        </w:rPr>
        <w:t xml:space="preserve"> 2013)</w:t>
      </w:r>
      <w:bookmarkEnd w:id="21"/>
      <w:r w:rsidRPr="00F41E78">
        <w:rPr>
          <w:rFonts w:cs="FrankRuehl"/>
          <w:bCs/>
          <w:spacing w:val="40"/>
          <w:sz w:val="18"/>
          <w:szCs w:val="22"/>
          <w:rtl/>
        </w:rPr>
        <w:t>:</w:t>
      </w:r>
      <w:r w:rsidRPr="005C1154">
        <w:rPr>
          <w:rFonts w:cs="FrankRuehl"/>
          <w:spacing w:val="40"/>
          <w:sz w:val="18"/>
          <w:szCs w:val="22"/>
          <w:rtl/>
          <w:lang w:eastAsia="he-IL"/>
        </w:rPr>
        <w:t xml:space="preserve"> </w:t>
      </w:r>
      <w:r w:rsidRPr="00F41E78">
        <w:rPr>
          <w:rFonts w:cs="FrankRuehl" w:hint="cs"/>
          <w:sz w:val="18"/>
          <w:szCs w:val="22"/>
          <w:rtl/>
          <w:lang w:eastAsia="he-IL"/>
        </w:rPr>
        <w:t>שכירת דירת מגורים משמשת פתרון דיור לקשת רחבה של משקי בית, חלקם המתקשים לרכוש דירה. על פי נתוני הלמ"ס</w:t>
      </w:r>
      <w:r>
        <w:rPr>
          <w:rFonts w:cs="FrankRuehl"/>
          <w:sz w:val="18"/>
          <w:szCs w:val="22"/>
          <w:vertAlign w:val="superscript"/>
          <w:rtl/>
          <w:lang w:eastAsia="he-IL"/>
        </w:rPr>
        <w:footnoteReference w:id="25"/>
      </w:r>
      <w:r w:rsidRPr="00F41E78">
        <w:rPr>
          <w:rFonts w:cs="FrankRuehl" w:hint="cs"/>
          <w:sz w:val="18"/>
          <w:szCs w:val="22"/>
          <w:rtl/>
          <w:lang w:eastAsia="he-IL"/>
        </w:rPr>
        <w:t xml:space="preserve"> לשנת 2012, כ-610,000</w:t>
      </w:r>
      <w:r>
        <w:rPr>
          <w:rFonts w:cs="FrankRuehl"/>
          <w:sz w:val="18"/>
          <w:szCs w:val="22"/>
          <w:vertAlign w:val="superscript"/>
          <w:rtl/>
          <w:lang w:eastAsia="he-IL"/>
        </w:rPr>
        <w:footnoteReference w:id="26"/>
      </w:r>
      <w:r w:rsidRPr="00F41E78">
        <w:rPr>
          <w:rFonts w:cs="FrankRuehl" w:hint="cs"/>
          <w:sz w:val="18"/>
          <w:szCs w:val="22"/>
          <w:rtl/>
          <w:lang w:eastAsia="he-IL"/>
        </w:rPr>
        <w:t xml:space="preserve"> (כ-27%) מכלל משקי הבית </w:t>
      </w:r>
      <w:r w:rsidRPr="00F41E78">
        <w:rPr>
          <w:rFonts w:cs="FrankRuehl"/>
          <w:sz w:val="18"/>
          <w:szCs w:val="22"/>
          <w:rtl/>
          <w:lang w:eastAsia="he-IL"/>
        </w:rPr>
        <w:t>גר</w:t>
      </w:r>
      <w:r w:rsidRPr="00F41E78">
        <w:rPr>
          <w:rFonts w:cs="FrankRuehl" w:hint="cs"/>
          <w:sz w:val="18"/>
          <w:szCs w:val="22"/>
          <w:rtl/>
          <w:lang w:eastAsia="he-IL"/>
        </w:rPr>
        <w:t>ו</w:t>
      </w:r>
      <w:r w:rsidRPr="00F41E78">
        <w:rPr>
          <w:rFonts w:cs="FrankRuehl"/>
          <w:sz w:val="18"/>
          <w:szCs w:val="22"/>
          <w:rtl/>
          <w:lang w:eastAsia="he-IL"/>
        </w:rPr>
        <w:t xml:space="preserve"> בדירות </w:t>
      </w:r>
      <w:r w:rsidRPr="00F41E78">
        <w:rPr>
          <w:rFonts w:cs="FrankRuehl" w:hint="cs"/>
          <w:sz w:val="18"/>
          <w:szCs w:val="22"/>
          <w:rtl/>
          <w:lang w:eastAsia="he-IL"/>
        </w:rPr>
        <w:t>שכורות</w:t>
      </w:r>
      <w:r w:rsidRPr="00F41E78">
        <w:rPr>
          <w:rFonts w:cs="FrankRuehl"/>
          <w:sz w:val="18"/>
          <w:szCs w:val="22"/>
          <w:rtl/>
          <w:lang w:eastAsia="he-IL"/>
        </w:rPr>
        <w:t xml:space="preserve"> </w:t>
      </w:r>
      <w:r w:rsidRPr="00F41E78">
        <w:rPr>
          <w:rFonts w:cs="FrankRuehl" w:hint="cs"/>
          <w:sz w:val="18"/>
          <w:szCs w:val="22"/>
          <w:rtl/>
          <w:lang w:eastAsia="he-IL"/>
        </w:rPr>
        <w:t xml:space="preserve">ורובם, </w:t>
      </w:r>
      <w:r w:rsidR="0081651E">
        <w:rPr>
          <w:rFonts w:cs="FrankRuehl"/>
          <w:sz w:val="18"/>
          <w:szCs w:val="22"/>
          <w:lang w:eastAsia="he-IL"/>
        </w:rPr>
        <w:br/>
      </w:r>
      <w:r w:rsidRPr="00F41E78">
        <w:rPr>
          <w:rFonts w:cs="FrankRuehl" w:hint="cs"/>
          <w:sz w:val="18"/>
          <w:szCs w:val="22"/>
          <w:rtl/>
          <w:lang w:eastAsia="he-IL"/>
        </w:rPr>
        <w:t>כ-357,600</w:t>
      </w:r>
      <w:r>
        <w:rPr>
          <w:rFonts w:cs="FrankRuehl"/>
          <w:sz w:val="18"/>
          <w:szCs w:val="22"/>
          <w:vertAlign w:val="superscript"/>
          <w:rtl/>
          <w:lang w:eastAsia="he-IL"/>
        </w:rPr>
        <w:footnoteReference w:id="27"/>
      </w:r>
      <w:r w:rsidRPr="00F41E78">
        <w:rPr>
          <w:rFonts w:cs="FrankRuehl"/>
          <w:sz w:val="18"/>
          <w:szCs w:val="22"/>
          <w:rtl/>
          <w:lang w:eastAsia="he-IL"/>
        </w:rPr>
        <w:t xml:space="preserve"> </w:t>
      </w:r>
      <w:r w:rsidRPr="00F41E78">
        <w:rPr>
          <w:rFonts w:cs="FrankRuehl" w:hint="cs"/>
          <w:sz w:val="18"/>
          <w:szCs w:val="22"/>
          <w:rtl/>
          <w:lang w:eastAsia="he-IL"/>
        </w:rPr>
        <w:t>(</w:t>
      </w:r>
      <w:r w:rsidRPr="00F41E78">
        <w:rPr>
          <w:rFonts w:cs="FrankRuehl"/>
          <w:sz w:val="18"/>
          <w:szCs w:val="22"/>
          <w:rtl/>
          <w:lang w:eastAsia="he-IL"/>
        </w:rPr>
        <w:t>כ-</w:t>
      </w:r>
      <w:r w:rsidRPr="00F41E78">
        <w:rPr>
          <w:rFonts w:cs="FrankRuehl" w:hint="cs"/>
          <w:sz w:val="18"/>
          <w:szCs w:val="22"/>
          <w:rtl/>
          <w:lang w:eastAsia="he-IL"/>
        </w:rPr>
        <w:t>58</w:t>
      </w:r>
      <w:r w:rsidRPr="00F41E78">
        <w:rPr>
          <w:rFonts w:cs="FrankRuehl"/>
          <w:sz w:val="18"/>
          <w:szCs w:val="22"/>
          <w:rtl/>
          <w:lang w:eastAsia="he-IL"/>
        </w:rPr>
        <w:t>%</w:t>
      </w:r>
      <w:r w:rsidRPr="00F41E78">
        <w:rPr>
          <w:rFonts w:cs="FrankRuehl" w:hint="cs"/>
          <w:sz w:val="18"/>
          <w:szCs w:val="22"/>
          <w:rtl/>
          <w:lang w:eastAsia="he-IL"/>
        </w:rPr>
        <w:t>) מ</w:t>
      </w:r>
      <w:r w:rsidRPr="00F41E78">
        <w:rPr>
          <w:rFonts w:cs="FrankRuehl"/>
          <w:sz w:val="18"/>
          <w:szCs w:val="22"/>
          <w:rtl/>
          <w:lang w:eastAsia="he-IL"/>
        </w:rPr>
        <w:t xml:space="preserve">משקי </w:t>
      </w:r>
      <w:r w:rsidRPr="00F41E78">
        <w:rPr>
          <w:rFonts w:cs="FrankRuehl" w:hint="cs"/>
          <w:sz w:val="18"/>
          <w:szCs w:val="22"/>
          <w:rtl/>
          <w:lang w:eastAsia="he-IL"/>
        </w:rPr>
        <w:t>ה</w:t>
      </w:r>
      <w:r w:rsidRPr="00F41E78">
        <w:rPr>
          <w:rFonts w:cs="FrankRuehl"/>
          <w:sz w:val="18"/>
          <w:szCs w:val="22"/>
          <w:rtl/>
          <w:lang w:eastAsia="he-IL"/>
        </w:rPr>
        <w:t>בית</w:t>
      </w:r>
      <w:r w:rsidRPr="00F41E78">
        <w:rPr>
          <w:rFonts w:cs="FrankRuehl" w:hint="cs"/>
          <w:sz w:val="18"/>
          <w:szCs w:val="22"/>
          <w:rtl/>
          <w:lang w:eastAsia="he-IL"/>
        </w:rPr>
        <w:t>, השתייכו</w:t>
      </w:r>
      <w:r w:rsidRPr="00F41E78">
        <w:rPr>
          <w:rFonts w:cs="FrankRuehl"/>
          <w:sz w:val="18"/>
          <w:szCs w:val="22"/>
          <w:rtl/>
          <w:lang w:eastAsia="he-IL"/>
        </w:rPr>
        <w:t xml:space="preserve"> ל</w:t>
      </w:r>
      <w:r w:rsidRPr="00F41E78">
        <w:rPr>
          <w:rFonts w:cs="FrankRuehl" w:hint="cs"/>
          <w:sz w:val="18"/>
          <w:szCs w:val="22"/>
          <w:rtl/>
          <w:lang w:eastAsia="he-IL"/>
        </w:rPr>
        <w:t>ארבעת ה</w:t>
      </w:r>
      <w:r w:rsidRPr="00F41E78">
        <w:rPr>
          <w:rFonts w:cs="FrankRuehl"/>
          <w:sz w:val="18"/>
          <w:szCs w:val="22"/>
          <w:rtl/>
          <w:lang w:eastAsia="he-IL"/>
        </w:rPr>
        <w:t>עשירונים</w:t>
      </w:r>
      <w:r w:rsidRPr="00F41E78">
        <w:rPr>
          <w:rFonts w:cs="FrankRuehl" w:hint="cs"/>
          <w:sz w:val="18"/>
          <w:szCs w:val="22"/>
          <w:rtl/>
          <w:lang w:eastAsia="he-IL"/>
        </w:rPr>
        <w:t xml:space="preserve"> הנמוכים בדירוג גובה ההכנסה החודשית</w:t>
      </w:r>
      <w:r>
        <w:rPr>
          <w:rFonts w:cs="FrankRuehl"/>
          <w:sz w:val="18"/>
          <w:szCs w:val="22"/>
          <w:vertAlign w:val="superscript"/>
          <w:rtl/>
          <w:lang w:eastAsia="he-IL"/>
        </w:rPr>
        <w:footnoteReference w:id="28"/>
      </w:r>
      <w:r w:rsidRPr="00F41E78">
        <w:rPr>
          <w:rFonts w:cs="FrankRuehl" w:hint="cs"/>
          <w:sz w:val="18"/>
          <w:szCs w:val="22"/>
          <w:rtl/>
          <w:lang w:eastAsia="he-IL"/>
        </w:rPr>
        <w:t xml:space="preserve">.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מנתוני הלמ"ס עולה כי בד בבד עם העלייה הניכרת במחירי הדירות לרכישה, המתוארת לעיל, עלו בתקופה הנסקרת </w:t>
      </w:r>
      <w:r w:rsidRPr="00F41E78">
        <w:rPr>
          <w:rFonts w:cs="FrankRuehl"/>
          <w:sz w:val="18"/>
          <w:szCs w:val="22"/>
          <w:rtl/>
          <w:lang w:eastAsia="he-IL"/>
        </w:rPr>
        <w:t xml:space="preserve">גם מחירי שכר </w:t>
      </w:r>
      <w:r w:rsidRPr="00F41E78">
        <w:rPr>
          <w:rFonts w:cs="FrankRuehl" w:hint="cs"/>
          <w:sz w:val="18"/>
          <w:szCs w:val="22"/>
          <w:rtl/>
          <w:lang w:eastAsia="he-IL"/>
        </w:rPr>
        <w:t>ה</w:t>
      </w:r>
      <w:r w:rsidRPr="00F41E78">
        <w:rPr>
          <w:rFonts w:cs="FrankRuehl"/>
          <w:sz w:val="18"/>
          <w:szCs w:val="22"/>
          <w:rtl/>
          <w:lang w:eastAsia="he-IL"/>
        </w:rPr>
        <w:t>דירה</w:t>
      </w:r>
      <w:r w:rsidRPr="00F41E78">
        <w:rPr>
          <w:rFonts w:cs="FrankRuehl" w:hint="cs"/>
          <w:sz w:val="18"/>
          <w:szCs w:val="22"/>
          <w:rtl/>
          <w:lang w:eastAsia="he-IL"/>
        </w:rPr>
        <w:t>.</w:t>
      </w:r>
    </w:p>
    <w:p w:rsidR="00813F66" w:rsidRPr="00687567" w:rsidP="004256B4">
      <w:pPr>
        <w:spacing w:after="240" w:line="240" w:lineRule="atLeast"/>
        <w:jc w:val="center"/>
        <w:rPr>
          <w:rFonts w:ascii="Arial" w:hAnsi="Arial" w:cs="Arial"/>
          <w:szCs w:val="20"/>
          <w:rtl/>
          <w:lang w:eastAsia="he-IL"/>
        </w:rPr>
      </w:pPr>
      <w:r>
        <w:rPr>
          <w:rFonts w:ascii="Arial" w:hAnsi="Arial" w:cs="Arial"/>
          <w:noProof/>
        </w:rPr>
        <w:pict>
          <v:shape id="_x0000_i1030" type="#_x0000_t75" style="width:340pt;height:204.5pt">
            <v:imagedata r:id="rId18" o:title="A1-3-Cx"/>
          </v:shape>
        </w:pict>
      </w:r>
    </w:p>
    <w:p w:rsidR="00D22B16" w:rsidRPr="00F41E78" w:rsidP="00D22B16">
      <w:pPr>
        <w:pStyle w:val="RESHET"/>
        <w:keepLines/>
      </w:pPr>
      <w:r w:rsidRPr="00F41E78">
        <w:rPr>
          <w:rFonts w:hint="cs"/>
          <w:rtl/>
        </w:rPr>
        <w:t xml:space="preserve">מתרשים זה עולה כי בשנת 2013 עמד שכר הדירה על 3,497 ש"ח לחודש בממוצע לעומת 2,330 ש"ח בשנת 2008. כלומר, מדובר בעלייה של כ-50% ובמונחים ריאליים עלייה של 30%). </w:t>
      </w:r>
    </w:p>
    <w:p w:rsidR="00D22B16" w:rsidRPr="00F41E78" w:rsidP="00D22B16">
      <w:pPr>
        <w:pStyle w:val="RESHET"/>
        <w:keepLines/>
        <w:rPr>
          <w:rtl/>
        </w:rPr>
      </w:pPr>
      <w:r w:rsidRPr="00F41E78">
        <w:rPr>
          <w:rFonts w:hint="cs"/>
          <w:rtl/>
        </w:rPr>
        <w:t xml:space="preserve">עוד עולה מהתרשים כי בשנת 2013 עמד שכר הדירה החודשי </w:t>
      </w:r>
      <w:r w:rsidRPr="00F41E78">
        <w:rPr>
          <w:rFonts w:hint="eastAsia"/>
          <w:rtl/>
        </w:rPr>
        <w:t>הממוצע</w:t>
      </w:r>
      <w:r w:rsidRPr="00F41E78">
        <w:rPr>
          <w:rFonts w:hint="cs"/>
          <w:rtl/>
        </w:rPr>
        <w:t xml:space="preserve"> ביישובי המרכז על 4,047 ש"ח לעומת 2,303 ש''ח ביישובי הפריפריה (נמוך בכ-43%).</w:t>
      </w:r>
    </w:p>
    <w:p w:rsidR="00E97EDA" w:rsidRPr="00F41E78" w:rsidP="00F41E78">
      <w:pPr>
        <w:spacing w:after="120" w:line="230" w:lineRule="exact"/>
        <w:ind w:left="12"/>
        <w:jc w:val="both"/>
        <w:rPr>
          <w:rFonts w:cs="FrankRuehl"/>
          <w:b/>
          <w:bCs/>
          <w:sz w:val="18"/>
          <w:szCs w:val="22"/>
          <w:rtl/>
          <w:lang w:eastAsia="he-IL"/>
        </w:rPr>
      </w:pPr>
    </w:p>
    <w:p w:rsidR="00E97EDA" w:rsidRPr="00E719A9" w:rsidP="007147BC">
      <w:pPr>
        <w:pStyle w:val="KOT5"/>
        <w:rPr>
          <w:rtl/>
          <w:lang w:eastAsia="he-IL"/>
        </w:rPr>
      </w:pPr>
      <w:bookmarkStart w:id="22" w:name="_Toc363734798"/>
      <w:bookmarkStart w:id="23" w:name="_Toc363738639"/>
      <w:bookmarkStart w:id="24" w:name="_Toc389492343"/>
      <w:r w:rsidRPr="00E719A9">
        <w:rPr>
          <w:rFonts w:hint="cs"/>
          <w:rtl/>
          <w:lang w:eastAsia="he-IL"/>
        </w:rPr>
        <w:t>נטל הוצאות הדיור על משקי הבית</w:t>
      </w:r>
      <w:bookmarkEnd w:id="22"/>
      <w:bookmarkEnd w:id="23"/>
      <w:bookmarkEnd w:id="24"/>
    </w:p>
    <w:p w:rsidR="00E97EDA" w:rsidRPr="00F41E78" w:rsidP="00F41E78">
      <w:pPr>
        <w:spacing w:after="120" w:line="230" w:lineRule="exact"/>
        <w:jc w:val="both"/>
        <w:outlineLvl w:val="4"/>
        <w:rPr>
          <w:rFonts w:cs="FrankRuehl"/>
          <w:sz w:val="18"/>
          <w:szCs w:val="22"/>
          <w:rtl/>
        </w:rPr>
      </w:pPr>
      <w:r w:rsidRPr="00F41E78">
        <w:rPr>
          <w:rFonts w:cs="FrankRuehl" w:hint="eastAsia"/>
          <w:bCs/>
          <w:spacing w:val="40"/>
          <w:sz w:val="18"/>
          <w:szCs w:val="22"/>
          <w:rtl/>
        </w:rPr>
        <w:t>היעדר</w:t>
      </w:r>
      <w:r w:rsidRPr="00F41E78">
        <w:rPr>
          <w:rFonts w:cs="FrankRuehl"/>
          <w:bCs/>
          <w:spacing w:val="40"/>
          <w:sz w:val="18"/>
          <w:szCs w:val="22"/>
          <w:rtl/>
        </w:rPr>
        <w:t xml:space="preserve"> נתונים ומתודולוגיה הנדרשים </w:t>
      </w:r>
      <w:r w:rsidRPr="00F41E78">
        <w:rPr>
          <w:rFonts w:cs="FrankRuehl" w:hint="eastAsia"/>
          <w:bCs/>
          <w:spacing w:val="40"/>
          <w:sz w:val="18"/>
          <w:szCs w:val="22"/>
          <w:rtl/>
        </w:rPr>
        <w:t>ל</w:t>
      </w:r>
      <w:r w:rsidRPr="00F41E78">
        <w:rPr>
          <w:rFonts w:cs="FrankRuehl" w:hint="cs"/>
          <w:bCs/>
          <w:spacing w:val="40"/>
          <w:sz w:val="18"/>
          <w:szCs w:val="22"/>
          <w:rtl/>
        </w:rPr>
        <w:t>אומדן</w:t>
      </w:r>
      <w:r w:rsidRPr="00F41E78">
        <w:rPr>
          <w:rFonts w:cs="FrankRuehl"/>
          <w:bCs/>
          <w:spacing w:val="40"/>
          <w:sz w:val="18"/>
          <w:szCs w:val="22"/>
          <w:rtl/>
        </w:rPr>
        <w:t xml:space="preserve"> </w:t>
      </w:r>
      <w:r w:rsidRPr="00F41E78">
        <w:rPr>
          <w:rFonts w:cs="FrankRuehl" w:hint="eastAsia"/>
          <w:bCs/>
          <w:spacing w:val="40"/>
          <w:sz w:val="18"/>
          <w:szCs w:val="22"/>
          <w:rtl/>
        </w:rPr>
        <w:t>הוצאות</w:t>
      </w:r>
      <w:r w:rsidRPr="00F41E78">
        <w:rPr>
          <w:rFonts w:cs="FrankRuehl"/>
          <w:bCs/>
          <w:spacing w:val="40"/>
          <w:sz w:val="18"/>
          <w:szCs w:val="22"/>
          <w:rtl/>
        </w:rPr>
        <w:t xml:space="preserve"> </w:t>
      </w:r>
      <w:r w:rsidRPr="00F41E78">
        <w:rPr>
          <w:rFonts w:cs="FrankRuehl" w:hint="eastAsia"/>
          <w:bCs/>
          <w:spacing w:val="40"/>
          <w:sz w:val="18"/>
          <w:szCs w:val="22"/>
          <w:rtl/>
        </w:rPr>
        <w:t>הדיור</w:t>
      </w:r>
      <w:r w:rsidRPr="00F41E78">
        <w:rPr>
          <w:rFonts w:cs="FrankRuehl"/>
          <w:bCs/>
          <w:spacing w:val="40"/>
          <w:sz w:val="18"/>
          <w:szCs w:val="22"/>
          <w:rtl/>
        </w:rPr>
        <w:t xml:space="preserve">: </w:t>
      </w:r>
      <w:r w:rsidRPr="00F41E78">
        <w:rPr>
          <w:rFonts w:cs="FrankRuehl" w:hint="cs"/>
          <w:sz w:val="18"/>
          <w:szCs w:val="22"/>
          <w:rtl/>
          <w:lang w:eastAsia="he-IL"/>
        </w:rPr>
        <w:t>בחינה של היחס בין הוצאות דיור של משק הבית ובין כלל הוצאותיו או סך הכנסתיו נטו עשויה לספק אינדיקטורים תקפים ואמינים בנוגע לנטל הוצאות הדיור של משקי הבית.</w:t>
      </w:r>
      <w:r w:rsidRPr="00F41E78">
        <w:rPr>
          <w:rFonts w:cs="FrankRuehl"/>
          <w:sz w:val="18"/>
          <w:szCs w:val="22"/>
          <w:rtl/>
        </w:rPr>
        <w:t xml:space="preserve"> </w:t>
      </w:r>
      <w:r w:rsidRPr="00F41E78">
        <w:rPr>
          <w:rFonts w:cs="FrankRuehl" w:hint="eastAsia"/>
          <w:sz w:val="18"/>
          <w:szCs w:val="22"/>
          <w:rtl/>
          <w:lang w:eastAsia="he-IL"/>
        </w:rPr>
        <w:t>נטל</w:t>
      </w:r>
      <w:r w:rsidRPr="00F41E78">
        <w:rPr>
          <w:rFonts w:cs="FrankRuehl"/>
          <w:sz w:val="18"/>
          <w:szCs w:val="22"/>
          <w:rtl/>
          <w:lang w:eastAsia="he-IL"/>
        </w:rPr>
        <w:t xml:space="preserve"> הוצאות דיור ששיעורו גבוה מ-30% מסך ההכנסה נטו </w:t>
      </w:r>
      <w:r w:rsidRPr="00F41E78">
        <w:rPr>
          <w:rFonts w:cs="FrankRuehl" w:hint="eastAsia"/>
          <w:sz w:val="18"/>
          <w:szCs w:val="22"/>
          <w:rtl/>
          <w:lang w:eastAsia="he-IL"/>
        </w:rPr>
        <w:t>נתפס</w:t>
      </w:r>
      <w:r w:rsidRPr="00F41E78">
        <w:rPr>
          <w:rFonts w:cs="FrankRuehl"/>
          <w:sz w:val="18"/>
          <w:szCs w:val="22"/>
          <w:rtl/>
          <w:lang w:eastAsia="he-IL"/>
        </w:rPr>
        <w:t xml:space="preserve"> כנטל </w:t>
      </w:r>
      <w:r w:rsidRPr="00F41E78">
        <w:rPr>
          <w:rFonts w:cs="FrankRuehl" w:hint="eastAsia"/>
          <w:sz w:val="18"/>
          <w:szCs w:val="22"/>
          <w:rtl/>
          <w:lang w:eastAsia="he-IL"/>
        </w:rPr>
        <w:t>העלול</w:t>
      </w:r>
      <w:r w:rsidRPr="00F41E78">
        <w:rPr>
          <w:rFonts w:cs="FrankRuehl"/>
          <w:sz w:val="18"/>
          <w:szCs w:val="22"/>
          <w:rtl/>
          <w:lang w:eastAsia="he-IL"/>
        </w:rPr>
        <w:t xml:space="preserve"> לפגוע </w:t>
      </w:r>
      <w:r w:rsidRPr="00F41E78">
        <w:rPr>
          <w:rFonts w:cs="FrankRuehl" w:hint="cs"/>
          <w:sz w:val="18"/>
          <w:szCs w:val="22"/>
          <w:rtl/>
          <w:lang w:eastAsia="he-IL"/>
        </w:rPr>
        <w:t>ביכולת לממן צרכים חיוניים</w:t>
      </w:r>
      <w:r>
        <w:rPr>
          <w:rFonts w:cs="FrankRuehl"/>
          <w:sz w:val="18"/>
          <w:szCs w:val="22"/>
          <w:vertAlign w:val="superscript"/>
          <w:rtl/>
          <w:lang w:eastAsia="he-IL"/>
        </w:rPr>
        <w:footnoteReference w:id="29"/>
      </w:r>
      <w:r w:rsidRPr="00F41E78">
        <w:rPr>
          <w:rFonts w:cs="FrankRuehl" w:hint="cs"/>
          <w:sz w:val="18"/>
          <w:szCs w:val="22"/>
          <w:rtl/>
          <w:lang w:eastAsia="he-IL"/>
        </w:rPr>
        <w:t xml:space="preserve"> ומכאן לפגוע </w:t>
      </w:r>
      <w:r w:rsidRPr="00F41E78">
        <w:rPr>
          <w:rFonts w:cs="FrankRuehl"/>
          <w:sz w:val="18"/>
          <w:szCs w:val="22"/>
          <w:rtl/>
          <w:lang w:eastAsia="he-IL"/>
        </w:rPr>
        <w:t xml:space="preserve">פגיעה </w:t>
      </w:r>
      <w:r w:rsidRPr="00F41E78">
        <w:rPr>
          <w:rFonts w:cs="FrankRuehl" w:hint="cs"/>
          <w:sz w:val="18"/>
          <w:szCs w:val="22"/>
          <w:rtl/>
          <w:lang w:eastAsia="he-IL"/>
        </w:rPr>
        <w:t>של ממש</w:t>
      </w:r>
      <w:r w:rsidRPr="00F41E78">
        <w:rPr>
          <w:rFonts w:cs="FrankRuehl"/>
          <w:sz w:val="18"/>
          <w:szCs w:val="22"/>
          <w:rtl/>
          <w:lang w:eastAsia="he-IL"/>
        </w:rPr>
        <w:t xml:space="preserve"> ברמת חייו ובאיתנותו הפיננסית של משק הבית.</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מנתוני הלמ"ס המובאים בסקר השנתי של הוצאות משק הבית, שכותרתו "צריכת שירותי דיור"</w:t>
      </w:r>
      <w:r>
        <w:rPr>
          <w:rFonts w:cs="FrankRuehl"/>
          <w:sz w:val="18"/>
          <w:szCs w:val="22"/>
          <w:vertAlign w:val="superscript"/>
          <w:rtl/>
          <w:lang w:eastAsia="he-IL"/>
        </w:rPr>
        <w:footnoteReference w:id="30"/>
      </w:r>
      <w:r w:rsidRPr="00F41E78">
        <w:rPr>
          <w:rFonts w:cs="FrankRuehl" w:hint="cs"/>
          <w:sz w:val="18"/>
          <w:szCs w:val="22"/>
          <w:rtl/>
          <w:lang w:eastAsia="he-IL"/>
        </w:rPr>
        <w:t xml:space="preserve"> עולה כלהלן:</w:t>
      </w:r>
    </w:p>
    <w:p w:rsidR="00E97EDA" w:rsidRPr="00F41E78" w:rsidP="004256B4">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1.</w:t>
      </w:r>
      <w:r w:rsidRPr="00F41E78">
        <w:rPr>
          <w:rFonts w:cs="FrankRuehl" w:hint="cs"/>
          <w:sz w:val="18"/>
          <w:szCs w:val="22"/>
          <w:rtl/>
          <w:lang w:eastAsia="he-IL"/>
        </w:rPr>
        <w:tab/>
        <w:t>הלמ"ס מחשבת את ההוצאה של משקי הבית שגרים בדירות בבעלותם עבור "צריכת שירותי דיור" על פי ההוצאה עבור שכר דירה בדירות חלופיות שוות בשטחן באותם יישובים או באזורים דומים בארץ. אין הלמ"ס נוגעת בעלויות בפועל המוטלות על משק בית המתגורר בדירה שבבעלותו. מכיוון שכך, הנתונים ש</w:t>
      </w:r>
      <w:r w:rsidR="008E4F38">
        <w:rPr>
          <w:rFonts w:cs="FrankRuehl" w:hint="cs"/>
          <w:sz w:val="18"/>
          <w:szCs w:val="22"/>
          <w:rtl/>
          <w:lang w:eastAsia="he-IL"/>
        </w:rPr>
        <w:t>ה</w:t>
      </w:r>
      <w:r w:rsidRPr="00F41E78">
        <w:rPr>
          <w:rFonts w:cs="FrankRuehl" w:hint="cs"/>
          <w:sz w:val="18"/>
          <w:szCs w:val="22"/>
          <w:rtl/>
          <w:lang w:eastAsia="he-IL"/>
        </w:rPr>
        <w:t>למ"ס מפרסמת בנוגע להוצאות הדיור של משקי הבית המתגוררים בדירות שבבעלותם אינם משקפים בהכרח את הוצאותיהם בפועל.</w:t>
      </w:r>
    </w:p>
    <w:p w:rsidR="00E97EDA" w:rsidRPr="00F41E78" w:rsidP="004256B4">
      <w:pPr>
        <w:spacing w:after="240" w:line="230" w:lineRule="exact"/>
        <w:ind w:left="340" w:hanging="340"/>
        <w:jc w:val="both"/>
        <w:rPr>
          <w:rFonts w:cs="FrankRuehl"/>
          <w:sz w:val="18"/>
          <w:szCs w:val="22"/>
          <w:rtl/>
          <w:lang w:eastAsia="he-IL"/>
        </w:rPr>
      </w:pPr>
      <w:r w:rsidRPr="00F41E78">
        <w:rPr>
          <w:rFonts w:cs="FrankRuehl" w:hint="cs"/>
          <w:sz w:val="18"/>
          <w:szCs w:val="22"/>
          <w:rtl/>
          <w:lang w:eastAsia="he-IL"/>
        </w:rPr>
        <w:t>2.</w:t>
      </w:r>
      <w:r w:rsidRPr="00F41E78">
        <w:rPr>
          <w:rFonts w:cs="FrankRuehl" w:hint="cs"/>
          <w:sz w:val="18"/>
          <w:szCs w:val="22"/>
          <w:rtl/>
          <w:lang w:eastAsia="he-IL"/>
        </w:rPr>
        <w:tab/>
        <w:t xml:space="preserve">נתוני הלמ"ס המוצגים בסקר הוצאות משק הבית מוצגים </w:t>
      </w:r>
      <w:r w:rsidRPr="00F41E78">
        <w:rPr>
          <w:rFonts w:cs="FrankRuehl" w:hint="cs"/>
          <w:sz w:val="18"/>
          <w:szCs w:val="22"/>
          <w:u w:val="single"/>
          <w:rtl/>
          <w:lang w:eastAsia="he-IL"/>
        </w:rPr>
        <w:t>כממוצע</w:t>
      </w:r>
      <w:r w:rsidRPr="00F41E78">
        <w:rPr>
          <w:rFonts w:cs="FrankRuehl" w:hint="cs"/>
          <w:sz w:val="18"/>
          <w:szCs w:val="22"/>
          <w:rtl/>
          <w:lang w:eastAsia="he-IL"/>
        </w:rPr>
        <w:t xml:space="preserve">, ואין הם מאפשרים לזהות את היקף משקי הבית שהוצאותיהם על דיור הם מעבר לרף של 30% שכאמור, משקי הבית העוברים אותו עלולים להימצא בסיכון </w:t>
      </w:r>
      <w:r w:rsidRPr="00F41E78">
        <w:rPr>
          <w:rFonts w:cs="FrankRuehl" w:hint="eastAsia"/>
          <w:sz w:val="18"/>
          <w:szCs w:val="22"/>
          <w:rtl/>
          <w:lang w:eastAsia="he-IL"/>
        </w:rPr>
        <w:t>מבחינת</w:t>
      </w:r>
      <w:r w:rsidRPr="00F41E78">
        <w:rPr>
          <w:rFonts w:cs="FrankRuehl"/>
          <w:sz w:val="18"/>
          <w:szCs w:val="22"/>
          <w:rtl/>
          <w:lang w:eastAsia="he-IL"/>
        </w:rPr>
        <w:t xml:space="preserve"> </w:t>
      </w:r>
      <w:r w:rsidRPr="00F41E78">
        <w:rPr>
          <w:rFonts w:cs="FrankRuehl" w:hint="cs"/>
          <w:sz w:val="18"/>
          <w:szCs w:val="22"/>
          <w:rtl/>
          <w:lang w:eastAsia="he-IL"/>
        </w:rPr>
        <w:t xml:space="preserve">איתנותם הפיננסית </w:t>
      </w:r>
      <w:r w:rsidRPr="00F41E78">
        <w:rPr>
          <w:rFonts w:cs="FrankRuehl" w:hint="eastAsia"/>
          <w:sz w:val="18"/>
          <w:szCs w:val="22"/>
          <w:rtl/>
          <w:lang w:eastAsia="he-IL"/>
        </w:rPr>
        <w:t>ו</w:t>
      </w:r>
      <w:r w:rsidRPr="00F41E78">
        <w:rPr>
          <w:rFonts w:cs="FrankRuehl" w:hint="cs"/>
          <w:sz w:val="18"/>
          <w:szCs w:val="22"/>
          <w:rtl/>
          <w:lang w:eastAsia="he-IL"/>
        </w:rPr>
        <w:t xml:space="preserve">רווחתם. </w:t>
      </w:r>
    </w:p>
    <w:p w:rsidR="00D22B16" w:rsidRPr="00F41E78" w:rsidP="00D22B16">
      <w:pPr>
        <w:pStyle w:val="RESHET"/>
        <w:keepLines/>
        <w:rPr>
          <w:rtl/>
        </w:rPr>
      </w:pPr>
      <w:r w:rsidRPr="00F41E78">
        <w:rPr>
          <w:rFonts w:hint="cs"/>
          <w:rtl/>
        </w:rPr>
        <w:t xml:space="preserve">יוצא אפוא שלגופים העוסקים בשוק הדיור, ובהם משרד הבינוי, אין מידע שלם ומדויק על השפעתם של השינויים במחירי הדיור על הוצאותיהם בפועל של משקי הבית. יודגש שלא נעשה כל ניתוח שיטתי ועקבי המסתמך על מתודולוגיה סדורה, בנוגע להיקף האוכלוסייה המתגוררת בדירות שבבעלותה ולנטל הוצאותיה על דיור החורג מהרף של 30% מהכנסתה נטו. המידע הזה הוא מידע חיוני ובסיסי הנדרש למקבלי ההחלטות לצורך עיצוב מדיניות הדיור ופיתוח כלים שיאפשרו התמודדות עם ההכבדה בנטל הוצאות הדיור של אותם משקי הבית. </w:t>
      </w:r>
    </w:p>
    <w:p w:rsidR="00E97EDA" w:rsidRPr="00F41E78" w:rsidP="003D6B99">
      <w:pPr>
        <w:spacing w:before="180" w:after="240" w:line="230" w:lineRule="exact"/>
        <w:ind w:firstLine="3"/>
        <w:jc w:val="both"/>
        <w:rPr>
          <w:rFonts w:cs="FrankRuehl"/>
          <w:sz w:val="18"/>
          <w:szCs w:val="22"/>
          <w:rtl/>
          <w:lang w:eastAsia="he-IL"/>
        </w:rPr>
      </w:pPr>
      <w:r w:rsidRPr="00F41E78">
        <w:rPr>
          <w:rFonts w:cs="FrankRuehl" w:hint="cs"/>
          <w:sz w:val="18"/>
          <w:szCs w:val="22"/>
          <w:rtl/>
          <w:lang w:eastAsia="he-IL"/>
        </w:rPr>
        <w:t xml:space="preserve">בתשובתו מינואר </w:t>
      </w:r>
      <w:r w:rsidRPr="00F41E78">
        <w:rPr>
          <w:rFonts w:cs="FrankRuehl"/>
          <w:sz w:val="18"/>
          <w:szCs w:val="22"/>
          <w:rtl/>
          <w:lang w:eastAsia="he-IL"/>
        </w:rPr>
        <w:t>201</w:t>
      </w:r>
      <w:r w:rsidRPr="00F41E78">
        <w:rPr>
          <w:rFonts w:cs="FrankRuehl" w:hint="cs"/>
          <w:sz w:val="18"/>
          <w:szCs w:val="22"/>
          <w:rtl/>
          <w:lang w:eastAsia="he-IL"/>
        </w:rPr>
        <w:t xml:space="preserve">4 ציין משרד הבינוי כי "במהלך שנת 2013 ביצע המשרד עיבוד לפי נתוני למ"ס אשר בחנה את היקפי האוכלוסייה אשר נטל הוצאותיה עולה על 30% מהכנסתה נטו </w:t>
      </w:r>
      <w:r w:rsidRPr="00F41E78">
        <w:rPr>
          <w:rFonts w:cs="FrankRuehl"/>
          <w:sz w:val="18"/>
          <w:szCs w:val="22"/>
          <w:rtl/>
          <w:lang w:eastAsia="he-IL"/>
        </w:rPr>
        <w:t>-</w:t>
      </w:r>
      <w:r w:rsidRPr="00F41E78">
        <w:rPr>
          <w:rFonts w:cs="FrankRuehl" w:hint="cs"/>
          <w:sz w:val="18"/>
          <w:szCs w:val="22"/>
          <w:rtl/>
          <w:lang w:eastAsia="he-IL"/>
        </w:rPr>
        <w:t xml:space="preserve"> המדד המקובל בעולם לדיור בר השגה. מתוצאות הבדיקה עולה כי כשליש ממשקי הבית המתגוררים בשכירות (כ-220,000 משקי בית) נושאים בנטל הוצאה העולה על רף זה. כמו כן, כ-30,000 משקי בית שהינם בעלי דירה נושאים בהחזרי משכנתא בשיעור העולה על 30% מהכנסתם נטו - סה"כ </w:t>
      </w:r>
      <w:r w:rsidR="004256B4">
        <w:rPr>
          <w:rFonts w:cs="FrankRuehl"/>
          <w:sz w:val="18"/>
          <w:szCs w:val="22"/>
          <w:lang w:eastAsia="he-IL"/>
        </w:rPr>
        <w:br/>
      </w:r>
      <w:r w:rsidRPr="00F41E78">
        <w:rPr>
          <w:rFonts w:cs="FrankRuehl" w:hint="cs"/>
          <w:sz w:val="18"/>
          <w:szCs w:val="22"/>
          <w:rtl/>
          <w:lang w:eastAsia="he-IL"/>
        </w:rPr>
        <w:t xml:space="preserve">כ-250 אלף משקי בית. מקור הנתונים הוא סקר הוצאות משקי בית של למ"ס, ולבקשתנו נציג המשרד ייכלל מעתה בצוות המתודולוגיה לסקרים העתידיים שייערכו, על מנת לאסוף את הנתונים הנדרשים בכדי לקיים בדיקה שוטפת ומדויקת יותר של הנושא". </w:t>
      </w:r>
    </w:p>
    <w:p w:rsidR="00D22B16" w:rsidRPr="00F41E78" w:rsidP="00D22B16">
      <w:pPr>
        <w:pStyle w:val="RESHET"/>
        <w:keepLines/>
        <w:rPr>
          <w:rtl/>
        </w:rPr>
      </w:pPr>
      <w:r w:rsidRPr="00F41E78">
        <w:rPr>
          <w:rFonts w:hint="cs"/>
          <w:rtl/>
        </w:rPr>
        <w:t xml:space="preserve">במסגרת הבחינה שעשה משרד הבינוי בנוגע להיקף משקי הבית המתגוררים בדירות שבבעלותם ולנטל הוצאותיהם עבור הדיור, הגבוה מ-30% מהכנסתם נטו, הוא מחשב את החזרי המשכנתה כהוצאה היחידה בגין הדירה. אולם ייתכן שעל משקי הבית האמורים מוטלות הוצאות נוספות הנוגעות לדיור, כמו הלוואות משלימות, המגדילות את ההוצאות עבור הדיור. כפועל יוצא מכך, ייתכן שמדובר בהיקף גדול יותר של משקי בית שסך הוצאותיהם על דיור חורג מהרף הרצוי. לדעת משרד מבקר המדינה, על המשרד לפעול לגיבוש מתודולוגיה סדורה שתאפשר לבחון את הנושא באופן מדויק ושלם יותר. </w:t>
      </w:r>
    </w:p>
    <w:p w:rsidR="00D22B16" w:rsidRPr="00F41E78" w:rsidP="00D22B16">
      <w:pPr>
        <w:pStyle w:val="RESHET"/>
        <w:keepLines/>
        <w:rPr>
          <w:rtl/>
        </w:rPr>
      </w:pPr>
      <w:r w:rsidRPr="00F41E78">
        <w:rPr>
          <w:rFonts w:hint="cs"/>
          <w:rtl/>
        </w:rPr>
        <w:t xml:space="preserve">הלמ"ס היא הגוף הממשלתי המרכזי האחראי לאיסוף ולניתוח של מידע סטטיסטי על מדינת ישראל שעל בסיסו מתקבלות החלטות הנוגעות לציבור כולו, ומחובתה להבטיח כי הנתונים שהיא מציגה, למקבלי ההחלטות ולציבור כולו, יהיו אמינים ושלמים. לכן, לדעת משרד מבקר המדינה, חשוב שהלמ"ס תפתח מדד לאומדן נטל הוצאות הדיור על משקי בית המתגוררים הן בדירות שבבעלותם הן בדירות שכורות; ובכלל זה, חשוב שתפתח כלי להצגת נתונים שישקפו לאשורן את הוצאות משקי הבית שבבעלותם דירה. נוסף על כך, לנוכח הצורך לעמוד על היקף האוכלוסייה שלאיתנותה הכלכלית נשקפת סכנה והחשש שלא תוכל לעמוד בנטל הוצאות הדיור המושת עליה, יש מקום שהלמ"ס תציג את שיעור האוכלוסייה החשופה לסיכון זה ואת מאפייניה. </w:t>
      </w:r>
    </w:p>
    <w:p w:rsidR="00E97EDA" w:rsidRPr="00F41E78" w:rsidP="004256B4">
      <w:pPr>
        <w:spacing w:before="180" w:after="120" w:line="230" w:lineRule="exact"/>
        <w:jc w:val="both"/>
        <w:rPr>
          <w:rFonts w:cs="FrankRuehl"/>
          <w:sz w:val="18"/>
          <w:szCs w:val="22"/>
          <w:rtl/>
          <w:lang w:eastAsia="he-IL"/>
        </w:rPr>
      </w:pPr>
      <w:r w:rsidRPr="00F41E78">
        <w:rPr>
          <w:rFonts w:cs="FrankRuehl"/>
          <w:sz w:val="18"/>
          <w:szCs w:val="22"/>
          <w:rtl/>
          <w:lang w:eastAsia="he-IL"/>
        </w:rPr>
        <w:t>בתשובתה</w:t>
      </w:r>
      <w:r w:rsidRPr="00F41E78">
        <w:rPr>
          <w:rFonts w:cs="FrankRuehl" w:hint="cs"/>
          <w:sz w:val="18"/>
          <w:szCs w:val="22"/>
          <w:rtl/>
          <w:lang w:eastAsia="he-IL"/>
        </w:rPr>
        <w:t xml:space="preserve"> ממאי 2014 הודיעה המועצה הלאומית לכלכלה שבמשרד ראש הממשלה כי "בהמשך לעבודת הוועדה לחידוש ופיתוח המרחב העירוני (מכוח החלטת ממשלה מס' 4435 מיום 18.03.2012) ובמסגרת עבודת הצוות לשיפור נתוני הדיור בראשות המועצה הלאומית לכלכלה ובהשתתפות משרדי האוצר, משפטים, ובינוי ושיכון וכן בנק ישראל והלשכה המרכזית לסטטיסטיקה, הומלץ כי יימדד באופן רבעוני השיעור הממוצע של ההוצאה על דיור מתוך ההכנסה ברוטו של משקי הבית, וכן שמדד זה ישמש כאינדקטור להערכת מצב שוק הדיור בישראל ולהיקף המעורבות הנדרשת בשוק". </w:t>
      </w:r>
    </w:p>
    <w:p w:rsidR="00E97EDA" w:rsidRPr="00F41E78" w:rsidP="00F41E78">
      <w:pPr>
        <w:spacing w:after="120" w:line="230" w:lineRule="exact"/>
        <w:jc w:val="both"/>
        <w:outlineLvl w:val="4"/>
        <w:rPr>
          <w:rFonts w:cs="FrankRuehl"/>
          <w:b/>
          <w:bCs/>
          <w:spacing w:val="40"/>
          <w:sz w:val="18"/>
          <w:szCs w:val="22"/>
          <w:rtl/>
          <w:lang w:eastAsia="he-IL"/>
        </w:rPr>
      </w:pPr>
      <w:r w:rsidRPr="00F41E78">
        <w:rPr>
          <w:rFonts w:cs="FrankRuehl" w:hint="eastAsia"/>
          <w:bCs/>
          <w:spacing w:val="40"/>
          <w:sz w:val="18"/>
          <w:szCs w:val="22"/>
          <w:rtl/>
        </w:rPr>
        <w:t>הכבדה</w:t>
      </w:r>
      <w:r w:rsidRPr="00F41E78">
        <w:rPr>
          <w:rFonts w:cs="FrankRuehl"/>
          <w:bCs/>
          <w:spacing w:val="40"/>
          <w:sz w:val="18"/>
          <w:szCs w:val="22"/>
          <w:rtl/>
        </w:rPr>
        <w:t xml:space="preserve"> </w:t>
      </w:r>
      <w:r w:rsidRPr="00F41E78">
        <w:rPr>
          <w:rFonts w:cs="FrankRuehl" w:hint="eastAsia"/>
          <w:bCs/>
          <w:spacing w:val="40"/>
          <w:sz w:val="18"/>
          <w:szCs w:val="22"/>
          <w:rtl/>
        </w:rPr>
        <w:t>בנטל</w:t>
      </w:r>
      <w:r w:rsidRPr="00F41E78">
        <w:rPr>
          <w:rFonts w:cs="FrankRuehl"/>
          <w:bCs/>
          <w:spacing w:val="40"/>
          <w:sz w:val="18"/>
          <w:szCs w:val="22"/>
          <w:rtl/>
        </w:rPr>
        <w:t xml:space="preserve"> </w:t>
      </w:r>
      <w:r w:rsidRPr="00F41E78">
        <w:rPr>
          <w:rFonts w:cs="FrankRuehl" w:hint="eastAsia"/>
          <w:bCs/>
          <w:spacing w:val="40"/>
          <w:sz w:val="18"/>
          <w:szCs w:val="22"/>
          <w:rtl/>
        </w:rPr>
        <w:t>הוצאות</w:t>
      </w:r>
      <w:r w:rsidRPr="00F41E78">
        <w:rPr>
          <w:rFonts w:cs="FrankRuehl"/>
          <w:bCs/>
          <w:spacing w:val="40"/>
          <w:sz w:val="18"/>
          <w:szCs w:val="22"/>
          <w:rtl/>
        </w:rPr>
        <w:t xml:space="preserve"> </w:t>
      </w:r>
      <w:r w:rsidRPr="00F41E78">
        <w:rPr>
          <w:rFonts w:cs="FrankRuehl" w:hint="eastAsia"/>
          <w:bCs/>
          <w:spacing w:val="40"/>
          <w:sz w:val="18"/>
          <w:szCs w:val="22"/>
          <w:rtl/>
        </w:rPr>
        <w:t>הדיור</w:t>
      </w:r>
      <w:r w:rsidRPr="00F41E78">
        <w:rPr>
          <w:rFonts w:cs="FrankRuehl"/>
          <w:bCs/>
          <w:spacing w:val="40"/>
          <w:sz w:val="18"/>
          <w:szCs w:val="22"/>
          <w:rtl/>
        </w:rPr>
        <w:t xml:space="preserve"> </w:t>
      </w:r>
      <w:r w:rsidRPr="00F41E78">
        <w:rPr>
          <w:rFonts w:cs="FrankRuehl" w:hint="eastAsia"/>
          <w:bCs/>
          <w:spacing w:val="40"/>
          <w:sz w:val="18"/>
          <w:szCs w:val="22"/>
          <w:rtl/>
        </w:rPr>
        <w:t>של</w:t>
      </w:r>
      <w:r w:rsidRPr="00F41E78">
        <w:rPr>
          <w:rFonts w:cs="FrankRuehl"/>
          <w:bCs/>
          <w:spacing w:val="40"/>
          <w:sz w:val="18"/>
          <w:szCs w:val="22"/>
          <w:rtl/>
        </w:rPr>
        <w:t xml:space="preserve"> </w:t>
      </w:r>
      <w:r w:rsidRPr="00F41E78">
        <w:rPr>
          <w:rFonts w:cs="FrankRuehl" w:hint="eastAsia"/>
          <w:bCs/>
          <w:spacing w:val="40"/>
          <w:sz w:val="18"/>
          <w:szCs w:val="22"/>
          <w:rtl/>
        </w:rPr>
        <w:t>משקי</w:t>
      </w:r>
      <w:r w:rsidRPr="00F41E78">
        <w:rPr>
          <w:rFonts w:cs="FrankRuehl"/>
          <w:bCs/>
          <w:spacing w:val="40"/>
          <w:sz w:val="18"/>
          <w:szCs w:val="22"/>
          <w:rtl/>
        </w:rPr>
        <w:t xml:space="preserve"> </w:t>
      </w:r>
      <w:r w:rsidRPr="00F41E78">
        <w:rPr>
          <w:rFonts w:cs="FrankRuehl" w:hint="eastAsia"/>
          <w:bCs/>
          <w:spacing w:val="40"/>
          <w:sz w:val="18"/>
          <w:szCs w:val="22"/>
          <w:rtl/>
        </w:rPr>
        <w:t>בית</w:t>
      </w:r>
      <w:r w:rsidRPr="00F41E78">
        <w:rPr>
          <w:rFonts w:cs="FrankRuehl"/>
          <w:bCs/>
          <w:spacing w:val="40"/>
          <w:sz w:val="18"/>
          <w:szCs w:val="22"/>
          <w:rtl/>
        </w:rPr>
        <w:t xml:space="preserve"> </w:t>
      </w:r>
      <w:r w:rsidRPr="00F41E78">
        <w:rPr>
          <w:rFonts w:cs="FrankRuehl" w:hint="eastAsia"/>
          <w:bCs/>
          <w:spacing w:val="40"/>
          <w:sz w:val="18"/>
          <w:szCs w:val="22"/>
          <w:rtl/>
        </w:rPr>
        <w:t>המתגוררים</w:t>
      </w:r>
      <w:r w:rsidRPr="00F41E78">
        <w:rPr>
          <w:rFonts w:cs="FrankRuehl"/>
          <w:bCs/>
          <w:spacing w:val="40"/>
          <w:sz w:val="18"/>
          <w:szCs w:val="22"/>
          <w:rtl/>
        </w:rPr>
        <w:t xml:space="preserve"> </w:t>
      </w:r>
      <w:r w:rsidRPr="00F41E78">
        <w:rPr>
          <w:rFonts w:cs="FrankRuehl" w:hint="eastAsia"/>
          <w:bCs/>
          <w:spacing w:val="40"/>
          <w:sz w:val="18"/>
          <w:szCs w:val="22"/>
          <w:rtl/>
        </w:rPr>
        <w:t>בשכירות</w:t>
      </w:r>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הנתונים שהלמ"ס מפרסמת בעניין הוצאות על שכר דירה הם עיבוד של נתונים המתקבלים ישירות מהדיירים המתגוררים בדירות שכורות. נתונים אלו משקפים את ההוצאה בפועל על דיור ומאפשרים לאמוד את השפעת נטל הוצאות הדיור של משק הבית במשך השנים.</w:t>
      </w:r>
    </w:p>
    <w:p w:rsidR="00E97EDA" w:rsidRPr="00F41E78" w:rsidP="004256B4">
      <w:pPr>
        <w:spacing w:after="240" w:line="230" w:lineRule="exact"/>
        <w:jc w:val="both"/>
        <w:rPr>
          <w:rFonts w:cs="FrankRuehl"/>
          <w:sz w:val="18"/>
          <w:szCs w:val="22"/>
          <w:rtl/>
          <w:lang w:eastAsia="he-IL"/>
        </w:rPr>
      </w:pPr>
      <w:r w:rsidRPr="00F41E78">
        <w:rPr>
          <w:rFonts w:cs="FrankRuehl" w:hint="cs"/>
          <w:sz w:val="18"/>
          <w:szCs w:val="22"/>
          <w:rtl/>
          <w:lang w:eastAsia="he-IL"/>
        </w:rPr>
        <w:t>במסגרת הביקורת חושב נטל ההוצאות לדיור כשיעור ההוצאה החודשית עבור שכר דירה מסך ההכנסה נטו של משקי הבית</w:t>
      </w:r>
      <w:r>
        <w:rPr>
          <w:rFonts w:cs="FrankRuehl"/>
          <w:sz w:val="18"/>
          <w:szCs w:val="22"/>
          <w:vertAlign w:val="superscript"/>
          <w:rtl/>
          <w:lang w:eastAsia="he-IL"/>
        </w:rPr>
        <w:footnoteReference w:id="31"/>
      </w:r>
      <w:r w:rsidRPr="00F41E78">
        <w:rPr>
          <w:rFonts w:cs="FrankRuehl" w:hint="cs"/>
          <w:sz w:val="18"/>
          <w:szCs w:val="22"/>
          <w:rtl/>
          <w:lang w:eastAsia="he-IL"/>
        </w:rPr>
        <w:t>, לפי עשירונים, כמוצג בתרשים</w:t>
      </w:r>
      <w:r>
        <w:rPr>
          <w:rFonts w:cs="FrankRuehl"/>
          <w:sz w:val="18"/>
          <w:szCs w:val="22"/>
          <w:vertAlign w:val="superscript"/>
          <w:rtl/>
          <w:lang w:eastAsia="he-IL"/>
        </w:rPr>
        <w:footnoteReference w:id="32"/>
      </w:r>
      <w:r w:rsidRPr="00F41E78">
        <w:rPr>
          <w:rFonts w:cs="FrankRuehl" w:hint="cs"/>
          <w:sz w:val="18"/>
          <w:szCs w:val="22"/>
          <w:rtl/>
          <w:lang w:eastAsia="he-IL"/>
        </w:rPr>
        <w:t xml:space="preserve"> שלהלן:</w:t>
      </w:r>
    </w:p>
    <w:p w:rsidR="00813F66" w:rsidRPr="00687567" w:rsidP="004256B4">
      <w:pPr>
        <w:spacing w:after="240" w:line="240" w:lineRule="atLeast"/>
        <w:jc w:val="center"/>
        <w:rPr>
          <w:rFonts w:ascii="Arial" w:hAnsi="Arial" w:cs="Arial"/>
          <w:szCs w:val="20"/>
          <w:rtl/>
          <w:lang w:eastAsia="he-IL"/>
        </w:rPr>
      </w:pPr>
      <w:r>
        <w:rPr>
          <w:rFonts w:ascii="Arial" w:hAnsi="Arial" w:cs="Arial"/>
          <w:noProof/>
        </w:rPr>
        <w:pict>
          <v:shape id="_x0000_i1031" type="#_x0000_t75" style="width:340pt;height:211pt">
            <v:imagedata r:id="rId19" o:title="A1-4-Cx"/>
          </v:shape>
        </w:pict>
      </w:r>
    </w:p>
    <w:p w:rsidR="00D22B16" w:rsidRPr="00F41E78" w:rsidP="00D22B16">
      <w:pPr>
        <w:pStyle w:val="RESHET"/>
        <w:keepLines/>
      </w:pPr>
      <w:bookmarkStart w:id="25" w:name="_Toc363738640"/>
      <w:r w:rsidRPr="00F41E78">
        <w:rPr>
          <w:rFonts w:hint="cs"/>
          <w:rtl/>
        </w:rPr>
        <w:t xml:space="preserve">מהנתונים בתרשים זה עולה </w:t>
      </w:r>
      <w:r w:rsidRPr="00F41E78">
        <w:rPr>
          <w:rFonts w:hint="eastAsia"/>
          <w:rtl/>
        </w:rPr>
        <w:t>כי</w:t>
      </w:r>
      <w:r w:rsidRPr="00F41E78">
        <w:rPr>
          <w:rtl/>
        </w:rPr>
        <w:t xml:space="preserve"> </w:t>
      </w:r>
      <w:r w:rsidRPr="00F41E78">
        <w:rPr>
          <w:rFonts w:hint="eastAsia"/>
          <w:rtl/>
        </w:rPr>
        <w:t>בעשירו</w:t>
      </w:r>
      <w:r w:rsidRPr="00F41E78">
        <w:rPr>
          <w:rFonts w:hint="cs"/>
          <w:rtl/>
        </w:rPr>
        <w:t>נים ה</w:t>
      </w:r>
      <w:r w:rsidRPr="00F41E78">
        <w:rPr>
          <w:rFonts w:hint="eastAsia"/>
          <w:rtl/>
        </w:rPr>
        <w:t>גבוה</w:t>
      </w:r>
      <w:r w:rsidRPr="00F41E78">
        <w:rPr>
          <w:rFonts w:hint="cs"/>
          <w:rtl/>
        </w:rPr>
        <w:t>ים</w:t>
      </w:r>
      <w:r w:rsidRPr="00F41E78">
        <w:rPr>
          <w:rtl/>
        </w:rPr>
        <w:t xml:space="preserve"> </w:t>
      </w:r>
      <w:r w:rsidRPr="00F41E78">
        <w:rPr>
          <w:rFonts w:hint="eastAsia"/>
          <w:rtl/>
        </w:rPr>
        <w:t>יותר</w:t>
      </w:r>
      <w:r w:rsidRPr="00F41E78">
        <w:rPr>
          <w:rtl/>
        </w:rPr>
        <w:t xml:space="preserve"> </w:t>
      </w:r>
      <w:r w:rsidRPr="00F41E78">
        <w:rPr>
          <w:rFonts w:hint="cs"/>
          <w:rtl/>
        </w:rPr>
        <w:t>שיעור ההוצאה החודשית עבור שכר דירה מההכנסה נטו הוא נמוך יותר. כמו כן, בשנת 2012 היה שיעור ההוצא</w:t>
      </w:r>
      <w:r>
        <w:rPr>
          <w:rFonts w:hint="cs"/>
          <w:rtl/>
        </w:rPr>
        <w:t>ה</w:t>
      </w:r>
      <w:r w:rsidRPr="00F41E78">
        <w:rPr>
          <w:rFonts w:hint="cs"/>
          <w:rtl/>
        </w:rPr>
        <w:t xml:space="preserve"> לדיור של משקי הבית המתגוררים בדירות שכורות כבד יותר מאשר בשנת 2008 (למעט בעשירון 9 שבו היה שוויון). </w:t>
      </w:r>
    </w:p>
    <w:p w:rsidR="00D22B16" w:rsidRPr="00F41E78" w:rsidP="00D22B16">
      <w:pPr>
        <w:pStyle w:val="RESHET"/>
        <w:keepLines/>
      </w:pPr>
      <w:r w:rsidRPr="00F41E78">
        <w:rPr>
          <w:rFonts w:hint="cs"/>
          <w:rtl/>
        </w:rPr>
        <w:t>בשלושת העשירונים הנמוכים, שעל פי נתוני הלמ"ס משנת 2012 נכללים בהם כ-285,400 משקי בית, ההוצאה החודשית עבור שכר דירה הגיעה לרף של 30% מההכנסה או עבר אותו</w:t>
      </w:r>
      <w:r>
        <w:rPr>
          <w:vertAlign w:val="superscript"/>
          <w:rtl/>
        </w:rPr>
        <w:footnoteReference w:id="33"/>
      </w:r>
      <w:r w:rsidRPr="00F41E78">
        <w:rPr>
          <w:rFonts w:hint="cs"/>
          <w:rtl/>
        </w:rPr>
        <w:t xml:space="preserve">. </w:t>
      </w:r>
      <w:r w:rsidRPr="00F41E78">
        <w:rPr>
          <w:rtl/>
        </w:rPr>
        <w:t>נטל ההוצאה של העשירון הרביעי על דיור בשכירות הגיע לרף של 29%.</w:t>
      </w:r>
    </w:p>
    <w:p w:rsidR="00D22B16" w:rsidRPr="00F41E78" w:rsidP="00D22B16">
      <w:pPr>
        <w:pStyle w:val="RESHET"/>
        <w:keepLines/>
        <w:rPr>
          <w:rtl/>
        </w:rPr>
      </w:pPr>
      <w:r w:rsidRPr="00F41E78">
        <w:rPr>
          <w:rFonts w:hint="cs"/>
          <w:rtl/>
        </w:rPr>
        <w:t xml:space="preserve">בעשירוני הביניים 6-4, שעל פי נתוני הלמ"ס משנת 2012 נכללים בהם כ-184,800 משקי בית, שיעור ההוצאות על שכר דירה עלה מכ-21% בשנת 2008 לכ-26% בשנת 2012 </w:t>
      </w:r>
      <w:r w:rsidRPr="00F41E78">
        <w:rPr>
          <w:rtl/>
        </w:rPr>
        <w:t>(על</w:t>
      </w:r>
      <w:r w:rsidRPr="00F41E78">
        <w:rPr>
          <w:rFonts w:hint="eastAsia"/>
          <w:rtl/>
        </w:rPr>
        <w:t>ייה</w:t>
      </w:r>
      <w:r w:rsidRPr="00F41E78">
        <w:rPr>
          <w:rtl/>
        </w:rPr>
        <w:t xml:space="preserve"> של כ-24% בשיעור הוצאות הדיור</w:t>
      </w:r>
      <w:r w:rsidRPr="00F41E78">
        <w:rPr>
          <w:rFonts w:hint="cs"/>
          <w:rtl/>
        </w:rPr>
        <w:t>), ושיעור זה הולך ומתקרב לרף של 30%. הדבר מעורר חשש כי אם תמשיך מגמת העלייה במחירי הדיור ומגמת העלייה בשכר תהיה מתונה יותר יחסית אליה, ייחשפו אוכלוסיות נוספות לסיכון כלכלי העלול לפגוע ביכולתן לעמוד בהוצאות אלו.</w:t>
      </w:r>
    </w:p>
    <w:p w:rsidR="00E97EDA" w:rsidRPr="00F41E78" w:rsidP="004256B4">
      <w:pPr>
        <w:spacing w:before="180" w:after="120" w:line="230" w:lineRule="exact"/>
        <w:jc w:val="both"/>
        <w:rPr>
          <w:rFonts w:cs="FrankRuehl"/>
          <w:sz w:val="18"/>
          <w:szCs w:val="22"/>
          <w:rtl/>
          <w:lang w:eastAsia="he-IL"/>
        </w:rPr>
      </w:pPr>
      <w:r w:rsidRPr="00F41E78">
        <w:rPr>
          <w:rFonts w:cs="FrankRuehl" w:hint="eastAsia"/>
          <w:bCs/>
          <w:spacing w:val="40"/>
          <w:sz w:val="18"/>
          <w:szCs w:val="22"/>
          <w:rtl/>
        </w:rPr>
        <w:t>הכבדה</w:t>
      </w:r>
      <w:r w:rsidRPr="00F41E78">
        <w:rPr>
          <w:rFonts w:cs="FrankRuehl"/>
          <w:bCs/>
          <w:spacing w:val="40"/>
          <w:sz w:val="18"/>
          <w:szCs w:val="22"/>
          <w:rtl/>
        </w:rPr>
        <w:t xml:space="preserve"> </w:t>
      </w:r>
      <w:r w:rsidRPr="00F41E78">
        <w:rPr>
          <w:rFonts w:cs="FrankRuehl" w:hint="eastAsia"/>
          <w:bCs/>
          <w:spacing w:val="40"/>
          <w:sz w:val="18"/>
          <w:szCs w:val="22"/>
          <w:rtl/>
        </w:rPr>
        <w:t>בנטל</w:t>
      </w:r>
      <w:r w:rsidRPr="00F41E78">
        <w:rPr>
          <w:rFonts w:cs="FrankRuehl"/>
          <w:bCs/>
          <w:spacing w:val="40"/>
          <w:sz w:val="18"/>
          <w:szCs w:val="22"/>
          <w:rtl/>
        </w:rPr>
        <w:t xml:space="preserve"> </w:t>
      </w:r>
      <w:r w:rsidRPr="00F41E78">
        <w:rPr>
          <w:rFonts w:cs="FrankRuehl" w:hint="eastAsia"/>
          <w:bCs/>
          <w:spacing w:val="40"/>
          <w:sz w:val="18"/>
          <w:szCs w:val="22"/>
          <w:rtl/>
        </w:rPr>
        <w:t>הוצאות</w:t>
      </w:r>
      <w:r w:rsidRPr="00F41E78">
        <w:rPr>
          <w:rFonts w:cs="FrankRuehl"/>
          <w:bCs/>
          <w:spacing w:val="40"/>
          <w:sz w:val="18"/>
          <w:szCs w:val="22"/>
          <w:rtl/>
        </w:rPr>
        <w:t xml:space="preserve"> </w:t>
      </w:r>
      <w:r w:rsidRPr="00F41E78">
        <w:rPr>
          <w:rFonts w:cs="FrankRuehl" w:hint="eastAsia"/>
          <w:bCs/>
          <w:spacing w:val="40"/>
          <w:sz w:val="18"/>
          <w:szCs w:val="22"/>
          <w:rtl/>
        </w:rPr>
        <w:t>הדיור</w:t>
      </w:r>
      <w:r w:rsidRPr="00F41E78">
        <w:rPr>
          <w:rFonts w:cs="FrankRuehl"/>
          <w:bCs/>
          <w:spacing w:val="40"/>
          <w:sz w:val="18"/>
          <w:szCs w:val="22"/>
          <w:rtl/>
        </w:rPr>
        <w:t xml:space="preserve"> </w:t>
      </w:r>
      <w:r w:rsidRPr="00F41E78">
        <w:rPr>
          <w:rFonts w:cs="FrankRuehl" w:hint="eastAsia"/>
          <w:bCs/>
          <w:spacing w:val="40"/>
          <w:sz w:val="18"/>
          <w:szCs w:val="22"/>
          <w:rtl/>
        </w:rPr>
        <w:t>עקב</w:t>
      </w:r>
      <w:r w:rsidRPr="00F41E78">
        <w:rPr>
          <w:rFonts w:cs="FrankRuehl"/>
          <w:bCs/>
          <w:spacing w:val="40"/>
          <w:sz w:val="18"/>
          <w:szCs w:val="22"/>
          <w:rtl/>
        </w:rPr>
        <w:t xml:space="preserve"> </w:t>
      </w:r>
      <w:r w:rsidRPr="00F41E78">
        <w:rPr>
          <w:rFonts w:cs="FrankRuehl" w:hint="eastAsia"/>
          <w:bCs/>
          <w:spacing w:val="40"/>
          <w:sz w:val="18"/>
          <w:szCs w:val="22"/>
          <w:rtl/>
        </w:rPr>
        <w:t>ירידה</w:t>
      </w:r>
      <w:r w:rsidRPr="00F41E78">
        <w:rPr>
          <w:rFonts w:cs="FrankRuehl"/>
          <w:bCs/>
          <w:spacing w:val="40"/>
          <w:sz w:val="18"/>
          <w:szCs w:val="22"/>
          <w:rtl/>
        </w:rPr>
        <w:t xml:space="preserve"> </w:t>
      </w:r>
      <w:r w:rsidRPr="00F41E78">
        <w:rPr>
          <w:rFonts w:cs="FrankRuehl" w:hint="eastAsia"/>
          <w:bCs/>
          <w:spacing w:val="40"/>
          <w:sz w:val="18"/>
          <w:szCs w:val="22"/>
          <w:rtl/>
        </w:rPr>
        <w:t>בשכר</w:t>
      </w:r>
      <w:r w:rsidRPr="00F41E78">
        <w:rPr>
          <w:rFonts w:cs="FrankRuehl"/>
          <w:bCs/>
          <w:spacing w:val="40"/>
          <w:sz w:val="18"/>
          <w:szCs w:val="22"/>
          <w:rtl/>
        </w:rPr>
        <w:t xml:space="preserve"> </w:t>
      </w:r>
      <w:r w:rsidRPr="00F41E78">
        <w:rPr>
          <w:rFonts w:cs="FrankRuehl" w:hint="eastAsia"/>
          <w:bCs/>
          <w:spacing w:val="40"/>
          <w:sz w:val="18"/>
          <w:szCs w:val="22"/>
          <w:rtl/>
        </w:rPr>
        <w:t>הממוצע</w:t>
      </w:r>
      <w:r w:rsidRPr="00F41E78">
        <w:rPr>
          <w:rFonts w:cs="FrankRuehl"/>
          <w:bCs/>
          <w:spacing w:val="40"/>
          <w:sz w:val="18"/>
          <w:szCs w:val="22"/>
          <w:rtl/>
        </w:rPr>
        <w:t xml:space="preserve"> </w:t>
      </w:r>
      <w:r w:rsidRPr="00F41E78">
        <w:rPr>
          <w:rFonts w:cs="FrankRuehl" w:hint="eastAsia"/>
          <w:bCs/>
          <w:spacing w:val="40"/>
          <w:sz w:val="18"/>
          <w:szCs w:val="22"/>
          <w:rtl/>
        </w:rPr>
        <w:t>הריאלי</w:t>
      </w:r>
      <w:r w:rsidRPr="00F41E78">
        <w:rPr>
          <w:rFonts w:cs="FrankRuehl"/>
          <w:bCs/>
          <w:spacing w:val="40"/>
          <w:sz w:val="18"/>
          <w:szCs w:val="22"/>
          <w:rtl/>
        </w:rPr>
        <w:t xml:space="preserve"> </w:t>
      </w:r>
      <w:r w:rsidRPr="00F41E78">
        <w:rPr>
          <w:rFonts w:cs="FrankRuehl" w:hint="eastAsia"/>
          <w:bCs/>
          <w:spacing w:val="40"/>
          <w:sz w:val="18"/>
          <w:szCs w:val="22"/>
          <w:rtl/>
        </w:rPr>
        <w:t>ועלייה</w:t>
      </w:r>
      <w:r w:rsidRPr="00F41E78">
        <w:rPr>
          <w:rFonts w:cs="FrankRuehl"/>
          <w:bCs/>
          <w:spacing w:val="40"/>
          <w:sz w:val="18"/>
          <w:szCs w:val="22"/>
          <w:rtl/>
        </w:rPr>
        <w:t xml:space="preserve"> </w:t>
      </w:r>
      <w:r w:rsidRPr="00F41E78">
        <w:rPr>
          <w:rFonts w:cs="FrankRuehl" w:hint="eastAsia"/>
          <w:bCs/>
          <w:spacing w:val="40"/>
          <w:sz w:val="18"/>
          <w:szCs w:val="22"/>
          <w:rtl/>
        </w:rPr>
        <w:t>במחירי</w:t>
      </w:r>
      <w:r w:rsidRPr="00F41E78">
        <w:rPr>
          <w:rFonts w:cs="FrankRuehl"/>
          <w:bCs/>
          <w:spacing w:val="40"/>
          <w:sz w:val="18"/>
          <w:szCs w:val="22"/>
          <w:rtl/>
        </w:rPr>
        <w:t xml:space="preserve"> </w:t>
      </w:r>
      <w:r w:rsidRPr="00F41E78">
        <w:rPr>
          <w:rFonts w:cs="FrankRuehl" w:hint="eastAsia"/>
          <w:bCs/>
          <w:spacing w:val="40"/>
          <w:sz w:val="18"/>
          <w:szCs w:val="22"/>
          <w:rtl/>
        </w:rPr>
        <w:t>הדיור</w:t>
      </w:r>
      <w:bookmarkEnd w:id="25"/>
      <w:r w:rsidRPr="00F41E78">
        <w:rPr>
          <w:rFonts w:cs="FrankRuehl"/>
          <w:bCs/>
          <w:spacing w:val="40"/>
          <w:sz w:val="18"/>
          <w:szCs w:val="22"/>
          <w:rtl/>
        </w:rPr>
        <w:t xml:space="preserve">: </w:t>
      </w:r>
      <w:r w:rsidRPr="00F41E78">
        <w:rPr>
          <w:rFonts w:cs="FrankRuehl" w:hint="cs"/>
          <w:sz w:val="18"/>
          <w:szCs w:val="22"/>
          <w:rtl/>
          <w:lang w:eastAsia="he-IL"/>
        </w:rPr>
        <w:t>על פי נתוני הלמ"ס, מינואר 2008 מאופיין המשק הישראלי בצמיחה מתמשכת ובעלייה ניכרת במחירי הדיור, בעוד השכר הממוצע הריאלי של השכירים כמעט לא השתנה, ואף מסתמנת ירידה מתונה; והדבר הביא לידי הכבדה בנטל הוצאות הדיור בקרב משקי הבית.</w:t>
      </w:r>
    </w:p>
    <w:p w:rsidR="00E97EDA" w:rsidRPr="00F41E78" w:rsidP="009A7B59">
      <w:pPr>
        <w:spacing w:after="240" w:line="230" w:lineRule="exact"/>
        <w:jc w:val="both"/>
        <w:rPr>
          <w:rFonts w:cs="FrankRuehl"/>
          <w:sz w:val="18"/>
          <w:szCs w:val="22"/>
          <w:rtl/>
          <w:lang w:eastAsia="he-IL"/>
        </w:rPr>
      </w:pPr>
      <w:r w:rsidRPr="00F41E78">
        <w:rPr>
          <w:rFonts w:cs="FrankRuehl" w:hint="cs"/>
          <w:sz w:val="18"/>
          <w:szCs w:val="22"/>
          <w:rtl/>
          <w:lang w:eastAsia="he-IL"/>
        </w:rPr>
        <w:t>התרשים להלן מציג את השינויים בתוצר המקומי הגולמי (להלן - תמ"ג) ובשכר הממוצע הריאלי למשרת שכיר</w:t>
      </w:r>
      <w:r>
        <w:rPr>
          <w:rStyle w:val="FootnoteReference0"/>
          <w:rFonts w:ascii="FrankRuehl" w:hAnsi="FrankRuehl" w:cs="FrankRuehl"/>
          <w:sz w:val="22"/>
          <w:szCs w:val="22"/>
          <w:rtl/>
          <w:lang w:eastAsia="he-IL"/>
        </w:rPr>
        <w:footnoteReference w:id="34"/>
      </w:r>
      <w:r w:rsidRPr="00F41E78">
        <w:rPr>
          <w:rFonts w:cs="FrankRuehl" w:hint="cs"/>
          <w:sz w:val="18"/>
          <w:szCs w:val="22"/>
          <w:rtl/>
          <w:lang w:eastAsia="he-IL"/>
        </w:rPr>
        <w:t xml:space="preserve"> במשק לעומת מחירי הדירות:</w:t>
      </w:r>
    </w:p>
    <w:p w:rsidR="00813F66" w:rsidRPr="00687567" w:rsidP="004256B4">
      <w:pPr>
        <w:spacing w:after="240" w:line="240" w:lineRule="atLeast"/>
        <w:jc w:val="center"/>
        <w:rPr>
          <w:rFonts w:ascii="Arial" w:hAnsi="Arial" w:cs="Arial"/>
          <w:szCs w:val="20"/>
          <w:rtl/>
          <w:lang w:eastAsia="he-IL"/>
        </w:rPr>
      </w:pPr>
      <w:r>
        <w:rPr>
          <w:rFonts w:ascii="Arial" w:hAnsi="Arial" w:cs="Arial"/>
          <w:noProof/>
        </w:rPr>
        <w:pict>
          <v:shape id="_x0000_i1032" type="#_x0000_t75" style="width:340pt;height:230pt">
            <v:imagedata r:id="rId20" o:title="A1-5-Cx"/>
          </v:shape>
        </w:pict>
      </w:r>
    </w:p>
    <w:p w:rsidR="00E97EDA" w:rsidRPr="00F41E78" w:rsidP="00930C64">
      <w:pPr>
        <w:spacing w:after="240" w:line="230" w:lineRule="exact"/>
        <w:jc w:val="both"/>
        <w:rPr>
          <w:rFonts w:cs="FrankRuehl"/>
          <w:sz w:val="18"/>
          <w:szCs w:val="22"/>
          <w:rtl/>
          <w:lang w:eastAsia="he-IL"/>
        </w:rPr>
      </w:pPr>
      <w:r w:rsidRPr="00F41E78">
        <w:rPr>
          <w:rFonts w:cs="FrankRuehl" w:hint="cs"/>
          <w:sz w:val="18"/>
          <w:szCs w:val="22"/>
          <w:rtl/>
          <w:lang w:eastAsia="he-IL"/>
        </w:rPr>
        <w:t xml:space="preserve">מתרשים זה עולה כי בשנים 2013-2005 הייתה צמיחה של המשק הישראלי שבאה לידי ביטוי בעלייה בתמ"ג. למשל, מינואר 2008 עד סוף 2013 עלה התמ"ג בכ-23% ומחירי הדירות עלו בתקופה זו בכ-55%; לעומת זאת, השכר הריאלי של שכיר פחת ב-1.1%. </w:t>
      </w:r>
    </w:p>
    <w:p w:rsidR="00D22B16" w:rsidRPr="00F41E78" w:rsidP="00D22B16">
      <w:pPr>
        <w:pStyle w:val="RESHET"/>
        <w:keepLines/>
        <w:rPr>
          <w:rtl/>
        </w:rPr>
      </w:pPr>
      <w:r w:rsidRPr="00F41E78">
        <w:rPr>
          <w:rFonts w:hint="cs"/>
          <w:rtl/>
        </w:rPr>
        <w:t>יוצא אפוא שחלה פגיעה בכוח הקנייה של השכירים, ובכלל זה ביכולתם של אלו ה</w:t>
      </w:r>
      <w:r w:rsidRPr="00F41E78">
        <w:rPr>
          <w:rFonts w:hint="eastAsia"/>
          <w:rtl/>
        </w:rPr>
        <w:t>מבקשים</w:t>
      </w:r>
      <w:r w:rsidRPr="00F41E78">
        <w:rPr>
          <w:rtl/>
        </w:rPr>
        <w:t xml:space="preserve"> </w:t>
      </w:r>
      <w:r w:rsidRPr="00F41E78">
        <w:rPr>
          <w:rFonts w:hint="eastAsia"/>
          <w:rtl/>
        </w:rPr>
        <w:t>לרכוש</w:t>
      </w:r>
      <w:r w:rsidRPr="00F41E78">
        <w:rPr>
          <w:rtl/>
        </w:rPr>
        <w:t xml:space="preserve"> </w:t>
      </w:r>
      <w:r w:rsidRPr="00F41E78">
        <w:rPr>
          <w:rFonts w:hint="eastAsia"/>
          <w:rtl/>
        </w:rPr>
        <w:t>את</w:t>
      </w:r>
      <w:r w:rsidRPr="00F41E78">
        <w:rPr>
          <w:rtl/>
        </w:rPr>
        <w:t xml:space="preserve"> </w:t>
      </w:r>
      <w:r w:rsidRPr="00F41E78">
        <w:rPr>
          <w:rFonts w:hint="eastAsia"/>
          <w:rtl/>
        </w:rPr>
        <w:t>דירתם</w:t>
      </w:r>
      <w:r w:rsidRPr="00F41E78">
        <w:rPr>
          <w:rtl/>
        </w:rPr>
        <w:t xml:space="preserve"> </w:t>
      </w:r>
      <w:r w:rsidRPr="00F41E78">
        <w:rPr>
          <w:rFonts w:hint="eastAsia"/>
          <w:rtl/>
        </w:rPr>
        <w:t>הראשונה</w:t>
      </w:r>
      <w:r w:rsidRPr="00F41E78">
        <w:rPr>
          <w:rFonts w:hint="cs"/>
          <w:rtl/>
        </w:rPr>
        <w:t>.</w:t>
      </w:r>
    </w:p>
    <w:p w:rsidR="00D22B16" w:rsidRPr="00F41E78" w:rsidP="00D22B16">
      <w:pPr>
        <w:pStyle w:val="RESHET"/>
        <w:keepLines/>
        <w:rPr>
          <w:rtl/>
        </w:rPr>
      </w:pPr>
      <w:r w:rsidRPr="00F41E78">
        <w:rPr>
          <w:rFonts w:hint="cs"/>
          <w:rtl/>
        </w:rPr>
        <w:t>הפגיעה בכוח הקנייה של השכיר באה לידי ביטוי בין היתר במספר המשכורות הנדרשות לו כדי לרכוש דירה ממוצעת; בינואר 2008 נדרשו 103 חודשי הכנסה של שכיר לרכישת הדירה ואילו בדצמבר 2013 נדרשו 137 חודשים</w:t>
      </w:r>
      <w:r>
        <w:rPr>
          <w:rStyle w:val="FootnoteReference0"/>
          <w:rFonts w:cs="FrankRuehl"/>
          <w:sz w:val="18"/>
          <w:rtl/>
        </w:rPr>
        <w:footnoteReference w:id="35"/>
      </w:r>
      <w:r w:rsidRPr="00F41E78">
        <w:rPr>
          <w:rFonts w:hint="cs"/>
          <w:rtl/>
        </w:rPr>
        <w:t xml:space="preserve">. </w:t>
      </w:r>
    </w:p>
    <w:p w:rsidR="00D22B16" w:rsidRPr="00F41E78" w:rsidP="00D22B16">
      <w:pPr>
        <w:pStyle w:val="RESHET"/>
        <w:keepLines/>
        <w:rPr>
          <w:rtl/>
        </w:rPr>
      </w:pPr>
      <w:r w:rsidRPr="00F41E78">
        <w:rPr>
          <w:rFonts w:hint="cs"/>
          <w:rtl/>
        </w:rPr>
        <w:t>אשר לשוכרים המשתכרים ממשרת שכיר מהנתונים</w:t>
      </w:r>
      <w:r>
        <w:rPr>
          <w:vertAlign w:val="superscript"/>
          <w:rtl/>
        </w:rPr>
        <w:footnoteReference w:id="36"/>
      </w:r>
      <w:r w:rsidRPr="00F41E78">
        <w:rPr>
          <w:rFonts w:hint="cs"/>
          <w:rtl/>
        </w:rPr>
        <w:t xml:space="preserve"> עולה ששיעור ההוצאה הממוצעת על שכר דירה מכלל השכר החודשי הממוצע עלה מכ-29% בינואר 2008 לכ-38% בדצמבר 2013. </w:t>
      </w:r>
    </w:p>
    <w:p w:rsidR="00E97EDA" w:rsidRPr="00F41E78" w:rsidP="00930C64">
      <w:pPr>
        <w:spacing w:before="180" w:after="120" w:line="230" w:lineRule="exact"/>
        <w:jc w:val="both"/>
        <w:rPr>
          <w:rFonts w:cs="FrankRuehl"/>
          <w:sz w:val="18"/>
          <w:szCs w:val="22"/>
          <w:rtl/>
          <w:lang w:eastAsia="he-IL"/>
        </w:rPr>
      </w:pPr>
      <w:r w:rsidRPr="00F41E78">
        <w:rPr>
          <w:rFonts w:cs="FrankRuehl" w:hint="eastAsia"/>
          <w:bCs/>
          <w:spacing w:val="40"/>
          <w:sz w:val="18"/>
          <w:szCs w:val="22"/>
          <w:rtl/>
        </w:rPr>
        <w:t>מחקר</w:t>
      </w:r>
      <w:r w:rsidRPr="00F41E78">
        <w:rPr>
          <w:rFonts w:cs="FrankRuehl"/>
          <w:bCs/>
          <w:spacing w:val="40"/>
          <w:sz w:val="18"/>
          <w:szCs w:val="22"/>
          <w:rtl/>
        </w:rPr>
        <w:t xml:space="preserve"> העוסק בתמורות </w:t>
      </w:r>
      <w:r w:rsidRPr="00F41E78">
        <w:rPr>
          <w:rFonts w:cs="FrankRuehl" w:hint="cs"/>
          <w:bCs/>
          <w:spacing w:val="40"/>
          <w:sz w:val="18"/>
          <w:szCs w:val="22"/>
          <w:rtl/>
        </w:rPr>
        <w:t>ש</w:t>
      </w:r>
      <w:r w:rsidRPr="00F41E78">
        <w:rPr>
          <w:rFonts w:cs="FrankRuehl" w:hint="eastAsia"/>
          <w:bCs/>
          <w:spacing w:val="40"/>
          <w:sz w:val="18"/>
          <w:szCs w:val="22"/>
          <w:rtl/>
        </w:rPr>
        <w:t>בהוצאות</w:t>
      </w:r>
      <w:r w:rsidRPr="00F41E78">
        <w:rPr>
          <w:rFonts w:cs="FrankRuehl"/>
          <w:bCs/>
          <w:spacing w:val="40"/>
          <w:sz w:val="18"/>
          <w:szCs w:val="22"/>
          <w:rtl/>
        </w:rPr>
        <w:t xml:space="preserve"> </w:t>
      </w:r>
      <w:r w:rsidRPr="00F41E78">
        <w:rPr>
          <w:rFonts w:cs="FrankRuehl" w:hint="eastAsia"/>
          <w:bCs/>
          <w:spacing w:val="40"/>
          <w:sz w:val="18"/>
          <w:szCs w:val="22"/>
          <w:rtl/>
        </w:rPr>
        <w:t>דיור</w:t>
      </w:r>
      <w:r w:rsidRPr="00F41E78">
        <w:rPr>
          <w:rFonts w:cs="FrankRuehl"/>
          <w:bCs/>
          <w:spacing w:val="40"/>
          <w:sz w:val="18"/>
          <w:szCs w:val="22"/>
          <w:rtl/>
        </w:rPr>
        <w:t xml:space="preserve"> </w:t>
      </w:r>
      <w:r w:rsidRPr="00F41E78">
        <w:rPr>
          <w:rFonts w:cs="FrankRuehl" w:hint="eastAsia"/>
          <w:bCs/>
          <w:spacing w:val="40"/>
          <w:sz w:val="18"/>
          <w:szCs w:val="22"/>
          <w:rtl/>
        </w:rPr>
        <w:t>מתוך</w:t>
      </w:r>
      <w:r w:rsidRPr="00F41E78">
        <w:rPr>
          <w:rFonts w:cs="FrankRuehl"/>
          <w:bCs/>
          <w:spacing w:val="40"/>
          <w:sz w:val="18"/>
          <w:szCs w:val="22"/>
          <w:rtl/>
        </w:rPr>
        <w:t xml:space="preserve"> </w:t>
      </w:r>
      <w:r w:rsidRPr="00F41E78">
        <w:rPr>
          <w:rFonts w:cs="FrankRuehl" w:hint="eastAsia"/>
          <w:bCs/>
          <w:spacing w:val="40"/>
          <w:sz w:val="18"/>
          <w:szCs w:val="22"/>
          <w:rtl/>
        </w:rPr>
        <w:t>כלל</w:t>
      </w:r>
      <w:r w:rsidRPr="00F41E78">
        <w:rPr>
          <w:rFonts w:cs="FrankRuehl"/>
          <w:bCs/>
          <w:spacing w:val="40"/>
          <w:sz w:val="18"/>
          <w:szCs w:val="22"/>
          <w:rtl/>
        </w:rPr>
        <w:t xml:space="preserve"> </w:t>
      </w:r>
      <w:r w:rsidRPr="00F41E78">
        <w:rPr>
          <w:rFonts w:cs="FrankRuehl" w:hint="eastAsia"/>
          <w:bCs/>
          <w:spacing w:val="40"/>
          <w:sz w:val="18"/>
          <w:szCs w:val="22"/>
          <w:rtl/>
        </w:rPr>
        <w:t>ההוצאות</w:t>
      </w:r>
      <w:r w:rsidRPr="00F41E78">
        <w:rPr>
          <w:rFonts w:cs="FrankRuehl"/>
          <w:bCs/>
          <w:spacing w:val="40"/>
          <w:sz w:val="18"/>
          <w:szCs w:val="22"/>
          <w:rtl/>
        </w:rPr>
        <w:t xml:space="preserve"> </w:t>
      </w:r>
      <w:r w:rsidRPr="00F41E78">
        <w:rPr>
          <w:rFonts w:cs="FrankRuehl" w:hint="eastAsia"/>
          <w:bCs/>
          <w:spacing w:val="40"/>
          <w:sz w:val="18"/>
          <w:szCs w:val="22"/>
          <w:rtl/>
        </w:rPr>
        <w:t>על</w:t>
      </w:r>
      <w:r w:rsidRPr="00F41E78">
        <w:rPr>
          <w:rFonts w:cs="FrankRuehl"/>
          <w:bCs/>
          <w:spacing w:val="40"/>
          <w:sz w:val="18"/>
          <w:szCs w:val="22"/>
          <w:rtl/>
        </w:rPr>
        <w:t xml:space="preserve"> </w:t>
      </w:r>
      <w:r w:rsidRPr="00F41E78">
        <w:rPr>
          <w:rFonts w:cs="FrankRuehl" w:hint="eastAsia"/>
          <w:bCs/>
          <w:spacing w:val="40"/>
          <w:sz w:val="18"/>
          <w:szCs w:val="22"/>
          <w:rtl/>
        </w:rPr>
        <w:t>תצרוכת</w:t>
      </w:r>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מחקר שהתפרסם בינואר 2013</w:t>
      </w:r>
      <w:r>
        <w:rPr>
          <w:rFonts w:cs="FrankRuehl"/>
          <w:sz w:val="18"/>
          <w:szCs w:val="22"/>
          <w:vertAlign w:val="superscript"/>
          <w:rtl/>
          <w:lang w:eastAsia="he-IL"/>
        </w:rPr>
        <w:footnoteReference w:id="37"/>
      </w:r>
      <w:r w:rsidRPr="00F41E78">
        <w:rPr>
          <w:rFonts w:cs="FrankRuehl" w:hint="cs"/>
          <w:sz w:val="18"/>
          <w:szCs w:val="22"/>
          <w:rtl/>
          <w:lang w:eastAsia="he-IL"/>
        </w:rPr>
        <w:t xml:space="preserve"> בחן בין היתר את התמורות בהוצאותיהם של משקי בית על דיור מתוך כלל ההוצאות על תצרוכת בהתבסס על סקרי הוצאות משקי הבית. המחקר התמקד הן במשקי בית המתגוררים בשכירות הן במשקי בית שבבעלותם דירה.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מהמחקר עולה כי בשנים 2010-2007 שיעור העלייה בהוצאה הריאלית על דיור היה כ-22% בקרב משקי הבית ב-5 העשירונים התחתונים ו-35% ב-5 העליונים. </w:t>
      </w:r>
    </w:p>
    <w:p w:rsidR="00E97EDA" w:rsidRPr="00F41E78" w:rsidP="00F41E78">
      <w:pPr>
        <w:spacing w:after="120" w:line="230" w:lineRule="exact"/>
        <w:jc w:val="both"/>
        <w:rPr>
          <w:rFonts w:cs="FrankRuehl"/>
          <w:sz w:val="18"/>
          <w:szCs w:val="22"/>
          <w:lang w:eastAsia="he-IL"/>
        </w:rPr>
      </w:pPr>
      <w:r w:rsidRPr="00F41E78">
        <w:rPr>
          <w:rFonts w:cs="FrankRuehl" w:hint="cs"/>
          <w:sz w:val="18"/>
          <w:szCs w:val="22"/>
          <w:rtl/>
          <w:lang w:eastAsia="he-IL"/>
        </w:rPr>
        <w:t>עוד עולה מהמחקר כי בשנים 2010-2007 גדל שיעור הוצאות הדיור מכלל ה</w:t>
      </w:r>
      <w:r w:rsidRPr="00F41E78">
        <w:rPr>
          <w:rFonts w:cs="FrankRuehl" w:hint="eastAsia"/>
          <w:sz w:val="18"/>
          <w:szCs w:val="22"/>
          <w:rtl/>
          <w:lang w:eastAsia="he-IL"/>
        </w:rPr>
        <w:t>תצרוכת</w:t>
      </w:r>
      <w:r w:rsidRPr="00F41E78">
        <w:rPr>
          <w:rFonts w:cs="FrankRuehl" w:hint="cs"/>
          <w:sz w:val="18"/>
          <w:szCs w:val="22"/>
          <w:rtl/>
          <w:lang w:eastAsia="he-IL"/>
        </w:rPr>
        <w:t xml:space="preserve"> מכ-22.8% לכ-25% ב-5 העשירונים התחתונים (עלייה של 2.2%) ומכ-20.6% לכ-22.9% ב-5 העליונים (עלי</w:t>
      </w:r>
      <w:r w:rsidR="000C6701">
        <w:rPr>
          <w:rFonts w:cs="FrankRuehl" w:hint="cs"/>
          <w:sz w:val="18"/>
          <w:szCs w:val="22"/>
          <w:rtl/>
          <w:lang w:eastAsia="he-IL"/>
        </w:rPr>
        <w:t>י</w:t>
      </w:r>
      <w:r w:rsidRPr="00F41E78">
        <w:rPr>
          <w:rFonts w:cs="FrankRuehl" w:hint="cs"/>
          <w:sz w:val="18"/>
          <w:szCs w:val="22"/>
          <w:rtl/>
          <w:lang w:eastAsia="he-IL"/>
        </w:rPr>
        <w:t>ה של 2.3%).</w:t>
      </w:r>
    </w:p>
    <w:p w:rsidR="00FA6646" w:rsidRPr="00FA6646" w:rsidP="00F41E78">
      <w:pPr>
        <w:spacing w:after="120" w:line="230" w:lineRule="exact"/>
        <w:jc w:val="both"/>
        <w:rPr>
          <w:rFonts w:cs="FrankRuehl"/>
          <w:b/>
          <w:bCs/>
          <w:sz w:val="20"/>
          <w:szCs w:val="22"/>
          <w:u w:val="single"/>
          <w:rtl/>
          <w:lang w:eastAsia="he-IL"/>
        </w:rPr>
      </w:pPr>
      <w:r w:rsidRPr="00F41E78">
        <w:rPr>
          <w:rFonts w:cs="FrankRuehl" w:hint="cs"/>
          <w:sz w:val="18"/>
          <w:szCs w:val="22"/>
          <w:rtl/>
          <w:lang w:eastAsia="he-IL"/>
        </w:rPr>
        <w:t xml:space="preserve">המחקר בחן את השינוי במספר החודשים הדרושים לרכישת דירה ממוצעת, במונחים של הכנסה חודשית נטו של משקי בית, לפי עשירוני הכנסה, בשנים 2010-1998. מדד זה מקובל במדינות </w:t>
      </w:r>
      <w:r w:rsidRPr="00F41E78">
        <w:rPr>
          <w:rFonts w:cs="FrankRuehl" w:hint="cs"/>
          <w:sz w:val="18"/>
          <w:szCs w:val="22"/>
          <w:lang w:eastAsia="he-IL"/>
        </w:rPr>
        <w:t>OECD</w:t>
      </w:r>
      <w:r>
        <w:rPr>
          <w:rStyle w:val="FootnoteReference0"/>
          <w:rFonts w:cs="FrankRuehl"/>
          <w:sz w:val="22"/>
          <w:szCs w:val="22"/>
          <w:rtl/>
          <w:lang w:eastAsia="he-IL"/>
        </w:rPr>
        <w:footnoteReference w:id="38"/>
      </w:r>
      <w:r w:rsidRPr="00FA6646">
        <w:rPr>
          <w:rFonts w:cs="FrankRuehl" w:hint="cs"/>
          <w:sz w:val="20"/>
          <w:szCs w:val="22"/>
          <w:rtl/>
          <w:lang w:eastAsia="he-IL"/>
        </w:rPr>
        <w:t xml:space="preserve"> ומשמש אינדיקטור ליכולתם של משקי בית לרכוש דירה. בעניין זה עולה במחקר כי מצבן של כל שכבות האוכלוסייה הנוגע ליכולת הרכישה של דירה הורע באופן ניכר, וזאת בשל הפער הגדול בין שיעור עליית ערך הדירה (75%-35%) לשיעור העלייה בהכנסה נטו (20%-10%).</w:t>
      </w:r>
    </w:p>
    <w:p w:rsidR="00930C64" w:rsidP="00930C64">
      <w:pPr>
        <w:spacing w:after="120" w:line="230" w:lineRule="exact"/>
        <w:jc w:val="both"/>
        <w:rPr>
          <w:rFonts w:cs="FrankRuehl"/>
          <w:sz w:val="22"/>
          <w:szCs w:val="22"/>
          <w:rtl/>
        </w:rPr>
      </w:pPr>
    </w:p>
    <w:p w:rsidR="00930C64" w:rsidP="00930C64">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930C64" w:rsidP="00930C64">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 xml:space="preserve">מהאמור אפשר ללמוד כי בשנים 2013-2008 הוכבד נטל הוצאות הדיור של שוכרי דירות וגדל שיעורן של הוצאות הדיור יחסית להכנסה, עד כדי סכנה ליציבות הכלכלית של כחצי מיליון </w:t>
      </w:r>
      <w:r>
        <w:rPr>
          <w:rFonts w:hint="cs"/>
          <w:rtl/>
        </w:rPr>
        <w:t xml:space="preserve">משקי בית השוכרים דירות </w:t>
      </w:r>
      <w:r w:rsidRPr="00F41E78">
        <w:rPr>
          <w:rFonts w:hint="cs"/>
          <w:rtl/>
        </w:rPr>
        <w:t>(כ-20% מסך משקי הבית</w:t>
      </w:r>
      <w:r>
        <w:rPr>
          <w:rFonts w:hint="cs"/>
          <w:rtl/>
        </w:rPr>
        <w:t>)</w:t>
      </w:r>
      <w:r w:rsidRPr="00F41E78">
        <w:rPr>
          <w:rFonts w:hint="cs"/>
          <w:rtl/>
        </w:rPr>
        <w:t xml:space="preserve">. למעשה, הנטל על רוב </w:t>
      </w:r>
      <w:r>
        <w:rPr>
          <w:rtl/>
        </w:rPr>
        <w:br/>
      </w:r>
      <w:r w:rsidRPr="00F41E78">
        <w:rPr>
          <w:rFonts w:hint="cs"/>
          <w:rtl/>
        </w:rPr>
        <w:t>(</w:t>
      </w:r>
      <w:r w:rsidRPr="00F41E78">
        <w:rPr>
          <w:rtl/>
        </w:rPr>
        <w:t>כ-77%</w:t>
      </w:r>
      <w:r w:rsidRPr="00F41E78">
        <w:rPr>
          <w:rFonts w:hint="cs"/>
          <w:rtl/>
        </w:rPr>
        <w:t>)</w:t>
      </w:r>
      <w:r w:rsidRPr="00F41E78">
        <w:rPr>
          <w:rtl/>
        </w:rPr>
        <w:t xml:space="preserve"> משקי הבית המתגוררים בשכירות</w:t>
      </w:r>
      <w:r w:rsidRPr="00F41E78">
        <w:rPr>
          <w:rFonts w:hint="cs"/>
          <w:rtl/>
        </w:rPr>
        <w:t xml:space="preserve"> הוא נטל כבד מאוד שהתקרב לרף של 30% מהכנסתם נטו או עבר אותו. העובדה שמדובר באוכלוסייה המשתייכת </w:t>
      </w:r>
      <w:r w:rsidRPr="00F41E78">
        <w:rPr>
          <w:rtl/>
        </w:rPr>
        <w:t xml:space="preserve">לעשירונים 6-1, </w:t>
      </w:r>
      <w:r w:rsidRPr="00F41E78">
        <w:rPr>
          <w:rFonts w:hint="cs"/>
          <w:rtl/>
        </w:rPr>
        <w:t xml:space="preserve">מבחינת דירוג ההכנסה החודשית, חושפת אותה אף לסיכון גבוה יותר בכל הקשור לרווחתה ולחוסנה הכלכלי של אוכלוסייה זו. </w:t>
      </w:r>
    </w:p>
    <w:p w:rsidR="00D22B16" w:rsidRPr="00F41E78" w:rsidP="00D22B16">
      <w:pPr>
        <w:pStyle w:val="RESHET"/>
        <w:keepLines/>
        <w:rPr>
          <w:rtl/>
        </w:rPr>
      </w:pPr>
      <w:r w:rsidRPr="00F41E78">
        <w:rPr>
          <w:rFonts w:hint="cs"/>
          <w:rtl/>
        </w:rPr>
        <w:t xml:space="preserve">ההכבדה בנטל הוצאות הדיור מקשה על חלק ניכר ממשקי הבית להשיג דיור הולם לצרכיו, ואף יותר מזה - לממן לעצמו צרכים הכרחיים כמו מזון, חינוך, בריאות ורווחה. להכבדה בנטל השפעות קשות במיוחד על משקי הבית המשתייכים לעשירונים הנמוכים </w:t>
      </w:r>
      <w:r w:rsidRPr="00F41E78">
        <w:rPr>
          <w:rtl/>
        </w:rPr>
        <w:t>(כ-285,400 משקי בית)</w:t>
      </w:r>
      <w:r w:rsidRPr="00F41E78">
        <w:rPr>
          <w:rFonts w:hint="cs"/>
          <w:rtl/>
        </w:rPr>
        <w:t xml:space="preserve">, מבחינת גובה הכנסתם, שלרוב מוגדרים כאוכלוסייה הנזקקת לשירותי רווחה ותמיכה מהמדינה. השפעות דומות ישנן גם על עשירוני הביניים </w:t>
      </w:r>
      <w:r w:rsidRPr="00F41E78">
        <w:rPr>
          <w:rtl/>
        </w:rPr>
        <w:t>(כ-184,800 משקי בית)</w:t>
      </w:r>
      <w:r w:rsidRPr="00F41E78">
        <w:rPr>
          <w:rFonts w:hint="cs"/>
          <w:rtl/>
        </w:rPr>
        <w:t xml:space="preserve"> שהוצאותיהם על דיור גדלו והם מתקרבים לרף המסכן את איתנותם הכלכלית. </w:t>
      </w:r>
    </w:p>
    <w:p w:rsidR="005C5EBE" w:rsidRPr="00F41E78" w:rsidP="00F41E78">
      <w:pPr>
        <w:spacing w:after="120" w:line="230" w:lineRule="exact"/>
        <w:jc w:val="both"/>
        <w:rPr>
          <w:rFonts w:cs="FrankRuehl"/>
          <w:b/>
          <w:bCs/>
          <w:sz w:val="18"/>
          <w:szCs w:val="22"/>
          <w:rtl/>
          <w:lang w:eastAsia="he-IL"/>
        </w:rPr>
      </w:pPr>
    </w:p>
    <w:p w:rsidR="00E97EDA" w:rsidRPr="00E719A9" w:rsidP="005C5EBE">
      <w:pPr>
        <w:pStyle w:val="KOT5"/>
        <w:rPr>
          <w:rtl/>
          <w:lang w:eastAsia="he-IL"/>
        </w:rPr>
      </w:pPr>
      <w:bookmarkStart w:id="26" w:name="_Toc363738643"/>
      <w:bookmarkStart w:id="27" w:name="_Toc389492344"/>
      <w:r w:rsidRPr="00E719A9">
        <w:rPr>
          <w:rFonts w:hint="cs"/>
          <w:rtl/>
          <w:lang w:eastAsia="he-IL"/>
        </w:rPr>
        <w:t>גורמי הביקוש בשוק הדיור</w:t>
      </w:r>
      <w:bookmarkEnd w:id="26"/>
      <w:bookmarkEnd w:id="27"/>
    </w:p>
    <w:p w:rsidR="00FA6646" w:rsidRPr="00582A43" w:rsidP="00AF185F">
      <w:pPr>
        <w:spacing w:after="120" w:line="230" w:lineRule="exact"/>
        <w:jc w:val="both"/>
        <w:outlineLvl w:val="4"/>
        <w:rPr>
          <w:rFonts w:cs="FrankRuehl"/>
          <w:sz w:val="20"/>
          <w:szCs w:val="22"/>
          <w:rtl/>
          <w:lang w:eastAsia="he-IL"/>
        </w:rPr>
      </w:pPr>
      <w:r w:rsidRPr="00582A43">
        <w:rPr>
          <w:rFonts w:cs="FrankRuehl" w:hint="cs"/>
          <w:sz w:val="18"/>
          <w:szCs w:val="22"/>
          <w:rtl/>
          <w:lang w:eastAsia="he-IL"/>
        </w:rPr>
        <w:t xml:space="preserve">מחירי הדיור מושפעים מהיחס שבין ההיצע לביקוש. </w:t>
      </w:r>
      <w:r w:rsidRPr="00582A43">
        <w:rPr>
          <w:rFonts w:cs="FrankRuehl" w:hint="cs"/>
          <w:sz w:val="20"/>
          <w:szCs w:val="22"/>
          <w:rtl/>
          <w:lang w:eastAsia="he-IL"/>
        </w:rPr>
        <w:t xml:space="preserve">לפי נתוני הלמ"ס, בסוף יוני 2013 מנתה אוכלוסיית ישראל כ-8 מיליון נפש. קצב הגידול השנתי של האוכלוסייה </w:t>
      </w:r>
      <w:r w:rsidRPr="00582A43">
        <w:rPr>
          <w:rFonts w:cs="FrankRuehl" w:hint="eastAsia"/>
          <w:sz w:val="20"/>
          <w:szCs w:val="22"/>
          <w:rtl/>
          <w:lang w:eastAsia="he-IL"/>
        </w:rPr>
        <w:t>בשנים</w:t>
      </w:r>
      <w:r w:rsidRPr="00582A43">
        <w:rPr>
          <w:rFonts w:cs="FrankRuehl"/>
          <w:sz w:val="20"/>
          <w:szCs w:val="22"/>
          <w:rtl/>
          <w:lang w:eastAsia="he-IL"/>
        </w:rPr>
        <w:t xml:space="preserve"> </w:t>
      </w:r>
      <w:r w:rsidRPr="00582A43">
        <w:rPr>
          <w:rFonts w:cs="FrankRuehl" w:hint="eastAsia"/>
          <w:sz w:val="20"/>
          <w:szCs w:val="22"/>
          <w:rtl/>
          <w:lang w:eastAsia="he-IL"/>
        </w:rPr>
        <w:t>האחרונות</w:t>
      </w:r>
      <w:r w:rsidRPr="00582A43">
        <w:rPr>
          <w:rFonts w:cs="FrankRuehl" w:hint="cs"/>
          <w:sz w:val="20"/>
          <w:szCs w:val="22"/>
          <w:rtl/>
          <w:lang w:eastAsia="he-IL"/>
        </w:rPr>
        <w:t xml:space="preserve"> היה 1.9%-1.8%. בשנת 2012 היו כ-2.26 מיליון משקי הבית.</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הגידול במספר משקי הבית הוא הגורם העיקרי לעליית הביקוש בשוק הדיור. לכן, הגורמים העוסקים בניתוח שוק הדיור, לרבות משרד הבינוי, נוהגים לאמוד את הביקוש השנתי לדירות מגורים חדשות באמצעות מספר משקי הבית שהתווספו במשך השנה. תוספת משקי הבית מקורה בעיקר בגידול טבעי, אך גם בשינויים דמוגרפיים אחרים המשפיעים על רמות הביקוש לדיור, ובהם עלייה מחו"ל וכן שינויים בהרכב המשפחתי כמו גירושין ודחייה של גיל הנישואין.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גורם נוסף המשפיע על עליית הביקוש הוא הגידול בהיקף המשקיעים באפיק הנדל"ני למגורים. בעניין זה חשוב לציין כי חלק ניכר מיחידות הדיור שנרכשו על ידי משקיעים משמשות בסופו של דבר </w:t>
      </w:r>
      <w:r w:rsidRPr="00F41E78">
        <w:rPr>
          <w:rFonts w:cs="FrankRuehl" w:hint="eastAsia"/>
          <w:sz w:val="18"/>
          <w:szCs w:val="22"/>
          <w:rtl/>
          <w:lang w:eastAsia="he-IL"/>
        </w:rPr>
        <w:t>דירות</w:t>
      </w:r>
      <w:r w:rsidRPr="00F41E78">
        <w:rPr>
          <w:rFonts w:cs="FrankRuehl" w:hint="cs"/>
          <w:sz w:val="18"/>
          <w:szCs w:val="22"/>
          <w:rtl/>
          <w:lang w:eastAsia="he-IL"/>
        </w:rPr>
        <w:t xml:space="preserve"> להשכרה עבור חלק ממשקי הבית, ודבר זה הוא אחד מה</w:t>
      </w:r>
      <w:r w:rsidRPr="00F41E78">
        <w:rPr>
          <w:rFonts w:cs="FrankRuehl" w:hint="eastAsia"/>
          <w:sz w:val="18"/>
          <w:szCs w:val="22"/>
          <w:rtl/>
          <w:lang w:eastAsia="he-IL"/>
        </w:rPr>
        <w:t>מקור</w:t>
      </w:r>
      <w:r w:rsidRPr="00F41E78">
        <w:rPr>
          <w:rFonts w:cs="FrankRuehl" w:hint="cs"/>
          <w:sz w:val="18"/>
          <w:szCs w:val="22"/>
          <w:rtl/>
          <w:lang w:eastAsia="he-IL"/>
        </w:rPr>
        <w:t>ות</w:t>
      </w:r>
      <w:r w:rsidRPr="00F41E78">
        <w:rPr>
          <w:rFonts w:cs="FrankRuehl"/>
          <w:sz w:val="18"/>
          <w:szCs w:val="22"/>
          <w:rtl/>
          <w:lang w:eastAsia="he-IL"/>
        </w:rPr>
        <w:t xml:space="preserve"> </w:t>
      </w:r>
      <w:r w:rsidRPr="00F41E78">
        <w:rPr>
          <w:rFonts w:cs="FrankRuehl" w:hint="cs"/>
          <w:sz w:val="18"/>
          <w:szCs w:val="22"/>
          <w:rtl/>
          <w:lang w:eastAsia="he-IL"/>
        </w:rPr>
        <w:t>להגדלת ההיצע בשוק הדיור להשכרה.</w:t>
      </w:r>
    </w:p>
    <w:p w:rsidR="00E97EDA" w:rsidRPr="00F41E78" w:rsidP="00F41E78">
      <w:pPr>
        <w:spacing w:after="120" w:line="230" w:lineRule="exact"/>
        <w:jc w:val="both"/>
        <w:outlineLvl w:val="4"/>
        <w:rPr>
          <w:rFonts w:cs="FrankRuehl"/>
          <w:bCs/>
          <w:spacing w:val="40"/>
          <w:sz w:val="18"/>
          <w:szCs w:val="22"/>
          <w:rtl/>
        </w:rPr>
      </w:pPr>
      <w:bookmarkStart w:id="28" w:name="_Toc363738644"/>
      <w:r w:rsidRPr="00F41E78">
        <w:rPr>
          <w:rFonts w:cs="FrankRuehl" w:hint="eastAsia"/>
          <w:bCs/>
          <w:spacing w:val="40"/>
          <w:sz w:val="18"/>
          <w:szCs w:val="22"/>
          <w:rtl/>
        </w:rPr>
        <w:t>מודלים</w:t>
      </w:r>
      <w:r w:rsidRPr="00F41E78">
        <w:rPr>
          <w:rFonts w:cs="FrankRuehl"/>
          <w:bCs/>
          <w:spacing w:val="40"/>
          <w:sz w:val="18"/>
          <w:szCs w:val="22"/>
          <w:rtl/>
        </w:rPr>
        <w:t xml:space="preserve"> </w:t>
      </w:r>
      <w:r w:rsidRPr="00F41E78">
        <w:rPr>
          <w:rFonts w:cs="FrankRuehl" w:hint="eastAsia"/>
          <w:bCs/>
          <w:spacing w:val="40"/>
          <w:sz w:val="18"/>
          <w:szCs w:val="22"/>
          <w:rtl/>
        </w:rPr>
        <w:t>לא</w:t>
      </w:r>
      <w:r w:rsidRPr="00F41E78">
        <w:rPr>
          <w:rFonts w:cs="FrankRuehl" w:hint="cs"/>
          <w:bCs/>
          <w:spacing w:val="40"/>
          <w:sz w:val="18"/>
          <w:szCs w:val="22"/>
          <w:rtl/>
        </w:rPr>
        <w:t>ומדן</w:t>
      </w:r>
      <w:r w:rsidRPr="00F41E78">
        <w:rPr>
          <w:rFonts w:cs="FrankRuehl"/>
          <w:bCs/>
          <w:spacing w:val="40"/>
          <w:sz w:val="18"/>
          <w:szCs w:val="22"/>
          <w:rtl/>
        </w:rPr>
        <w:t xml:space="preserve"> </w:t>
      </w:r>
      <w:r w:rsidRPr="00F41E78">
        <w:rPr>
          <w:rFonts w:cs="FrankRuehl" w:hint="eastAsia"/>
          <w:bCs/>
          <w:spacing w:val="40"/>
          <w:sz w:val="18"/>
          <w:szCs w:val="22"/>
          <w:rtl/>
        </w:rPr>
        <w:t>ביקושים</w:t>
      </w:r>
      <w:r w:rsidRPr="00F41E78">
        <w:rPr>
          <w:rFonts w:cs="FrankRuehl"/>
          <w:bCs/>
          <w:spacing w:val="40"/>
          <w:sz w:val="18"/>
          <w:szCs w:val="22"/>
          <w:rtl/>
        </w:rPr>
        <w:t xml:space="preserve"> </w:t>
      </w:r>
      <w:r w:rsidRPr="00F41E78">
        <w:rPr>
          <w:rFonts w:cs="FrankRuehl" w:hint="eastAsia"/>
          <w:bCs/>
          <w:spacing w:val="40"/>
          <w:sz w:val="18"/>
          <w:szCs w:val="22"/>
          <w:rtl/>
        </w:rPr>
        <w:t>בשוק</w:t>
      </w:r>
      <w:r w:rsidRPr="00F41E78">
        <w:rPr>
          <w:rFonts w:cs="FrankRuehl"/>
          <w:bCs/>
          <w:spacing w:val="40"/>
          <w:sz w:val="18"/>
          <w:szCs w:val="22"/>
          <w:rtl/>
        </w:rPr>
        <w:t xml:space="preserve"> </w:t>
      </w:r>
      <w:r w:rsidRPr="00F41E78">
        <w:rPr>
          <w:rFonts w:cs="FrankRuehl" w:hint="eastAsia"/>
          <w:bCs/>
          <w:spacing w:val="40"/>
          <w:sz w:val="18"/>
          <w:szCs w:val="22"/>
          <w:rtl/>
        </w:rPr>
        <w:t>הדיור</w:t>
      </w:r>
      <w:r w:rsidRPr="00F41E78">
        <w:rPr>
          <w:rFonts w:cs="FrankRuehl"/>
          <w:bCs/>
          <w:spacing w:val="40"/>
          <w:sz w:val="18"/>
          <w:szCs w:val="22"/>
          <w:rtl/>
        </w:rPr>
        <w:t>:</w:t>
      </w:r>
      <w:r w:rsidRPr="00F41E78">
        <w:rPr>
          <w:rFonts w:cs="FrankRuehl" w:hint="cs"/>
          <w:bCs/>
          <w:spacing w:val="40"/>
          <w:sz w:val="18"/>
          <w:szCs w:val="22"/>
          <w:rtl/>
        </w:rPr>
        <w:t xml:space="preserve"> </w:t>
      </w:r>
      <w:r w:rsidRPr="00F41E78">
        <w:rPr>
          <w:rFonts w:cs="FrankRuehl" w:hint="cs"/>
          <w:b/>
          <w:sz w:val="18"/>
          <w:szCs w:val="22"/>
          <w:rtl/>
        </w:rPr>
        <w:t xml:space="preserve">לפי המקובל, הגידול השנתי במספר משקי הבית </w:t>
      </w:r>
      <w:r w:rsidRPr="00F41E78">
        <w:rPr>
          <w:rFonts w:cs="FrankRuehl" w:hint="eastAsia"/>
          <w:b/>
          <w:sz w:val="18"/>
          <w:szCs w:val="22"/>
          <w:rtl/>
        </w:rPr>
        <w:t>מספק</w:t>
      </w:r>
      <w:r w:rsidRPr="00F41E78">
        <w:rPr>
          <w:rFonts w:cs="FrankRuehl"/>
          <w:b/>
          <w:sz w:val="18"/>
          <w:szCs w:val="22"/>
          <w:rtl/>
        </w:rPr>
        <w:t xml:space="preserve"> </w:t>
      </w:r>
      <w:r w:rsidRPr="00F41E78">
        <w:rPr>
          <w:rFonts w:cs="FrankRuehl" w:hint="eastAsia"/>
          <w:b/>
          <w:sz w:val="18"/>
          <w:szCs w:val="22"/>
          <w:rtl/>
        </w:rPr>
        <w:t>אומדן</w:t>
      </w:r>
      <w:r w:rsidRPr="00F41E78">
        <w:rPr>
          <w:rFonts w:cs="FrankRuehl"/>
          <w:b/>
          <w:sz w:val="18"/>
          <w:szCs w:val="22"/>
          <w:rtl/>
        </w:rPr>
        <w:t xml:space="preserve"> </w:t>
      </w:r>
      <w:r w:rsidRPr="00F41E78">
        <w:rPr>
          <w:rFonts w:cs="FrankRuehl" w:hint="eastAsia"/>
          <w:b/>
          <w:sz w:val="18"/>
          <w:szCs w:val="22"/>
          <w:rtl/>
        </w:rPr>
        <w:t>לביקוש</w:t>
      </w:r>
      <w:r w:rsidRPr="00F41E78">
        <w:rPr>
          <w:rFonts w:cs="FrankRuehl"/>
          <w:b/>
          <w:sz w:val="18"/>
          <w:szCs w:val="22"/>
          <w:rtl/>
        </w:rPr>
        <w:t xml:space="preserve"> </w:t>
      </w:r>
      <w:r w:rsidRPr="00F41E78">
        <w:rPr>
          <w:rFonts w:cs="FrankRuehl" w:hint="eastAsia"/>
          <w:b/>
          <w:sz w:val="18"/>
          <w:szCs w:val="22"/>
          <w:rtl/>
        </w:rPr>
        <w:t>השנתי</w:t>
      </w:r>
      <w:r w:rsidRPr="00F41E78">
        <w:rPr>
          <w:rFonts w:cs="FrankRuehl" w:hint="cs"/>
          <w:b/>
          <w:sz w:val="18"/>
          <w:szCs w:val="22"/>
          <w:rtl/>
        </w:rPr>
        <w:t xml:space="preserve"> לדירות מגורים. מדובר בהערכה כללית המתבססת רק על הגידול במספר משקי הבית ללא כל נגיעה למאפייניהם הסוציו-אקונומיים כמו מספר הנפשות, גילם של בני הבית, אזור המגורים ורמת ההכנסה. מדידה תקפה ואמינה של הביקושים בשוק הדיור היא כלי חיוני המאפשר לקובעי מדיניות לקבל החלטות מיטביות בדבר האיזון הנדרש בין ההיצע ובין הביקוש בשוק הדיור.</w:t>
      </w:r>
      <w:r w:rsidRPr="00F41E78">
        <w:rPr>
          <w:rFonts w:cs="FrankRuehl" w:hint="cs"/>
          <w:b/>
          <w:spacing w:val="40"/>
          <w:sz w:val="18"/>
          <w:szCs w:val="22"/>
          <w:rtl/>
        </w:rPr>
        <w:t xml:space="preserve"> </w:t>
      </w:r>
    </w:p>
    <w:p w:rsidR="00E97EDA" w:rsidRPr="00F41E78" w:rsidP="004D036B">
      <w:pPr>
        <w:spacing w:after="240" w:line="230" w:lineRule="exact"/>
        <w:jc w:val="both"/>
        <w:outlineLvl w:val="4"/>
        <w:rPr>
          <w:rFonts w:cs="FrankRuehl"/>
          <w:bCs/>
          <w:spacing w:val="40"/>
          <w:sz w:val="18"/>
          <w:szCs w:val="22"/>
          <w:rtl/>
        </w:rPr>
      </w:pPr>
      <w:r w:rsidRPr="00F41E78">
        <w:rPr>
          <w:rFonts w:cs="FrankRuehl" w:hint="cs"/>
          <w:b/>
          <w:sz w:val="18"/>
          <w:szCs w:val="22"/>
          <w:rtl/>
        </w:rPr>
        <w:t xml:space="preserve">בביקורת עלה כי אין הגופים הממשלתיים, ובראשם משרד הבינוי, הממונים </w:t>
      </w:r>
      <w:r w:rsidRPr="00F41E78">
        <w:rPr>
          <w:rFonts w:cs="FrankRuehl"/>
          <w:b/>
          <w:sz w:val="18"/>
          <w:szCs w:val="22"/>
          <w:rtl/>
        </w:rPr>
        <w:t xml:space="preserve">על </w:t>
      </w:r>
      <w:r w:rsidRPr="00F41E78">
        <w:rPr>
          <w:rFonts w:cs="FrankRuehl" w:hint="cs"/>
          <w:b/>
          <w:sz w:val="18"/>
          <w:szCs w:val="22"/>
          <w:rtl/>
        </w:rPr>
        <w:t>ה</w:t>
      </w:r>
      <w:r w:rsidRPr="00F41E78">
        <w:rPr>
          <w:rFonts w:cs="FrankRuehl"/>
          <w:b/>
          <w:sz w:val="18"/>
          <w:szCs w:val="22"/>
          <w:rtl/>
        </w:rPr>
        <w:t>ייזום ו</w:t>
      </w:r>
      <w:r w:rsidRPr="00F41E78">
        <w:rPr>
          <w:rFonts w:cs="FrankRuehl" w:hint="cs"/>
          <w:b/>
          <w:sz w:val="18"/>
          <w:szCs w:val="22"/>
          <w:rtl/>
        </w:rPr>
        <w:t>ה</w:t>
      </w:r>
      <w:r w:rsidRPr="00F41E78">
        <w:rPr>
          <w:rFonts w:cs="FrankRuehl"/>
          <w:b/>
          <w:sz w:val="18"/>
          <w:szCs w:val="22"/>
          <w:rtl/>
        </w:rPr>
        <w:t xml:space="preserve">ביצוע </w:t>
      </w:r>
      <w:r w:rsidRPr="00F41E78">
        <w:rPr>
          <w:rFonts w:cs="FrankRuehl" w:hint="cs"/>
          <w:b/>
          <w:sz w:val="18"/>
          <w:szCs w:val="22"/>
          <w:rtl/>
        </w:rPr>
        <w:t xml:space="preserve">של </w:t>
      </w:r>
      <w:r w:rsidRPr="00F41E78">
        <w:rPr>
          <w:rFonts w:cs="FrankRuehl"/>
          <w:b/>
          <w:sz w:val="18"/>
          <w:szCs w:val="22"/>
          <w:rtl/>
        </w:rPr>
        <w:t>מדיניות הממשלה בתחו</w:t>
      </w:r>
      <w:r w:rsidRPr="00F41E78">
        <w:rPr>
          <w:rFonts w:cs="FrankRuehl" w:hint="cs"/>
          <w:b/>
          <w:sz w:val="18"/>
          <w:szCs w:val="22"/>
          <w:rtl/>
        </w:rPr>
        <w:t xml:space="preserve">ם </w:t>
      </w:r>
      <w:r w:rsidRPr="00F41E78">
        <w:rPr>
          <w:rFonts w:cs="FrankRuehl"/>
          <w:b/>
          <w:sz w:val="18"/>
          <w:szCs w:val="22"/>
          <w:rtl/>
        </w:rPr>
        <w:t xml:space="preserve">הבנייה למגורים, </w:t>
      </w:r>
      <w:r w:rsidRPr="00F41E78">
        <w:rPr>
          <w:rFonts w:cs="FrankRuehl" w:hint="cs"/>
          <w:b/>
          <w:sz w:val="18"/>
          <w:szCs w:val="22"/>
          <w:rtl/>
        </w:rPr>
        <w:t>לרבות</w:t>
      </w:r>
      <w:r w:rsidRPr="00F41E78">
        <w:rPr>
          <w:rFonts w:cs="FrankRuehl"/>
          <w:b/>
          <w:sz w:val="18"/>
          <w:szCs w:val="22"/>
          <w:rtl/>
        </w:rPr>
        <w:t xml:space="preserve"> ייזום</w:t>
      </w:r>
      <w:r w:rsidRPr="00F41E78">
        <w:rPr>
          <w:rFonts w:cs="FrankRuehl" w:hint="cs"/>
          <w:b/>
          <w:sz w:val="18"/>
          <w:szCs w:val="22"/>
          <w:rtl/>
        </w:rPr>
        <w:t>,</w:t>
      </w:r>
      <w:r w:rsidRPr="00F41E78">
        <w:rPr>
          <w:rFonts w:cs="FrankRuehl"/>
          <w:b/>
          <w:sz w:val="18"/>
          <w:szCs w:val="22"/>
          <w:rtl/>
        </w:rPr>
        <w:t xml:space="preserve"> תכנון ושיווק </w:t>
      </w:r>
      <w:r w:rsidRPr="00F41E78">
        <w:rPr>
          <w:rFonts w:cs="FrankRuehl" w:hint="cs"/>
          <w:b/>
          <w:sz w:val="18"/>
          <w:szCs w:val="22"/>
          <w:rtl/>
        </w:rPr>
        <w:t xml:space="preserve">של </w:t>
      </w:r>
      <w:r w:rsidRPr="00F41E78">
        <w:rPr>
          <w:rFonts w:cs="FrankRuehl"/>
          <w:b/>
          <w:sz w:val="18"/>
          <w:szCs w:val="22"/>
          <w:rtl/>
        </w:rPr>
        <w:t>קרקעות מפותחות לבנייה</w:t>
      </w:r>
      <w:r w:rsidRPr="00F41E78">
        <w:rPr>
          <w:rFonts w:cs="FrankRuehl" w:hint="cs"/>
          <w:b/>
          <w:sz w:val="18"/>
          <w:szCs w:val="22"/>
          <w:rtl/>
        </w:rPr>
        <w:t>, מחזיקים במודלים לאומדן הביקושים בשוק הדיור, שעל פיהם ניתן לאבחן את הצרכים של משקי הבית על פי המאפיינים שלהם. בהיעדר הבחנה בין צורכיהם של משקי הבית על פי אפיונם, עלול להיווצר מצב שבו היצע הדיור לא יעלה בקנה אחד עם צורכיהם מבחינת מיקומה ושטחה של הדירה.</w:t>
      </w:r>
    </w:p>
    <w:p w:rsidR="00D22B16" w:rsidRPr="00F41E78" w:rsidP="00D22B16">
      <w:pPr>
        <w:pStyle w:val="RESHET"/>
        <w:keepLines/>
        <w:rPr>
          <w:rtl/>
        </w:rPr>
      </w:pPr>
      <w:bookmarkEnd w:id="28"/>
      <w:r w:rsidRPr="00F41E78">
        <w:rPr>
          <w:rFonts w:hint="cs"/>
          <w:rtl/>
        </w:rPr>
        <w:t xml:space="preserve">לדעת משרד מבקר המדינה, על משרד הבינוי לפתח כלים שיסייעו לו לאמוד את הביקושים באופן מדויק ככל הניתן וישמשו את מקבלי ההחלטות באופן שוטף. </w:t>
      </w:r>
    </w:p>
    <w:p w:rsidR="00E97EDA" w:rsidRPr="00F41E78" w:rsidP="004D036B">
      <w:pPr>
        <w:spacing w:before="180" w:after="240" w:line="230" w:lineRule="exact"/>
        <w:jc w:val="both"/>
        <w:outlineLvl w:val="4"/>
        <w:rPr>
          <w:rFonts w:cs="FrankRuehl"/>
          <w:b/>
          <w:bCs/>
          <w:spacing w:val="40"/>
          <w:sz w:val="18"/>
          <w:szCs w:val="22"/>
          <w:rtl/>
          <w:lang w:eastAsia="he-IL"/>
        </w:rPr>
      </w:pPr>
      <w:r w:rsidRPr="00F41E78">
        <w:rPr>
          <w:rFonts w:cs="FrankRuehl" w:hint="eastAsia"/>
          <w:bCs/>
          <w:spacing w:val="40"/>
          <w:sz w:val="18"/>
          <w:szCs w:val="22"/>
          <w:rtl/>
        </w:rPr>
        <w:t>השינויים</w:t>
      </w:r>
      <w:r w:rsidRPr="00F41E78">
        <w:rPr>
          <w:rFonts w:cs="FrankRuehl"/>
          <w:bCs/>
          <w:spacing w:val="40"/>
          <w:sz w:val="18"/>
          <w:szCs w:val="22"/>
          <w:rtl/>
        </w:rPr>
        <w:t xml:space="preserve"> </w:t>
      </w:r>
      <w:r w:rsidRPr="00F41E78">
        <w:rPr>
          <w:rFonts w:cs="FrankRuehl" w:hint="eastAsia"/>
          <w:bCs/>
          <w:spacing w:val="40"/>
          <w:sz w:val="18"/>
          <w:szCs w:val="22"/>
          <w:rtl/>
        </w:rPr>
        <w:t>במספר</w:t>
      </w:r>
      <w:r w:rsidRPr="00F41E78">
        <w:rPr>
          <w:rFonts w:cs="FrankRuehl"/>
          <w:bCs/>
          <w:spacing w:val="40"/>
          <w:sz w:val="18"/>
          <w:szCs w:val="22"/>
          <w:rtl/>
        </w:rPr>
        <w:t xml:space="preserve"> </w:t>
      </w:r>
      <w:r w:rsidRPr="00F41E78">
        <w:rPr>
          <w:rFonts w:cs="FrankRuehl" w:hint="eastAsia"/>
          <w:bCs/>
          <w:spacing w:val="40"/>
          <w:sz w:val="18"/>
          <w:szCs w:val="22"/>
          <w:rtl/>
        </w:rPr>
        <w:t>משקי</w:t>
      </w:r>
      <w:r w:rsidRPr="00F41E78">
        <w:rPr>
          <w:rFonts w:cs="FrankRuehl"/>
          <w:bCs/>
          <w:spacing w:val="40"/>
          <w:sz w:val="18"/>
          <w:szCs w:val="22"/>
          <w:rtl/>
        </w:rPr>
        <w:t xml:space="preserve"> </w:t>
      </w:r>
      <w:r w:rsidRPr="00F41E78">
        <w:rPr>
          <w:rFonts w:cs="FrankRuehl" w:hint="eastAsia"/>
          <w:bCs/>
          <w:spacing w:val="40"/>
          <w:sz w:val="18"/>
          <w:szCs w:val="22"/>
          <w:rtl/>
        </w:rPr>
        <w:t>הבית</w:t>
      </w:r>
      <w:r w:rsidRPr="00F41E78">
        <w:rPr>
          <w:rFonts w:cs="FrankRuehl"/>
          <w:bCs/>
          <w:spacing w:val="40"/>
          <w:sz w:val="18"/>
          <w:szCs w:val="22"/>
          <w:rtl/>
        </w:rPr>
        <w:t xml:space="preserve"> </w:t>
      </w:r>
      <w:r w:rsidRPr="00F41E78">
        <w:rPr>
          <w:rFonts w:cs="FrankRuehl" w:hint="eastAsia"/>
          <w:bCs/>
          <w:spacing w:val="40"/>
          <w:sz w:val="18"/>
          <w:szCs w:val="22"/>
          <w:rtl/>
        </w:rPr>
        <w:t>לעומת</w:t>
      </w:r>
      <w:r w:rsidRPr="00F41E78">
        <w:rPr>
          <w:rFonts w:cs="FrankRuehl"/>
          <w:bCs/>
          <w:spacing w:val="40"/>
          <w:sz w:val="18"/>
          <w:szCs w:val="22"/>
          <w:rtl/>
        </w:rPr>
        <w:t xml:space="preserve"> </w:t>
      </w:r>
      <w:r w:rsidRPr="00F41E78">
        <w:rPr>
          <w:rFonts w:cs="FrankRuehl" w:hint="eastAsia"/>
          <w:bCs/>
          <w:spacing w:val="40"/>
          <w:sz w:val="18"/>
          <w:szCs w:val="22"/>
          <w:rtl/>
        </w:rPr>
        <w:t>השינויים</w:t>
      </w:r>
      <w:r w:rsidRPr="00F41E78">
        <w:rPr>
          <w:rFonts w:cs="FrankRuehl"/>
          <w:bCs/>
          <w:spacing w:val="40"/>
          <w:sz w:val="18"/>
          <w:szCs w:val="22"/>
          <w:rtl/>
        </w:rPr>
        <w:t xml:space="preserve"> </w:t>
      </w:r>
      <w:r w:rsidRPr="00F41E78">
        <w:rPr>
          <w:rFonts w:cs="FrankRuehl" w:hint="eastAsia"/>
          <w:bCs/>
          <w:spacing w:val="40"/>
          <w:sz w:val="18"/>
          <w:szCs w:val="22"/>
          <w:rtl/>
        </w:rPr>
        <w:t>במספר</w:t>
      </w:r>
      <w:r w:rsidRPr="00F41E78">
        <w:rPr>
          <w:rFonts w:cs="FrankRuehl"/>
          <w:bCs/>
          <w:spacing w:val="40"/>
          <w:sz w:val="18"/>
          <w:szCs w:val="22"/>
          <w:rtl/>
        </w:rPr>
        <w:t xml:space="preserve"> </w:t>
      </w:r>
      <w:r w:rsidRPr="00F41E78">
        <w:rPr>
          <w:rFonts w:cs="FrankRuehl" w:hint="eastAsia"/>
          <w:bCs/>
          <w:spacing w:val="40"/>
          <w:sz w:val="18"/>
          <w:szCs w:val="22"/>
          <w:rtl/>
        </w:rPr>
        <w:t>התחלות</w:t>
      </w:r>
      <w:r w:rsidRPr="00F41E78">
        <w:rPr>
          <w:rFonts w:cs="FrankRuehl"/>
          <w:bCs/>
          <w:spacing w:val="40"/>
          <w:sz w:val="18"/>
          <w:szCs w:val="22"/>
          <w:rtl/>
        </w:rPr>
        <w:t xml:space="preserve"> </w:t>
      </w:r>
      <w:r w:rsidRPr="00F41E78">
        <w:rPr>
          <w:rFonts w:cs="FrankRuehl" w:hint="eastAsia"/>
          <w:bCs/>
          <w:spacing w:val="40"/>
          <w:sz w:val="18"/>
          <w:szCs w:val="22"/>
          <w:rtl/>
        </w:rPr>
        <w:t>הבנייה</w:t>
      </w:r>
      <w:r w:rsidRPr="00F41E78">
        <w:rPr>
          <w:rFonts w:cs="FrankRuehl"/>
          <w:bCs/>
          <w:spacing w:val="40"/>
          <w:sz w:val="18"/>
          <w:szCs w:val="22"/>
          <w:rtl/>
        </w:rPr>
        <w:t xml:space="preserve">: </w:t>
      </w:r>
      <w:r w:rsidRPr="00F41E78">
        <w:rPr>
          <w:rFonts w:cs="FrankRuehl" w:hint="eastAsia"/>
          <w:sz w:val="18"/>
          <w:szCs w:val="22"/>
          <w:rtl/>
        </w:rPr>
        <w:t>כדי</w:t>
      </w:r>
      <w:r w:rsidRPr="00F41E78">
        <w:rPr>
          <w:rFonts w:cs="FrankRuehl"/>
          <w:sz w:val="18"/>
          <w:szCs w:val="22"/>
          <w:rtl/>
        </w:rPr>
        <w:t xml:space="preserve"> לבחון</w:t>
      </w:r>
      <w:r w:rsidRPr="00F41E78">
        <w:rPr>
          <w:rFonts w:cs="FrankRuehl"/>
          <w:sz w:val="18"/>
          <w:szCs w:val="22"/>
          <w:rtl/>
          <w:lang w:eastAsia="he-IL"/>
        </w:rPr>
        <w:t xml:space="preserve"> את היחס בין הביקוש להיצע בשוק הדיור ניתן להשוות בין הגידול ב</w:t>
      </w:r>
      <w:r w:rsidRPr="00F41E78">
        <w:rPr>
          <w:rFonts w:cs="FrankRuehl" w:hint="cs"/>
          <w:sz w:val="18"/>
          <w:szCs w:val="22"/>
          <w:rtl/>
          <w:lang w:eastAsia="he-IL"/>
        </w:rPr>
        <w:t xml:space="preserve">מספר </w:t>
      </w:r>
      <w:r w:rsidRPr="00F41E78">
        <w:rPr>
          <w:rFonts w:cs="FrankRuehl"/>
          <w:sz w:val="18"/>
          <w:szCs w:val="22"/>
          <w:rtl/>
          <w:lang w:eastAsia="he-IL"/>
        </w:rPr>
        <w:t>משקי בית ובין מספר התחלות הבנייה</w:t>
      </w:r>
      <w:r w:rsidRPr="00F41E78">
        <w:rPr>
          <w:rFonts w:cs="FrankRuehl" w:hint="cs"/>
          <w:sz w:val="18"/>
          <w:szCs w:val="22"/>
          <w:rtl/>
          <w:lang w:eastAsia="he-IL"/>
        </w:rPr>
        <w:t xml:space="preserve"> של יח"ד</w:t>
      </w:r>
      <w:r w:rsidRPr="00F41E78">
        <w:rPr>
          <w:rFonts w:cs="FrankRuehl"/>
          <w:sz w:val="18"/>
          <w:szCs w:val="22"/>
          <w:rtl/>
          <w:lang w:eastAsia="he-IL"/>
        </w:rPr>
        <w:t xml:space="preserve"> </w:t>
      </w:r>
      <w:r w:rsidRPr="00F41E78">
        <w:rPr>
          <w:rFonts w:cs="FrankRuehl" w:hint="eastAsia"/>
          <w:sz w:val="18"/>
          <w:szCs w:val="22"/>
          <w:rtl/>
          <w:lang w:eastAsia="he-IL"/>
        </w:rPr>
        <w:t>בתקופה</w:t>
      </w:r>
      <w:r w:rsidRPr="00F41E78">
        <w:rPr>
          <w:rFonts w:cs="FrankRuehl"/>
          <w:sz w:val="18"/>
          <w:szCs w:val="22"/>
          <w:rtl/>
          <w:lang w:eastAsia="he-IL"/>
        </w:rPr>
        <w:t xml:space="preserve"> </w:t>
      </w:r>
      <w:r w:rsidRPr="00F41E78">
        <w:rPr>
          <w:rFonts w:cs="FrankRuehl" w:hint="eastAsia"/>
          <w:sz w:val="18"/>
          <w:szCs w:val="22"/>
          <w:rtl/>
          <w:lang w:eastAsia="he-IL"/>
        </w:rPr>
        <w:t>נתונה</w:t>
      </w:r>
      <w:r w:rsidRPr="00F41E78">
        <w:rPr>
          <w:rFonts w:cs="FrankRuehl"/>
          <w:sz w:val="18"/>
          <w:szCs w:val="22"/>
          <w:rtl/>
          <w:lang w:eastAsia="he-IL"/>
        </w:rPr>
        <w:t>.</w:t>
      </w:r>
      <w:r w:rsidRPr="00F41E78">
        <w:rPr>
          <w:rFonts w:cs="FrankRuehl" w:hint="cs"/>
          <w:sz w:val="18"/>
          <w:szCs w:val="22"/>
          <w:rtl/>
          <w:lang w:eastAsia="he-IL"/>
        </w:rPr>
        <w:t xml:space="preserve"> משרד מבקר המדינה בדק את הנושא בנוגע לשנים 2012-2002</w:t>
      </w:r>
      <w:r>
        <w:rPr>
          <w:rFonts w:cs="FrankRuehl"/>
          <w:sz w:val="18"/>
          <w:szCs w:val="22"/>
          <w:vertAlign w:val="superscript"/>
          <w:rtl/>
          <w:lang w:eastAsia="he-IL"/>
        </w:rPr>
        <w:footnoteReference w:id="39"/>
      </w:r>
      <w:r w:rsidRPr="00F41E78">
        <w:rPr>
          <w:rFonts w:cs="FrankRuehl" w:hint="cs"/>
          <w:sz w:val="18"/>
          <w:szCs w:val="22"/>
          <w:rtl/>
          <w:lang w:eastAsia="he-IL"/>
        </w:rPr>
        <w:t>.</w:t>
      </w:r>
    </w:p>
    <w:p w:rsidR="00813F66" w:rsidRPr="00687567" w:rsidP="004D036B">
      <w:pPr>
        <w:spacing w:after="240" w:line="240" w:lineRule="atLeast"/>
        <w:jc w:val="center"/>
        <w:rPr>
          <w:rFonts w:ascii="Arial" w:hAnsi="Arial" w:cs="Arial"/>
          <w:szCs w:val="20"/>
          <w:rtl/>
          <w:lang w:eastAsia="he-IL"/>
        </w:rPr>
      </w:pPr>
      <w:r>
        <w:rPr>
          <w:rFonts w:ascii="Arial" w:hAnsi="Arial" w:cs="Arial"/>
          <w:noProof/>
        </w:rPr>
        <w:pict>
          <v:shape id="_x0000_i1033" type="#_x0000_t75" style="width:340pt;height:204.5pt">
            <v:imagedata r:id="rId21" o:title="A1-6-Cx"/>
          </v:shape>
        </w:pict>
      </w:r>
    </w:p>
    <w:p w:rsidR="00D22B16" w:rsidRPr="00F41E78" w:rsidP="00D22B16">
      <w:pPr>
        <w:pStyle w:val="RESHET"/>
        <w:keepLines/>
        <w:rPr>
          <w:rtl/>
        </w:rPr>
      </w:pPr>
      <w:r w:rsidRPr="00F41E78">
        <w:rPr>
          <w:rFonts w:hint="cs"/>
          <w:rtl/>
        </w:rPr>
        <w:t xml:space="preserve">מהנתונים בתרשים זה עולה כי בשנים 2012-2002 הצטבר פער בין מספר משקי בית שנוספו בכל שנה ובין מספר יחידות הדיור שהוחל בבנייתן בשנה זו. פער זה הלך וגדל </w:t>
      </w:r>
      <w:r w:rsidRPr="00F41E78">
        <w:rPr>
          <w:rFonts w:hint="eastAsia"/>
          <w:rtl/>
        </w:rPr>
        <w:t>ו</w:t>
      </w:r>
      <w:r w:rsidRPr="00F41E78">
        <w:rPr>
          <w:rFonts w:hint="cs"/>
          <w:rtl/>
        </w:rPr>
        <w:t xml:space="preserve">בסוף 2012 עמד על כ-53,000 יח"ד. </w:t>
      </w:r>
    </w:p>
    <w:p w:rsidR="00E97EDA" w:rsidRPr="00F41E78" w:rsidP="004D036B">
      <w:pPr>
        <w:tabs>
          <w:tab w:val="left" w:pos="554"/>
        </w:tabs>
        <w:spacing w:before="180" w:after="120" w:line="230" w:lineRule="exact"/>
        <w:jc w:val="both"/>
        <w:rPr>
          <w:rFonts w:cs="FrankRuehl"/>
          <w:sz w:val="18"/>
          <w:szCs w:val="22"/>
          <w:rtl/>
          <w:lang w:eastAsia="he-IL"/>
        </w:rPr>
      </w:pPr>
      <w:r w:rsidRPr="00F41E78">
        <w:rPr>
          <w:rFonts w:cs="FrankRuehl" w:hint="cs"/>
          <w:sz w:val="18"/>
          <w:szCs w:val="22"/>
          <w:rtl/>
          <w:lang w:eastAsia="he-IL"/>
        </w:rPr>
        <w:t>יצוין כי משרד הבינוי בודק את מאזן הדירות על פי היחס שבין מספר הדירות שבנייתן הסתיימה ובין מספר משקי הבית בזמן נתון. בהתאם לכך, על פי נתוני המשרד, המחסור בדירות למגורים לפי הנתונים המעודכנים לסוף 2013 נאמד ב-115,000 דירות</w:t>
      </w:r>
      <w:r>
        <w:rPr>
          <w:rFonts w:cs="FrankRuehl"/>
          <w:sz w:val="18"/>
          <w:szCs w:val="22"/>
          <w:vertAlign w:val="superscript"/>
          <w:rtl/>
          <w:lang w:eastAsia="he-IL"/>
        </w:rPr>
        <w:footnoteReference w:id="40"/>
      </w:r>
      <w:r w:rsidRPr="00F41E78">
        <w:rPr>
          <w:rFonts w:cs="FrankRuehl" w:hint="cs"/>
          <w:sz w:val="18"/>
          <w:szCs w:val="22"/>
          <w:rtl/>
          <w:lang w:eastAsia="he-IL"/>
        </w:rPr>
        <w:t>. בחישוב זה לא נכללו הדירות הנמצאות בתהליכי בנייה שברבעון השלישי של 2013 הסתכם מספרן ב-89,638.</w:t>
      </w:r>
    </w:p>
    <w:p w:rsidR="00E97EDA" w:rsidRPr="00F41E78" w:rsidP="00F41E78">
      <w:pPr>
        <w:spacing w:after="120" w:line="230" w:lineRule="exact"/>
        <w:jc w:val="both"/>
        <w:rPr>
          <w:rFonts w:cs="FrankRuehl"/>
          <w:sz w:val="18"/>
          <w:szCs w:val="22"/>
          <w:rtl/>
          <w:lang w:eastAsia="he-IL"/>
        </w:rPr>
      </w:pPr>
      <w:r w:rsidRPr="00F41E78">
        <w:rPr>
          <w:rFonts w:cs="FrankRuehl" w:hint="eastAsia"/>
          <w:bCs/>
          <w:spacing w:val="40"/>
          <w:sz w:val="18"/>
          <w:szCs w:val="22"/>
          <w:rtl/>
        </w:rPr>
        <w:t>השפעת</w:t>
      </w:r>
      <w:r w:rsidRPr="00F41E78">
        <w:rPr>
          <w:rFonts w:cs="FrankRuehl"/>
          <w:bCs/>
          <w:spacing w:val="40"/>
          <w:sz w:val="18"/>
          <w:szCs w:val="22"/>
          <w:rtl/>
        </w:rPr>
        <w:t xml:space="preserve"> </w:t>
      </w:r>
      <w:r w:rsidRPr="00F41E78">
        <w:rPr>
          <w:rFonts w:cs="FrankRuehl" w:hint="eastAsia"/>
          <w:bCs/>
          <w:spacing w:val="40"/>
          <w:sz w:val="18"/>
          <w:szCs w:val="22"/>
          <w:rtl/>
        </w:rPr>
        <w:t>המשקיעים</w:t>
      </w:r>
      <w:r w:rsidRPr="00F41E78">
        <w:rPr>
          <w:rFonts w:cs="FrankRuehl"/>
          <w:bCs/>
          <w:spacing w:val="40"/>
          <w:sz w:val="18"/>
          <w:szCs w:val="22"/>
          <w:rtl/>
        </w:rPr>
        <w:t xml:space="preserve"> </w:t>
      </w:r>
      <w:r w:rsidRPr="00F41E78">
        <w:rPr>
          <w:rFonts w:cs="FrankRuehl" w:hint="eastAsia"/>
          <w:bCs/>
          <w:spacing w:val="40"/>
          <w:sz w:val="18"/>
          <w:szCs w:val="22"/>
          <w:rtl/>
        </w:rPr>
        <w:t>בשוק</w:t>
      </w:r>
      <w:r w:rsidRPr="00F41E78">
        <w:rPr>
          <w:rFonts w:cs="FrankRuehl"/>
          <w:bCs/>
          <w:spacing w:val="40"/>
          <w:sz w:val="18"/>
          <w:szCs w:val="22"/>
          <w:rtl/>
        </w:rPr>
        <w:t xml:space="preserve"> </w:t>
      </w:r>
      <w:r w:rsidRPr="00F41E78">
        <w:rPr>
          <w:rFonts w:cs="FrankRuehl" w:hint="eastAsia"/>
          <w:bCs/>
          <w:spacing w:val="40"/>
          <w:sz w:val="18"/>
          <w:szCs w:val="22"/>
          <w:rtl/>
        </w:rPr>
        <w:t>הדיור</w:t>
      </w:r>
      <w:r w:rsidRPr="00F41E78">
        <w:rPr>
          <w:rFonts w:cs="FrankRuehl"/>
          <w:bCs/>
          <w:spacing w:val="40"/>
          <w:sz w:val="18"/>
          <w:szCs w:val="22"/>
          <w:rtl/>
        </w:rPr>
        <w:t xml:space="preserve"> </w:t>
      </w:r>
      <w:r w:rsidRPr="00F41E78">
        <w:rPr>
          <w:rFonts w:cs="FrankRuehl" w:hint="eastAsia"/>
          <w:bCs/>
          <w:spacing w:val="40"/>
          <w:sz w:val="18"/>
          <w:szCs w:val="22"/>
          <w:rtl/>
        </w:rPr>
        <w:t>על</w:t>
      </w:r>
      <w:r w:rsidRPr="00F41E78">
        <w:rPr>
          <w:rFonts w:cs="FrankRuehl"/>
          <w:bCs/>
          <w:spacing w:val="40"/>
          <w:sz w:val="18"/>
          <w:szCs w:val="22"/>
          <w:rtl/>
        </w:rPr>
        <w:t xml:space="preserve"> </w:t>
      </w:r>
      <w:r w:rsidRPr="00F41E78">
        <w:rPr>
          <w:rFonts w:cs="FrankRuehl" w:hint="eastAsia"/>
          <w:bCs/>
          <w:spacing w:val="40"/>
          <w:sz w:val="18"/>
          <w:szCs w:val="22"/>
          <w:rtl/>
        </w:rPr>
        <w:t>מחירי</w:t>
      </w:r>
      <w:r w:rsidRPr="00F41E78">
        <w:rPr>
          <w:rFonts w:cs="FrankRuehl"/>
          <w:bCs/>
          <w:spacing w:val="40"/>
          <w:sz w:val="18"/>
          <w:szCs w:val="22"/>
          <w:rtl/>
        </w:rPr>
        <w:t xml:space="preserve"> </w:t>
      </w:r>
      <w:r w:rsidRPr="00F41E78">
        <w:rPr>
          <w:rFonts w:cs="FrankRuehl" w:hint="eastAsia"/>
          <w:bCs/>
          <w:spacing w:val="40"/>
          <w:sz w:val="18"/>
          <w:szCs w:val="22"/>
          <w:rtl/>
        </w:rPr>
        <w:t>הדיור</w:t>
      </w:r>
      <w:r w:rsidRPr="00F41E78">
        <w:rPr>
          <w:rFonts w:cs="FrankRuehl"/>
          <w:bCs/>
          <w:spacing w:val="40"/>
          <w:sz w:val="18"/>
          <w:szCs w:val="22"/>
          <w:rtl/>
        </w:rPr>
        <w:t xml:space="preserve"> </w:t>
      </w:r>
      <w:r w:rsidRPr="00F41E78">
        <w:rPr>
          <w:rFonts w:cs="FrankRuehl" w:hint="eastAsia"/>
          <w:bCs/>
          <w:spacing w:val="40"/>
          <w:sz w:val="18"/>
          <w:szCs w:val="22"/>
          <w:rtl/>
        </w:rPr>
        <w:t>בשנים</w:t>
      </w:r>
      <w:r w:rsidRPr="00F41E78">
        <w:rPr>
          <w:rFonts w:cs="FrankRuehl"/>
          <w:bCs/>
          <w:spacing w:val="40"/>
          <w:sz w:val="18"/>
          <w:szCs w:val="22"/>
          <w:rtl/>
        </w:rPr>
        <w:t xml:space="preserve"> </w:t>
      </w:r>
      <w:r w:rsidR="004D036B">
        <w:rPr>
          <w:rFonts w:cs="FrankRuehl"/>
          <w:bCs/>
          <w:spacing w:val="40"/>
          <w:sz w:val="18"/>
          <w:szCs w:val="22"/>
        </w:rPr>
        <w:br/>
      </w:r>
      <w:r w:rsidRPr="00F41E78">
        <w:rPr>
          <w:rFonts w:cs="FrankRuehl"/>
          <w:bCs/>
          <w:spacing w:val="40"/>
          <w:sz w:val="18"/>
          <w:szCs w:val="22"/>
          <w:rtl/>
        </w:rPr>
        <w:t>2013-2008:</w:t>
      </w:r>
      <w:r w:rsidRPr="00F41E78">
        <w:rPr>
          <w:rFonts w:cs="FrankRuehl"/>
          <w:sz w:val="18"/>
          <w:szCs w:val="22"/>
          <w:rtl/>
          <w:lang w:eastAsia="he-IL"/>
        </w:rPr>
        <w:t xml:space="preserve"> </w:t>
      </w:r>
      <w:r w:rsidRPr="00F41E78">
        <w:rPr>
          <w:rFonts w:cs="FrankRuehl" w:hint="eastAsia"/>
          <w:sz w:val="18"/>
          <w:szCs w:val="22"/>
          <w:rtl/>
          <w:lang w:eastAsia="he-IL"/>
        </w:rPr>
        <w:t>בעקבות</w:t>
      </w:r>
      <w:r w:rsidRPr="00F41E78">
        <w:rPr>
          <w:rFonts w:cs="FrankRuehl" w:hint="cs"/>
          <w:sz w:val="18"/>
          <w:szCs w:val="22"/>
          <w:rtl/>
          <w:lang w:eastAsia="he-IL"/>
        </w:rPr>
        <w:t xml:space="preserve"> המשבר בשוק ההון בארץ ובעולם בשנת 2008 החלו משקיעים לחפש אחר אפיקים חדשים </w:t>
      </w:r>
      <w:r w:rsidRPr="00582A43">
        <w:rPr>
          <w:rFonts w:cs="FrankRuehl" w:hint="cs"/>
          <w:sz w:val="18"/>
          <w:szCs w:val="22"/>
          <w:rtl/>
          <w:lang w:eastAsia="he-IL"/>
        </w:rPr>
        <w:t>ובטוחים</w:t>
      </w:r>
      <w:r w:rsidRPr="00582A43" w:rsidR="009A49D3">
        <w:rPr>
          <w:rFonts w:cs="FrankRuehl" w:hint="cs"/>
          <w:sz w:val="18"/>
          <w:szCs w:val="22"/>
          <w:rtl/>
          <w:lang w:eastAsia="he-IL"/>
        </w:rPr>
        <w:t xml:space="preserve"> יותר</w:t>
      </w:r>
      <w:r w:rsidRPr="00582A43">
        <w:rPr>
          <w:rFonts w:cs="FrankRuehl" w:hint="cs"/>
          <w:sz w:val="18"/>
          <w:szCs w:val="22"/>
          <w:rtl/>
          <w:lang w:eastAsia="he-IL"/>
        </w:rPr>
        <w:t xml:space="preserve"> להשקיע</w:t>
      </w:r>
      <w:r w:rsidRPr="00F41E78">
        <w:rPr>
          <w:rFonts w:cs="FrankRuehl" w:hint="cs"/>
          <w:sz w:val="18"/>
          <w:szCs w:val="22"/>
          <w:rtl/>
          <w:lang w:eastAsia="he-IL"/>
        </w:rPr>
        <w:t xml:space="preserve"> את הונם. רבים מהם התמקדו בשוק הנדל"ן. דירות הנרכשות להשקעה משמשות ברובן דירות להשכרה למגורים ועקב כך גדֵל היצע הדירות בשוק הדירות להשכרה. </w:t>
      </w:r>
    </w:p>
    <w:p w:rsidR="00E97EDA" w:rsidP="005D58C9">
      <w:pPr>
        <w:pStyle w:val="tab-name"/>
        <w:rPr>
          <w:rtl/>
          <w:lang w:eastAsia="he-IL"/>
        </w:rPr>
      </w:pPr>
      <w:r w:rsidRPr="0027191F">
        <w:rPr>
          <w:rFonts w:hint="cs"/>
          <w:b w:val="0"/>
          <w:bCs w:val="0"/>
          <w:sz w:val="20"/>
          <w:szCs w:val="20"/>
          <w:rtl/>
          <w:lang w:eastAsia="he-IL"/>
        </w:rPr>
        <w:t xml:space="preserve">לוח  1 </w:t>
      </w:r>
      <w:r w:rsidRPr="0027191F" w:rsidR="0027191F">
        <w:rPr>
          <w:b w:val="0"/>
          <w:bCs w:val="0"/>
          <w:sz w:val="20"/>
          <w:szCs w:val="20"/>
          <w:lang w:eastAsia="he-IL"/>
        </w:rPr>
        <w:br/>
      </w:r>
      <w:r w:rsidRPr="002B675F">
        <w:rPr>
          <w:rFonts w:hint="cs"/>
          <w:rtl/>
          <w:lang w:eastAsia="he-IL"/>
        </w:rPr>
        <w:t>מספר</w:t>
      </w:r>
      <w:r w:rsidRPr="002B675F">
        <w:rPr>
          <w:rtl/>
          <w:lang w:eastAsia="he-IL"/>
        </w:rPr>
        <w:t xml:space="preserve"> </w:t>
      </w:r>
      <w:r w:rsidRPr="002B675F">
        <w:rPr>
          <w:rFonts w:hint="cs"/>
          <w:rtl/>
          <w:lang w:eastAsia="he-IL"/>
        </w:rPr>
        <w:t>העסקאות</w:t>
      </w:r>
      <w:r w:rsidRPr="002B675F">
        <w:rPr>
          <w:rtl/>
          <w:lang w:eastAsia="he-IL"/>
        </w:rPr>
        <w:t xml:space="preserve"> </w:t>
      </w:r>
      <w:r w:rsidRPr="002B675F">
        <w:rPr>
          <w:rFonts w:hint="cs"/>
          <w:rtl/>
          <w:lang w:eastAsia="he-IL"/>
        </w:rPr>
        <w:t>לרכישת</w:t>
      </w:r>
      <w:r w:rsidRPr="002B675F">
        <w:rPr>
          <w:rtl/>
          <w:lang w:eastAsia="he-IL"/>
        </w:rPr>
        <w:t xml:space="preserve"> </w:t>
      </w:r>
      <w:r w:rsidRPr="002B675F">
        <w:rPr>
          <w:rFonts w:hint="cs"/>
          <w:rtl/>
          <w:lang w:eastAsia="he-IL"/>
        </w:rPr>
        <w:t>דירות</w:t>
      </w:r>
      <w:r w:rsidRPr="002B675F">
        <w:rPr>
          <w:rtl/>
          <w:lang w:eastAsia="he-IL"/>
        </w:rPr>
        <w:t xml:space="preserve"> </w:t>
      </w:r>
      <w:r w:rsidRPr="002B675F">
        <w:rPr>
          <w:rFonts w:hint="cs"/>
          <w:rtl/>
          <w:lang w:eastAsia="he-IL"/>
        </w:rPr>
        <w:t>להשקעה</w:t>
      </w:r>
      <w:r w:rsidRPr="002B675F">
        <w:rPr>
          <w:rtl/>
          <w:lang w:eastAsia="he-IL"/>
        </w:rPr>
        <w:t xml:space="preserve"> </w:t>
      </w:r>
      <w:r w:rsidRPr="002B675F">
        <w:rPr>
          <w:rFonts w:hint="cs"/>
          <w:rtl/>
          <w:lang w:eastAsia="he-IL"/>
        </w:rPr>
        <w:t>בשנים</w:t>
      </w:r>
      <w:r w:rsidRPr="002B675F">
        <w:rPr>
          <w:rtl/>
          <w:lang w:eastAsia="he-IL"/>
        </w:rPr>
        <w:t xml:space="preserve"> 2013-2006 </w:t>
      </w:r>
      <w:r w:rsidR="0027191F">
        <w:rPr>
          <w:lang w:eastAsia="he-IL"/>
        </w:rPr>
        <w:br/>
      </w:r>
      <w:r w:rsidRPr="002B675F">
        <w:rPr>
          <w:rtl/>
          <w:lang w:eastAsia="he-IL"/>
        </w:rPr>
        <w:t>ושיעורן מכלל עסקאות הרכישה של דירות בשנים אל</w:t>
      </w:r>
      <w:r w:rsidRPr="002B675F">
        <w:rPr>
          <w:rFonts w:hint="cs"/>
          <w:rtl/>
          <w:lang w:eastAsia="he-IL"/>
        </w:rPr>
        <w:t>ו*</w:t>
      </w:r>
      <w:r w:rsidRPr="00E719A9">
        <w:rPr>
          <w:rtl/>
          <w:lang w:eastAsia="he-IL"/>
        </w:rPr>
        <w:t>:</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shd w:val="clear" w:color="auto" w:fill="FFFFFF"/>
        <w:tblCellMar>
          <w:left w:w="57" w:type="dxa"/>
          <w:right w:w="57" w:type="dxa"/>
        </w:tblCellMar>
        <w:tblLook w:val="04A0"/>
      </w:tblPr>
      <w:tblGrid>
        <w:gridCol w:w="1491"/>
        <w:gridCol w:w="650"/>
        <w:gridCol w:w="650"/>
        <w:gridCol w:w="650"/>
        <w:gridCol w:w="650"/>
        <w:gridCol w:w="650"/>
        <w:gridCol w:w="650"/>
        <w:gridCol w:w="650"/>
        <w:gridCol w:w="650"/>
      </w:tblGrid>
      <w:tr w:rsidTr="00D501CA">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shd w:val="clear" w:color="auto" w:fill="FFFFFF"/>
          <w:tblCellMar>
            <w:left w:w="57" w:type="dxa"/>
            <w:right w:w="57" w:type="dxa"/>
          </w:tblCellMar>
          <w:tblLook w:val="04A0"/>
        </w:tblPrEx>
        <w:trPr>
          <w:jc w:val="center"/>
        </w:trPr>
        <w:tc>
          <w:tcPr>
            <w:tcW w:w="0" w:type="auto"/>
            <w:tcBorders>
              <w:top w:val="single" w:sz="12" w:space="0" w:color="auto"/>
              <w:bottom w:val="single" w:sz="12" w:space="0" w:color="auto"/>
            </w:tcBorders>
            <w:shd w:val="pct10" w:color="auto" w:fill="FFFFFF"/>
            <w:noWrap/>
          </w:tcPr>
          <w:p w:rsidR="00A01D32" w:rsidRPr="00103F02" w:rsidP="00D5796D">
            <w:pPr>
              <w:spacing w:line="240" w:lineRule="auto"/>
              <w:rPr>
                <w:rFonts w:cs="FrankRuehl"/>
                <w:b/>
                <w:bCs/>
                <w:color w:val="000000"/>
                <w:sz w:val="20"/>
                <w:szCs w:val="20"/>
                <w:highlight w:val="yellow"/>
                <w:u w:val="single"/>
              </w:rPr>
            </w:pPr>
          </w:p>
        </w:tc>
        <w:tc>
          <w:tcPr>
            <w:tcW w:w="0" w:type="auto"/>
            <w:tcBorders>
              <w:top w:val="single" w:sz="12" w:space="0" w:color="auto"/>
              <w:bottom w:val="single" w:sz="12" w:space="0" w:color="auto"/>
            </w:tcBorders>
            <w:shd w:val="pct10" w:color="auto" w:fill="FFFFFF"/>
            <w:noWrap/>
            <w:vAlign w:val="center"/>
          </w:tcPr>
          <w:p w:rsidR="00A01D32" w:rsidRPr="00A01D32" w:rsidP="00D501CA">
            <w:pPr>
              <w:bidi w:val="0"/>
              <w:jc w:val="center"/>
              <w:rPr>
                <w:rFonts w:ascii="FrankRuehl" w:hAnsi="FrankRuehl" w:cs="FrankRuehl"/>
                <w:b/>
                <w:bCs/>
                <w:sz w:val="20"/>
                <w:szCs w:val="20"/>
              </w:rPr>
            </w:pPr>
            <w:r w:rsidRPr="00A01D32">
              <w:rPr>
                <w:rFonts w:ascii="FrankRuehl" w:hAnsi="FrankRuehl" w:cs="FrankRuehl" w:hint="cs"/>
                <w:b/>
                <w:bCs/>
                <w:sz w:val="20"/>
                <w:szCs w:val="20"/>
              </w:rPr>
              <w:t>2006</w:t>
            </w:r>
          </w:p>
        </w:tc>
        <w:tc>
          <w:tcPr>
            <w:tcW w:w="0" w:type="auto"/>
            <w:tcBorders>
              <w:top w:val="single" w:sz="12" w:space="0" w:color="auto"/>
              <w:bottom w:val="single" w:sz="12" w:space="0" w:color="auto"/>
            </w:tcBorders>
            <w:shd w:val="pct10" w:color="auto" w:fill="FFFFFF"/>
            <w:noWrap/>
            <w:vAlign w:val="center"/>
          </w:tcPr>
          <w:p w:rsidR="00A01D32" w:rsidRPr="00A01D32" w:rsidP="00D501CA">
            <w:pPr>
              <w:bidi w:val="0"/>
              <w:jc w:val="center"/>
              <w:rPr>
                <w:rFonts w:ascii="FrankRuehl" w:hAnsi="FrankRuehl" w:cs="FrankRuehl"/>
                <w:b/>
                <w:bCs/>
                <w:sz w:val="20"/>
                <w:szCs w:val="20"/>
              </w:rPr>
            </w:pPr>
            <w:r w:rsidRPr="00A01D32">
              <w:rPr>
                <w:rFonts w:ascii="FrankRuehl" w:hAnsi="FrankRuehl" w:cs="FrankRuehl" w:hint="cs"/>
                <w:b/>
                <w:bCs/>
                <w:sz w:val="20"/>
                <w:szCs w:val="20"/>
              </w:rPr>
              <w:t>2007</w:t>
            </w:r>
          </w:p>
        </w:tc>
        <w:tc>
          <w:tcPr>
            <w:tcW w:w="0" w:type="auto"/>
            <w:tcBorders>
              <w:top w:val="single" w:sz="12" w:space="0" w:color="auto"/>
              <w:bottom w:val="single" w:sz="12" w:space="0" w:color="auto"/>
            </w:tcBorders>
            <w:shd w:val="pct10" w:color="auto" w:fill="FFFFFF"/>
            <w:noWrap/>
            <w:vAlign w:val="center"/>
          </w:tcPr>
          <w:p w:rsidR="00A01D32" w:rsidRPr="00A01D32" w:rsidP="00D501CA">
            <w:pPr>
              <w:bidi w:val="0"/>
              <w:jc w:val="center"/>
              <w:rPr>
                <w:rFonts w:ascii="FrankRuehl" w:hAnsi="FrankRuehl" w:cs="FrankRuehl"/>
                <w:b/>
                <w:bCs/>
                <w:sz w:val="20"/>
                <w:szCs w:val="20"/>
              </w:rPr>
            </w:pPr>
            <w:r w:rsidRPr="00A01D32">
              <w:rPr>
                <w:rFonts w:ascii="FrankRuehl" w:hAnsi="FrankRuehl" w:cs="FrankRuehl" w:hint="cs"/>
                <w:b/>
                <w:bCs/>
                <w:sz w:val="20"/>
                <w:szCs w:val="20"/>
              </w:rPr>
              <w:t>2008</w:t>
            </w:r>
          </w:p>
        </w:tc>
        <w:tc>
          <w:tcPr>
            <w:tcW w:w="0" w:type="auto"/>
            <w:tcBorders>
              <w:top w:val="single" w:sz="12" w:space="0" w:color="auto"/>
              <w:bottom w:val="single" w:sz="12" w:space="0" w:color="auto"/>
            </w:tcBorders>
            <w:shd w:val="pct10" w:color="auto" w:fill="FFFFFF"/>
            <w:noWrap/>
            <w:vAlign w:val="center"/>
          </w:tcPr>
          <w:p w:rsidR="00A01D32" w:rsidRPr="00A01D32" w:rsidP="00D501CA">
            <w:pPr>
              <w:bidi w:val="0"/>
              <w:jc w:val="center"/>
              <w:rPr>
                <w:rFonts w:ascii="FrankRuehl" w:hAnsi="FrankRuehl" w:cs="FrankRuehl"/>
                <w:b/>
                <w:bCs/>
                <w:sz w:val="20"/>
                <w:szCs w:val="20"/>
              </w:rPr>
            </w:pPr>
            <w:r w:rsidRPr="00A01D32">
              <w:rPr>
                <w:rFonts w:ascii="FrankRuehl" w:hAnsi="FrankRuehl" w:cs="FrankRuehl" w:hint="cs"/>
                <w:b/>
                <w:bCs/>
                <w:sz w:val="20"/>
                <w:szCs w:val="20"/>
              </w:rPr>
              <w:t>2009</w:t>
            </w:r>
          </w:p>
        </w:tc>
        <w:tc>
          <w:tcPr>
            <w:tcW w:w="0" w:type="auto"/>
            <w:tcBorders>
              <w:top w:val="single" w:sz="12" w:space="0" w:color="auto"/>
              <w:bottom w:val="single" w:sz="12" w:space="0" w:color="auto"/>
            </w:tcBorders>
            <w:shd w:val="pct10" w:color="auto" w:fill="FFFFFF"/>
            <w:noWrap/>
            <w:vAlign w:val="center"/>
          </w:tcPr>
          <w:p w:rsidR="00A01D32" w:rsidRPr="00A01D32" w:rsidP="00D501CA">
            <w:pPr>
              <w:bidi w:val="0"/>
              <w:jc w:val="center"/>
              <w:rPr>
                <w:rFonts w:ascii="FrankRuehl" w:hAnsi="FrankRuehl" w:cs="FrankRuehl"/>
                <w:b/>
                <w:bCs/>
                <w:sz w:val="20"/>
                <w:szCs w:val="20"/>
              </w:rPr>
            </w:pPr>
            <w:r w:rsidRPr="00A01D32">
              <w:rPr>
                <w:rFonts w:ascii="FrankRuehl" w:hAnsi="FrankRuehl" w:cs="FrankRuehl" w:hint="cs"/>
                <w:b/>
                <w:bCs/>
                <w:sz w:val="20"/>
                <w:szCs w:val="20"/>
              </w:rPr>
              <w:t>2010</w:t>
            </w:r>
          </w:p>
        </w:tc>
        <w:tc>
          <w:tcPr>
            <w:tcW w:w="0" w:type="auto"/>
            <w:tcBorders>
              <w:top w:val="single" w:sz="12" w:space="0" w:color="auto"/>
              <w:bottom w:val="single" w:sz="12" w:space="0" w:color="auto"/>
            </w:tcBorders>
            <w:shd w:val="pct10" w:color="auto" w:fill="FFFFFF"/>
            <w:noWrap/>
            <w:vAlign w:val="center"/>
          </w:tcPr>
          <w:p w:rsidR="00A01D32" w:rsidRPr="00A01D32" w:rsidP="00D501CA">
            <w:pPr>
              <w:bidi w:val="0"/>
              <w:jc w:val="center"/>
              <w:rPr>
                <w:rFonts w:ascii="FrankRuehl" w:hAnsi="FrankRuehl" w:cs="FrankRuehl"/>
                <w:b/>
                <w:bCs/>
                <w:sz w:val="20"/>
                <w:szCs w:val="20"/>
              </w:rPr>
            </w:pPr>
            <w:r w:rsidRPr="00A01D32">
              <w:rPr>
                <w:rFonts w:ascii="FrankRuehl" w:hAnsi="FrankRuehl" w:cs="FrankRuehl" w:hint="cs"/>
                <w:b/>
                <w:bCs/>
                <w:sz w:val="20"/>
                <w:szCs w:val="20"/>
              </w:rPr>
              <w:t>2011</w:t>
            </w:r>
          </w:p>
        </w:tc>
        <w:tc>
          <w:tcPr>
            <w:tcW w:w="0" w:type="auto"/>
            <w:tcBorders>
              <w:top w:val="single" w:sz="12" w:space="0" w:color="auto"/>
              <w:bottom w:val="single" w:sz="12" w:space="0" w:color="auto"/>
            </w:tcBorders>
            <w:shd w:val="pct10" w:color="auto" w:fill="FFFFFF"/>
            <w:noWrap/>
            <w:vAlign w:val="center"/>
          </w:tcPr>
          <w:p w:rsidR="00A01D32" w:rsidRPr="00A01D32" w:rsidP="00D501CA">
            <w:pPr>
              <w:bidi w:val="0"/>
              <w:jc w:val="center"/>
              <w:rPr>
                <w:rFonts w:ascii="FrankRuehl" w:hAnsi="FrankRuehl" w:cs="FrankRuehl"/>
                <w:b/>
                <w:bCs/>
                <w:sz w:val="20"/>
                <w:szCs w:val="20"/>
              </w:rPr>
            </w:pPr>
            <w:r w:rsidRPr="00A01D32">
              <w:rPr>
                <w:rFonts w:ascii="FrankRuehl" w:hAnsi="FrankRuehl" w:cs="FrankRuehl" w:hint="cs"/>
                <w:b/>
                <w:bCs/>
                <w:sz w:val="20"/>
                <w:szCs w:val="20"/>
              </w:rPr>
              <w:t>2012</w:t>
            </w:r>
          </w:p>
        </w:tc>
        <w:tc>
          <w:tcPr>
            <w:tcW w:w="0" w:type="auto"/>
            <w:tcBorders>
              <w:top w:val="single" w:sz="12" w:space="0" w:color="auto"/>
              <w:bottom w:val="single" w:sz="12" w:space="0" w:color="auto"/>
            </w:tcBorders>
            <w:shd w:val="pct10" w:color="auto" w:fill="FFFFFF"/>
            <w:noWrap/>
            <w:vAlign w:val="center"/>
          </w:tcPr>
          <w:p w:rsidR="00A01D32" w:rsidRPr="00A01D32" w:rsidP="00D501CA">
            <w:pPr>
              <w:bidi w:val="0"/>
              <w:jc w:val="center"/>
              <w:rPr>
                <w:rFonts w:ascii="FrankRuehl" w:hAnsi="FrankRuehl" w:cs="FrankRuehl"/>
                <w:b/>
                <w:bCs/>
                <w:sz w:val="20"/>
                <w:szCs w:val="20"/>
              </w:rPr>
            </w:pPr>
            <w:r w:rsidRPr="00A01D32">
              <w:rPr>
                <w:rFonts w:ascii="FrankRuehl" w:hAnsi="FrankRuehl" w:cs="FrankRuehl" w:hint="cs"/>
                <w:b/>
                <w:bCs/>
                <w:sz w:val="20"/>
                <w:szCs w:val="20"/>
              </w:rPr>
              <w:t>2013</w:t>
            </w:r>
          </w:p>
        </w:tc>
      </w:tr>
      <w:tr w:rsidTr="00D501CA">
        <w:tblPrEx>
          <w:tblW w:w="6691" w:type="dxa"/>
          <w:jc w:val="center"/>
          <w:shd w:val="clear" w:color="auto" w:fill="FFFFFF"/>
          <w:tblCellMar>
            <w:left w:w="57" w:type="dxa"/>
            <w:right w:w="57" w:type="dxa"/>
          </w:tblCellMar>
          <w:tblLook w:val="04A0"/>
        </w:tblPrEx>
        <w:trPr>
          <w:jc w:val="center"/>
        </w:trPr>
        <w:tc>
          <w:tcPr>
            <w:tcW w:w="0" w:type="auto"/>
            <w:tcBorders>
              <w:top w:val="single" w:sz="12" w:space="0" w:color="auto"/>
            </w:tcBorders>
            <w:shd w:val="clear" w:color="auto" w:fill="FFFFFF"/>
            <w:hideMark/>
          </w:tcPr>
          <w:p w:rsidR="00A01D32" w:rsidRPr="0027191F" w:rsidP="00D5796D">
            <w:pPr>
              <w:spacing w:line="240" w:lineRule="auto"/>
              <w:rPr>
                <w:rFonts w:cs="FrankRuehl"/>
                <w:color w:val="000000"/>
                <w:sz w:val="20"/>
                <w:szCs w:val="20"/>
              </w:rPr>
            </w:pPr>
            <w:r w:rsidRPr="0027191F">
              <w:rPr>
                <w:rFonts w:cs="FrankRuehl" w:hint="cs"/>
                <w:color w:val="000000"/>
                <w:sz w:val="20"/>
                <w:szCs w:val="20"/>
                <w:rtl/>
              </w:rPr>
              <w:t>מספר העסקאות</w:t>
            </w:r>
            <w:r w:rsidRPr="0027191F">
              <w:rPr>
                <w:rFonts w:cs="FrankRuehl"/>
                <w:color w:val="000000"/>
                <w:sz w:val="20"/>
                <w:szCs w:val="20"/>
                <w:rtl/>
              </w:rPr>
              <w:t xml:space="preserve"> </w:t>
            </w:r>
          </w:p>
        </w:tc>
        <w:tc>
          <w:tcPr>
            <w:tcW w:w="0" w:type="auto"/>
            <w:tcBorders>
              <w:top w:val="single" w:sz="12" w:space="0" w:color="auto"/>
            </w:tcBorders>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20,823</w:t>
            </w:r>
          </w:p>
        </w:tc>
        <w:tc>
          <w:tcPr>
            <w:tcW w:w="0" w:type="auto"/>
            <w:tcBorders>
              <w:top w:val="single" w:sz="12" w:space="0" w:color="auto"/>
            </w:tcBorders>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25,476</w:t>
            </w:r>
          </w:p>
        </w:tc>
        <w:tc>
          <w:tcPr>
            <w:tcW w:w="0" w:type="auto"/>
            <w:tcBorders>
              <w:top w:val="single" w:sz="12" w:space="0" w:color="auto"/>
            </w:tcBorders>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25,160</w:t>
            </w:r>
          </w:p>
        </w:tc>
        <w:tc>
          <w:tcPr>
            <w:tcW w:w="0" w:type="auto"/>
            <w:tcBorders>
              <w:top w:val="single" w:sz="12" w:space="0" w:color="auto"/>
            </w:tcBorders>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28,867</w:t>
            </w:r>
          </w:p>
        </w:tc>
        <w:tc>
          <w:tcPr>
            <w:tcW w:w="0" w:type="auto"/>
            <w:tcBorders>
              <w:top w:val="single" w:sz="12" w:space="0" w:color="auto"/>
            </w:tcBorders>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30,381</w:t>
            </w:r>
          </w:p>
        </w:tc>
        <w:tc>
          <w:tcPr>
            <w:tcW w:w="0" w:type="auto"/>
            <w:tcBorders>
              <w:top w:val="single" w:sz="12" w:space="0" w:color="auto"/>
            </w:tcBorders>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21,737</w:t>
            </w:r>
          </w:p>
        </w:tc>
        <w:tc>
          <w:tcPr>
            <w:tcW w:w="0" w:type="auto"/>
            <w:tcBorders>
              <w:top w:val="single" w:sz="12" w:space="0" w:color="auto"/>
            </w:tcBorders>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24,214</w:t>
            </w:r>
          </w:p>
        </w:tc>
        <w:tc>
          <w:tcPr>
            <w:tcW w:w="0" w:type="auto"/>
            <w:tcBorders>
              <w:top w:val="single" w:sz="12" w:space="0" w:color="auto"/>
            </w:tcBorders>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26,240</w:t>
            </w:r>
          </w:p>
        </w:tc>
      </w:tr>
      <w:tr w:rsidTr="00D501CA">
        <w:tblPrEx>
          <w:tblW w:w="6691" w:type="dxa"/>
          <w:jc w:val="center"/>
          <w:shd w:val="clear" w:color="auto" w:fill="FFFFFF"/>
          <w:tblCellMar>
            <w:left w:w="57" w:type="dxa"/>
            <w:right w:w="57" w:type="dxa"/>
          </w:tblCellMar>
          <w:tblLook w:val="04A0"/>
        </w:tblPrEx>
        <w:trPr>
          <w:jc w:val="center"/>
        </w:trPr>
        <w:tc>
          <w:tcPr>
            <w:tcW w:w="0" w:type="auto"/>
            <w:shd w:val="clear" w:color="auto" w:fill="FFFFFF"/>
            <w:hideMark/>
          </w:tcPr>
          <w:p w:rsidR="00A01D32" w:rsidRPr="0027191F" w:rsidP="00D5796D">
            <w:pPr>
              <w:spacing w:line="240" w:lineRule="auto"/>
              <w:rPr>
                <w:rFonts w:cs="FrankRuehl"/>
                <w:color w:val="000000"/>
                <w:sz w:val="20"/>
                <w:szCs w:val="20"/>
              </w:rPr>
            </w:pPr>
            <w:r w:rsidRPr="0027191F">
              <w:rPr>
                <w:rFonts w:cs="FrankRuehl"/>
                <w:color w:val="000000"/>
                <w:sz w:val="20"/>
                <w:szCs w:val="20"/>
                <w:rtl/>
              </w:rPr>
              <w:t>שיעור</w:t>
            </w:r>
            <w:r w:rsidRPr="0027191F">
              <w:rPr>
                <w:rFonts w:cs="FrankRuehl" w:hint="cs"/>
                <w:color w:val="000000"/>
                <w:sz w:val="20"/>
                <w:szCs w:val="20"/>
                <w:rtl/>
              </w:rPr>
              <w:t xml:space="preserve"> מכלל </w:t>
            </w:r>
            <w:r>
              <w:rPr>
                <w:rFonts w:cs="FrankRuehl"/>
                <w:color w:val="000000"/>
                <w:sz w:val="20"/>
                <w:szCs w:val="20"/>
              </w:rPr>
              <w:br/>
            </w:r>
            <w:r w:rsidRPr="0027191F">
              <w:rPr>
                <w:rFonts w:cs="FrankRuehl" w:hint="cs"/>
                <w:color w:val="000000"/>
                <w:sz w:val="20"/>
                <w:szCs w:val="20"/>
                <w:rtl/>
              </w:rPr>
              <w:t>העסקאות</w:t>
            </w:r>
            <w:r w:rsidRPr="0027191F">
              <w:rPr>
                <w:rFonts w:cs="FrankRuehl"/>
                <w:color w:val="000000"/>
                <w:sz w:val="20"/>
                <w:szCs w:val="20"/>
                <w:rtl/>
              </w:rPr>
              <w:t xml:space="preserve"> </w:t>
            </w:r>
            <w:r w:rsidRPr="0027191F">
              <w:rPr>
                <w:rFonts w:cs="FrankRuehl" w:hint="cs"/>
                <w:color w:val="000000"/>
                <w:sz w:val="20"/>
                <w:szCs w:val="20"/>
                <w:rtl/>
              </w:rPr>
              <w:t>(אחוזים)</w:t>
            </w:r>
            <w:r w:rsidRPr="0027191F">
              <w:rPr>
                <w:rFonts w:cs="FrankRuehl"/>
                <w:color w:val="000000"/>
                <w:sz w:val="20"/>
                <w:szCs w:val="20"/>
                <w:rtl/>
              </w:rPr>
              <w:t xml:space="preserve"> </w:t>
            </w:r>
          </w:p>
        </w:tc>
        <w:tc>
          <w:tcPr>
            <w:tcW w:w="0" w:type="auto"/>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23.9</w:t>
            </w:r>
          </w:p>
        </w:tc>
        <w:tc>
          <w:tcPr>
            <w:tcW w:w="0" w:type="auto"/>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26.0</w:t>
            </w:r>
          </w:p>
        </w:tc>
        <w:tc>
          <w:tcPr>
            <w:tcW w:w="0" w:type="auto"/>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26.8</w:t>
            </w:r>
          </w:p>
        </w:tc>
        <w:tc>
          <w:tcPr>
            <w:tcW w:w="0" w:type="auto"/>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28.3</w:t>
            </w:r>
          </w:p>
        </w:tc>
        <w:tc>
          <w:tcPr>
            <w:tcW w:w="0" w:type="auto"/>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29.2</w:t>
            </w:r>
          </w:p>
        </w:tc>
        <w:tc>
          <w:tcPr>
            <w:tcW w:w="0" w:type="auto"/>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25.2</w:t>
            </w:r>
          </w:p>
        </w:tc>
        <w:tc>
          <w:tcPr>
            <w:tcW w:w="0" w:type="auto"/>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23.5</w:t>
            </w:r>
          </w:p>
        </w:tc>
        <w:tc>
          <w:tcPr>
            <w:tcW w:w="0" w:type="auto"/>
            <w:shd w:val="clear" w:color="auto" w:fill="FFFFFF"/>
            <w:noWrap/>
            <w:vAlign w:val="center"/>
          </w:tcPr>
          <w:p w:rsidR="00A01D32" w:rsidRPr="00A01D32" w:rsidP="00D501CA">
            <w:pPr>
              <w:rPr>
                <w:rFonts w:ascii="FrankRuehl" w:hAnsi="FrankRuehl" w:cs="FrankRuehl"/>
                <w:sz w:val="20"/>
                <w:szCs w:val="20"/>
              </w:rPr>
            </w:pPr>
            <w:r w:rsidRPr="00A01D32">
              <w:rPr>
                <w:rFonts w:ascii="FrankRuehl" w:hAnsi="FrankRuehl" w:cs="FrankRuehl" w:hint="cs"/>
                <w:sz w:val="20"/>
                <w:szCs w:val="20"/>
              </w:rPr>
              <w:t>23.0</w:t>
            </w:r>
          </w:p>
        </w:tc>
      </w:tr>
    </w:tbl>
    <w:p w:rsidR="00E97EDA" w:rsidRPr="0027191F" w:rsidP="0027191F">
      <w:pPr>
        <w:spacing w:before="120" w:after="240" w:line="200" w:lineRule="exact"/>
        <w:ind w:left="397" w:hanging="397"/>
        <w:jc w:val="both"/>
        <w:rPr>
          <w:rFonts w:cs="FrankRuehl"/>
          <w:sz w:val="20"/>
          <w:szCs w:val="20"/>
          <w:rtl/>
        </w:rPr>
      </w:pPr>
      <w:r w:rsidRPr="0027191F">
        <w:rPr>
          <w:rFonts w:cs="FrankRuehl"/>
          <w:sz w:val="20"/>
          <w:szCs w:val="20"/>
          <w:rtl/>
        </w:rPr>
        <w:t xml:space="preserve">* </w:t>
      </w:r>
      <w:r w:rsidR="00244A24">
        <w:rPr>
          <w:rFonts w:cs="FrankRuehl"/>
          <w:sz w:val="20"/>
          <w:szCs w:val="20"/>
        </w:rPr>
        <w:tab/>
      </w:r>
      <w:r w:rsidRPr="0027191F">
        <w:rPr>
          <w:rFonts w:cs="FrankRuehl"/>
          <w:sz w:val="20"/>
          <w:szCs w:val="20"/>
          <w:rtl/>
        </w:rPr>
        <w:t>לפי עיבוד של משרד מבקר המדינה לנתונים ממינהל הכנסות המדינה במשרד האוצר.</w:t>
      </w:r>
    </w:p>
    <w:p w:rsidR="00813F66" w:rsidRPr="00687567" w:rsidP="00961ABA">
      <w:pPr>
        <w:spacing w:after="240" w:line="240" w:lineRule="atLeast"/>
        <w:jc w:val="center"/>
        <w:rPr>
          <w:rFonts w:ascii="Arial" w:hAnsi="Arial" w:cs="Arial"/>
          <w:rtl/>
          <w:lang w:eastAsia="he-IL"/>
        </w:rPr>
      </w:pPr>
      <w:r>
        <w:rPr>
          <w:rFonts w:ascii="Arial" w:hAnsi="Arial" w:cs="Arial"/>
          <w:noProof/>
        </w:rPr>
        <w:pict>
          <v:shape id="_x0000_i1034" type="#_x0000_t75" style="width:340pt;height:211.5pt">
            <v:imagedata r:id="rId22" o:title="A1-7-Cx"/>
          </v:shape>
        </w:pict>
      </w:r>
    </w:p>
    <w:p w:rsidR="00E97EDA" w:rsidRPr="00F41E78" w:rsidP="00AE2FC6">
      <w:pPr>
        <w:spacing w:after="120" w:line="230" w:lineRule="exact"/>
        <w:jc w:val="both"/>
        <w:rPr>
          <w:rFonts w:cs="FrankRuehl"/>
          <w:sz w:val="18"/>
          <w:szCs w:val="22"/>
          <w:rtl/>
          <w:lang w:eastAsia="he-IL"/>
        </w:rPr>
      </w:pPr>
      <w:r w:rsidRPr="00F41E78">
        <w:rPr>
          <w:rFonts w:cs="FrankRuehl" w:hint="cs"/>
          <w:sz w:val="18"/>
          <w:szCs w:val="22"/>
          <w:rtl/>
          <w:lang w:eastAsia="he-IL"/>
        </w:rPr>
        <w:t xml:space="preserve">מלוח 1 ומתרשים 7 עולה כי בשנים 2010-2008 חלה עלייה הן במספר העסקאות לרכישת דירות להשקעה הן בשיעורן מכלל העסקאות לרכישת דירות. בשנת 2010 שיעור העסקאות לרכישת דירה להשקעה הגיע לכ-29% מכלל העסקאות, ובמסגרתן נרכשו כ-30,000 דירות להשקעה. בשנים 2013-2010 החלה ירידה הדרגתית בשיעור העסקאות להשקעה - </w:t>
      </w:r>
      <w:r w:rsidRPr="00582A43">
        <w:rPr>
          <w:rFonts w:cs="FrankRuehl" w:hint="cs"/>
          <w:sz w:val="18"/>
          <w:szCs w:val="22"/>
          <w:rtl/>
          <w:lang w:eastAsia="he-IL"/>
        </w:rPr>
        <w:t>בשנת 201</w:t>
      </w:r>
      <w:r w:rsidRPr="00582A43" w:rsidR="00AE2FC6">
        <w:rPr>
          <w:rFonts w:cs="FrankRuehl" w:hint="cs"/>
          <w:sz w:val="18"/>
          <w:szCs w:val="22"/>
          <w:rtl/>
          <w:lang w:eastAsia="he-IL"/>
        </w:rPr>
        <w:t>3</w:t>
      </w:r>
      <w:r w:rsidRPr="00582A43">
        <w:rPr>
          <w:rFonts w:cs="FrankRuehl" w:hint="cs"/>
          <w:sz w:val="18"/>
          <w:szCs w:val="22"/>
          <w:rtl/>
          <w:lang w:eastAsia="he-IL"/>
        </w:rPr>
        <w:t xml:space="preserve"> ירד</w:t>
      </w:r>
      <w:r w:rsidRPr="00F41E78">
        <w:rPr>
          <w:rFonts w:cs="FrankRuehl" w:hint="cs"/>
          <w:sz w:val="18"/>
          <w:szCs w:val="22"/>
          <w:rtl/>
          <w:lang w:eastAsia="he-IL"/>
        </w:rPr>
        <w:t xml:space="preserve"> שיעורן לכ-23% ונרכשו 26,240 דירות להשקעה.</w:t>
      </w:r>
    </w:p>
    <w:p w:rsidR="00E97EDA" w:rsidRPr="00F41E78" w:rsidP="00961ABA">
      <w:pPr>
        <w:spacing w:after="240" w:line="230" w:lineRule="exact"/>
        <w:jc w:val="both"/>
        <w:rPr>
          <w:rFonts w:cs="FrankRuehl"/>
          <w:sz w:val="18"/>
          <w:szCs w:val="22"/>
          <w:rtl/>
        </w:rPr>
      </w:pPr>
      <w:r w:rsidRPr="00F41E78">
        <w:rPr>
          <w:rFonts w:cs="FrankRuehl" w:hint="cs"/>
          <w:sz w:val="18"/>
          <w:szCs w:val="22"/>
          <w:rtl/>
        </w:rPr>
        <w:t xml:space="preserve">ניתוח נתונים אלו מעלה כי ישנה הלימה בין העלייה במספר העסקאות להשקעה ובשיעורן ובין הנתונים שהובאו קודם לכן על העלייה במחירי הדירות בשנים 2010-2008; בדומה לכך, ישנה הלימה בין הירידה בהיקף זה ובין האטה מסוימת בשנים 2013-2011 בקצב עליית מחירי הדירות. </w:t>
      </w:r>
    </w:p>
    <w:p w:rsidR="00D22B16" w:rsidRPr="00F41E78" w:rsidP="00D22B16">
      <w:pPr>
        <w:pStyle w:val="RESHET"/>
        <w:keepLines/>
      </w:pPr>
      <w:r w:rsidRPr="00F41E78">
        <w:rPr>
          <w:rFonts w:hint="cs"/>
          <w:rtl/>
        </w:rPr>
        <w:t>רכישת דירה אינה משמשת רק מקום מגורים אלא לעתים גם אפיק השקעה כלכלי. משנת 2007 כרבע מכלל עסקאות המקרקעין למגורים ואף יותר היו למטרת השקעה. הביקורת העלתה כי אף שהמשקיעים היו חלק משמעותי מיוצרי הביקושים בשוק הדיור, משרד הבינוי לא בחן באיזו מידה משפיעה רכישת הדירות לצורך השקעה על רמות הביקושים ומכאן על מחירי הדיור, והאם נדרש לנקוט פעולות בכדי לאזן את התנודתיו</w:t>
      </w:r>
      <w:r w:rsidRPr="00F41E78">
        <w:rPr>
          <w:rFonts w:hint="eastAsia"/>
          <w:rtl/>
        </w:rPr>
        <w:t>ת</w:t>
      </w:r>
      <w:r w:rsidRPr="00F41E78">
        <w:rPr>
          <w:rFonts w:hint="cs"/>
          <w:rtl/>
        </w:rPr>
        <w:t xml:space="preserve"> בשוק זה </w:t>
      </w:r>
      <w:r>
        <w:rPr>
          <w:vertAlign w:val="superscript"/>
          <w:rtl/>
        </w:rPr>
        <w:footnoteReference w:id="41"/>
      </w:r>
      <w:r w:rsidRPr="00F41E78">
        <w:rPr>
          <w:rFonts w:hint="cs"/>
          <w:rtl/>
        </w:rPr>
        <w:t>.</w:t>
      </w:r>
    </w:p>
    <w:p w:rsidR="00E97EDA" w:rsidRPr="00F41E78" w:rsidP="00244A24">
      <w:pPr>
        <w:spacing w:before="180" w:after="240" w:line="230" w:lineRule="exact"/>
        <w:ind w:left="12"/>
        <w:jc w:val="both"/>
        <w:rPr>
          <w:rFonts w:cs="FrankRuehl"/>
          <w:sz w:val="18"/>
          <w:szCs w:val="22"/>
          <w:rtl/>
        </w:rPr>
      </w:pPr>
      <w:r w:rsidRPr="00F41E78">
        <w:rPr>
          <w:rFonts w:cs="FrankRuehl" w:hint="cs"/>
          <w:sz w:val="18"/>
          <w:szCs w:val="22"/>
          <w:rtl/>
        </w:rPr>
        <w:t xml:space="preserve">בתשובתו ציין משרד הבינוי כי "הנהלת המשרד סבורה כי הפתרון למצוקת הדיור הינו הגדלת מלאי הדירות במשק ולא פתרון מלאכותי כזה או אחר. אין לפעול כנגד המשקיעים בשוק הדיור". משרד הבינוי נימק זאת בכך "שפעילות המשקיעים אינה משפיעה על סך הדירות הכולל בשוק וכי דירות ההשקעה מספקות מענה לצורך הגובר בדירות להשכרה". </w:t>
      </w:r>
    </w:p>
    <w:p w:rsidR="00D22B16" w:rsidRPr="00F41E78" w:rsidP="00D22B16">
      <w:pPr>
        <w:pStyle w:val="RESHET"/>
        <w:keepLines/>
        <w:rPr>
          <w:rtl/>
        </w:rPr>
      </w:pPr>
      <w:r w:rsidRPr="00F41E78">
        <w:rPr>
          <w:rFonts w:hint="cs"/>
          <w:rtl/>
        </w:rPr>
        <w:t>לדעת משרד מבקר המדינה, מאחר שרמות הביקוש בשוק הדיור מושפעות גם מהביקוש של המשקיעים, הרי ראוי שמשרד הבינוי ינתח את השפעת פעילותו של פלח שוק זה ויעמוד על הפעולות שיש לנקוט, בעת הצורך, כדי לאזן את התנודתיות בשוק הדיור שמקורה בפעילות זו.</w:t>
      </w:r>
    </w:p>
    <w:p w:rsidR="00E97EDA" w:rsidRPr="00F41E78" w:rsidP="00244A24">
      <w:pPr>
        <w:spacing w:before="180" w:after="120" w:line="230" w:lineRule="exact"/>
        <w:jc w:val="both"/>
        <w:outlineLvl w:val="4"/>
        <w:rPr>
          <w:rFonts w:cs="FrankRuehl"/>
          <w:sz w:val="18"/>
          <w:szCs w:val="22"/>
          <w:rtl/>
          <w:lang w:eastAsia="he-IL"/>
        </w:rPr>
      </w:pPr>
      <w:r w:rsidRPr="00F41E78">
        <w:rPr>
          <w:rFonts w:cs="FrankRuehl" w:hint="eastAsia"/>
          <w:bCs/>
          <w:spacing w:val="40"/>
          <w:sz w:val="18"/>
          <w:szCs w:val="22"/>
          <w:rtl/>
        </w:rPr>
        <w:t>השפעות</w:t>
      </w:r>
      <w:r w:rsidRPr="00F41E78">
        <w:rPr>
          <w:rFonts w:cs="FrankRuehl"/>
          <w:bCs/>
          <w:spacing w:val="40"/>
          <w:sz w:val="18"/>
          <w:szCs w:val="22"/>
          <w:rtl/>
        </w:rPr>
        <w:t xml:space="preserve"> </w:t>
      </w:r>
      <w:r w:rsidRPr="00F41E78">
        <w:rPr>
          <w:rFonts w:cs="FrankRuehl" w:hint="eastAsia"/>
          <w:bCs/>
          <w:spacing w:val="40"/>
          <w:sz w:val="18"/>
          <w:szCs w:val="22"/>
          <w:rtl/>
        </w:rPr>
        <w:t>המדיניות</w:t>
      </w:r>
      <w:r w:rsidRPr="00F41E78">
        <w:rPr>
          <w:rFonts w:cs="FrankRuehl"/>
          <w:bCs/>
          <w:spacing w:val="40"/>
          <w:sz w:val="18"/>
          <w:szCs w:val="22"/>
          <w:rtl/>
        </w:rPr>
        <w:t xml:space="preserve"> </w:t>
      </w:r>
      <w:r w:rsidRPr="00F41E78">
        <w:rPr>
          <w:rFonts w:cs="FrankRuehl" w:hint="eastAsia"/>
          <w:bCs/>
          <w:spacing w:val="40"/>
          <w:sz w:val="18"/>
          <w:szCs w:val="22"/>
          <w:rtl/>
        </w:rPr>
        <w:t>של</w:t>
      </w:r>
      <w:r w:rsidRPr="00F41E78">
        <w:rPr>
          <w:rFonts w:cs="FrankRuehl"/>
          <w:bCs/>
          <w:spacing w:val="40"/>
          <w:sz w:val="18"/>
          <w:szCs w:val="22"/>
          <w:rtl/>
        </w:rPr>
        <w:t xml:space="preserve"> </w:t>
      </w:r>
      <w:r w:rsidRPr="00F41E78">
        <w:rPr>
          <w:rFonts w:cs="FrankRuehl" w:hint="eastAsia"/>
          <w:bCs/>
          <w:spacing w:val="40"/>
          <w:sz w:val="18"/>
          <w:szCs w:val="22"/>
          <w:rtl/>
        </w:rPr>
        <w:t>בנק</w:t>
      </w:r>
      <w:r w:rsidRPr="00F41E78">
        <w:rPr>
          <w:rFonts w:cs="FrankRuehl"/>
          <w:bCs/>
          <w:spacing w:val="40"/>
          <w:sz w:val="18"/>
          <w:szCs w:val="22"/>
          <w:rtl/>
        </w:rPr>
        <w:t xml:space="preserve"> </w:t>
      </w:r>
      <w:r w:rsidRPr="00F41E78">
        <w:rPr>
          <w:rFonts w:cs="FrankRuehl" w:hint="eastAsia"/>
          <w:bCs/>
          <w:spacing w:val="40"/>
          <w:sz w:val="18"/>
          <w:szCs w:val="22"/>
          <w:rtl/>
        </w:rPr>
        <w:t>ישראל</w:t>
      </w:r>
      <w:r w:rsidRPr="00F41E78">
        <w:rPr>
          <w:rFonts w:cs="FrankRuehl"/>
          <w:bCs/>
          <w:spacing w:val="40"/>
          <w:sz w:val="18"/>
          <w:szCs w:val="22"/>
          <w:rtl/>
        </w:rPr>
        <w:t xml:space="preserve"> </w:t>
      </w:r>
      <w:r w:rsidRPr="00F41E78">
        <w:rPr>
          <w:rFonts w:cs="FrankRuehl" w:hint="eastAsia"/>
          <w:bCs/>
          <w:spacing w:val="40"/>
          <w:sz w:val="18"/>
          <w:szCs w:val="22"/>
          <w:rtl/>
        </w:rPr>
        <w:t>על</w:t>
      </w:r>
      <w:r w:rsidRPr="00F41E78">
        <w:rPr>
          <w:rFonts w:cs="FrankRuehl"/>
          <w:bCs/>
          <w:spacing w:val="40"/>
          <w:sz w:val="18"/>
          <w:szCs w:val="22"/>
          <w:rtl/>
        </w:rPr>
        <w:t xml:space="preserve"> </w:t>
      </w:r>
      <w:r w:rsidRPr="00F41E78">
        <w:rPr>
          <w:rFonts w:cs="FrankRuehl" w:hint="eastAsia"/>
          <w:bCs/>
          <w:spacing w:val="40"/>
          <w:sz w:val="18"/>
          <w:szCs w:val="22"/>
          <w:rtl/>
        </w:rPr>
        <w:t>שוק</w:t>
      </w:r>
      <w:r w:rsidRPr="00F41E78">
        <w:rPr>
          <w:rFonts w:cs="FrankRuehl"/>
          <w:bCs/>
          <w:spacing w:val="40"/>
          <w:sz w:val="18"/>
          <w:szCs w:val="22"/>
          <w:rtl/>
        </w:rPr>
        <w:t xml:space="preserve"> </w:t>
      </w:r>
      <w:r w:rsidRPr="00F41E78">
        <w:rPr>
          <w:rFonts w:cs="FrankRuehl" w:hint="eastAsia"/>
          <w:bCs/>
          <w:spacing w:val="40"/>
          <w:sz w:val="18"/>
          <w:szCs w:val="22"/>
          <w:rtl/>
        </w:rPr>
        <w:t>הדיור</w:t>
      </w:r>
      <w:r w:rsidRPr="00F41E78">
        <w:rPr>
          <w:rFonts w:cs="FrankRuehl"/>
          <w:bCs/>
          <w:spacing w:val="40"/>
          <w:sz w:val="18"/>
          <w:szCs w:val="22"/>
          <w:rtl/>
        </w:rPr>
        <w:t xml:space="preserve">: </w:t>
      </w:r>
      <w:r w:rsidRPr="00F41E78">
        <w:rPr>
          <w:rFonts w:cs="FrankRuehl" w:hint="cs"/>
          <w:sz w:val="18"/>
          <w:szCs w:val="22"/>
          <w:rtl/>
          <w:lang w:eastAsia="he-IL"/>
        </w:rPr>
        <w:t xml:space="preserve">כדי לעמוד במטרותיו שנקבעו בחוק </w:t>
      </w:r>
      <w:r w:rsidRPr="00F41E78">
        <w:rPr>
          <w:rFonts w:cs="FrankRuehl"/>
          <w:sz w:val="18"/>
          <w:szCs w:val="22"/>
          <w:rtl/>
          <w:lang w:eastAsia="he-IL"/>
        </w:rPr>
        <w:t>בנק ישראל, התש"ע-2010 (להלן - חוק ב</w:t>
      </w:r>
      <w:r w:rsidRPr="00F41E78">
        <w:rPr>
          <w:rFonts w:cs="FrankRuehl" w:hint="cs"/>
          <w:sz w:val="18"/>
          <w:szCs w:val="22"/>
          <w:rtl/>
          <w:lang w:eastAsia="he-IL"/>
        </w:rPr>
        <w:t>נק ישראל</w:t>
      </w:r>
      <w:r w:rsidRPr="00F41E78">
        <w:rPr>
          <w:rFonts w:cs="FrankRuehl"/>
          <w:sz w:val="18"/>
          <w:szCs w:val="22"/>
          <w:rtl/>
          <w:lang w:eastAsia="he-IL"/>
        </w:rPr>
        <w:t>)</w:t>
      </w:r>
      <w:r w:rsidRPr="00F41E78">
        <w:rPr>
          <w:rFonts w:cs="FrankRuehl" w:hint="cs"/>
          <w:bCs/>
          <w:spacing w:val="40"/>
          <w:sz w:val="18"/>
          <w:szCs w:val="22"/>
          <w:rtl/>
        </w:rPr>
        <w:t xml:space="preserve">, </w:t>
      </w:r>
      <w:r w:rsidRPr="00F41E78">
        <w:rPr>
          <w:rFonts w:cs="FrankRuehl"/>
          <w:sz w:val="18"/>
          <w:szCs w:val="22"/>
          <w:rtl/>
          <w:lang w:eastAsia="he-IL"/>
        </w:rPr>
        <w:t>בנק ישראל נוקט אמצעי מדיניות שונים</w:t>
      </w:r>
      <w:r w:rsidRPr="00F41E78">
        <w:rPr>
          <w:rFonts w:cs="FrankRuehl" w:hint="cs"/>
          <w:sz w:val="18"/>
          <w:szCs w:val="22"/>
          <w:rtl/>
          <w:lang w:eastAsia="he-IL"/>
        </w:rPr>
        <w:t xml:space="preserve"> המשפיעים</w:t>
      </w:r>
      <w:r w:rsidRPr="00F41E78">
        <w:rPr>
          <w:rFonts w:cs="FrankRuehl"/>
          <w:sz w:val="18"/>
          <w:szCs w:val="22"/>
          <w:rtl/>
          <w:lang w:eastAsia="he-IL"/>
        </w:rPr>
        <w:t xml:space="preserve"> גם על הביקוש </w:t>
      </w:r>
      <w:r w:rsidRPr="00F41E78">
        <w:rPr>
          <w:rFonts w:cs="FrankRuehl" w:hint="cs"/>
          <w:sz w:val="18"/>
          <w:szCs w:val="22"/>
          <w:rtl/>
          <w:lang w:eastAsia="he-IL"/>
        </w:rPr>
        <w:t>ו</w:t>
      </w:r>
      <w:r w:rsidRPr="00F41E78">
        <w:rPr>
          <w:rFonts w:cs="FrankRuehl"/>
          <w:sz w:val="18"/>
          <w:szCs w:val="22"/>
          <w:rtl/>
          <w:lang w:eastAsia="he-IL"/>
        </w:rPr>
        <w:t>ההיצע</w:t>
      </w:r>
      <w:r w:rsidRPr="00F41E78">
        <w:rPr>
          <w:rFonts w:cs="FrankRuehl" w:hint="cs"/>
          <w:sz w:val="18"/>
          <w:szCs w:val="22"/>
          <w:rtl/>
          <w:lang w:eastAsia="he-IL"/>
        </w:rPr>
        <w:t xml:space="preserve"> ב</w:t>
      </w:r>
      <w:r w:rsidRPr="00F41E78">
        <w:rPr>
          <w:rFonts w:cs="FrankRuehl"/>
          <w:sz w:val="18"/>
          <w:szCs w:val="22"/>
          <w:rtl/>
          <w:lang w:eastAsia="he-IL"/>
        </w:rPr>
        <w:t>תחום הדיור</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למשל, הבנק קובע את שיעור הריבית המוניטרית על פי החלטות הוועדה המוניטרית</w:t>
      </w:r>
      <w:r>
        <w:rPr>
          <w:rFonts w:cs="FrankRuehl"/>
          <w:sz w:val="18"/>
          <w:szCs w:val="22"/>
          <w:vertAlign w:val="superscript"/>
          <w:rtl/>
          <w:lang w:eastAsia="he-IL"/>
        </w:rPr>
        <w:footnoteReference w:id="42"/>
      </w:r>
      <w:r w:rsidRPr="00F41E78">
        <w:rPr>
          <w:rFonts w:cs="FrankRuehl" w:hint="cs"/>
          <w:sz w:val="18"/>
          <w:szCs w:val="22"/>
          <w:rtl/>
          <w:lang w:eastAsia="he-IL"/>
        </w:rPr>
        <w:t xml:space="preserve"> וכן הוראות לפיקוח על הבנקים בתחום מגבלות האשראי שלהם ובתחום המשכנתאות. נוסף על כך, על פי החוק, נגיד הבנק משמש יועץ לממשלה בעניינים כלכליים, </w:t>
      </w:r>
      <w:r w:rsidRPr="00F41E78">
        <w:rPr>
          <w:rFonts w:cs="FrankRuehl"/>
          <w:sz w:val="18"/>
          <w:szCs w:val="22"/>
          <w:rtl/>
          <w:lang w:eastAsia="he-IL"/>
        </w:rPr>
        <w:t xml:space="preserve">לרבות </w:t>
      </w:r>
      <w:r w:rsidRPr="00F41E78">
        <w:rPr>
          <w:rFonts w:cs="FrankRuehl" w:hint="cs"/>
          <w:sz w:val="18"/>
          <w:szCs w:val="22"/>
          <w:rtl/>
          <w:lang w:eastAsia="he-IL"/>
        </w:rPr>
        <w:t>ב</w:t>
      </w:r>
      <w:r w:rsidRPr="00F41E78">
        <w:rPr>
          <w:rFonts w:cs="FrankRuehl"/>
          <w:sz w:val="18"/>
          <w:szCs w:val="22"/>
          <w:rtl/>
          <w:lang w:eastAsia="he-IL"/>
        </w:rPr>
        <w:t>עניין צמצום פערים חברתיים וצמצום אי-</w:t>
      </w:r>
      <w:r w:rsidRPr="00F41E78">
        <w:rPr>
          <w:rFonts w:cs="FrankRuehl" w:hint="cs"/>
          <w:sz w:val="18"/>
          <w:szCs w:val="22"/>
          <w:rtl/>
          <w:lang w:eastAsia="he-IL"/>
        </w:rPr>
        <w:t>ה</w:t>
      </w:r>
      <w:r w:rsidRPr="00F41E78">
        <w:rPr>
          <w:rFonts w:cs="FrankRuehl"/>
          <w:sz w:val="18"/>
          <w:szCs w:val="22"/>
          <w:rtl/>
          <w:lang w:eastAsia="he-IL"/>
        </w:rPr>
        <w:t>שוויון בחלוקת ההכנסות בחברה</w:t>
      </w:r>
      <w:r w:rsidRPr="00F41E78">
        <w:rPr>
          <w:rFonts w:cs="FrankRuehl" w:hint="cs"/>
          <w:sz w:val="18"/>
          <w:szCs w:val="22"/>
          <w:rtl/>
          <w:lang w:eastAsia="he-IL"/>
        </w:rPr>
        <w:t>.</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בחוק בנק ישראל נקבע שמטרתו המרכזית של הבנק היא לשמור על יציבות המחירים במשק. עוד נקבע כי על הבנק לתמוך במטרות אחרות של המדיניות הכלכלית של הממשלה, בייחוד צמיחה כלכלית, תעסוקה וצמצום פערים חברתיים; והכול, בתנאי שלדעת הוועדה המוניטרית לא יפגע הדבר בהשגת יציבות של המחירים לאורך זמן. עוד נקבע כי על הבנק לתמוך ביציבותה של המערכת הפיננסית ובפעילותה הסדירה.</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את הריבית החודשית קובעת הוועדה המוניטרית. בתהליך קביעת הריבית מתקיימים בבנק ישראל שני דיונים. האחד, דיון בפורום רחב</w:t>
      </w:r>
      <w:r>
        <w:rPr>
          <w:rFonts w:cs="FrankRuehl"/>
          <w:sz w:val="18"/>
          <w:szCs w:val="22"/>
          <w:vertAlign w:val="superscript"/>
          <w:rtl/>
          <w:lang w:eastAsia="he-IL"/>
        </w:rPr>
        <w:footnoteReference w:id="43"/>
      </w:r>
      <w:r w:rsidRPr="00F41E78">
        <w:rPr>
          <w:rFonts w:cs="FrankRuehl" w:hint="cs"/>
          <w:sz w:val="18"/>
          <w:szCs w:val="22"/>
          <w:rtl/>
          <w:lang w:eastAsia="he-IL"/>
        </w:rPr>
        <w:t xml:space="preserve"> שבו מציגים את תנאי הרקע הכלכליים הרלוונטיים להחלטה, דהיינו ההתפתחויות במשק הישראלי בתחום הריאלי ובתחום הפיננסי-מוניטרי וההתפתחויות בכלכלה העולמית. הדיון האחר הוא דיון בפורום מצומצם יותר</w:t>
      </w:r>
      <w:r>
        <w:rPr>
          <w:rFonts w:cs="FrankRuehl"/>
          <w:sz w:val="18"/>
          <w:szCs w:val="22"/>
          <w:vertAlign w:val="superscript"/>
          <w:rtl/>
          <w:lang w:eastAsia="he-IL"/>
        </w:rPr>
        <w:footnoteReference w:id="44"/>
      </w:r>
      <w:r w:rsidRPr="00F41E78">
        <w:rPr>
          <w:rFonts w:cs="FrankRuehl" w:hint="cs"/>
          <w:sz w:val="18"/>
          <w:szCs w:val="22"/>
          <w:rtl/>
          <w:lang w:eastAsia="he-IL"/>
        </w:rPr>
        <w:t xml:space="preserve"> שבו מציגים את ההמלצות בנוגע לשיעור הריבית. לאחר שני הדיונים חברי הוועדה המוניטרית קובעים את שיעור הריבית. בשער השני יובאו ממצאים על השפעותיה של מדיניות בנק ישראל על שוק הדיור.</w:t>
      </w:r>
    </w:p>
    <w:p w:rsidR="00E97EDA" w:rsidRPr="00E719A9" w:rsidP="005C5EBE">
      <w:pPr>
        <w:pStyle w:val="KOT5"/>
        <w:rPr>
          <w:rtl/>
          <w:lang w:eastAsia="he-IL"/>
        </w:rPr>
      </w:pPr>
      <w:bookmarkStart w:id="29" w:name="_Toc363734799"/>
      <w:bookmarkStart w:id="30" w:name="_Toc363738648"/>
      <w:bookmarkStart w:id="31" w:name="_Toc389492345"/>
      <w:r w:rsidRPr="00E719A9">
        <w:rPr>
          <w:rFonts w:hint="cs"/>
          <w:rtl/>
          <w:lang w:eastAsia="he-IL"/>
        </w:rPr>
        <w:t>גורמי היצע בשוק הדיור</w:t>
      </w:r>
      <w:bookmarkEnd w:id="29"/>
      <w:bookmarkEnd w:id="30"/>
      <w:bookmarkEnd w:id="31"/>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בשער השלישי של דוח זה יובאו ממצאים מפורטים הנוגעים לשרשרת הייצור של יח"ד, הכוללת בעיקר את הליכי התכנון של קרקעות ושיווקן (כשמדובר במקרקעי ישראל) ותהליכי רישוי הבנייה. להלן סקירה מקדימה המתארת את הזיקה שבין התוצרים של הליכי התכנון והשיווק למחירי הדיור.</w:t>
      </w:r>
    </w:p>
    <w:p w:rsidR="00E97EDA" w:rsidRPr="00F41E78" w:rsidP="00F41E78">
      <w:pPr>
        <w:spacing w:after="120" w:line="230" w:lineRule="exact"/>
        <w:jc w:val="both"/>
        <w:rPr>
          <w:rFonts w:cs="FrankRuehl"/>
          <w:sz w:val="18"/>
          <w:szCs w:val="22"/>
          <w:rtl/>
        </w:rPr>
      </w:pPr>
      <w:bookmarkStart w:id="32" w:name="_Toc363738649"/>
      <w:r w:rsidRPr="00F41E78">
        <w:rPr>
          <w:rFonts w:cs="FrankRuehl" w:hint="cs"/>
          <w:bCs/>
          <w:spacing w:val="40"/>
          <w:sz w:val="18"/>
          <w:szCs w:val="22"/>
          <w:rtl/>
        </w:rPr>
        <w:t>המלאי</w:t>
      </w:r>
      <w:r w:rsidRPr="00F41E78">
        <w:rPr>
          <w:rFonts w:cs="FrankRuehl"/>
          <w:bCs/>
          <w:spacing w:val="40"/>
          <w:sz w:val="18"/>
          <w:szCs w:val="22"/>
          <w:rtl/>
        </w:rPr>
        <w:t xml:space="preserve"> </w:t>
      </w:r>
      <w:r w:rsidRPr="00F41E78">
        <w:rPr>
          <w:rFonts w:cs="FrankRuehl" w:hint="cs"/>
          <w:bCs/>
          <w:spacing w:val="40"/>
          <w:sz w:val="18"/>
          <w:szCs w:val="22"/>
          <w:rtl/>
        </w:rPr>
        <w:t>התכנוני</w:t>
      </w:r>
      <w:r w:rsidRPr="00F41E78">
        <w:rPr>
          <w:rFonts w:cs="FrankRuehl"/>
          <w:bCs/>
          <w:spacing w:val="40"/>
          <w:sz w:val="18"/>
          <w:szCs w:val="22"/>
          <w:rtl/>
        </w:rPr>
        <w:t xml:space="preserve"> </w:t>
      </w:r>
      <w:r w:rsidRPr="00F41E78">
        <w:rPr>
          <w:rFonts w:cs="FrankRuehl" w:hint="cs"/>
          <w:bCs/>
          <w:spacing w:val="40"/>
          <w:sz w:val="18"/>
          <w:szCs w:val="22"/>
          <w:rtl/>
        </w:rPr>
        <w:t>של</w:t>
      </w:r>
      <w:r w:rsidRPr="00F41E78">
        <w:rPr>
          <w:rFonts w:cs="FrankRuehl"/>
          <w:bCs/>
          <w:spacing w:val="40"/>
          <w:sz w:val="18"/>
          <w:szCs w:val="22"/>
          <w:rtl/>
        </w:rPr>
        <w:t xml:space="preserve"> </w:t>
      </w:r>
      <w:r w:rsidRPr="00F41E78">
        <w:rPr>
          <w:rFonts w:cs="FrankRuehl" w:hint="cs"/>
          <w:bCs/>
          <w:spacing w:val="40"/>
          <w:sz w:val="18"/>
          <w:szCs w:val="22"/>
          <w:rtl/>
        </w:rPr>
        <w:t>יחידות</w:t>
      </w:r>
      <w:r w:rsidRPr="00F41E78">
        <w:rPr>
          <w:rFonts w:cs="FrankRuehl"/>
          <w:bCs/>
          <w:spacing w:val="40"/>
          <w:sz w:val="18"/>
          <w:szCs w:val="22"/>
          <w:rtl/>
        </w:rPr>
        <w:t xml:space="preserve"> </w:t>
      </w:r>
      <w:r w:rsidRPr="00F41E78">
        <w:rPr>
          <w:rFonts w:cs="FrankRuehl" w:hint="cs"/>
          <w:bCs/>
          <w:spacing w:val="40"/>
          <w:sz w:val="18"/>
          <w:szCs w:val="22"/>
          <w:rtl/>
        </w:rPr>
        <w:t>דיור</w:t>
      </w:r>
      <w:bookmarkEnd w:id="32"/>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המלאי התכנוני של יח"ד מחושב לפי מספר יחידות הדיור הכלולות בתכניות מפורטות מאושרות שמכוחן ניתן להוציא היתרי בנייה. מאחר שרישוי בנייתן של דירות מותנה קודם כול באישור תכניות לבנייתן, הרי יצירת מלאי תכנוני מתאים של יח"ד הוא תנאי הכרחי לבניית דירות שיביא גם לידי הגדלת היצע הדירות. מלאי תכנוני מתאים מאפשר לנהל ולווסת את זמינות הקרקעות המיועדות לבנייה ובכך ל</w:t>
      </w:r>
      <w:r w:rsidR="00FF1578">
        <w:rPr>
          <w:rFonts w:cs="FrankRuehl" w:hint="cs"/>
          <w:sz w:val="18"/>
          <w:szCs w:val="22"/>
          <w:rtl/>
          <w:lang w:eastAsia="he-IL"/>
        </w:rPr>
        <w:t>נסות ל</w:t>
      </w:r>
      <w:r w:rsidRPr="00F41E78">
        <w:rPr>
          <w:rFonts w:cs="FrankRuehl" w:hint="cs"/>
          <w:sz w:val="18"/>
          <w:szCs w:val="22"/>
          <w:rtl/>
          <w:lang w:eastAsia="he-IL"/>
        </w:rPr>
        <w:t>שלוט על יציבות המחירים ועל היצע הדירות לפי הצרכים ועל פי מדיניות התכנון הלאומית ויעדי הממשלה בנושא זה.</w:t>
      </w:r>
      <w:r w:rsidRPr="00F41E78">
        <w:rPr>
          <w:rFonts w:cs="FrankRuehl" w:hint="cs"/>
          <w:spacing w:val="40"/>
          <w:sz w:val="18"/>
          <w:szCs w:val="22"/>
          <w:rtl/>
          <w:lang w:eastAsia="he-IL"/>
        </w:rPr>
        <w:t xml:space="preserve"> </w:t>
      </w:r>
      <w:r w:rsidRPr="00F41E78">
        <w:rPr>
          <w:rFonts w:cs="FrankRuehl" w:hint="cs"/>
          <w:sz w:val="18"/>
          <w:szCs w:val="22"/>
          <w:rtl/>
        </w:rPr>
        <w:t>היקפו</w:t>
      </w:r>
      <w:r w:rsidRPr="00F41E78">
        <w:rPr>
          <w:rFonts w:cs="FrankRuehl"/>
          <w:sz w:val="18"/>
          <w:szCs w:val="22"/>
          <w:rtl/>
        </w:rPr>
        <w:t xml:space="preserve"> של המלאי </w:t>
      </w:r>
      <w:r w:rsidRPr="00F41E78">
        <w:rPr>
          <w:rFonts w:cs="FrankRuehl" w:hint="cs"/>
          <w:sz w:val="18"/>
          <w:szCs w:val="22"/>
          <w:rtl/>
        </w:rPr>
        <w:t>התכנוני</w:t>
      </w:r>
      <w:r w:rsidRPr="00F41E78">
        <w:rPr>
          <w:rFonts w:cs="FrankRuehl"/>
          <w:sz w:val="18"/>
          <w:szCs w:val="22"/>
          <w:rtl/>
        </w:rPr>
        <w:t xml:space="preserve"> מושפע מהיקף יזמות התכנון </w:t>
      </w:r>
      <w:r w:rsidRPr="00F41E78">
        <w:rPr>
          <w:rFonts w:cs="FrankRuehl" w:hint="cs"/>
          <w:sz w:val="18"/>
          <w:szCs w:val="22"/>
          <w:rtl/>
        </w:rPr>
        <w:t>של גורמים ממשלתיים ושל יזמים פרטיים ומיעילותם של מוסדות התכנון ושל יזמי התכניות הנמצאות בשלבי קידום.</w:t>
      </w:r>
    </w:p>
    <w:p w:rsidR="00E97EDA" w:rsidRPr="00F41E78" w:rsidP="00F41E78">
      <w:pPr>
        <w:tabs>
          <w:tab w:val="center" w:pos="4153"/>
          <w:tab w:val="right" w:pos="8306"/>
        </w:tabs>
        <w:spacing w:after="120" w:line="230" w:lineRule="exact"/>
        <w:jc w:val="both"/>
        <w:rPr>
          <w:rFonts w:cs="FrankRuehl"/>
          <w:sz w:val="18"/>
          <w:szCs w:val="22"/>
          <w:rtl/>
          <w:lang w:eastAsia="he-IL"/>
        </w:rPr>
      </w:pPr>
      <w:r w:rsidRPr="00F41E78">
        <w:rPr>
          <w:rFonts w:cs="FrankRuehl" w:hint="cs"/>
          <w:sz w:val="18"/>
          <w:szCs w:val="22"/>
          <w:rtl/>
          <w:lang w:eastAsia="he-IL"/>
        </w:rPr>
        <w:t xml:space="preserve">למשרד הפנים אין מידע על המלאי התכנוני למגורים, והדבר מקשה על תהליך קבלת החלטות בתחום הדיור. עם זאת, ניתן לבדוק מגמות בהיקף המלאי. הבדיקה העלתה כי בשנים 2012-2008 פחת המלאי התכנוני, בעיקר במרכז הארץ, משום שמספר התחלות הבנייה היה גדול יותר ממספר יחידות הדיור שנכללו בתכניות </w:t>
      </w:r>
      <w:r w:rsidRPr="00582A43">
        <w:rPr>
          <w:rFonts w:cs="FrankRuehl" w:hint="cs"/>
          <w:sz w:val="18"/>
          <w:szCs w:val="22"/>
          <w:rtl/>
          <w:lang w:eastAsia="he-IL"/>
        </w:rPr>
        <w:t>שאושרו</w:t>
      </w:r>
      <w:r w:rsidRPr="00582A43" w:rsidR="001B20D0">
        <w:rPr>
          <w:rFonts w:cs="FrankRuehl" w:hint="cs"/>
          <w:sz w:val="18"/>
          <w:szCs w:val="22"/>
          <w:rtl/>
          <w:lang w:eastAsia="he-IL"/>
        </w:rPr>
        <w:t xml:space="preserve"> באותן שנים</w:t>
      </w:r>
      <w:r w:rsidRPr="00582A43">
        <w:rPr>
          <w:rFonts w:cs="FrankRuehl" w:hint="cs"/>
          <w:sz w:val="18"/>
          <w:szCs w:val="22"/>
          <w:rtl/>
          <w:lang w:eastAsia="he-IL"/>
        </w:rPr>
        <w:t>. בנוגע</w:t>
      </w:r>
      <w:r w:rsidRPr="00F41E78">
        <w:rPr>
          <w:rFonts w:cs="FrankRuehl" w:hint="cs"/>
          <w:sz w:val="18"/>
          <w:szCs w:val="22"/>
          <w:rtl/>
          <w:lang w:eastAsia="he-IL"/>
        </w:rPr>
        <w:t xml:space="preserve"> לתכניות שאושרו </w:t>
      </w:r>
      <w:r w:rsidRPr="00F41E78">
        <w:rPr>
          <w:rFonts w:cs="FrankRuehl" w:hint="eastAsia"/>
          <w:sz w:val="18"/>
          <w:szCs w:val="22"/>
          <w:rtl/>
          <w:lang w:eastAsia="he-IL"/>
        </w:rPr>
        <w:t>בשנים</w:t>
      </w:r>
      <w:r w:rsidRPr="00F41E78">
        <w:rPr>
          <w:rFonts w:cs="FrankRuehl"/>
          <w:sz w:val="18"/>
          <w:szCs w:val="22"/>
          <w:rtl/>
          <w:lang w:eastAsia="he-IL"/>
        </w:rPr>
        <w:t xml:space="preserve"> </w:t>
      </w:r>
      <w:r w:rsidRPr="00F41E78">
        <w:rPr>
          <w:rFonts w:cs="FrankRuehl" w:hint="eastAsia"/>
          <w:sz w:val="18"/>
          <w:szCs w:val="22"/>
          <w:rtl/>
          <w:lang w:eastAsia="he-IL"/>
        </w:rPr>
        <w:t>האחרונות</w:t>
      </w:r>
      <w:r w:rsidRPr="00F41E78">
        <w:rPr>
          <w:rFonts w:cs="FrankRuehl" w:hint="cs"/>
          <w:sz w:val="18"/>
          <w:szCs w:val="22"/>
          <w:rtl/>
          <w:lang w:eastAsia="he-IL"/>
        </w:rPr>
        <w:t xml:space="preserve"> נמצא שאין מצוי כל מידע על זמינותן לבנייה, אף שישנן תכניות שבהוראותיהן נקבעו תנאים למימושן שיישומן עלול להימשך כמה שנים.</w:t>
      </w:r>
    </w:p>
    <w:p w:rsidR="00E97EDA" w:rsidRPr="00F41E78" w:rsidP="00F41E78">
      <w:pPr>
        <w:spacing w:after="120" w:line="230" w:lineRule="exact"/>
        <w:jc w:val="both"/>
        <w:rPr>
          <w:rFonts w:cs="FrankRuehl"/>
          <w:b/>
          <w:bCs/>
          <w:sz w:val="18"/>
          <w:szCs w:val="22"/>
          <w:rtl/>
          <w:lang w:eastAsia="he-IL"/>
        </w:rPr>
      </w:pPr>
      <w:r w:rsidRPr="00F41E78">
        <w:rPr>
          <w:rFonts w:cs="FrankRuehl" w:hint="cs"/>
          <w:sz w:val="18"/>
          <w:szCs w:val="22"/>
          <w:rtl/>
          <w:lang w:eastAsia="he-IL"/>
        </w:rPr>
        <w:t>על השפעתו של היקף המלאי התכנוני על מחירי הדיור עמד מחקר</w:t>
      </w:r>
      <w:r>
        <w:rPr>
          <w:rFonts w:cs="FrankRuehl"/>
          <w:sz w:val="18"/>
          <w:szCs w:val="22"/>
          <w:vertAlign w:val="superscript"/>
          <w:rtl/>
          <w:lang w:eastAsia="he-IL"/>
        </w:rPr>
        <w:footnoteReference w:id="45"/>
      </w:r>
      <w:r w:rsidRPr="00F41E78">
        <w:rPr>
          <w:rFonts w:cs="FrankRuehl" w:hint="cs"/>
          <w:b/>
          <w:bCs/>
          <w:sz w:val="18"/>
          <w:szCs w:val="22"/>
          <w:vertAlign w:val="superscript"/>
          <w:rtl/>
          <w:lang w:eastAsia="he-IL"/>
        </w:rPr>
        <w:t xml:space="preserve"> </w:t>
      </w:r>
      <w:r w:rsidRPr="00F41E78">
        <w:rPr>
          <w:rFonts w:cs="FrankRuehl" w:hint="cs"/>
          <w:sz w:val="18"/>
          <w:szCs w:val="22"/>
          <w:rtl/>
          <w:lang w:eastAsia="he-IL"/>
        </w:rPr>
        <w:t>שעסק בעלייה במחירי הדירות בכלל ובהשפעת מרכיב המלאי התכנוני על המחירים בפרט, בשנים 2011-2007. על פי המחקר, ישנו מחסור בקרקעות המיועדות לבנייה למגורים בתכניות מאושרות במרכז הארץ (אזורי הביקוש</w:t>
      </w:r>
      <w:r>
        <w:rPr>
          <w:rFonts w:cs="FrankRuehl"/>
          <w:sz w:val="18"/>
          <w:szCs w:val="22"/>
          <w:vertAlign w:val="superscript"/>
          <w:rtl/>
          <w:lang w:eastAsia="he-IL"/>
        </w:rPr>
        <w:footnoteReference w:id="46"/>
      </w:r>
      <w:r w:rsidRPr="00F41E78">
        <w:rPr>
          <w:rFonts w:cs="FrankRuehl" w:hint="cs"/>
          <w:sz w:val="18"/>
          <w:szCs w:val="22"/>
          <w:rtl/>
          <w:lang w:eastAsia="he-IL"/>
        </w:rPr>
        <w:t xml:space="preserve">) והוא הגורם לעליית מחירים באזורים אלו. יתר על כן, לעלייה במחירים באזורי הביקוש ישנה השפעה החורגת מאזורים אלו, והיא זו המביאה לידי עליית המחירים גם בפריפריה. זאת ועוד, על פי המחקר, אין המלאי התכנוני יעיל ואין הוא מאפשר את ויסותם של מחירי הדיור, משום שאין הלימה בין המלאי התכנוני הקיים במחוזות ובין רמת הביקושים בהם. עקב כך, לא סופק בפועל היצע הולם לביקושים הגבוהים באזור המרכז. </w:t>
      </w:r>
    </w:p>
    <w:p w:rsidR="00E97EDA" w:rsidRPr="00F41E78" w:rsidP="003C4D9D">
      <w:pPr>
        <w:spacing w:after="120" w:line="230" w:lineRule="exact"/>
        <w:jc w:val="both"/>
        <w:outlineLvl w:val="4"/>
        <w:rPr>
          <w:rFonts w:cs="FrankRuehl"/>
          <w:sz w:val="18"/>
          <w:szCs w:val="22"/>
          <w:rtl/>
          <w:lang w:eastAsia="he-IL"/>
        </w:rPr>
      </w:pPr>
      <w:bookmarkStart w:id="33" w:name="_Toc363738650"/>
      <w:r w:rsidRPr="00F41E78">
        <w:rPr>
          <w:rFonts w:cs="FrankRuehl" w:hint="eastAsia"/>
          <w:bCs/>
          <w:spacing w:val="40"/>
          <w:sz w:val="18"/>
          <w:szCs w:val="22"/>
          <w:rtl/>
        </w:rPr>
        <w:t>שיווק</w:t>
      </w:r>
      <w:r w:rsidRPr="00F41E78">
        <w:rPr>
          <w:rFonts w:cs="FrankRuehl"/>
          <w:bCs/>
          <w:spacing w:val="40"/>
          <w:sz w:val="18"/>
          <w:szCs w:val="22"/>
          <w:rtl/>
        </w:rPr>
        <w:t xml:space="preserve"> </w:t>
      </w:r>
      <w:r w:rsidRPr="00F41E78">
        <w:rPr>
          <w:rFonts w:cs="FrankRuehl" w:hint="eastAsia"/>
          <w:bCs/>
          <w:spacing w:val="40"/>
          <w:sz w:val="18"/>
          <w:szCs w:val="22"/>
          <w:rtl/>
        </w:rPr>
        <w:t>קרקע</w:t>
      </w:r>
      <w:r w:rsidRPr="00F41E78">
        <w:rPr>
          <w:rFonts w:cs="FrankRuehl"/>
          <w:bCs/>
          <w:spacing w:val="40"/>
          <w:sz w:val="18"/>
          <w:szCs w:val="22"/>
          <w:rtl/>
        </w:rPr>
        <w:t xml:space="preserve"> </w:t>
      </w:r>
      <w:r w:rsidRPr="00F41E78">
        <w:rPr>
          <w:rFonts w:cs="FrankRuehl" w:hint="eastAsia"/>
          <w:bCs/>
          <w:spacing w:val="40"/>
          <w:sz w:val="18"/>
          <w:szCs w:val="22"/>
          <w:rtl/>
        </w:rPr>
        <w:t>לבנייה</w:t>
      </w:r>
      <w:r w:rsidRPr="00F41E78">
        <w:rPr>
          <w:rFonts w:cs="FrankRuehl"/>
          <w:bCs/>
          <w:spacing w:val="40"/>
          <w:sz w:val="18"/>
          <w:szCs w:val="22"/>
          <w:rtl/>
        </w:rPr>
        <w:t xml:space="preserve"> </w:t>
      </w:r>
      <w:r w:rsidRPr="00F41E78">
        <w:rPr>
          <w:rFonts w:cs="FrankRuehl" w:hint="eastAsia"/>
          <w:bCs/>
          <w:spacing w:val="40"/>
          <w:sz w:val="18"/>
          <w:szCs w:val="22"/>
          <w:rtl/>
        </w:rPr>
        <w:t>למגורים</w:t>
      </w:r>
      <w:bookmarkEnd w:id="33"/>
      <w:r w:rsidRPr="00F41E78">
        <w:rPr>
          <w:rFonts w:cs="FrankRuehl"/>
          <w:bCs/>
          <w:spacing w:val="40"/>
          <w:sz w:val="18"/>
          <w:szCs w:val="22"/>
          <w:rtl/>
        </w:rPr>
        <w:t>:</w:t>
      </w:r>
      <w:r w:rsidRPr="00F41E78">
        <w:rPr>
          <w:rFonts w:cs="FrankRuehl"/>
          <w:sz w:val="18"/>
          <w:szCs w:val="22"/>
          <w:rtl/>
          <w:lang w:eastAsia="he-IL"/>
        </w:rPr>
        <w:t xml:space="preserve"> משרד </w:t>
      </w:r>
      <w:r w:rsidRPr="00582A43">
        <w:rPr>
          <w:rFonts w:cs="FrankRuehl"/>
          <w:sz w:val="18"/>
          <w:szCs w:val="22"/>
          <w:rtl/>
          <w:lang w:eastAsia="he-IL"/>
        </w:rPr>
        <w:t>הבינוי ו</w:t>
      </w:r>
      <w:r w:rsidRPr="00582A43">
        <w:rPr>
          <w:rFonts w:cs="FrankRuehl" w:hint="cs"/>
          <w:sz w:val="18"/>
          <w:szCs w:val="22"/>
          <w:rtl/>
          <w:lang w:eastAsia="he-IL"/>
        </w:rPr>
        <w:t>רמ"י</w:t>
      </w:r>
      <w:r w:rsidRPr="00582A43">
        <w:rPr>
          <w:rFonts w:cs="FrankRuehl"/>
          <w:sz w:val="18"/>
          <w:szCs w:val="22"/>
          <w:rtl/>
          <w:lang w:eastAsia="he-IL"/>
        </w:rPr>
        <w:t xml:space="preserve"> </w:t>
      </w:r>
      <w:r w:rsidRPr="00582A43" w:rsidR="003C4D9D">
        <w:rPr>
          <w:rFonts w:cs="FrankRuehl" w:hint="cs"/>
          <w:sz w:val="18"/>
          <w:szCs w:val="22"/>
          <w:rtl/>
          <w:lang w:eastAsia="he-IL"/>
        </w:rPr>
        <w:t>מ</w:t>
      </w:r>
      <w:r w:rsidRPr="00582A43" w:rsidR="003C4D9D">
        <w:rPr>
          <w:rFonts w:cs="FrankRuehl"/>
          <w:sz w:val="18"/>
          <w:szCs w:val="22"/>
          <w:rtl/>
          <w:lang w:eastAsia="he-IL"/>
        </w:rPr>
        <w:t>ש</w:t>
      </w:r>
      <w:r w:rsidRPr="00582A43">
        <w:rPr>
          <w:rFonts w:cs="FrankRuehl"/>
          <w:sz w:val="18"/>
          <w:szCs w:val="22"/>
          <w:rtl/>
          <w:lang w:eastAsia="he-IL"/>
        </w:rPr>
        <w:t>ווק</w:t>
      </w:r>
      <w:r w:rsidRPr="00582A43" w:rsidR="003C4D9D">
        <w:rPr>
          <w:rFonts w:cs="FrankRuehl" w:hint="cs"/>
          <w:sz w:val="18"/>
          <w:szCs w:val="22"/>
          <w:rtl/>
          <w:lang w:eastAsia="he-IL"/>
        </w:rPr>
        <w:t>ים</w:t>
      </w:r>
      <w:r w:rsidRPr="00582A43">
        <w:rPr>
          <w:rFonts w:cs="FrankRuehl"/>
          <w:sz w:val="18"/>
          <w:szCs w:val="22"/>
          <w:rtl/>
          <w:lang w:eastAsia="he-IL"/>
        </w:rPr>
        <w:t xml:space="preserve"> קרקע</w:t>
      </w:r>
      <w:r w:rsidRPr="00F41E78">
        <w:rPr>
          <w:rFonts w:cs="FrankRuehl"/>
          <w:sz w:val="18"/>
          <w:szCs w:val="22"/>
          <w:rtl/>
          <w:lang w:eastAsia="he-IL"/>
        </w:rPr>
        <w:t xml:space="preserve"> על בסיס </w:t>
      </w:r>
      <w:r w:rsidRPr="00F41E78">
        <w:rPr>
          <w:rFonts w:cs="FrankRuehl" w:hint="cs"/>
          <w:sz w:val="18"/>
          <w:szCs w:val="22"/>
          <w:rtl/>
          <w:lang w:eastAsia="he-IL"/>
        </w:rPr>
        <w:t>תכניות מאושרות</w:t>
      </w:r>
      <w:r w:rsidRPr="00F41E78">
        <w:rPr>
          <w:rFonts w:cs="FrankRuehl"/>
          <w:sz w:val="18"/>
          <w:szCs w:val="22"/>
          <w:rtl/>
          <w:lang w:eastAsia="he-IL"/>
        </w:rPr>
        <w:t>.</w:t>
      </w:r>
      <w:r w:rsidRPr="00F41E78">
        <w:rPr>
          <w:rFonts w:cs="FrankRuehl" w:hint="cs"/>
          <w:sz w:val="18"/>
          <w:szCs w:val="22"/>
          <w:rtl/>
          <w:lang w:eastAsia="he-IL"/>
        </w:rPr>
        <w:t xml:space="preserve"> </w:t>
      </w:r>
      <w:r w:rsidRPr="00F41E78">
        <w:rPr>
          <w:rFonts w:cs="FrankRuehl"/>
          <w:sz w:val="18"/>
          <w:szCs w:val="22"/>
          <w:rtl/>
          <w:lang w:eastAsia="he-IL"/>
        </w:rPr>
        <w:t>שיווק קרקעות לבנייה קובע את היקף הפעילות של השוק בטווח הקצר</w:t>
      </w:r>
      <w:r w:rsidRPr="00F41E78">
        <w:rPr>
          <w:rFonts w:cs="FrankRuehl" w:hint="cs"/>
          <w:sz w:val="18"/>
          <w:szCs w:val="22"/>
          <w:rtl/>
          <w:lang w:eastAsia="he-IL"/>
        </w:rPr>
        <w:t>-</w:t>
      </w:r>
      <w:r w:rsidRPr="00F41E78">
        <w:rPr>
          <w:rFonts w:cs="FrankRuehl"/>
          <w:sz w:val="18"/>
          <w:szCs w:val="22"/>
          <w:rtl/>
          <w:lang w:eastAsia="he-IL"/>
        </w:rPr>
        <w:t xml:space="preserve">בינוני. </w:t>
      </w:r>
      <w:r w:rsidRPr="00F41E78">
        <w:rPr>
          <w:rFonts w:cs="FrankRuehl" w:hint="cs"/>
          <w:sz w:val="18"/>
          <w:szCs w:val="22"/>
          <w:rtl/>
          <w:lang w:eastAsia="he-IL"/>
        </w:rPr>
        <w:t>היקף ה</w:t>
      </w:r>
      <w:r w:rsidRPr="00F41E78">
        <w:rPr>
          <w:rFonts w:cs="FrankRuehl"/>
          <w:sz w:val="18"/>
          <w:szCs w:val="22"/>
          <w:rtl/>
          <w:lang w:eastAsia="he-IL"/>
        </w:rPr>
        <w:t xml:space="preserve">שיווק </w:t>
      </w:r>
      <w:r w:rsidRPr="00F41E78">
        <w:rPr>
          <w:rFonts w:cs="FrankRuehl" w:hint="cs"/>
          <w:sz w:val="18"/>
          <w:szCs w:val="22"/>
          <w:rtl/>
          <w:lang w:eastAsia="he-IL"/>
        </w:rPr>
        <w:t>של ה</w:t>
      </w:r>
      <w:r w:rsidRPr="00F41E78">
        <w:rPr>
          <w:rFonts w:cs="FrankRuehl"/>
          <w:sz w:val="18"/>
          <w:szCs w:val="22"/>
          <w:rtl/>
          <w:lang w:eastAsia="he-IL"/>
        </w:rPr>
        <w:t xml:space="preserve">קרקעות </w:t>
      </w:r>
      <w:r w:rsidRPr="00F41E78">
        <w:rPr>
          <w:rFonts w:cs="FrankRuehl" w:hint="cs"/>
          <w:sz w:val="18"/>
          <w:szCs w:val="22"/>
          <w:rtl/>
          <w:lang w:eastAsia="he-IL"/>
        </w:rPr>
        <w:t xml:space="preserve">משפיע על </w:t>
      </w:r>
      <w:r w:rsidRPr="00F41E78">
        <w:rPr>
          <w:rFonts w:cs="FrankRuehl"/>
          <w:sz w:val="18"/>
          <w:szCs w:val="22"/>
          <w:rtl/>
          <w:lang w:eastAsia="he-IL"/>
        </w:rPr>
        <w:t xml:space="preserve">היצע שוק הדיור </w:t>
      </w:r>
      <w:r w:rsidRPr="00F41E78">
        <w:rPr>
          <w:rFonts w:cs="FrankRuehl" w:hint="cs"/>
          <w:sz w:val="18"/>
          <w:szCs w:val="22"/>
          <w:rtl/>
          <w:lang w:eastAsia="he-IL"/>
        </w:rPr>
        <w:t>וכפועל יוצא</w:t>
      </w:r>
      <w:r w:rsidRPr="00F41E78">
        <w:rPr>
          <w:rFonts w:cs="FrankRuehl"/>
          <w:sz w:val="18"/>
          <w:szCs w:val="22"/>
          <w:rtl/>
          <w:lang w:eastAsia="he-IL"/>
        </w:rPr>
        <w:t xml:space="preserve"> על מחירי הדיור</w:t>
      </w:r>
      <w:r w:rsidRPr="00F41E78">
        <w:rPr>
          <w:rFonts w:cs="FrankRuehl" w:hint="cs"/>
          <w:sz w:val="18"/>
          <w:szCs w:val="22"/>
          <w:rtl/>
          <w:lang w:eastAsia="he-IL"/>
        </w:rPr>
        <w:t xml:space="preserve">. בדומה לשלב התכנון, גם שיווק הקרקע צריך להיות מותאם לשיעור הגידול במספר משקי הבית ולאפיונם וכן להתפלגות הגאוגרפית של הביקושים. </w:t>
      </w:r>
    </w:p>
    <w:p w:rsidR="00E97EDA" w:rsidRPr="00F41E78" w:rsidP="00244A24">
      <w:pPr>
        <w:spacing w:after="240" w:line="230" w:lineRule="exact"/>
        <w:jc w:val="both"/>
        <w:rPr>
          <w:rFonts w:cs="FrankRuehl"/>
          <w:sz w:val="18"/>
          <w:szCs w:val="22"/>
          <w:rtl/>
          <w:lang w:eastAsia="he-IL"/>
        </w:rPr>
      </w:pPr>
      <w:r w:rsidRPr="00F41E78">
        <w:rPr>
          <w:rFonts w:cs="FrankRuehl" w:hint="cs"/>
          <w:sz w:val="18"/>
          <w:szCs w:val="22"/>
          <w:rtl/>
          <w:lang w:eastAsia="he-IL"/>
        </w:rPr>
        <w:t>כבר בדוחות קודמים של מבקר המדינה</w:t>
      </w:r>
      <w:r>
        <w:rPr>
          <w:rFonts w:cs="FrankRuehl"/>
          <w:sz w:val="18"/>
          <w:szCs w:val="22"/>
          <w:vertAlign w:val="superscript"/>
          <w:rtl/>
          <w:lang w:eastAsia="he-IL"/>
        </w:rPr>
        <w:footnoteReference w:id="47"/>
      </w:r>
      <w:r w:rsidRPr="00F41E78">
        <w:rPr>
          <w:rFonts w:cs="FrankRuehl" w:hint="cs"/>
          <w:sz w:val="18"/>
          <w:szCs w:val="22"/>
          <w:rtl/>
          <w:lang w:eastAsia="he-IL"/>
        </w:rPr>
        <w:t xml:space="preserve"> נבחנו פעולותיהם של רמ"י ושל משרד הבינוי בדבר התכנון והשיווק של קרקע לבנייה למגורים ומידת עמידתם ביעדים שקבעה הממשלה בעניין זה. בין השאר העלו הדוחות כי רמ"י לא עמדה ביעדי השיווק שקבעה הממשלה. </w:t>
      </w:r>
    </w:p>
    <w:p w:rsidR="00D22B16" w:rsidRPr="00F41E78" w:rsidP="00D22B16">
      <w:pPr>
        <w:pStyle w:val="RESHET"/>
        <w:keepLines/>
        <w:rPr>
          <w:rtl/>
        </w:rPr>
      </w:pPr>
      <w:bookmarkStart w:id="34" w:name="_Toc363738651"/>
      <w:r w:rsidRPr="00F41E78">
        <w:rPr>
          <w:rFonts w:hint="cs"/>
          <w:rtl/>
        </w:rPr>
        <w:t>בביקורת הזאת חזר ובדק משרד מבקר המדינה את מידת עמידתה של רמ"י ביעדים שנקבעו בעניין שיווק קרקע למגורים. נמצא</w:t>
      </w:r>
      <w:r w:rsidRPr="00F41E78">
        <w:rPr>
          <w:rtl/>
        </w:rPr>
        <w:t xml:space="preserve"> </w:t>
      </w:r>
      <w:r w:rsidRPr="00F41E78">
        <w:rPr>
          <w:rFonts w:hint="eastAsia"/>
          <w:rtl/>
        </w:rPr>
        <w:t>כי</w:t>
      </w:r>
      <w:r w:rsidRPr="00F41E78">
        <w:rPr>
          <w:rtl/>
        </w:rPr>
        <w:t xml:space="preserve"> </w:t>
      </w:r>
      <w:r w:rsidRPr="00F41E78">
        <w:rPr>
          <w:rFonts w:hint="eastAsia"/>
          <w:rtl/>
        </w:rPr>
        <w:t>בשנים</w:t>
      </w:r>
      <w:r w:rsidRPr="00F41E78">
        <w:rPr>
          <w:rFonts w:hint="cs"/>
          <w:rtl/>
        </w:rPr>
        <w:t xml:space="preserve"> 2012-2007</w:t>
      </w:r>
      <w:r w:rsidRPr="00F41E78">
        <w:rPr>
          <w:rtl/>
        </w:rPr>
        <w:t xml:space="preserve"> </w:t>
      </w:r>
      <w:r w:rsidRPr="00F41E78">
        <w:rPr>
          <w:rFonts w:hint="cs"/>
          <w:rtl/>
        </w:rPr>
        <w:t>חתמה</w:t>
      </w:r>
      <w:r w:rsidRPr="00F41E78">
        <w:rPr>
          <w:rtl/>
        </w:rPr>
        <w:t xml:space="preserve"> </w:t>
      </w:r>
      <w:r w:rsidRPr="00F41E78">
        <w:rPr>
          <w:rFonts w:hint="eastAsia"/>
          <w:rtl/>
        </w:rPr>
        <w:t>רמ</w:t>
      </w:r>
      <w:r w:rsidRPr="00F41E78">
        <w:rPr>
          <w:rtl/>
        </w:rPr>
        <w:t xml:space="preserve">"י </w:t>
      </w:r>
      <w:r w:rsidRPr="00F41E78">
        <w:rPr>
          <w:rFonts w:hint="cs"/>
          <w:rtl/>
        </w:rPr>
        <w:t>על עסקאות לשיווק של כ-98,000 יח"ד. מספר זה הוא כ-50% ממספר הדירות הנדרשות בשוק הדיור עקב התוספת של משקי בית באותן שנים</w:t>
      </w:r>
      <w:r>
        <w:rPr>
          <w:vertAlign w:val="superscript"/>
          <w:rtl/>
        </w:rPr>
        <w:footnoteReference w:id="48"/>
      </w:r>
      <w:r w:rsidRPr="00F41E78">
        <w:rPr>
          <w:rFonts w:hint="cs"/>
          <w:rtl/>
        </w:rPr>
        <w:t>. הדבר גרם ליצירת "לחץ" בשוק הדיור בגלל חוסר היכולת לתת מענה לביקושים, שתרם לעליות במחירי הדיור.</w:t>
      </w:r>
    </w:p>
    <w:p w:rsidR="00E97EDA" w:rsidRPr="00F41E78" w:rsidP="00244A24">
      <w:pPr>
        <w:spacing w:before="180" w:after="120" w:line="230" w:lineRule="exact"/>
        <w:jc w:val="both"/>
        <w:outlineLvl w:val="4"/>
        <w:rPr>
          <w:rFonts w:cs="FrankRuehl"/>
          <w:sz w:val="18"/>
          <w:szCs w:val="22"/>
          <w:rtl/>
          <w:lang w:eastAsia="he-IL"/>
        </w:rPr>
      </w:pPr>
      <w:r w:rsidRPr="00F41E78">
        <w:rPr>
          <w:rFonts w:cs="FrankRuehl" w:hint="eastAsia"/>
          <w:bCs/>
          <w:spacing w:val="40"/>
          <w:sz w:val="18"/>
          <w:szCs w:val="22"/>
          <w:rtl/>
        </w:rPr>
        <w:t>התחלות</w:t>
      </w:r>
      <w:r w:rsidRPr="00F41E78">
        <w:rPr>
          <w:rFonts w:cs="FrankRuehl"/>
          <w:bCs/>
          <w:spacing w:val="40"/>
          <w:sz w:val="18"/>
          <w:szCs w:val="22"/>
          <w:rtl/>
        </w:rPr>
        <w:t xml:space="preserve"> </w:t>
      </w:r>
      <w:r w:rsidRPr="00F41E78">
        <w:rPr>
          <w:rFonts w:cs="FrankRuehl" w:hint="eastAsia"/>
          <w:bCs/>
          <w:spacing w:val="40"/>
          <w:sz w:val="18"/>
          <w:szCs w:val="22"/>
          <w:rtl/>
        </w:rPr>
        <w:t>בנייה</w:t>
      </w:r>
      <w:r w:rsidRPr="00F41E78">
        <w:rPr>
          <w:rFonts w:cs="FrankRuehl"/>
          <w:bCs/>
          <w:spacing w:val="40"/>
          <w:sz w:val="18"/>
          <w:szCs w:val="22"/>
          <w:rtl/>
        </w:rPr>
        <w:t xml:space="preserve"> של </w:t>
      </w:r>
      <w:r w:rsidRPr="00F41E78">
        <w:rPr>
          <w:rFonts w:cs="FrankRuehl" w:hint="cs"/>
          <w:bCs/>
          <w:spacing w:val="40"/>
          <w:sz w:val="18"/>
          <w:szCs w:val="22"/>
          <w:rtl/>
        </w:rPr>
        <w:t>יח"ד</w:t>
      </w:r>
      <w:r w:rsidRPr="00F41E78">
        <w:rPr>
          <w:rFonts w:cs="FrankRuehl"/>
          <w:bCs/>
          <w:spacing w:val="40"/>
          <w:sz w:val="18"/>
          <w:szCs w:val="22"/>
          <w:rtl/>
        </w:rPr>
        <w:t xml:space="preserve"> ביזמה ציבורית ופרטית</w:t>
      </w:r>
      <w:bookmarkEnd w:id="34"/>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מאחר ששטח הקרקעות שרמ"י מנהלת הוא כ</w:t>
      </w:r>
      <w:r w:rsidRPr="00F41E78">
        <w:rPr>
          <w:rFonts w:cs="FrankRuehl"/>
          <w:sz w:val="18"/>
          <w:szCs w:val="22"/>
          <w:rtl/>
          <w:lang w:eastAsia="he-IL"/>
        </w:rPr>
        <w:t>-93%</w:t>
      </w:r>
      <w:r w:rsidRPr="00F41E78">
        <w:rPr>
          <w:rFonts w:cs="FrankRuehl" w:hint="cs"/>
          <w:sz w:val="18"/>
          <w:szCs w:val="22"/>
          <w:rtl/>
          <w:lang w:eastAsia="he-IL"/>
        </w:rPr>
        <w:t xml:space="preserve"> משטח המדינה,</w:t>
      </w:r>
      <w:r w:rsidRPr="00F41E78">
        <w:rPr>
          <w:rFonts w:cs="FrankRuehl"/>
          <w:sz w:val="18"/>
          <w:szCs w:val="22"/>
          <w:rtl/>
          <w:lang w:eastAsia="he-IL"/>
        </w:rPr>
        <w:t xml:space="preserve"> </w:t>
      </w:r>
      <w:r w:rsidRPr="00F41E78">
        <w:rPr>
          <w:rFonts w:cs="FrankRuehl" w:hint="cs"/>
          <w:sz w:val="18"/>
          <w:szCs w:val="22"/>
          <w:rtl/>
          <w:lang w:eastAsia="he-IL"/>
        </w:rPr>
        <w:t xml:space="preserve">הרי בכוחה להשפיע על שוק הדיור, באמצעות נקיטת פעולות לוויסות היצע הקרקעות, וכפועל יוצא על היצע הדירות ועל מחירן. שיעור התחלות הבנייה ביזמה הציבורית מכלל התחלות הבנייה משקף את רמת התערבותה של הממשלה בשוק הדיור, והוא מושפע מסדרי העדיפויות </w:t>
      </w:r>
      <w:r w:rsidRPr="00F41E78">
        <w:rPr>
          <w:rFonts w:cs="FrankRuehl"/>
          <w:sz w:val="18"/>
          <w:szCs w:val="22"/>
          <w:rtl/>
          <w:lang w:eastAsia="he-IL"/>
        </w:rPr>
        <w:t xml:space="preserve">של </w:t>
      </w:r>
      <w:r w:rsidRPr="00F41E78">
        <w:rPr>
          <w:rFonts w:cs="FrankRuehl" w:hint="eastAsia"/>
          <w:sz w:val="18"/>
          <w:szCs w:val="22"/>
          <w:rtl/>
          <w:lang w:eastAsia="he-IL"/>
        </w:rPr>
        <w:t>הממשלה</w:t>
      </w:r>
      <w:r w:rsidRPr="00F41E78">
        <w:rPr>
          <w:rFonts w:cs="FrankRuehl" w:hint="cs"/>
          <w:sz w:val="18"/>
          <w:szCs w:val="22"/>
          <w:rtl/>
          <w:lang w:eastAsia="he-IL"/>
        </w:rPr>
        <w:t xml:space="preserve">.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למשל, בשנת 1990, עם תחילת העלייה הגדולה ממדינות חבר העמים לישראל העמיקה הממשלה באופן ניכר את מעורבותה בשוק הדיור כדי להתגבר על המחסור בדירות. מעורבות זו הביאה לידי גידול בהתחלות הבנייה באמצעות פעולות יזומות שנקטה, כמו הגדלת היצע הקרקעות לבנייה, קיצור תהליכי רישוי הבנייה ובנייה ביזמה ובמימון מלא של הממשלה. בזכות כלים אלו חל גידול ניכר בהתחלות הבנייה ביזמה ציבורית מכ-19,550 יח"ד בשנת 1990 לכ-61,730 בשנת 1991. עקב כך, שיעור התחלות הבנייה ביזמה הציבורית הגיע לשיא של כ-74% מכלל התחלות הבנייה. גם בתחום הבנייה הפרטית נקטה הממשלה פעולות להגדלת מספר התחלות הבנייה, ובין היתר קידמה הפשרה של קרקעות לבנייה פרטית ומתן הטבות ותמריצים לקבלנים. שינוי סדר העדיפויות הלאומי הביא לידי צמצום המעורבות הממשלתית בבנייה ביזמה ציבורית עד כדי 12% בלבד מסך התחלות הבנייה בשנת 2008.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ממחקר של בנק ישראל</w:t>
      </w:r>
      <w:r>
        <w:rPr>
          <w:rFonts w:cs="FrankRuehl"/>
          <w:sz w:val="18"/>
          <w:szCs w:val="22"/>
          <w:vertAlign w:val="superscript"/>
          <w:rtl/>
          <w:lang w:eastAsia="he-IL"/>
        </w:rPr>
        <w:footnoteReference w:id="49"/>
      </w:r>
      <w:r w:rsidRPr="00F41E78">
        <w:rPr>
          <w:rFonts w:cs="FrankRuehl" w:hint="cs"/>
          <w:sz w:val="18"/>
          <w:szCs w:val="22"/>
          <w:rtl/>
          <w:lang w:eastAsia="he-IL"/>
        </w:rPr>
        <w:t xml:space="preserve"> עלה כי גורם בעל השפעה ניכרת על עליית מחירי הדירות בשנים 2009 </w:t>
      </w:r>
      <w:r w:rsidR="00244A24">
        <w:rPr>
          <w:rFonts w:cs="FrankRuehl"/>
          <w:sz w:val="18"/>
          <w:szCs w:val="22"/>
          <w:lang w:eastAsia="he-IL"/>
        </w:rPr>
        <w:br/>
      </w:r>
      <w:r w:rsidRPr="00F41E78">
        <w:rPr>
          <w:rFonts w:cs="FrankRuehl" w:hint="cs"/>
          <w:sz w:val="18"/>
          <w:szCs w:val="22"/>
          <w:rtl/>
          <w:lang w:eastAsia="he-IL"/>
        </w:rPr>
        <w:t>ו-2010, שבהן נצפתה עלייה מהירה (28%) במחירי הדירות, הוא המחסור בדירות שנוצר עקב היקפן המצומצם של התחלות הבנייה ביחס לגידול במשקי הבית. נמצא כי המחסור בדירות מסביר כ-37% מהעלייה במחירי הדירות באותן שנים, ובשילוב ההיקף הנמוך של התחלות הבנייה, הוא מסביר כ-75% מהעלייה בשכר דירה בכל אחת מהשנים 2009 ו-2010.</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התרשים להלן מציג את מגמת התחלות הבנייה הכוללת ואת זו שביזמה הציבורית בשנים </w:t>
      </w:r>
      <w:r w:rsidR="00244A24">
        <w:rPr>
          <w:rFonts w:cs="FrankRuehl"/>
          <w:sz w:val="18"/>
          <w:szCs w:val="22"/>
          <w:lang w:eastAsia="he-IL"/>
        </w:rPr>
        <w:br/>
      </w:r>
      <w:r w:rsidRPr="00F41E78">
        <w:rPr>
          <w:rFonts w:cs="FrankRuehl" w:hint="cs"/>
          <w:sz w:val="18"/>
          <w:szCs w:val="22"/>
          <w:rtl/>
          <w:lang w:eastAsia="he-IL"/>
        </w:rPr>
        <w:t>2013-1990:</w:t>
      </w:r>
    </w:p>
    <w:p w:rsidR="00813F66" w:rsidRPr="00687567" w:rsidP="00244A24">
      <w:pPr>
        <w:spacing w:after="240" w:line="240" w:lineRule="atLeast"/>
        <w:jc w:val="center"/>
        <w:rPr>
          <w:rFonts w:ascii="Arial" w:hAnsi="Arial" w:cs="Arial"/>
          <w:szCs w:val="20"/>
          <w:rtl/>
          <w:lang w:eastAsia="he-IL"/>
        </w:rPr>
      </w:pPr>
      <w:r>
        <w:rPr>
          <w:rFonts w:ascii="Arial" w:hAnsi="Arial" w:cs="Arial"/>
          <w:noProof/>
        </w:rPr>
        <w:pict>
          <v:shape id="_x0000_i1035" type="#_x0000_t75" style="width:340pt;height:207.5pt">
            <v:imagedata r:id="rId23" o:title="A1-8-Cx"/>
          </v:shape>
        </w:pic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מתרשים זה עולה כי 1991 הייתה שנת שיא מבחינת היקף התחלות הבנייה ביזמה ציבורית ובמהלכה החלה בנייה של יותר מ-60,000 יח"ד. מאז חלה האטה בהיקף הבנייה ביזמה הציבורית, ומשנת 2001 מספר יחידות הדיור שהוחל בבנייתן</w:t>
      </w:r>
      <w:r w:rsidRPr="00F41E78">
        <w:rPr>
          <w:rFonts w:cs="FrankRuehl"/>
          <w:sz w:val="18"/>
          <w:szCs w:val="22"/>
          <w:rtl/>
        </w:rPr>
        <w:t xml:space="preserve"> </w:t>
      </w:r>
      <w:r w:rsidRPr="00F41E78">
        <w:rPr>
          <w:rFonts w:cs="FrankRuehl"/>
          <w:sz w:val="18"/>
          <w:szCs w:val="22"/>
          <w:rtl/>
          <w:lang w:eastAsia="he-IL"/>
        </w:rPr>
        <w:t>ביזמה הציבורית</w:t>
      </w:r>
      <w:r w:rsidRPr="00F41E78">
        <w:rPr>
          <w:rFonts w:cs="FrankRuehl" w:hint="cs"/>
          <w:sz w:val="18"/>
          <w:szCs w:val="22"/>
          <w:rtl/>
          <w:lang w:eastAsia="he-IL"/>
        </w:rPr>
        <w:t xml:space="preserve"> הצטמצם מאוד - פחות </w:t>
      </w:r>
      <w:r w:rsidR="00244A24">
        <w:rPr>
          <w:rFonts w:cs="FrankRuehl"/>
          <w:sz w:val="18"/>
          <w:szCs w:val="22"/>
          <w:lang w:eastAsia="he-IL"/>
        </w:rPr>
        <w:br/>
      </w:r>
      <w:r w:rsidRPr="00F41E78">
        <w:rPr>
          <w:rFonts w:cs="FrankRuehl" w:hint="cs"/>
          <w:sz w:val="18"/>
          <w:szCs w:val="22"/>
          <w:rtl/>
          <w:lang w:eastAsia="he-IL"/>
        </w:rPr>
        <w:t xml:space="preserve">מ-10,000 בכל שנה.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עוד עולה כי בשנים 2008-2001 היה סך התחלות הבנייה כ-30,000 יח"ד בממוצע לשנה, ומשנת 2008, מיד לאחר היציאה מה</w:t>
      </w:r>
      <w:r w:rsidRPr="00F41E78">
        <w:rPr>
          <w:rFonts w:cs="FrankRuehl" w:hint="eastAsia"/>
          <w:sz w:val="18"/>
          <w:szCs w:val="22"/>
          <w:rtl/>
          <w:lang w:eastAsia="he-IL"/>
        </w:rPr>
        <w:t>שפל</w:t>
      </w:r>
      <w:r w:rsidRPr="00F41E78">
        <w:rPr>
          <w:rFonts w:cs="FrankRuehl" w:hint="cs"/>
          <w:sz w:val="18"/>
          <w:szCs w:val="22"/>
          <w:rtl/>
          <w:lang w:eastAsia="he-IL"/>
        </w:rPr>
        <w:t xml:space="preserve"> במחירי הדירות ותחילת העלייה במחיריהן, חלה עלייה מתונה במספר התחלות הבנייה והוא הגיע לשיאו בשנת 2011 שבה הוחל בבנייתן של 46,620 יח"ד. בשנים 2013-2012 התמתן היקף התחלות הבנייה.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הנתונים בתרשים מלמדים כי בשנים 2011-2007 גדל ההיקף הכולל של התחלות הבנייה </w:t>
      </w:r>
      <w:r w:rsidR="00244A24">
        <w:rPr>
          <w:rFonts w:cs="FrankRuehl"/>
          <w:sz w:val="18"/>
          <w:szCs w:val="22"/>
          <w:lang w:eastAsia="he-IL"/>
        </w:rPr>
        <w:br/>
      </w:r>
      <w:r w:rsidRPr="00F41E78">
        <w:rPr>
          <w:rFonts w:cs="FrankRuehl" w:hint="cs"/>
          <w:sz w:val="18"/>
          <w:szCs w:val="22"/>
          <w:rtl/>
          <w:lang w:eastAsia="he-IL"/>
        </w:rPr>
        <w:t xml:space="preserve">מכ-30,800 יח"ד לשנה ל-46,620. ככלל, הגידול מקורו בהתרחבות היקף התחלות הבנייה ביזמה הפרטית בלבד; רק בשנים 2011-2010 חל גידול גם בהיקף התחלות הבנייה ביזמה הציבורית </w:t>
      </w:r>
      <w:r w:rsidR="00244A24">
        <w:rPr>
          <w:rFonts w:cs="FrankRuehl"/>
          <w:sz w:val="18"/>
          <w:szCs w:val="22"/>
          <w:lang w:eastAsia="he-IL"/>
        </w:rPr>
        <w:br/>
      </w:r>
      <w:r w:rsidRPr="00F41E78">
        <w:rPr>
          <w:rFonts w:cs="FrankRuehl" w:hint="cs"/>
          <w:sz w:val="18"/>
          <w:szCs w:val="22"/>
          <w:rtl/>
          <w:lang w:eastAsia="he-IL"/>
        </w:rPr>
        <w:t xml:space="preserve">מכ-4,800 יח"ד לכ-7,200. </w:t>
      </w:r>
    </w:p>
    <w:p w:rsidR="00E97EDA" w:rsidRPr="00F41E78" w:rsidP="00F41E78">
      <w:pPr>
        <w:tabs>
          <w:tab w:val="center" w:pos="4153"/>
          <w:tab w:val="right" w:pos="8306"/>
        </w:tabs>
        <w:spacing w:after="120" w:line="230" w:lineRule="exact"/>
        <w:jc w:val="both"/>
        <w:rPr>
          <w:rFonts w:cs="FrankRuehl"/>
          <w:sz w:val="18"/>
          <w:szCs w:val="22"/>
          <w:rtl/>
          <w:lang w:eastAsia="he-IL"/>
        </w:rPr>
      </w:pPr>
      <w:r w:rsidRPr="00F41E78">
        <w:rPr>
          <w:rFonts w:cs="FrankRuehl" w:hint="cs"/>
          <w:sz w:val="18"/>
          <w:szCs w:val="22"/>
          <w:rtl/>
          <w:lang w:eastAsia="he-IL"/>
        </w:rPr>
        <w:t>2008 הייתה כאמור השנה שבה החלה הנסיקה במחירי הדיור. אחד הגורמים לכך הוא המחסור המצטבר בהיצע הדירות שהיקפו היה בסוף 2007</w:t>
      </w:r>
      <w:r w:rsidRPr="00F41E78">
        <w:rPr>
          <w:rFonts w:cs="FrankRuehl"/>
          <w:sz w:val="18"/>
          <w:szCs w:val="22"/>
          <w:rtl/>
          <w:lang w:eastAsia="he-IL"/>
        </w:rPr>
        <w:t xml:space="preserve"> </w:t>
      </w:r>
      <w:r w:rsidRPr="00F41E78">
        <w:rPr>
          <w:rFonts w:cs="FrankRuehl" w:hint="eastAsia"/>
          <w:sz w:val="18"/>
          <w:szCs w:val="22"/>
          <w:rtl/>
          <w:lang w:eastAsia="he-IL"/>
        </w:rPr>
        <w:t>כ</w:t>
      </w:r>
      <w:r w:rsidRPr="00F41E78">
        <w:rPr>
          <w:rFonts w:cs="FrankRuehl"/>
          <w:sz w:val="18"/>
          <w:szCs w:val="22"/>
          <w:rtl/>
          <w:lang w:eastAsia="he-IL"/>
        </w:rPr>
        <w:t xml:space="preserve">-42,000 </w:t>
      </w:r>
      <w:r w:rsidRPr="00F41E78">
        <w:rPr>
          <w:rFonts w:cs="FrankRuehl" w:hint="eastAsia"/>
          <w:sz w:val="18"/>
          <w:szCs w:val="22"/>
          <w:rtl/>
          <w:lang w:eastAsia="he-IL"/>
        </w:rPr>
        <w:t>יח</w:t>
      </w:r>
      <w:r w:rsidRPr="00F41E78">
        <w:rPr>
          <w:rFonts w:cs="FrankRuehl"/>
          <w:sz w:val="18"/>
          <w:szCs w:val="22"/>
          <w:rtl/>
          <w:lang w:eastAsia="he-IL"/>
        </w:rPr>
        <w:t>"ד</w:t>
      </w:r>
      <w:r>
        <w:rPr>
          <w:rFonts w:cs="FrankRuehl"/>
          <w:sz w:val="18"/>
          <w:szCs w:val="22"/>
          <w:vertAlign w:val="superscript"/>
          <w:rtl/>
          <w:lang w:eastAsia="he-IL"/>
        </w:rPr>
        <w:footnoteReference w:id="50"/>
      </w:r>
      <w:r w:rsidRPr="00F41E78">
        <w:rPr>
          <w:rFonts w:cs="FrankRuehl" w:hint="cs"/>
          <w:sz w:val="18"/>
          <w:szCs w:val="22"/>
          <w:rtl/>
          <w:lang w:eastAsia="he-IL"/>
        </w:rPr>
        <w:t>. מחסור זה מקורו בהיקף נמוך של התחלות בנייה בשנים 2008-2001, ובכלל זה בירידה התלולה בהיקף התחלות הבנייה שביזמה הציבורית מכ-15,000 יח"ד בשנת 2000 לכ-4,120 בשנת 2008.</w:t>
      </w:r>
    </w:p>
    <w:p w:rsidR="00E97EDA" w:rsidRPr="00F41E78" w:rsidP="00F41E78">
      <w:pPr>
        <w:spacing w:after="120" w:line="230" w:lineRule="exact"/>
        <w:jc w:val="both"/>
        <w:rPr>
          <w:rFonts w:cs="FrankRuehl"/>
          <w:b/>
          <w:bCs/>
          <w:sz w:val="18"/>
          <w:szCs w:val="22"/>
          <w:rtl/>
          <w:lang w:eastAsia="he-IL"/>
        </w:rPr>
      </w:pPr>
      <w:r w:rsidRPr="00244A24">
        <w:rPr>
          <w:rStyle w:val="Heading5Char1"/>
          <w:rFonts w:cs="FrankRuehl" w:hint="cs"/>
          <w:spacing w:val="40"/>
          <w:szCs w:val="22"/>
          <w:rtl/>
        </w:rPr>
        <w:t>תמהיל</w:t>
      </w:r>
      <w:r w:rsidRPr="00244A24">
        <w:rPr>
          <w:rStyle w:val="Heading5Char1"/>
          <w:rFonts w:cs="FrankRuehl"/>
          <w:spacing w:val="40"/>
          <w:szCs w:val="22"/>
          <w:rtl/>
        </w:rPr>
        <w:t xml:space="preserve"> </w:t>
      </w:r>
      <w:r w:rsidRPr="00244A24">
        <w:rPr>
          <w:rStyle w:val="Heading5Char1"/>
          <w:rFonts w:cs="FrankRuehl" w:hint="cs"/>
          <w:spacing w:val="40"/>
          <w:szCs w:val="22"/>
          <w:rtl/>
        </w:rPr>
        <w:t>הדירות</w:t>
      </w:r>
      <w:r w:rsidRPr="00244A24">
        <w:rPr>
          <w:rStyle w:val="Heading5Char1"/>
          <w:rFonts w:cs="FrankRuehl"/>
          <w:spacing w:val="40"/>
          <w:szCs w:val="22"/>
          <w:rtl/>
        </w:rPr>
        <w:t xml:space="preserve"> </w:t>
      </w:r>
      <w:r w:rsidRPr="00244A24">
        <w:rPr>
          <w:rStyle w:val="Heading5Char1"/>
          <w:rFonts w:cs="FrankRuehl" w:hint="cs"/>
          <w:spacing w:val="40"/>
          <w:szCs w:val="22"/>
          <w:rtl/>
        </w:rPr>
        <w:t>של</w:t>
      </w:r>
      <w:r w:rsidRPr="00244A24">
        <w:rPr>
          <w:rStyle w:val="Heading5Char1"/>
          <w:rFonts w:cs="FrankRuehl"/>
          <w:spacing w:val="40"/>
          <w:szCs w:val="22"/>
          <w:rtl/>
        </w:rPr>
        <w:t xml:space="preserve"> </w:t>
      </w:r>
      <w:r w:rsidRPr="00244A24">
        <w:rPr>
          <w:rStyle w:val="Heading5Char1"/>
          <w:rFonts w:cs="FrankRuehl" w:hint="cs"/>
          <w:spacing w:val="40"/>
          <w:szCs w:val="22"/>
          <w:rtl/>
        </w:rPr>
        <w:t>התחלות</w:t>
      </w:r>
      <w:r w:rsidRPr="00244A24">
        <w:rPr>
          <w:rStyle w:val="Heading5Char1"/>
          <w:rFonts w:cs="FrankRuehl"/>
          <w:spacing w:val="40"/>
          <w:szCs w:val="22"/>
          <w:rtl/>
        </w:rPr>
        <w:t xml:space="preserve"> </w:t>
      </w:r>
      <w:r w:rsidRPr="00244A24">
        <w:rPr>
          <w:rStyle w:val="Heading5Char1"/>
          <w:rFonts w:cs="FrankRuehl" w:hint="cs"/>
          <w:spacing w:val="40"/>
          <w:szCs w:val="22"/>
          <w:rtl/>
        </w:rPr>
        <w:t>הבנייה</w:t>
      </w:r>
      <w:r w:rsidRPr="00244A24">
        <w:rPr>
          <w:rFonts w:cs="FrankRuehl"/>
          <w:spacing w:val="40"/>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 xml:space="preserve">תמהיל דירות משמעו מגוון רחב של דירות, שונות בגודלן. יצירת תמהיל דירות מאפשרת להתאים את הדירות לצרכים הייחודיים והמשתנים של משקי הבית הן מבחינת מספר הנפשות הן מבחינת יכולתם הכלכלית לרכוש או לשכור דירה. </w:t>
      </w:r>
    </w:p>
    <w:p w:rsidR="00E97EDA" w:rsidP="00F41E78">
      <w:pPr>
        <w:spacing w:after="120" w:line="230" w:lineRule="exact"/>
        <w:ind w:left="3"/>
        <w:jc w:val="both"/>
        <w:rPr>
          <w:szCs w:val="20"/>
          <w:rtl/>
          <w:lang w:eastAsia="he-IL"/>
        </w:rPr>
      </w:pPr>
      <w:r w:rsidRPr="00F41E78">
        <w:rPr>
          <w:rFonts w:cs="FrankRuehl" w:hint="cs"/>
          <w:sz w:val="18"/>
          <w:szCs w:val="22"/>
          <w:rtl/>
          <w:lang w:eastAsia="he-IL"/>
        </w:rPr>
        <w:t xml:space="preserve">באוגוסט 2002 הכין משרד הבינוי דוח בנושא "הכנת אומדנים ותחזיות לתמהיל גדלי דירות (חדרים בשטח) שנדרש לבנות במשק בתקופות שונות בעתיד" (להלן - דוח אומדנים ותחזיות); מטרת הדוח הייתה לבצע תחזיות לטווח ארוך של תמהיל הדירות בישראל לפי גודל הדירה והמקום הגאוגרפי. </w:t>
      </w:r>
      <w:r w:rsidRPr="00F41E78">
        <w:rPr>
          <w:rFonts w:cs="FrankRuehl" w:hint="cs"/>
          <w:sz w:val="18"/>
          <w:szCs w:val="22"/>
          <w:rtl/>
        </w:rPr>
        <w:t>הדוח התייחס לשנים 2005 עד 2020; בין השאר צוין בו שעל פי מודל אחד שנבחן, בשנת 2010 היה צפוי ש-58% מן הדירות המבוקשות יהיו דירות של 1 עד 3.5 חדרים, ולפי מודל אחר - 54%. אשר למקום הגאוגרפי - בשנת 2010, על פי המודל הראשון, היה צפוי ש-49% מהדירות המבוקשות יהיו במחוזות המרכז ותל אביב, ועל פי המודל השני - 40%.</w:t>
      </w:r>
      <w:r>
        <w:rPr>
          <w:rFonts w:hint="cs"/>
          <w:szCs w:val="20"/>
          <w:rtl/>
          <w:lang w:eastAsia="he-IL"/>
        </w:rPr>
        <w:t xml:space="preserve"> </w:t>
      </w:r>
    </w:p>
    <w:p w:rsidR="00E97EDA" w:rsidRPr="00F41E78" w:rsidP="00D501CA">
      <w:pPr>
        <w:spacing w:after="240" w:line="230" w:lineRule="exact"/>
        <w:jc w:val="both"/>
        <w:rPr>
          <w:rFonts w:cs="FrankRuehl"/>
          <w:sz w:val="18"/>
          <w:szCs w:val="22"/>
          <w:rtl/>
          <w:lang w:eastAsia="he-IL"/>
        </w:rPr>
      </w:pPr>
      <w:r w:rsidRPr="00F41E78">
        <w:rPr>
          <w:rFonts w:cs="FrankRuehl" w:hint="cs"/>
          <w:sz w:val="18"/>
          <w:szCs w:val="22"/>
          <w:rtl/>
          <w:lang w:eastAsia="he-IL"/>
        </w:rPr>
        <w:t>התרשים להלן בוחן את התמורות שחלו בתמהיל התחלות הבנייה</w:t>
      </w:r>
      <w:r>
        <w:rPr>
          <w:rFonts w:cs="FrankRuehl"/>
          <w:sz w:val="18"/>
          <w:szCs w:val="22"/>
          <w:vertAlign w:val="superscript"/>
          <w:rtl/>
          <w:lang w:eastAsia="he-IL"/>
        </w:rPr>
        <w:footnoteReference w:id="51"/>
      </w:r>
      <w:r w:rsidRPr="00F41E78">
        <w:rPr>
          <w:rFonts w:cs="FrankRuehl" w:hint="cs"/>
          <w:sz w:val="18"/>
          <w:szCs w:val="22"/>
          <w:rtl/>
          <w:lang w:eastAsia="he-IL"/>
        </w:rPr>
        <w:t xml:space="preserve"> לפי מספר חדרים בשנים </w:t>
      </w:r>
      <w:r w:rsidR="00F37EFE">
        <w:rPr>
          <w:rFonts w:cs="FrankRuehl"/>
          <w:sz w:val="18"/>
          <w:szCs w:val="22"/>
          <w:lang w:eastAsia="he-IL"/>
        </w:rPr>
        <w:br/>
      </w:r>
      <w:r w:rsidRPr="00F41E78">
        <w:rPr>
          <w:rFonts w:cs="FrankRuehl" w:hint="cs"/>
          <w:sz w:val="18"/>
          <w:szCs w:val="22"/>
          <w:rtl/>
          <w:lang w:eastAsia="he-IL"/>
        </w:rPr>
        <w:t>2013-1980:</w:t>
      </w:r>
    </w:p>
    <w:p w:rsidR="00143E57" w:rsidRPr="00687567" w:rsidP="000703E0">
      <w:pPr>
        <w:spacing w:after="240" w:line="240" w:lineRule="atLeast"/>
        <w:jc w:val="center"/>
        <w:rPr>
          <w:rFonts w:ascii="Arial" w:hAnsi="Arial" w:cs="Arial"/>
          <w:szCs w:val="20"/>
          <w:rtl/>
          <w:lang w:eastAsia="he-IL"/>
        </w:rPr>
      </w:pPr>
      <w:r>
        <w:rPr>
          <w:rFonts w:ascii="Arial" w:hAnsi="Arial" w:cs="Arial"/>
          <w:noProof/>
        </w:rPr>
        <w:pict>
          <v:shape id="_x0000_i1036" type="#_x0000_t75" style="width:340pt;height:204.5pt">
            <v:imagedata r:id="rId24" o:title="A1-9-Cx"/>
          </v:shape>
        </w:pict>
      </w:r>
    </w:p>
    <w:p w:rsidR="00E97EDA" w:rsidRPr="00F41E78" w:rsidP="008074BE">
      <w:pPr>
        <w:spacing w:after="120" w:line="230" w:lineRule="exact"/>
        <w:jc w:val="both"/>
        <w:rPr>
          <w:rFonts w:cs="FrankRuehl"/>
          <w:sz w:val="18"/>
          <w:szCs w:val="22"/>
          <w:rtl/>
          <w:lang w:eastAsia="he-IL"/>
        </w:rPr>
      </w:pPr>
      <w:r w:rsidRPr="00F41E78">
        <w:rPr>
          <w:rFonts w:cs="FrankRuehl"/>
          <w:sz w:val="18"/>
          <w:szCs w:val="22"/>
          <w:rtl/>
          <w:lang w:eastAsia="he-IL"/>
        </w:rPr>
        <w:t>מתרשים</w:t>
      </w:r>
      <w:r w:rsidRPr="00F41E78">
        <w:rPr>
          <w:rFonts w:cs="FrankRuehl" w:hint="cs"/>
          <w:sz w:val="18"/>
          <w:szCs w:val="22"/>
          <w:rtl/>
          <w:lang w:eastAsia="he-IL"/>
        </w:rPr>
        <w:t xml:space="preserve"> זה</w:t>
      </w:r>
      <w:r w:rsidRPr="00F41E78">
        <w:rPr>
          <w:rFonts w:cs="FrankRuehl"/>
          <w:sz w:val="18"/>
          <w:szCs w:val="22"/>
          <w:rtl/>
          <w:lang w:eastAsia="he-IL"/>
        </w:rPr>
        <w:t xml:space="preserve"> עולה כי</w:t>
      </w:r>
      <w:r w:rsidRPr="00F41E78">
        <w:rPr>
          <w:rFonts w:cs="FrankRuehl" w:hint="cs"/>
          <w:sz w:val="18"/>
          <w:szCs w:val="22"/>
          <w:rtl/>
          <w:lang w:eastAsia="he-IL"/>
        </w:rPr>
        <w:t xml:space="preserve"> כ-</w:t>
      </w:r>
      <w:r w:rsidRPr="00F41E78">
        <w:rPr>
          <w:rFonts w:cs="FrankRuehl"/>
          <w:sz w:val="18"/>
          <w:szCs w:val="22"/>
          <w:rtl/>
          <w:lang w:eastAsia="he-IL"/>
        </w:rPr>
        <w:t>43%</w:t>
      </w:r>
      <w:r w:rsidRPr="00F41E78">
        <w:rPr>
          <w:rFonts w:cs="FrankRuehl" w:hint="cs"/>
          <w:sz w:val="18"/>
          <w:szCs w:val="22"/>
          <w:rtl/>
          <w:lang w:eastAsia="he-IL"/>
        </w:rPr>
        <w:t xml:space="preserve"> מכלל</w:t>
      </w:r>
      <w:r w:rsidRPr="00F41E78">
        <w:rPr>
          <w:rFonts w:cs="FrankRuehl"/>
          <w:sz w:val="18"/>
          <w:szCs w:val="22"/>
          <w:rtl/>
          <w:lang w:eastAsia="he-IL"/>
        </w:rPr>
        <w:t xml:space="preserve"> </w:t>
      </w:r>
      <w:r w:rsidRPr="00582A43">
        <w:rPr>
          <w:rFonts w:cs="FrankRuehl"/>
          <w:sz w:val="18"/>
          <w:szCs w:val="22"/>
          <w:rtl/>
          <w:lang w:eastAsia="he-IL"/>
        </w:rPr>
        <w:t>הדירות אשר ה</w:t>
      </w:r>
      <w:r w:rsidRPr="00582A43">
        <w:rPr>
          <w:rFonts w:cs="FrankRuehl" w:hint="cs"/>
          <w:sz w:val="18"/>
          <w:szCs w:val="22"/>
          <w:rtl/>
          <w:lang w:eastAsia="he-IL"/>
        </w:rPr>
        <w:t>ו</w:t>
      </w:r>
      <w:r w:rsidRPr="00582A43">
        <w:rPr>
          <w:rFonts w:cs="FrankRuehl"/>
          <w:sz w:val="18"/>
          <w:szCs w:val="22"/>
          <w:rtl/>
          <w:lang w:eastAsia="he-IL"/>
        </w:rPr>
        <w:t xml:space="preserve">חל </w:t>
      </w:r>
      <w:r w:rsidRPr="00582A43">
        <w:rPr>
          <w:rFonts w:cs="FrankRuehl" w:hint="cs"/>
          <w:sz w:val="18"/>
          <w:szCs w:val="22"/>
          <w:rtl/>
          <w:lang w:eastAsia="he-IL"/>
        </w:rPr>
        <w:t>בבנייתן</w:t>
      </w:r>
      <w:r w:rsidRPr="00F41E78">
        <w:rPr>
          <w:rFonts w:cs="FrankRuehl"/>
          <w:sz w:val="18"/>
          <w:szCs w:val="22"/>
          <w:rtl/>
          <w:lang w:eastAsia="he-IL"/>
        </w:rPr>
        <w:t xml:space="preserve"> בשנת 1980 היו </w:t>
      </w:r>
      <w:r w:rsidRPr="00F41E78">
        <w:rPr>
          <w:rFonts w:cs="FrankRuehl" w:hint="cs"/>
          <w:sz w:val="18"/>
          <w:szCs w:val="22"/>
          <w:rtl/>
          <w:lang w:eastAsia="he-IL"/>
        </w:rPr>
        <w:t>דירות ובהן לכל היותר</w:t>
      </w:r>
      <w:r w:rsidRPr="00F41E78">
        <w:rPr>
          <w:rFonts w:cs="FrankRuehl"/>
          <w:sz w:val="18"/>
          <w:szCs w:val="22"/>
          <w:rtl/>
          <w:lang w:eastAsia="he-IL"/>
        </w:rPr>
        <w:t xml:space="preserve"> </w:t>
      </w:r>
      <w:r w:rsidRPr="00F41E78">
        <w:rPr>
          <w:rFonts w:cs="FrankRuehl" w:hint="cs"/>
          <w:sz w:val="18"/>
          <w:szCs w:val="22"/>
          <w:rtl/>
          <w:lang w:eastAsia="he-IL"/>
        </w:rPr>
        <w:t>שלושה</w:t>
      </w:r>
      <w:r w:rsidRPr="00F41E78">
        <w:rPr>
          <w:rFonts w:cs="FrankRuehl"/>
          <w:sz w:val="18"/>
          <w:szCs w:val="22"/>
          <w:rtl/>
          <w:lang w:eastAsia="he-IL"/>
        </w:rPr>
        <w:t xml:space="preserve"> חדרים. </w:t>
      </w:r>
      <w:r w:rsidRPr="00F41E78">
        <w:rPr>
          <w:rFonts w:cs="FrankRuehl" w:hint="cs"/>
          <w:sz w:val="18"/>
          <w:szCs w:val="22"/>
          <w:rtl/>
          <w:lang w:eastAsia="he-IL"/>
        </w:rPr>
        <w:t>שיעור ה</w:t>
      </w:r>
      <w:r w:rsidRPr="00F41E78">
        <w:rPr>
          <w:rFonts w:cs="FrankRuehl"/>
          <w:sz w:val="18"/>
          <w:szCs w:val="22"/>
          <w:rtl/>
          <w:lang w:eastAsia="he-IL"/>
        </w:rPr>
        <w:t xml:space="preserve">דירות </w:t>
      </w:r>
      <w:r w:rsidRPr="00F41E78">
        <w:rPr>
          <w:rFonts w:cs="FrankRuehl" w:hint="cs"/>
          <w:sz w:val="18"/>
          <w:szCs w:val="22"/>
          <w:rtl/>
          <w:lang w:eastAsia="he-IL"/>
        </w:rPr>
        <w:t>שבהן ארבעה</w:t>
      </w:r>
      <w:r w:rsidRPr="00F41E78">
        <w:rPr>
          <w:rFonts w:cs="FrankRuehl"/>
          <w:sz w:val="18"/>
          <w:szCs w:val="22"/>
          <w:rtl/>
          <w:lang w:eastAsia="he-IL"/>
        </w:rPr>
        <w:t xml:space="preserve"> חדרים הי</w:t>
      </w:r>
      <w:r w:rsidRPr="00F41E78">
        <w:rPr>
          <w:rFonts w:cs="FrankRuehl" w:hint="cs"/>
          <w:sz w:val="18"/>
          <w:szCs w:val="22"/>
          <w:rtl/>
          <w:lang w:eastAsia="he-IL"/>
        </w:rPr>
        <w:t>ה</w:t>
      </w:r>
      <w:r w:rsidRPr="00F41E78">
        <w:rPr>
          <w:rFonts w:cs="FrankRuehl"/>
          <w:sz w:val="18"/>
          <w:szCs w:val="22"/>
          <w:rtl/>
          <w:lang w:eastAsia="he-IL"/>
        </w:rPr>
        <w:t xml:space="preserve"> כ-41% מסך התחלות</w:t>
      </w:r>
      <w:r w:rsidRPr="00F41E78">
        <w:rPr>
          <w:rFonts w:cs="FrankRuehl" w:hint="cs"/>
          <w:sz w:val="18"/>
          <w:szCs w:val="22"/>
          <w:rtl/>
          <w:lang w:eastAsia="he-IL"/>
        </w:rPr>
        <w:t xml:space="preserve"> הבנייה,</w:t>
      </w:r>
      <w:r w:rsidRPr="00F41E78">
        <w:rPr>
          <w:rFonts w:cs="FrankRuehl"/>
          <w:sz w:val="18"/>
          <w:szCs w:val="22"/>
          <w:rtl/>
          <w:lang w:eastAsia="he-IL"/>
        </w:rPr>
        <w:t xml:space="preserve"> ורק</w:t>
      </w:r>
      <w:r w:rsidRPr="00F41E78">
        <w:rPr>
          <w:rFonts w:cs="FrankRuehl" w:hint="cs"/>
          <w:sz w:val="18"/>
          <w:szCs w:val="22"/>
          <w:rtl/>
          <w:lang w:eastAsia="he-IL"/>
        </w:rPr>
        <w:t xml:space="preserve"> כ-</w:t>
      </w:r>
      <w:r w:rsidRPr="00F41E78">
        <w:rPr>
          <w:rFonts w:cs="FrankRuehl"/>
          <w:sz w:val="18"/>
          <w:szCs w:val="22"/>
          <w:rtl/>
          <w:lang w:eastAsia="he-IL"/>
        </w:rPr>
        <w:t>16%</w:t>
      </w:r>
      <w:r w:rsidRPr="00F41E78">
        <w:rPr>
          <w:rFonts w:cs="FrankRuehl" w:hint="cs"/>
          <w:sz w:val="18"/>
          <w:szCs w:val="22"/>
          <w:rtl/>
          <w:lang w:eastAsia="he-IL"/>
        </w:rPr>
        <w:t xml:space="preserve"> מהן</w:t>
      </w:r>
      <w:r w:rsidRPr="00F41E78">
        <w:rPr>
          <w:rFonts w:cs="FrankRuehl"/>
          <w:sz w:val="18"/>
          <w:szCs w:val="22"/>
          <w:rtl/>
          <w:lang w:eastAsia="he-IL"/>
        </w:rPr>
        <w:t xml:space="preserve"> היו דירות </w:t>
      </w:r>
      <w:r w:rsidRPr="00F41E78">
        <w:rPr>
          <w:rFonts w:cs="FrankRuehl" w:hint="cs"/>
          <w:sz w:val="18"/>
          <w:szCs w:val="22"/>
          <w:rtl/>
          <w:lang w:eastAsia="he-IL"/>
        </w:rPr>
        <w:t>חמישה</w:t>
      </w:r>
      <w:r w:rsidRPr="00F41E78">
        <w:rPr>
          <w:rFonts w:cs="FrankRuehl"/>
          <w:sz w:val="18"/>
          <w:szCs w:val="22"/>
          <w:rtl/>
          <w:lang w:eastAsia="he-IL"/>
        </w:rPr>
        <w:t xml:space="preserve"> חדרים ויותר. מאז הלך ופחת </w:t>
      </w:r>
      <w:r w:rsidRPr="00F41E78">
        <w:rPr>
          <w:rFonts w:cs="FrankRuehl" w:hint="cs"/>
          <w:sz w:val="18"/>
          <w:szCs w:val="22"/>
          <w:rtl/>
          <w:lang w:eastAsia="he-IL"/>
        </w:rPr>
        <w:t>שיעורן</w:t>
      </w:r>
      <w:r w:rsidRPr="00F41E78">
        <w:rPr>
          <w:rFonts w:cs="FrankRuehl"/>
          <w:sz w:val="18"/>
          <w:szCs w:val="22"/>
          <w:rtl/>
          <w:lang w:eastAsia="he-IL"/>
        </w:rPr>
        <w:t xml:space="preserve"> של הדירות הקטנות מ</w:t>
      </w:r>
      <w:r w:rsidRPr="00F41E78">
        <w:rPr>
          <w:rFonts w:cs="FrankRuehl" w:hint="cs"/>
          <w:sz w:val="18"/>
          <w:szCs w:val="22"/>
          <w:rtl/>
          <w:lang w:eastAsia="he-IL"/>
        </w:rPr>
        <w:t>כלל</w:t>
      </w:r>
      <w:r w:rsidRPr="00F41E78">
        <w:rPr>
          <w:rFonts w:cs="FrankRuehl"/>
          <w:sz w:val="18"/>
          <w:szCs w:val="22"/>
          <w:rtl/>
          <w:lang w:eastAsia="he-IL"/>
        </w:rPr>
        <w:t xml:space="preserve"> התחלות</w:t>
      </w:r>
      <w:r w:rsidRPr="00F41E78">
        <w:rPr>
          <w:rFonts w:cs="FrankRuehl" w:hint="cs"/>
          <w:sz w:val="18"/>
          <w:szCs w:val="22"/>
          <w:rtl/>
          <w:lang w:eastAsia="he-IL"/>
        </w:rPr>
        <w:t xml:space="preserve"> הבנייה.</w:t>
      </w:r>
      <w:r w:rsidRPr="00F41E78">
        <w:rPr>
          <w:rFonts w:cs="FrankRuehl"/>
          <w:sz w:val="18"/>
          <w:szCs w:val="22"/>
          <w:rtl/>
          <w:lang w:eastAsia="he-IL"/>
        </w:rPr>
        <w:t xml:space="preserve"> </w:t>
      </w:r>
      <w:r w:rsidRPr="00F41E78">
        <w:rPr>
          <w:rFonts w:cs="FrankRuehl" w:hint="cs"/>
          <w:sz w:val="18"/>
          <w:szCs w:val="22"/>
          <w:rtl/>
          <w:lang w:eastAsia="he-IL"/>
        </w:rPr>
        <w:t xml:space="preserve">למשל, </w:t>
      </w:r>
      <w:r w:rsidRPr="00F41E78">
        <w:rPr>
          <w:rFonts w:cs="FrankRuehl"/>
          <w:sz w:val="18"/>
          <w:szCs w:val="22"/>
          <w:rtl/>
          <w:lang w:eastAsia="he-IL"/>
        </w:rPr>
        <w:t xml:space="preserve">בשנת </w:t>
      </w:r>
      <w:r w:rsidRPr="00F41E78">
        <w:rPr>
          <w:rFonts w:cs="FrankRuehl" w:hint="cs"/>
          <w:sz w:val="18"/>
          <w:szCs w:val="22"/>
          <w:rtl/>
          <w:lang w:eastAsia="he-IL"/>
        </w:rPr>
        <w:t>2013</w:t>
      </w:r>
      <w:r w:rsidRPr="00F41E78">
        <w:rPr>
          <w:rFonts w:cs="FrankRuehl"/>
          <w:sz w:val="18"/>
          <w:szCs w:val="22"/>
          <w:rtl/>
          <w:lang w:eastAsia="he-IL"/>
        </w:rPr>
        <w:t xml:space="preserve"> </w:t>
      </w:r>
      <w:r w:rsidRPr="00F41E78">
        <w:rPr>
          <w:rFonts w:cs="FrankRuehl" w:hint="cs"/>
          <w:sz w:val="18"/>
          <w:szCs w:val="22"/>
          <w:rtl/>
          <w:lang w:eastAsia="he-IL"/>
        </w:rPr>
        <w:t>היה שיעור הדירות שבהן לכל היותר שלושה חדרים כ-6%</w:t>
      </w:r>
      <w:r w:rsidRPr="00F41E78">
        <w:rPr>
          <w:rFonts w:cs="FrankRuehl"/>
          <w:sz w:val="18"/>
          <w:szCs w:val="22"/>
          <w:rtl/>
          <w:lang w:eastAsia="he-IL"/>
        </w:rPr>
        <w:t xml:space="preserve"> בלבד</w:t>
      </w:r>
      <w:r w:rsidRPr="00F41E78">
        <w:rPr>
          <w:rFonts w:cs="FrankRuehl" w:hint="cs"/>
          <w:sz w:val="18"/>
          <w:szCs w:val="22"/>
          <w:rtl/>
          <w:lang w:eastAsia="he-IL"/>
        </w:rPr>
        <w:t xml:space="preserve"> לעומת שיעור של </w:t>
      </w:r>
      <w:r w:rsidRPr="00F41E78">
        <w:rPr>
          <w:rFonts w:cs="FrankRuehl"/>
          <w:sz w:val="18"/>
          <w:szCs w:val="22"/>
          <w:rtl/>
          <w:lang w:eastAsia="he-IL"/>
        </w:rPr>
        <w:t>כ-</w:t>
      </w:r>
      <w:r w:rsidRPr="00F41E78">
        <w:rPr>
          <w:rFonts w:cs="FrankRuehl" w:hint="cs"/>
          <w:sz w:val="18"/>
          <w:szCs w:val="22"/>
          <w:rtl/>
          <w:lang w:eastAsia="he-IL"/>
        </w:rPr>
        <w:t>53</w:t>
      </w:r>
      <w:r w:rsidRPr="00F41E78">
        <w:rPr>
          <w:rFonts w:cs="FrankRuehl"/>
          <w:sz w:val="18"/>
          <w:szCs w:val="22"/>
          <w:rtl/>
          <w:lang w:eastAsia="he-IL"/>
        </w:rPr>
        <w:t>%</w:t>
      </w:r>
      <w:r w:rsidRPr="00F41E78">
        <w:rPr>
          <w:rFonts w:cs="FrankRuehl" w:hint="cs"/>
          <w:sz w:val="18"/>
          <w:szCs w:val="22"/>
          <w:rtl/>
          <w:lang w:eastAsia="he-IL"/>
        </w:rPr>
        <w:t xml:space="preserve"> של </w:t>
      </w:r>
      <w:r w:rsidRPr="00F41E78">
        <w:rPr>
          <w:rFonts w:cs="FrankRuehl"/>
          <w:sz w:val="18"/>
          <w:szCs w:val="22"/>
          <w:rtl/>
          <w:lang w:eastAsia="he-IL"/>
        </w:rPr>
        <w:t xml:space="preserve">דירות </w:t>
      </w:r>
      <w:r w:rsidRPr="00F41E78">
        <w:rPr>
          <w:rFonts w:cs="FrankRuehl" w:hint="cs"/>
          <w:sz w:val="18"/>
          <w:szCs w:val="22"/>
          <w:rtl/>
          <w:lang w:eastAsia="he-IL"/>
        </w:rPr>
        <w:t>חמישה</w:t>
      </w:r>
      <w:r w:rsidRPr="00F41E78">
        <w:rPr>
          <w:rFonts w:cs="FrankRuehl"/>
          <w:sz w:val="18"/>
          <w:szCs w:val="22"/>
          <w:rtl/>
          <w:lang w:eastAsia="he-IL"/>
        </w:rPr>
        <w:t xml:space="preserve"> חדרים </w:t>
      </w:r>
      <w:r w:rsidRPr="00F41E78">
        <w:rPr>
          <w:rFonts w:cs="FrankRuehl" w:hint="cs"/>
          <w:sz w:val="18"/>
          <w:szCs w:val="22"/>
          <w:rtl/>
          <w:lang w:eastAsia="he-IL"/>
        </w:rPr>
        <w:t>ויותר</w:t>
      </w:r>
      <w:r w:rsidRPr="00F41E78">
        <w:rPr>
          <w:rFonts w:cs="FrankRuehl"/>
          <w:sz w:val="18"/>
          <w:szCs w:val="22"/>
          <w:rtl/>
          <w:lang w:eastAsia="he-IL"/>
        </w:rPr>
        <w:t>.</w:t>
      </w:r>
      <w:r w:rsidRPr="00F41E78">
        <w:rPr>
          <w:rFonts w:cs="FrankRuehl" w:hint="cs"/>
          <w:sz w:val="18"/>
          <w:szCs w:val="22"/>
          <w:rtl/>
          <w:lang w:eastAsia="he-IL"/>
        </w:rPr>
        <w:t xml:space="preserve"> התרשים מלמד על מגמת צמצום בשיעור הבנייה של דירות קטנות - מגמה שעומדת בסתירה לתחזית על הביקוש הצפוי לסוג דירות אלו על פי דוח אומדנים ותחזיות.</w:t>
      </w:r>
    </w:p>
    <w:p w:rsidR="00E97EDA" w:rsidRPr="00F41E78" w:rsidP="00E77B0F">
      <w:pPr>
        <w:spacing w:after="120" w:line="230" w:lineRule="exact"/>
        <w:jc w:val="both"/>
        <w:rPr>
          <w:rFonts w:cs="FrankRuehl"/>
          <w:sz w:val="18"/>
          <w:szCs w:val="22"/>
          <w:rtl/>
          <w:lang w:eastAsia="he-IL"/>
        </w:rPr>
      </w:pPr>
      <w:r w:rsidRPr="00F41E78">
        <w:rPr>
          <w:rFonts w:cs="FrankRuehl" w:hint="cs"/>
          <w:sz w:val="18"/>
          <w:szCs w:val="22"/>
          <w:rtl/>
          <w:lang w:eastAsia="he-IL"/>
        </w:rPr>
        <w:t xml:space="preserve">היעדר תמהיל דירות מגוון - ובכלל </w:t>
      </w:r>
      <w:r w:rsidRPr="00582A43">
        <w:rPr>
          <w:rFonts w:cs="FrankRuehl" w:hint="cs"/>
          <w:sz w:val="18"/>
          <w:szCs w:val="22"/>
          <w:rtl/>
          <w:lang w:eastAsia="he-IL"/>
        </w:rPr>
        <w:t xml:space="preserve">זה </w:t>
      </w:r>
      <w:r w:rsidRPr="00582A43" w:rsidR="00E77B0F">
        <w:rPr>
          <w:rFonts w:cs="FrankRuehl" w:hint="cs"/>
          <w:sz w:val="18"/>
          <w:szCs w:val="22"/>
          <w:rtl/>
          <w:lang w:eastAsia="he-IL"/>
        </w:rPr>
        <w:t>צמצום</w:t>
      </w:r>
      <w:r w:rsidRPr="00582A43">
        <w:rPr>
          <w:rFonts w:cs="FrankRuehl" w:hint="cs"/>
          <w:sz w:val="18"/>
          <w:szCs w:val="22"/>
          <w:rtl/>
          <w:lang w:eastAsia="he-IL"/>
        </w:rPr>
        <w:t xml:space="preserve"> בנייה</w:t>
      </w:r>
      <w:r w:rsidRPr="00F41E78">
        <w:rPr>
          <w:rFonts w:cs="FrankRuehl" w:hint="cs"/>
          <w:sz w:val="18"/>
          <w:szCs w:val="22"/>
          <w:rtl/>
          <w:lang w:eastAsia="he-IL"/>
        </w:rPr>
        <w:t xml:space="preserve"> של דירות קטנות - וכן הצורך בקביעת תמהיל זה נדונו גם בוועדת טרכטנברג. הוועדה ציינה בדוח שפרסמה והמלצותיו אומצו בידי הממשלה, כי "</w:t>
      </w:r>
      <w:r w:rsidRPr="00F41E78">
        <w:rPr>
          <w:rFonts w:cs="FrankRuehl"/>
          <w:sz w:val="18"/>
          <w:szCs w:val="22"/>
          <w:rtl/>
          <w:lang w:eastAsia="he-IL"/>
        </w:rPr>
        <w:t>מאז ראשית שנות ה-90', חלה ירידה חדה בהיקף הדירות הקטנות בישראל עד כדי הפסקה כמעט מוחלטת של בניית דירות קטנות ועלייה של עשרות אחוזים בגודל הדירה הממוצע</w:t>
      </w:r>
      <w:r w:rsidRPr="00F41E78">
        <w:rPr>
          <w:rFonts w:cs="FrankRuehl" w:hint="cs"/>
          <w:sz w:val="18"/>
          <w:szCs w:val="22"/>
          <w:rtl/>
          <w:lang w:eastAsia="he-IL"/>
        </w:rPr>
        <w:t>". הוועדה הוסיפה כי "</w:t>
      </w:r>
      <w:r w:rsidRPr="00F41E78">
        <w:rPr>
          <w:rFonts w:cs="FrankRuehl"/>
          <w:sz w:val="18"/>
          <w:szCs w:val="22"/>
          <w:rtl/>
          <w:lang w:eastAsia="he-IL"/>
        </w:rPr>
        <w:t>היעדרן של דירות קטנות, ככלל ובמפרט בסיסי, לצד העלייה החדה של מחירי הדיור, מקשה על היכולת של אוכלוסיות רבות לרכוש ו/או לשכור דירה. חלקן נאלצו למצוא פתרונות חלופיים בדמות דחיית היציאה מבית ההורים או מגורים עם שותפים</w:t>
      </w:r>
      <w:r w:rsidRPr="00F41E78">
        <w:rPr>
          <w:rFonts w:cs="FrankRuehl" w:hint="cs"/>
          <w:sz w:val="18"/>
          <w:szCs w:val="22"/>
          <w:rtl/>
          <w:lang w:eastAsia="he-IL"/>
        </w:rPr>
        <w:t>".</w:t>
      </w:r>
    </w:p>
    <w:p w:rsidR="00FA6646" w:rsidRPr="00FA6646" w:rsidP="000703E0">
      <w:pPr>
        <w:spacing w:after="240" w:line="230" w:lineRule="exact"/>
        <w:jc w:val="both"/>
        <w:rPr>
          <w:rFonts w:cs="FrankRuehl"/>
          <w:sz w:val="20"/>
          <w:szCs w:val="22"/>
          <w:rtl/>
          <w:lang w:eastAsia="he-IL"/>
        </w:rPr>
      </w:pPr>
      <w:r w:rsidRPr="00F41E78">
        <w:rPr>
          <w:rFonts w:cs="FrankRuehl" w:hint="cs"/>
          <w:sz w:val="18"/>
          <w:szCs w:val="22"/>
          <w:rtl/>
          <w:lang w:eastAsia="he-IL"/>
        </w:rPr>
        <w:t xml:space="preserve">גם המחוקק הכיר בצורך לכלול בניית דירות קטנות בתכנית למגורים: בחוק הווד"לים נקבע </w:t>
      </w:r>
      <w:r w:rsidRPr="00F41E78">
        <w:rPr>
          <w:rFonts w:cs="FrankRuehl" w:hint="cs"/>
          <w:sz w:val="18"/>
          <w:szCs w:val="22"/>
          <w:rtl/>
        </w:rPr>
        <w:t xml:space="preserve">כי </w:t>
      </w:r>
      <w:r w:rsidRPr="00F41E78">
        <w:rPr>
          <w:rFonts w:cs="FrankRuehl" w:hint="cs"/>
          <w:sz w:val="18"/>
          <w:szCs w:val="22"/>
          <w:rtl/>
          <w:lang w:eastAsia="he-IL"/>
        </w:rPr>
        <w:t>תכנית דיור לאומית תכלול גם הוראות שעניינן תכנון דירות קטנות. כמו כן, ב</w:t>
      </w:r>
      <w:r w:rsidRPr="00F41E78">
        <w:rPr>
          <w:rFonts w:cs="FrankRuehl"/>
          <w:sz w:val="18"/>
          <w:szCs w:val="22"/>
          <w:rtl/>
          <w:lang w:eastAsia="he-IL"/>
        </w:rPr>
        <w:t xml:space="preserve">חוק התכנון והבנייה </w:t>
      </w:r>
      <w:r w:rsidRPr="00F41E78">
        <w:rPr>
          <w:rFonts w:cs="FrankRuehl"/>
          <w:sz w:val="18"/>
          <w:szCs w:val="22"/>
          <w:rtl/>
          <w:lang w:eastAsia="he-IL"/>
        </w:rPr>
        <w:t>(תיקון מס' 101), התשע"ד</w:t>
      </w:r>
      <w:r w:rsidRPr="00F41E78">
        <w:rPr>
          <w:rFonts w:cs="FrankRuehl" w:hint="cs"/>
          <w:sz w:val="18"/>
          <w:szCs w:val="22"/>
          <w:rtl/>
          <w:lang w:eastAsia="he-IL"/>
        </w:rPr>
        <w:t>-</w:t>
      </w:r>
      <w:r w:rsidRPr="00F41E78">
        <w:rPr>
          <w:rFonts w:cs="FrankRuehl"/>
          <w:sz w:val="18"/>
          <w:szCs w:val="22"/>
          <w:rtl/>
          <w:lang w:eastAsia="he-IL"/>
        </w:rPr>
        <w:t>2014</w:t>
      </w:r>
      <w:r>
        <w:rPr>
          <w:rStyle w:val="FootnoteReference0"/>
          <w:rFonts w:cs="FrankRuehl"/>
          <w:sz w:val="22"/>
          <w:szCs w:val="22"/>
          <w:rtl/>
          <w:lang w:eastAsia="he-IL"/>
        </w:rPr>
        <w:footnoteReference w:id="52"/>
      </w:r>
      <w:r w:rsidRPr="00FA6646">
        <w:rPr>
          <w:rFonts w:cs="FrankRuehl" w:hint="cs"/>
          <w:sz w:val="20"/>
          <w:szCs w:val="22"/>
          <w:rtl/>
          <w:lang w:eastAsia="he-IL"/>
        </w:rPr>
        <w:t>, נקבע: "</w:t>
      </w:r>
      <w:r w:rsidRPr="00FA6646">
        <w:rPr>
          <w:rFonts w:cs="FrankRuehl"/>
          <w:sz w:val="20"/>
          <w:szCs w:val="22"/>
          <w:rtl/>
          <w:lang w:eastAsia="he-IL"/>
        </w:rPr>
        <w:t>יועדה קרקע בתכנית למגורים, ומתקיימים בה כל אלה, תקבע התכנית כי לפחות 20% מיחידות הדיור הכלולות בה יהיו דירות קטנות</w:t>
      </w:r>
      <w:r w:rsidRPr="00FA6646">
        <w:rPr>
          <w:rFonts w:cs="FrankRuehl" w:hint="cs"/>
          <w:sz w:val="20"/>
          <w:szCs w:val="22"/>
          <w:rtl/>
          <w:lang w:eastAsia="he-IL"/>
        </w:rPr>
        <w:t xml:space="preserve">". </w:t>
      </w:r>
    </w:p>
    <w:p w:rsidR="00D22B16" w:rsidRPr="00F41E78" w:rsidP="00D22B16">
      <w:pPr>
        <w:pStyle w:val="RESHET"/>
        <w:keepLines/>
        <w:rPr>
          <w:rtl/>
        </w:rPr>
      </w:pPr>
      <w:r w:rsidRPr="00F41E78">
        <w:rPr>
          <w:rFonts w:hint="cs"/>
          <w:rtl/>
        </w:rPr>
        <w:t>לדעת משרד מבקר המדינה כל עוד ש</w:t>
      </w:r>
      <w:r w:rsidRPr="00F41E78">
        <w:rPr>
          <w:rtl/>
        </w:rPr>
        <w:t xml:space="preserve">שוק </w:t>
      </w:r>
      <w:r w:rsidRPr="00F41E78">
        <w:rPr>
          <w:rFonts w:hint="cs"/>
          <w:rtl/>
        </w:rPr>
        <w:t xml:space="preserve">הדירות הקטנות </w:t>
      </w:r>
      <w:r w:rsidRPr="00F41E78">
        <w:rPr>
          <w:rtl/>
        </w:rPr>
        <w:t>נשאר מצומצם בהיקפו</w:t>
      </w:r>
      <w:r w:rsidRPr="00F41E78">
        <w:rPr>
          <w:rFonts w:hint="cs"/>
          <w:rtl/>
        </w:rPr>
        <w:t>,</w:t>
      </w:r>
      <w:r w:rsidRPr="00F41E78">
        <w:rPr>
          <w:rtl/>
        </w:rPr>
        <w:t xml:space="preserve"> משקי בית </w:t>
      </w:r>
      <w:r w:rsidRPr="00F41E78">
        <w:rPr>
          <w:rFonts w:hint="cs"/>
          <w:rtl/>
        </w:rPr>
        <w:t xml:space="preserve">הנזקקים לדירות אלו עלולים להיאלץ לשכור או </w:t>
      </w:r>
      <w:r w:rsidRPr="00F41E78">
        <w:rPr>
          <w:rtl/>
        </w:rPr>
        <w:t xml:space="preserve">לרכוש דירות </w:t>
      </w:r>
      <w:r w:rsidRPr="00F41E78">
        <w:rPr>
          <w:rFonts w:hint="eastAsia"/>
          <w:rtl/>
        </w:rPr>
        <w:t>גדולות</w:t>
      </w:r>
      <w:r w:rsidRPr="00F41E78">
        <w:rPr>
          <w:rtl/>
        </w:rPr>
        <w:t xml:space="preserve"> </w:t>
      </w:r>
      <w:r w:rsidRPr="00F41E78">
        <w:rPr>
          <w:rFonts w:hint="eastAsia"/>
          <w:rtl/>
        </w:rPr>
        <w:t>ו</w:t>
      </w:r>
      <w:r w:rsidRPr="00F41E78">
        <w:rPr>
          <w:rtl/>
        </w:rPr>
        <w:t>יקרות יותר ש</w:t>
      </w:r>
      <w:r w:rsidRPr="00F41E78">
        <w:rPr>
          <w:rFonts w:hint="cs"/>
          <w:rtl/>
        </w:rPr>
        <w:t>יתכן ו</w:t>
      </w:r>
      <w:r w:rsidRPr="00F41E78">
        <w:rPr>
          <w:rtl/>
        </w:rPr>
        <w:t xml:space="preserve">אינן מתאימות </w:t>
      </w:r>
      <w:r w:rsidRPr="00F41E78">
        <w:rPr>
          <w:rFonts w:hint="cs"/>
          <w:rtl/>
        </w:rPr>
        <w:t>לצורכיהם או ליכולתם הכלכלית. הדבר עלול גם להביא</w:t>
      </w:r>
      <w:r w:rsidRPr="00F41E78">
        <w:rPr>
          <w:rtl/>
        </w:rPr>
        <w:t xml:space="preserve"> </w:t>
      </w:r>
      <w:r w:rsidRPr="00F41E78">
        <w:rPr>
          <w:rFonts w:hint="cs"/>
          <w:rtl/>
        </w:rPr>
        <w:t>ל</w:t>
      </w:r>
      <w:r w:rsidRPr="00F41E78">
        <w:rPr>
          <w:rtl/>
        </w:rPr>
        <w:t>גידול כפוי בביקוש לדירות אלו, שניתן היה למתנו לו תמהיל הדירות היה מגוון יותר</w:t>
      </w:r>
      <w:r w:rsidRPr="00F41E78">
        <w:rPr>
          <w:rFonts w:hint="cs"/>
          <w:rtl/>
        </w:rPr>
        <w:t>.</w:t>
      </w:r>
      <w:r w:rsidRPr="00F41E78">
        <w:rPr>
          <w:rtl/>
        </w:rPr>
        <w:t xml:space="preserve"> </w:t>
      </w:r>
    </w:p>
    <w:p w:rsidR="000703E0" w:rsidP="000703E0">
      <w:pPr>
        <w:spacing w:after="120" w:line="230" w:lineRule="exact"/>
        <w:jc w:val="both"/>
        <w:rPr>
          <w:rFonts w:cs="FrankRuehl"/>
          <w:sz w:val="22"/>
          <w:szCs w:val="22"/>
          <w:rtl/>
        </w:rPr>
      </w:pPr>
    </w:p>
    <w:p w:rsidR="000703E0" w:rsidP="000703E0">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0703E0" w:rsidP="000703E0">
      <w:pPr>
        <w:spacing w:after="120" w:line="230" w:lineRule="exact"/>
        <w:jc w:val="both"/>
        <w:rPr>
          <w:rFonts w:cs="FrankRuehl"/>
          <w:sz w:val="22"/>
          <w:szCs w:val="22"/>
          <w:rtl/>
        </w:rPr>
      </w:pPr>
    </w:p>
    <w:p w:rsidR="00D22B16" w:rsidRPr="00582A43" w:rsidP="00D22B16">
      <w:pPr>
        <w:pStyle w:val="RESHET"/>
        <w:keepLines/>
        <w:rPr>
          <w:rtl/>
        </w:rPr>
      </w:pPr>
      <w:r w:rsidRPr="00582A43">
        <w:rPr>
          <w:rFonts w:hint="cs"/>
          <w:rtl/>
        </w:rPr>
        <w:t xml:space="preserve">משנת 2008 עד מועד סיום הביקורת, נמשכת מגמת העלייה במחירי הדיור. נתונים על הביקוש וההיצע בשוק הדיור מלמדים על פער בין היצע הדירות ובין הביקוש ההולך וגדל שמקורו בעיקר בגידול במספר משקי בית. כמו כן, תמהיל הדירות אינו מגוון דיו ואפשר שגם אין בו די כדי למלא את צורכיהם המגוונים של משקי הבית. </w:t>
      </w:r>
    </w:p>
    <w:p w:rsidR="00D22B16" w:rsidRPr="00F41E78" w:rsidP="00D22B16">
      <w:pPr>
        <w:pStyle w:val="RESHET"/>
        <w:keepLines/>
        <w:rPr>
          <w:rtl/>
        </w:rPr>
      </w:pPr>
      <w:r w:rsidRPr="00F41E78">
        <w:rPr>
          <w:rFonts w:hint="cs"/>
          <w:rtl/>
        </w:rPr>
        <w:t>העלייה הניכרת במחירי הדיור והעובדה שההכנסה נטו של משקי הבית גדלה באופן מתון יותר הביאו לידי הכבדה ניכרת בנטל הוצאות הדיור של משקי בית רבים. הפגיעה קשה ממש במשקי בית השוכרים דירות ומשתייכים לעשירונים הנמוכים, על פי דירוג רמת ההכנסה החודשית. נמצא כי שיעור הוצאותיהם על דיור הוא 30% או יותר מסך הכנסותיה</w:t>
      </w:r>
      <w:r w:rsidRPr="00F41E78">
        <w:rPr>
          <w:rFonts w:hint="eastAsia"/>
          <w:rtl/>
        </w:rPr>
        <w:t>ם</w:t>
      </w:r>
      <w:r w:rsidRPr="00F41E78">
        <w:rPr>
          <w:rFonts w:hint="cs"/>
          <w:rtl/>
        </w:rPr>
        <w:t xml:space="preserve">, והדבר מסכן את איתנותם הכלכלית ואת רווחתם. כמו כן, נטל הוצאות הדיור ההולך וגדל משפיע לרעה גם על רווחתם של עשירוני הביניים ועלול לערער גם את ביטחונם הכלכלי. אף שמדובר בסך הכול ב-20% ממשקי הבית במדינת ישראל, שיעורם הוא </w:t>
      </w:r>
      <w:r w:rsidRPr="00F41E78">
        <w:rPr>
          <w:rFonts w:hint="eastAsia"/>
          <w:rtl/>
        </w:rPr>
        <w:t>כ</w:t>
      </w:r>
      <w:r w:rsidRPr="00F41E78">
        <w:rPr>
          <w:rtl/>
        </w:rPr>
        <w:t>-7</w:t>
      </w:r>
      <w:r w:rsidRPr="00F41E78">
        <w:rPr>
          <w:rFonts w:hint="cs"/>
          <w:rtl/>
        </w:rPr>
        <w:t>3</w:t>
      </w:r>
      <w:r w:rsidRPr="00F41E78">
        <w:rPr>
          <w:rtl/>
        </w:rPr>
        <w:t>%</w:t>
      </w:r>
      <w:r w:rsidRPr="00F41E78">
        <w:rPr>
          <w:rFonts w:hint="cs"/>
          <w:rtl/>
        </w:rPr>
        <w:t xml:space="preserve"> מסך משקי הבית השוכרים דירות, דהיינו 470,000 משקי בית, שנטל הוצאות הדיור המוטל על כתפיהם כבד עד מאוד. </w:t>
      </w:r>
    </w:p>
    <w:p w:rsidR="00D22B16" w:rsidRPr="00F41E78" w:rsidP="00D22B16">
      <w:pPr>
        <w:pStyle w:val="RESHET"/>
        <w:keepLines/>
        <w:rPr>
          <w:rtl/>
        </w:rPr>
      </w:pPr>
      <w:r w:rsidRPr="00F41E78">
        <w:rPr>
          <w:rFonts w:hint="cs"/>
          <w:rtl/>
        </w:rPr>
        <w:t xml:space="preserve">אין הגופים העוסקים בשוק הדיור, ובראשם משרד הבינוי, מחזיקים במידע מדויק על היקף האוכלוסייה המתגוררת בדירות שבבעלותה ונטל הוצאותיה על דיור חורג מרף של 30% מהכנסתה נטו. מידע זה הוא מידע חיוני ובסיסי הנדרש למקבלי ההחלטות לצורך גיבוש מדיניות דיור ולשם פיתוח כלים שיאפשרו התמודדות עם ההכבדה בנטל הוצאות הדיור של אותם משקי הבית. על גופים אלו לפעול לכך שהלמ"ס תפתח מדד שיאפשר לאמוד את נטל הוצאות הדיור על כלל משקי הבית ולהציג באופן בהיר את כל הנתונים הרלוונטיים. </w:t>
      </w:r>
    </w:p>
    <w:p w:rsidR="00FA6646" w:rsidP="005C5EBE">
      <w:pPr>
        <w:pStyle w:val="Header"/>
        <w:tabs>
          <w:tab w:val="clear" w:pos="4153"/>
          <w:tab w:val="clear" w:pos="8306"/>
        </w:tabs>
        <w:rPr>
          <w:rFonts w:cs="FrankRuehl"/>
          <w:sz w:val="20"/>
          <w:szCs w:val="22"/>
          <w:lang w:eastAsia="he-IL"/>
        </w:rPr>
      </w:pPr>
    </w:p>
    <w:p w:rsidR="00D501CA" w:rsidP="005C5EBE">
      <w:pPr>
        <w:pStyle w:val="Header"/>
        <w:tabs>
          <w:tab w:val="clear" w:pos="4153"/>
          <w:tab w:val="clear" w:pos="8306"/>
        </w:tabs>
        <w:rPr>
          <w:rFonts w:cs="FrankRuehl"/>
          <w:sz w:val="20"/>
          <w:szCs w:val="22"/>
          <w:rtl/>
          <w:lang w:eastAsia="he-IL"/>
        </w:rPr>
        <w:sectPr w:rsidSect="00417CBF">
          <w:footnotePr>
            <w:numRestart w:val="eachSect"/>
          </w:footnotePr>
          <w:pgSz w:w="11906" w:h="16838" w:code="9"/>
          <w:pgMar w:top="1758" w:right="2552" w:bottom="4253" w:left="2552" w:header="1247" w:footer="1134" w:gutter="0"/>
          <w:cols w:space="720"/>
          <w:rtlGutter/>
        </w:sectPr>
      </w:pPr>
    </w:p>
    <w:p w:rsidR="00D501CA" w:rsidRPr="00FA6646" w:rsidP="00D501CA">
      <w:pPr>
        <w:rPr>
          <w:rtl/>
          <w:lang w:eastAsia="he-IL"/>
        </w:rPr>
      </w:pPr>
    </w:p>
    <w:p w:rsidR="00D501CA" w:rsidP="00A01D32">
      <w:pPr>
        <w:pStyle w:val="KOT2"/>
        <w:outlineLvl w:val="0"/>
        <w:rPr>
          <w:b w:val="0"/>
          <w:bCs w:val="0"/>
          <w:sz w:val="28"/>
          <w:szCs w:val="28"/>
          <w:rtl/>
        </w:rPr>
        <w:sectPr w:rsidSect="00D501CA">
          <w:footnotePr>
            <w:numRestart w:val="eachSect"/>
          </w:footnotePr>
          <w:pgSz w:w="11906" w:h="16838" w:code="9"/>
          <w:pgMar w:top="1758" w:right="2552" w:bottom="4253" w:left="2552" w:header="1247" w:footer="1134" w:gutter="0"/>
          <w:cols w:space="720"/>
          <w:titlePg/>
          <w:rtlGutter/>
        </w:sectPr>
      </w:pPr>
    </w:p>
    <w:p w:rsidR="00E97EDA" w:rsidRPr="00E97EDA" w:rsidP="00A01D32">
      <w:pPr>
        <w:pStyle w:val="KOT2"/>
        <w:outlineLvl w:val="0"/>
        <w:rPr>
          <w:rtl/>
        </w:rPr>
      </w:pPr>
      <w:r w:rsidRPr="00A01D32">
        <w:rPr>
          <w:rFonts w:hint="cs"/>
          <w:b w:val="0"/>
          <w:bCs w:val="0"/>
          <w:sz w:val="28"/>
          <w:szCs w:val="28"/>
          <w:rtl/>
        </w:rPr>
        <w:t>פרק שני</w:t>
      </w:r>
      <w:r w:rsidRPr="00A01D32">
        <w:rPr>
          <w:b w:val="0"/>
          <w:bCs w:val="0"/>
          <w:sz w:val="28"/>
          <w:szCs w:val="28"/>
          <w:rtl/>
        </w:rPr>
        <w:br/>
      </w:r>
      <w:r w:rsidRPr="00E97EDA">
        <w:rPr>
          <w:rtl/>
        </w:rPr>
        <w:t xml:space="preserve">איכות </w:t>
      </w:r>
      <w:r w:rsidRPr="00E97EDA">
        <w:rPr>
          <w:rFonts w:hint="cs"/>
          <w:rtl/>
        </w:rPr>
        <w:t>ה</w:t>
      </w:r>
      <w:r w:rsidRPr="00E97EDA">
        <w:rPr>
          <w:rtl/>
        </w:rPr>
        <w:t>נתוני</w:t>
      </w:r>
      <w:r w:rsidRPr="00E97EDA">
        <w:rPr>
          <w:rFonts w:hint="cs"/>
          <w:rtl/>
        </w:rPr>
        <w:t>ם</w:t>
      </w:r>
      <w:r w:rsidRPr="00E97EDA">
        <w:rPr>
          <w:rtl/>
        </w:rPr>
        <w:t xml:space="preserve"> המשמשים </w:t>
      </w:r>
      <w:r w:rsidR="000703E0">
        <w:br/>
      </w:r>
      <w:r w:rsidRPr="00E97EDA">
        <w:rPr>
          <w:rtl/>
        </w:rPr>
        <w:t>לקביעת</w:t>
      </w:r>
      <w:r w:rsidRPr="00E97EDA">
        <w:rPr>
          <w:rFonts w:hint="cs"/>
          <w:rtl/>
        </w:rPr>
        <w:t xml:space="preserve"> המדדים</w:t>
      </w:r>
      <w:r w:rsidRPr="00E97EDA">
        <w:rPr>
          <w:rtl/>
        </w:rPr>
        <w:t xml:space="preserve"> </w:t>
      </w:r>
      <w:r w:rsidRPr="00E97EDA">
        <w:rPr>
          <w:rFonts w:hint="cs"/>
          <w:rtl/>
        </w:rPr>
        <w:t>ל</w:t>
      </w:r>
      <w:r w:rsidRPr="00E97EDA">
        <w:rPr>
          <w:rtl/>
        </w:rPr>
        <w:t xml:space="preserve">מחירי הדיור </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תשתית עובדתית רלוונטית ומהימנה היא תנאי לתהליך תקין של קבלת החלטות ולגיבושה של מדיניות. בפרק הקודם הוצגו, במסגרת סקירת המגמות בשוק הדיור, ממצאים הנוגעים להיעדר נתונים מספיקים על שוק הדיור. פרק זה מתמקד באיכות הנתונים המשמשים לקביעת המדדים למחירי הדיור, שעל בסיסם מתקבלות החלטות מהותיות בתחומים רבים המשפיעים על שוק הדיור ועל הציבור. הגופים המעורבים באיסוף נתונים ועיבודם הם רבים, לכן חשוב שיהיו מתואמים בפעולותיהם והנתונים המועברים ביניהם יהיו מהימנים.</w:t>
      </w:r>
    </w:p>
    <w:p w:rsidR="005C5EBE" w:rsidRPr="00F41E78" w:rsidP="00F41E78">
      <w:pPr>
        <w:spacing w:after="120" w:line="230" w:lineRule="exact"/>
        <w:jc w:val="both"/>
        <w:rPr>
          <w:rFonts w:eastAsia="Calibri" w:cs="FrankRuehl"/>
          <w:sz w:val="18"/>
          <w:szCs w:val="22"/>
          <w:rtl/>
        </w:rPr>
      </w:pPr>
    </w:p>
    <w:p w:rsidR="005C5EBE" w:rsidRPr="00F41E78" w:rsidP="00F41E78">
      <w:pPr>
        <w:spacing w:after="120" w:line="230" w:lineRule="exact"/>
        <w:jc w:val="both"/>
        <w:rPr>
          <w:rFonts w:cs="FrankRuehl"/>
          <w:sz w:val="18"/>
          <w:szCs w:val="22"/>
          <w:rtl/>
        </w:rPr>
      </w:pPr>
    </w:p>
    <w:p w:rsidR="00E97EDA" w:rsidRPr="00E719A9" w:rsidP="005C5EBE">
      <w:pPr>
        <w:pStyle w:val="KOT4"/>
        <w:rPr>
          <w:rFonts w:eastAsia="Calibri"/>
          <w:rtl/>
        </w:rPr>
      </w:pPr>
      <w:r w:rsidRPr="00E97EDA">
        <w:rPr>
          <w:rFonts w:hint="cs"/>
          <w:rtl/>
        </w:rPr>
        <w:t>נתוני רשות המסים</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רשות המסים ממונה על גביית המסים הישירים המוטלים על הכנסתו של משלם המס, עושרו ורכושו, וכן על המסים העקיפים המוטלים על הוצאותיו או מחזור הכנסותיו של עוסק</w:t>
      </w:r>
      <w:r>
        <w:rPr>
          <w:rFonts w:eastAsia="Calibri" w:cs="FrankRuehl"/>
          <w:sz w:val="18"/>
          <w:szCs w:val="22"/>
          <w:vertAlign w:val="superscript"/>
          <w:rtl/>
        </w:rPr>
        <w:footnoteReference w:id="53"/>
      </w:r>
      <w:r w:rsidRPr="00F41E78">
        <w:rPr>
          <w:rFonts w:eastAsia="Calibri" w:cs="FrankRuehl" w:hint="cs"/>
          <w:sz w:val="18"/>
          <w:szCs w:val="22"/>
          <w:rtl/>
        </w:rPr>
        <w:t xml:space="preserve">. </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לפי סעיף 73 לחוק מיסוי מקרקעין (שבח ורכישה), תשכ"ג-1963 (להלן - חוק מיסוי מקרקעין), המוכר זכות במקרקעין והרוכש זכות ידווחו על העסקה לרשות המסים באמצעות מסירת הצהרה המהווה שומה עצמית, בתוך 40 ימים מיום המכירה או הרכישה בהתאמה. המוכר מפרט בין היתר את תמורת המכירה, את תאריך המכירה, את הניכויים והתוספות שהוא תובע לעניין חישוב השבח ואת סכום המס שעליו לשלם ודרך חישובו. הרוכש מפרט בין היתר את הזכות שרכש, את התמורה ששולמה בעדה, את סכום מס הרכישה המגיע למדינה ואת דרך חישובו. את הדיווח מוסרים מייצגי הצדדים בעסקה לאחד ממשרדי מיסוי המקרקעין האזוריים בטפסים ידניים, ומפקחי מיסוי מקרקעין מקלידים את הנתונים לתוך המערכת הממוחשבת. באמצעות הקלדת המידע על מוכר הנכס נוצר קובץ הנוגע למס שבח ובאמצעות הקלדת המידע על רוכש הנכס נוצר קובץ הנוגע למס רכישה, ושני הקבצים מאפשרים איחוד לקובץ העסקאות. הקובץ מכיל את פרטי המוכר ופרטי הרוכש, את תאריך העסקה, נתונים על מס השבח המושת על המוכר ונתונים על מס הרכישה המושת על הרוכש. קובץ העסקאות אינו מכיל כל נתונים על המאפיינים הפיזיים של הנכס שהחליף בעלים.</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במשך השנים נמצא שלצורך בדיקת סבירות של דיווחי הצדדים במסגרת העסקה ולצורך חישוב שומת מיסוי מקרקעין לאותן עסקאות שרשות המסים החליטה לבדוק, נדרשו למפקחי מיסוי מקרקעין נתונים על המאפיינים הפיזיים של הנכס, כמו שטח ומיקום. לכן, החלו המפקחים לבצע בעצמם רישום ידני של מאפיינים פיזיים של דירות שנמכרו לצורך חישוב שומת מסי השבח והרכישה. בשנת 1991 החלו מפקחי</w:t>
      </w:r>
      <w:r w:rsidRPr="00F41E78">
        <w:rPr>
          <w:rFonts w:eastAsia="Calibri" w:cs="FrankRuehl"/>
          <w:sz w:val="18"/>
          <w:szCs w:val="22"/>
          <w:rtl/>
        </w:rPr>
        <w:t xml:space="preserve"> </w:t>
      </w:r>
      <w:r w:rsidRPr="00F41E78">
        <w:rPr>
          <w:rFonts w:eastAsia="Calibri" w:cs="FrankRuehl" w:hint="cs"/>
          <w:sz w:val="18"/>
          <w:szCs w:val="22"/>
          <w:rtl/>
        </w:rPr>
        <w:t>מיסוי</w:t>
      </w:r>
      <w:r w:rsidRPr="00F41E78">
        <w:rPr>
          <w:rFonts w:eastAsia="Calibri" w:cs="FrankRuehl"/>
          <w:sz w:val="18"/>
          <w:szCs w:val="22"/>
          <w:rtl/>
        </w:rPr>
        <w:t xml:space="preserve"> </w:t>
      </w:r>
      <w:r w:rsidRPr="00F41E78">
        <w:rPr>
          <w:rFonts w:eastAsia="Calibri" w:cs="FrankRuehl" w:hint="cs"/>
          <w:sz w:val="18"/>
          <w:szCs w:val="22"/>
          <w:rtl/>
        </w:rPr>
        <w:t>מקרקעין להקליד חלק מהנתונים הפיזיים של הדירות, שנרשמו בטופסי הצהרת הצדדים לעסקה, לקובץ ממוחשב - קובץ כרטסת מחירי נדל"ן</w:t>
      </w:r>
      <w:r w:rsidRPr="00F41E78">
        <w:rPr>
          <w:rFonts w:eastAsia="Calibri" w:cs="FrankRuehl" w:hint="cs"/>
          <w:sz w:val="18"/>
          <w:szCs w:val="22"/>
          <w:rtl/>
        </w:rPr>
        <w:t xml:space="preserve"> </w:t>
      </w:r>
      <w:r w:rsidRPr="00F41E78">
        <w:rPr>
          <w:rFonts w:eastAsia="Calibri" w:cs="FrankRuehl" w:hint="cs"/>
          <w:sz w:val="18"/>
          <w:szCs w:val="22"/>
          <w:rtl/>
        </w:rPr>
        <w:t xml:space="preserve">(להלן - קובץ הכרמ"ן). </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בקובץ הכרמ"ן יכולים המפקחים להקליד נתונים על</w:t>
      </w:r>
      <w:r w:rsidRPr="00F41E78">
        <w:rPr>
          <w:rFonts w:eastAsia="Calibri" w:cs="FrankRuehl"/>
          <w:sz w:val="18"/>
          <w:szCs w:val="22"/>
          <w:rtl/>
        </w:rPr>
        <w:t xml:space="preserve"> </w:t>
      </w:r>
      <w:r w:rsidRPr="00F41E78">
        <w:rPr>
          <w:rFonts w:eastAsia="Calibri" w:cs="FrankRuehl" w:hint="cs"/>
          <w:sz w:val="18"/>
          <w:szCs w:val="22"/>
          <w:rtl/>
        </w:rPr>
        <w:t>מיקומה</w:t>
      </w:r>
      <w:r w:rsidRPr="00F41E78">
        <w:rPr>
          <w:rFonts w:eastAsia="Calibri" w:cs="FrankRuehl"/>
          <w:sz w:val="18"/>
          <w:szCs w:val="22"/>
          <w:rtl/>
        </w:rPr>
        <w:t xml:space="preserve"> </w:t>
      </w:r>
      <w:r w:rsidRPr="00F41E78">
        <w:rPr>
          <w:rFonts w:eastAsia="Calibri" w:cs="FrankRuehl" w:hint="cs"/>
          <w:sz w:val="18"/>
          <w:szCs w:val="22"/>
          <w:rtl/>
        </w:rPr>
        <w:t>של</w:t>
      </w:r>
      <w:r w:rsidRPr="00F41E78">
        <w:rPr>
          <w:rFonts w:eastAsia="Calibri" w:cs="FrankRuehl"/>
          <w:sz w:val="18"/>
          <w:szCs w:val="22"/>
          <w:rtl/>
        </w:rPr>
        <w:t xml:space="preserve"> </w:t>
      </w:r>
      <w:r w:rsidRPr="00F41E78">
        <w:rPr>
          <w:rFonts w:eastAsia="Calibri" w:cs="FrankRuehl" w:hint="cs"/>
          <w:sz w:val="18"/>
          <w:szCs w:val="22"/>
          <w:rtl/>
        </w:rPr>
        <w:t>הדירה</w:t>
      </w:r>
      <w:r w:rsidRPr="00F41E78">
        <w:rPr>
          <w:rFonts w:eastAsia="Calibri" w:cs="FrankRuehl"/>
          <w:sz w:val="18"/>
          <w:szCs w:val="22"/>
          <w:rtl/>
        </w:rPr>
        <w:t xml:space="preserve"> </w:t>
      </w:r>
      <w:r w:rsidRPr="00F41E78">
        <w:rPr>
          <w:rFonts w:eastAsia="Calibri" w:cs="FrankRuehl" w:hint="cs"/>
          <w:sz w:val="18"/>
          <w:szCs w:val="22"/>
          <w:rtl/>
        </w:rPr>
        <w:t>ועל מאפייניה</w:t>
      </w:r>
      <w:r w:rsidRPr="00F41E78">
        <w:rPr>
          <w:rFonts w:eastAsia="Calibri" w:cs="FrankRuehl"/>
          <w:sz w:val="18"/>
          <w:szCs w:val="22"/>
          <w:rtl/>
        </w:rPr>
        <w:t xml:space="preserve">, </w:t>
      </w:r>
      <w:r w:rsidRPr="00F41E78">
        <w:rPr>
          <w:rFonts w:eastAsia="Calibri" w:cs="FrankRuehl" w:hint="cs"/>
          <w:sz w:val="18"/>
          <w:szCs w:val="22"/>
          <w:rtl/>
        </w:rPr>
        <w:t>כמו</w:t>
      </w:r>
      <w:r w:rsidRPr="00F41E78">
        <w:rPr>
          <w:rFonts w:eastAsia="Calibri" w:cs="FrankRuehl"/>
          <w:sz w:val="18"/>
          <w:szCs w:val="22"/>
          <w:rtl/>
        </w:rPr>
        <w:t xml:space="preserve"> </w:t>
      </w:r>
      <w:r w:rsidRPr="00F41E78">
        <w:rPr>
          <w:rFonts w:eastAsia="Calibri" w:cs="FrankRuehl" w:hint="cs"/>
          <w:sz w:val="18"/>
          <w:szCs w:val="22"/>
          <w:rtl/>
        </w:rPr>
        <w:t>שם</w:t>
      </w:r>
      <w:r w:rsidRPr="00F41E78">
        <w:rPr>
          <w:rFonts w:eastAsia="Calibri" w:cs="FrankRuehl"/>
          <w:sz w:val="18"/>
          <w:szCs w:val="22"/>
          <w:rtl/>
        </w:rPr>
        <w:t xml:space="preserve"> </w:t>
      </w:r>
      <w:r w:rsidRPr="00F41E78">
        <w:rPr>
          <w:rFonts w:eastAsia="Calibri" w:cs="FrankRuehl" w:hint="cs"/>
          <w:sz w:val="18"/>
          <w:szCs w:val="22"/>
          <w:rtl/>
        </w:rPr>
        <w:t>הרחוב</w:t>
      </w:r>
      <w:r w:rsidRPr="00F41E78">
        <w:rPr>
          <w:rFonts w:eastAsia="Calibri" w:cs="FrankRuehl"/>
          <w:sz w:val="18"/>
          <w:szCs w:val="22"/>
          <w:rtl/>
        </w:rPr>
        <w:t xml:space="preserve">, </w:t>
      </w:r>
      <w:r w:rsidRPr="00F41E78">
        <w:rPr>
          <w:rFonts w:eastAsia="Calibri" w:cs="FrankRuehl" w:hint="cs"/>
          <w:sz w:val="18"/>
          <w:szCs w:val="22"/>
          <w:rtl/>
        </w:rPr>
        <w:t>מספר</w:t>
      </w:r>
      <w:r w:rsidRPr="00F41E78">
        <w:rPr>
          <w:rFonts w:eastAsia="Calibri" w:cs="FrankRuehl"/>
          <w:sz w:val="18"/>
          <w:szCs w:val="22"/>
          <w:rtl/>
        </w:rPr>
        <w:t xml:space="preserve"> </w:t>
      </w:r>
      <w:r w:rsidRPr="00F41E78">
        <w:rPr>
          <w:rFonts w:eastAsia="Calibri" w:cs="FrankRuehl" w:hint="cs"/>
          <w:sz w:val="18"/>
          <w:szCs w:val="22"/>
          <w:rtl/>
        </w:rPr>
        <w:t>הבית</w:t>
      </w:r>
      <w:r w:rsidRPr="00F41E78">
        <w:rPr>
          <w:rFonts w:eastAsia="Calibri" w:cs="FrankRuehl"/>
          <w:sz w:val="18"/>
          <w:szCs w:val="22"/>
          <w:rtl/>
        </w:rPr>
        <w:t>,</w:t>
      </w:r>
      <w:r w:rsidRPr="00F41E78">
        <w:rPr>
          <w:rFonts w:eastAsia="Calibri" w:cs="FrankRuehl" w:hint="cs"/>
          <w:sz w:val="18"/>
          <w:szCs w:val="22"/>
          <w:rtl/>
        </w:rPr>
        <w:t xml:space="preserve"> שטחה נטו, שטחה ברוטו, מספר החדרים, מספר הקומות בבניין, מספר הקומה של הדירה הנמכרת, מספר הדירות בבניין, סוג העסקה - כגון מכירה או חכירה - ושנת הבנייה. </w:t>
      </w:r>
      <w:r w:rsidRPr="00F41E78">
        <w:rPr>
          <w:rFonts w:eastAsia="Calibri" w:cs="FrankRuehl" w:hint="cs"/>
          <w:sz w:val="18"/>
          <w:szCs w:val="22"/>
          <w:rtl/>
        </w:rPr>
        <w:t>יודגש כי אף שמפקחי מיסוי מקרקעין נזקקו למאפיינים הפיזיים של הדירה לצורך ביצוע שומה כאמור, עד 2007 לא חלה עליהם החובה להקליד נתונים אלו בקובץ הכרמ"ן.</w:t>
      </w:r>
    </w:p>
    <w:p w:rsidR="005C5EBE" w:rsidRPr="00F41E78" w:rsidP="00F41E78">
      <w:pPr>
        <w:spacing w:after="120" w:line="230" w:lineRule="exact"/>
        <w:jc w:val="both"/>
        <w:rPr>
          <w:rFonts w:eastAsia="Calibri" w:cs="FrankRuehl"/>
          <w:sz w:val="18"/>
          <w:szCs w:val="22"/>
          <w:rtl/>
        </w:rPr>
      </w:pPr>
    </w:p>
    <w:p w:rsidR="005C5EBE" w:rsidRPr="00F41E78" w:rsidP="00F41E78">
      <w:pPr>
        <w:spacing w:after="120" w:line="230" w:lineRule="exact"/>
        <w:jc w:val="both"/>
        <w:rPr>
          <w:rFonts w:eastAsia="Calibri" w:cs="FrankRuehl"/>
          <w:sz w:val="18"/>
          <w:szCs w:val="22"/>
          <w:rtl/>
        </w:rPr>
      </w:pPr>
    </w:p>
    <w:p w:rsidR="00E97EDA" w:rsidRPr="00E719A9" w:rsidP="008D3837">
      <w:pPr>
        <w:pStyle w:val="KOT4"/>
        <w:rPr>
          <w:rtl/>
          <w:lang w:eastAsia="he-IL"/>
        </w:rPr>
      </w:pPr>
      <w:r w:rsidRPr="00E719A9">
        <w:rPr>
          <w:rFonts w:hint="cs"/>
          <w:rtl/>
          <w:lang w:eastAsia="he-IL"/>
        </w:rPr>
        <w:t xml:space="preserve">איכות הנתונים </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 xml:space="preserve">בינואר 2007 הוציאה רשות המסים הוראה המחייבת את הקלדת הנתונים בקובץ הכרמ"ן. ואולם נמצא כי בשנת 2008 הוקלדו לקובץ הכרמ"ן רק כ-76% מהעסקאות הנכללות בקובץ העסקאות ושיעור העסקאות שכל הנתונים על מאפייניהן הפיזיים של הנכסים הוקלדו לקובץ הכרמ"ן היה </w:t>
      </w:r>
      <w:r w:rsidR="00377B7D">
        <w:rPr>
          <w:rFonts w:eastAsia="Calibri" w:cs="FrankRuehl"/>
          <w:sz w:val="18"/>
          <w:szCs w:val="22"/>
        </w:rPr>
        <w:br/>
      </w:r>
      <w:r w:rsidRPr="00F41E78">
        <w:rPr>
          <w:rFonts w:eastAsia="Calibri" w:cs="FrankRuehl" w:hint="cs"/>
          <w:sz w:val="18"/>
          <w:szCs w:val="22"/>
          <w:rtl/>
        </w:rPr>
        <w:t>כ-48% בלבד. משנת 2010 שיעור העסקאות שנתוניהן נכללים בקובץ הכרמ"ן הוא כ-85% מכלל העסקאות שנכללו בקובץ העסקאות; זהו שיעור העסקאות שבמסגרתן נקבע מחיר לעסקת מכירה בתום לב של דירת מגורים בשוק החופשי בין מוכר מרצון לקונה מרצון, המשקפת את ערכו הריאלי של הנכס המועבר במסגרת העסקה</w:t>
      </w:r>
      <w:r>
        <w:rPr>
          <w:rFonts w:eastAsia="Calibri" w:cs="FrankRuehl"/>
          <w:sz w:val="18"/>
          <w:szCs w:val="22"/>
          <w:vertAlign w:val="superscript"/>
          <w:rtl/>
        </w:rPr>
        <w:footnoteReference w:id="54"/>
      </w:r>
      <w:r w:rsidRPr="00F41E78">
        <w:rPr>
          <w:rFonts w:eastAsia="Calibri" w:cs="FrankRuehl" w:hint="cs"/>
          <w:sz w:val="18"/>
          <w:szCs w:val="22"/>
          <w:rtl/>
        </w:rPr>
        <w:t xml:space="preserve">. </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הנתונים בקובץ הכרמ"ן משמשים את הלמ"ס, את משרד הבינוי, את השמאי הממשלתי ואת בנק ישראל בבואם לבחון את עליית מחירי הדיור וכן לצורכי מחקר נוספים</w:t>
      </w:r>
      <w:r>
        <w:rPr>
          <w:rFonts w:eastAsia="Calibri" w:cs="FrankRuehl"/>
          <w:sz w:val="18"/>
          <w:szCs w:val="22"/>
          <w:vertAlign w:val="superscript"/>
          <w:rtl/>
        </w:rPr>
        <w:footnoteReference w:id="55"/>
      </w:r>
      <w:r w:rsidRPr="00F41E78">
        <w:rPr>
          <w:rFonts w:eastAsia="Calibri" w:cs="FrankRuehl"/>
          <w:sz w:val="18"/>
          <w:szCs w:val="22"/>
          <w:rtl/>
        </w:rPr>
        <w:t>.</w:t>
      </w:r>
    </w:p>
    <w:p w:rsidR="00E97EDA" w:rsidRPr="00F41E78" w:rsidP="00377B7D">
      <w:pPr>
        <w:spacing w:after="120" w:line="230" w:lineRule="exact"/>
        <w:ind w:left="340" w:hanging="340"/>
        <w:jc w:val="both"/>
        <w:rPr>
          <w:rFonts w:eastAsia="Calibri" w:cs="FrankRuehl"/>
          <w:sz w:val="18"/>
          <w:szCs w:val="22"/>
          <w:rtl/>
        </w:rPr>
      </w:pPr>
      <w:r w:rsidRPr="00F41E78">
        <w:rPr>
          <w:rFonts w:eastAsia="Calibri" w:cs="FrankRuehl" w:hint="cs"/>
          <w:sz w:val="18"/>
          <w:szCs w:val="22"/>
          <w:rtl/>
        </w:rPr>
        <w:t xml:space="preserve">1. </w:t>
      </w:r>
      <w:r w:rsidRPr="00F41E78">
        <w:rPr>
          <w:rFonts w:eastAsia="Calibri" w:cs="FrankRuehl" w:hint="cs"/>
          <w:sz w:val="18"/>
          <w:szCs w:val="22"/>
          <w:rtl/>
        </w:rPr>
        <w:tab/>
        <w:t>הלמ"ס פועלת מכוח פקודת הסטטיסטיקה [נוסח חדש], התשל"ב-1972 (להלן - פקודת הסטטיסטיקה), ומשמשת יחידת סמך במשרד ראש הממשלה. בראש הלמ"ס עומד הסטטיסטיקן הממשלתי המשמש גם מנהל למ"ס, ולצדו פועלת המועצה הציבורית לסטטיסטיקה המייעצת לו בעניינים הנוגעים לפעולות סטטיסטיות. סעיף 7 לפקודת הסטטיסטיקה קובע כי הלמ"ס תאסוף באישור הממשלה נתונים סטטיסטיים על כמה נושאים, ובכללם מחירי מקרקעין, הערך השנתי של מקרקעין ודמי שכירות המשולמים או מתקבלים בתמורה למקרקעין, לרבות מקומות מגורים.</w:t>
      </w:r>
    </w:p>
    <w:p w:rsidR="00E97EDA" w:rsidRPr="00F41E78" w:rsidP="00377B7D">
      <w:pPr>
        <w:spacing w:after="120" w:line="230" w:lineRule="exact"/>
        <w:ind w:left="340" w:hanging="340"/>
        <w:jc w:val="both"/>
        <w:rPr>
          <w:rFonts w:eastAsia="Calibri" w:cs="FrankRuehl"/>
          <w:sz w:val="18"/>
          <w:szCs w:val="22"/>
          <w:rtl/>
        </w:rPr>
      </w:pPr>
      <w:r>
        <w:rPr>
          <w:rFonts w:eastAsia="Calibri" w:cs="FrankRuehl"/>
          <w:sz w:val="18"/>
          <w:szCs w:val="22"/>
        </w:rPr>
        <w:tab/>
      </w:r>
      <w:r w:rsidRPr="00F41E78">
        <w:rPr>
          <w:rFonts w:eastAsia="Calibri" w:cs="FrankRuehl" w:hint="cs"/>
          <w:sz w:val="18"/>
          <w:szCs w:val="22"/>
          <w:rtl/>
        </w:rPr>
        <w:t>הלמ"ס מפרסמת את מדד מחירי הדירות שבבעלות הדיירים המודד את השינוי במחירי הדירות. המדד נבנה כאמור בשיטה ההדונית ובה מחיר העסקה של מכירת דירה מוסבר באמצעות ניתוח ההשפעה הנפרדת של מאפייני הדירה השונים על מחיר העסקה, ובהם נתונים שמקורם</w:t>
      </w:r>
      <w:r w:rsidRPr="00F41E78">
        <w:rPr>
          <w:rFonts w:eastAsia="Calibri" w:cs="FrankRuehl"/>
          <w:sz w:val="18"/>
          <w:szCs w:val="22"/>
          <w:rtl/>
        </w:rPr>
        <w:t xml:space="preserve"> </w:t>
      </w:r>
      <w:r w:rsidRPr="00F41E78">
        <w:rPr>
          <w:rFonts w:eastAsia="Calibri" w:cs="FrankRuehl" w:hint="cs"/>
          <w:sz w:val="18"/>
          <w:szCs w:val="22"/>
          <w:rtl/>
        </w:rPr>
        <w:t>בקובץ</w:t>
      </w:r>
      <w:r w:rsidRPr="00F41E78">
        <w:rPr>
          <w:rFonts w:eastAsia="Calibri" w:cs="FrankRuehl"/>
          <w:sz w:val="18"/>
          <w:szCs w:val="22"/>
          <w:rtl/>
        </w:rPr>
        <w:t xml:space="preserve"> </w:t>
      </w:r>
      <w:r w:rsidRPr="00F41E78">
        <w:rPr>
          <w:rFonts w:eastAsia="Calibri" w:cs="FrankRuehl" w:hint="cs"/>
          <w:sz w:val="18"/>
          <w:szCs w:val="22"/>
          <w:rtl/>
        </w:rPr>
        <w:t>הכרמ</w:t>
      </w:r>
      <w:r w:rsidRPr="00F41E78">
        <w:rPr>
          <w:rFonts w:eastAsia="Calibri" w:cs="FrankRuehl"/>
          <w:sz w:val="18"/>
          <w:szCs w:val="22"/>
          <w:rtl/>
        </w:rPr>
        <w:t>"</w:t>
      </w:r>
      <w:r w:rsidRPr="00F41E78">
        <w:rPr>
          <w:rFonts w:eastAsia="Calibri" w:cs="FrankRuehl" w:hint="cs"/>
          <w:sz w:val="18"/>
          <w:szCs w:val="22"/>
          <w:rtl/>
        </w:rPr>
        <w:t>ן (בנוסף לנתונים ממקורות אחרים); נתונים כמו</w:t>
      </w:r>
      <w:r w:rsidRPr="00F41E78">
        <w:rPr>
          <w:rFonts w:eastAsia="Calibri" w:cs="FrankRuehl"/>
          <w:sz w:val="18"/>
          <w:szCs w:val="22"/>
          <w:rtl/>
        </w:rPr>
        <w:t xml:space="preserve"> </w:t>
      </w:r>
      <w:r w:rsidRPr="00F41E78">
        <w:rPr>
          <w:rFonts w:eastAsia="Calibri" w:cs="FrankRuehl" w:hint="cs"/>
          <w:sz w:val="18"/>
          <w:szCs w:val="22"/>
          <w:rtl/>
        </w:rPr>
        <w:t>שטח הדירה במ"ר, גיל הדירה, מספר החדרים, שם היישוב ורמת האזור בתוך היישוב על</w:t>
      </w:r>
      <w:r w:rsidRPr="00F41E78">
        <w:rPr>
          <w:rFonts w:eastAsia="Calibri" w:cs="FrankRuehl"/>
          <w:sz w:val="18"/>
          <w:szCs w:val="22"/>
          <w:rtl/>
        </w:rPr>
        <w:t xml:space="preserve"> </w:t>
      </w:r>
      <w:r w:rsidRPr="00F41E78">
        <w:rPr>
          <w:rFonts w:eastAsia="Calibri" w:cs="FrankRuehl" w:hint="cs"/>
          <w:sz w:val="18"/>
          <w:szCs w:val="22"/>
          <w:rtl/>
        </w:rPr>
        <w:t>פי</w:t>
      </w:r>
      <w:r w:rsidRPr="00F41E78">
        <w:rPr>
          <w:rFonts w:eastAsia="Calibri" w:cs="FrankRuehl"/>
          <w:sz w:val="18"/>
          <w:szCs w:val="22"/>
          <w:rtl/>
        </w:rPr>
        <w:t xml:space="preserve"> </w:t>
      </w:r>
      <w:r w:rsidRPr="00F41E78">
        <w:rPr>
          <w:rFonts w:eastAsia="Calibri" w:cs="FrankRuehl" w:hint="cs"/>
          <w:sz w:val="18"/>
          <w:szCs w:val="22"/>
          <w:rtl/>
        </w:rPr>
        <w:t>חלוקה</w:t>
      </w:r>
      <w:r w:rsidRPr="00F41E78">
        <w:rPr>
          <w:rFonts w:eastAsia="Calibri" w:cs="FrankRuehl"/>
          <w:sz w:val="18"/>
          <w:szCs w:val="22"/>
          <w:rtl/>
        </w:rPr>
        <w:t xml:space="preserve"> </w:t>
      </w:r>
      <w:r w:rsidRPr="00F41E78">
        <w:rPr>
          <w:rFonts w:eastAsia="Calibri" w:cs="FrankRuehl" w:hint="cs"/>
          <w:sz w:val="18"/>
          <w:szCs w:val="22"/>
          <w:rtl/>
        </w:rPr>
        <w:t>לצורכי</w:t>
      </w:r>
      <w:r w:rsidRPr="00F41E78">
        <w:rPr>
          <w:rFonts w:eastAsia="Calibri" w:cs="FrankRuehl"/>
          <w:sz w:val="18"/>
          <w:szCs w:val="22"/>
          <w:rtl/>
        </w:rPr>
        <w:t xml:space="preserve"> </w:t>
      </w:r>
      <w:r w:rsidRPr="00F41E78">
        <w:rPr>
          <w:rFonts w:eastAsia="Calibri" w:cs="FrankRuehl" w:hint="cs"/>
          <w:sz w:val="18"/>
          <w:szCs w:val="22"/>
          <w:rtl/>
        </w:rPr>
        <w:t xml:space="preserve">ארנונה הנקבעת על פי הארנונה המוטלת על הדירות באזור הרלוונטי. </w:t>
      </w:r>
    </w:p>
    <w:p w:rsidR="00E97EDA" w:rsidRPr="00F41E78" w:rsidP="00377B7D">
      <w:pPr>
        <w:spacing w:after="120" w:line="230" w:lineRule="exact"/>
        <w:ind w:left="340" w:hanging="340"/>
        <w:jc w:val="both"/>
        <w:rPr>
          <w:rFonts w:eastAsia="Calibri" w:cs="FrankRuehl"/>
          <w:sz w:val="18"/>
          <w:szCs w:val="22"/>
          <w:rtl/>
        </w:rPr>
      </w:pPr>
      <w:r>
        <w:rPr>
          <w:rFonts w:eastAsia="Calibri" w:cs="FrankRuehl"/>
          <w:sz w:val="18"/>
          <w:szCs w:val="22"/>
        </w:rPr>
        <w:tab/>
      </w:r>
      <w:r w:rsidRPr="00F41E78">
        <w:rPr>
          <w:rFonts w:eastAsia="Calibri" w:cs="FrankRuehl" w:hint="cs"/>
          <w:sz w:val="18"/>
          <w:szCs w:val="22"/>
          <w:rtl/>
        </w:rPr>
        <w:t>ביוני 2009 פרסם מינהל הכנסות המדינה במשרד האוצר מסמך שכותרתו "האם מחירי הדיור עלו ב-11% בשנת 2008"</w:t>
      </w:r>
      <w:r>
        <w:rPr>
          <w:rFonts w:eastAsia="Calibri" w:cs="FrankRuehl"/>
          <w:sz w:val="18"/>
          <w:szCs w:val="22"/>
          <w:vertAlign w:val="superscript"/>
          <w:rtl/>
        </w:rPr>
        <w:footnoteReference w:id="56"/>
      </w:r>
      <w:r w:rsidRPr="00F41E78">
        <w:rPr>
          <w:rFonts w:eastAsia="Calibri" w:cs="FrankRuehl" w:hint="cs"/>
          <w:sz w:val="18"/>
          <w:szCs w:val="22"/>
          <w:rtl/>
        </w:rPr>
        <w:t xml:space="preserve"> (להלן - מסמך הנתונים). מהמסמך עולה שכבר בשנת 2008 הציג מינהל הכנסות המדינה ללמ"ס את הבעייתיות שבביסוס מדד מחירי הדירות על נתונים שמקורם בקובץ הכרמ"ן. כמו כן, במסמך הוצגה העובדה שלמ"ס אינה מחזיקה בידה ואינה משתמשת בנתוני קובץ העסקאות לשם טיוב הנתונים (ראו להלן).</w:t>
      </w:r>
    </w:p>
    <w:p w:rsidR="00E97EDA" w:rsidRPr="00F41E78" w:rsidP="00377B7D">
      <w:pPr>
        <w:spacing w:after="240" w:line="230" w:lineRule="exact"/>
        <w:ind w:left="340" w:hanging="340"/>
        <w:jc w:val="both"/>
        <w:rPr>
          <w:rFonts w:eastAsia="Calibri" w:cs="FrankRuehl"/>
          <w:sz w:val="18"/>
          <w:szCs w:val="22"/>
          <w:rtl/>
        </w:rPr>
      </w:pPr>
      <w:r>
        <w:rPr>
          <w:rFonts w:eastAsia="Calibri" w:cs="FrankRuehl"/>
          <w:sz w:val="18"/>
          <w:szCs w:val="22"/>
        </w:rPr>
        <w:tab/>
      </w:r>
      <w:r w:rsidRPr="00F41E78">
        <w:rPr>
          <w:rFonts w:eastAsia="Calibri" w:cs="FrankRuehl" w:hint="cs"/>
          <w:sz w:val="18"/>
          <w:szCs w:val="22"/>
          <w:rtl/>
        </w:rPr>
        <w:t>עוד הציג מינהל הכנסות המדינה את ההטיה הנוצרת באמצעות</w:t>
      </w:r>
      <w:r w:rsidRPr="00F41E78">
        <w:rPr>
          <w:rFonts w:eastAsia="Calibri" w:cs="FrankRuehl"/>
          <w:sz w:val="18"/>
          <w:szCs w:val="22"/>
          <w:rtl/>
        </w:rPr>
        <w:t xml:space="preserve"> </w:t>
      </w:r>
      <w:r w:rsidRPr="00F41E78">
        <w:rPr>
          <w:rFonts w:eastAsia="Calibri" w:cs="FrankRuehl" w:hint="cs"/>
          <w:sz w:val="18"/>
          <w:szCs w:val="22"/>
          <w:rtl/>
        </w:rPr>
        <w:t>מדידת</w:t>
      </w:r>
      <w:r w:rsidRPr="00F41E78">
        <w:rPr>
          <w:rFonts w:eastAsia="Calibri" w:cs="FrankRuehl"/>
          <w:sz w:val="18"/>
          <w:szCs w:val="22"/>
          <w:rtl/>
        </w:rPr>
        <w:t xml:space="preserve"> </w:t>
      </w:r>
      <w:r w:rsidRPr="00F41E78">
        <w:rPr>
          <w:rFonts w:eastAsia="Calibri" w:cs="FrankRuehl" w:hint="cs"/>
          <w:sz w:val="18"/>
          <w:szCs w:val="22"/>
          <w:rtl/>
        </w:rPr>
        <w:t>השינוי</w:t>
      </w:r>
      <w:r w:rsidRPr="00F41E78">
        <w:rPr>
          <w:rFonts w:eastAsia="Calibri" w:cs="FrankRuehl"/>
          <w:sz w:val="18"/>
          <w:szCs w:val="22"/>
          <w:rtl/>
        </w:rPr>
        <w:t xml:space="preserve"> </w:t>
      </w:r>
      <w:r w:rsidRPr="00F41E78">
        <w:rPr>
          <w:rFonts w:eastAsia="Calibri" w:cs="FrankRuehl" w:hint="cs"/>
          <w:sz w:val="18"/>
          <w:szCs w:val="22"/>
          <w:rtl/>
        </w:rPr>
        <w:t>במחירי</w:t>
      </w:r>
      <w:r w:rsidRPr="00F41E78">
        <w:rPr>
          <w:rFonts w:eastAsia="Calibri" w:cs="FrankRuehl"/>
          <w:sz w:val="18"/>
          <w:szCs w:val="22"/>
          <w:rtl/>
        </w:rPr>
        <w:t xml:space="preserve"> </w:t>
      </w:r>
      <w:r w:rsidRPr="00F41E78">
        <w:rPr>
          <w:rFonts w:eastAsia="Calibri" w:cs="FrankRuehl" w:hint="cs"/>
          <w:sz w:val="18"/>
          <w:szCs w:val="22"/>
          <w:rtl/>
        </w:rPr>
        <w:t>הדירות</w:t>
      </w:r>
      <w:r w:rsidRPr="00F41E78">
        <w:rPr>
          <w:rFonts w:eastAsia="Calibri" w:cs="FrankRuehl"/>
          <w:sz w:val="18"/>
          <w:szCs w:val="22"/>
          <w:rtl/>
        </w:rPr>
        <w:t xml:space="preserve"> </w:t>
      </w:r>
      <w:r w:rsidRPr="00F41E78">
        <w:rPr>
          <w:rFonts w:eastAsia="Calibri" w:cs="FrankRuehl" w:hint="cs"/>
          <w:sz w:val="18"/>
          <w:szCs w:val="22"/>
          <w:rtl/>
        </w:rPr>
        <w:t>כאשר</w:t>
      </w:r>
      <w:r w:rsidRPr="00F41E78">
        <w:rPr>
          <w:rFonts w:eastAsia="Calibri" w:cs="FrankRuehl"/>
          <w:sz w:val="18"/>
          <w:szCs w:val="22"/>
          <w:rtl/>
        </w:rPr>
        <w:t xml:space="preserve"> </w:t>
      </w:r>
      <w:r w:rsidRPr="00F41E78">
        <w:rPr>
          <w:rFonts w:eastAsia="Calibri" w:cs="FrankRuehl" w:hint="cs"/>
          <w:sz w:val="18"/>
          <w:szCs w:val="22"/>
          <w:rtl/>
        </w:rPr>
        <w:t>חסרים</w:t>
      </w:r>
      <w:r w:rsidRPr="00F41E78">
        <w:rPr>
          <w:rFonts w:eastAsia="Calibri" w:cs="FrankRuehl"/>
          <w:sz w:val="18"/>
          <w:szCs w:val="22"/>
          <w:rtl/>
        </w:rPr>
        <w:t xml:space="preserve"> </w:t>
      </w:r>
      <w:r w:rsidRPr="00F41E78">
        <w:rPr>
          <w:rFonts w:eastAsia="Calibri" w:cs="FrankRuehl" w:hint="cs"/>
          <w:sz w:val="18"/>
          <w:szCs w:val="22"/>
          <w:rtl/>
        </w:rPr>
        <w:t>נתונים</w:t>
      </w:r>
      <w:r w:rsidRPr="00F41E78">
        <w:rPr>
          <w:rFonts w:eastAsia="Calibri" w:cs="FrankRuehl"/>
          <w:sz w:val="18"/>
          <w:szCs w:val="22"/>
          <w:rtl/>
        </w:rPr>
        <w:t xml:space="preserve"> </w:t>
      </w:r>
      <w:r w:rsidRPr="00F41E78">
        <w:rPr>
          <w:rFonts w:eastAsia="Calibri" w:cs="FrankRuehl" w:hint="cs"/>
          <w:sz w:val="18"/>
          <w:szCs w:val="22"/>
          <w:rtl/>
        </w:rPr>
        <w:t>על</w:t>
      </w:r>
      <w:r w:rsidRPr="00F41E78">
        <w:rPr>
          <w:rFonts w:eastAsia="Calibri" w:cs="FrankRuehl"/>
          <w:sz w:val="18"/>
          <w:szCs w:val="22"/>
          <w:rtl/>
        </w:rPr>
        <w:t xml:space="preserve"> </w:t>
      </w:r>
      <w:r w:rsidRPr="00F41E78">
        <w:rPr>
          <w:rFonts w:eastAsia="Calibri" w:cs="FrankRuehl" w:hint="cs"/>
          <w:sz w:val="18"/>
          <w:szCs w:val="22"/>
          <w:rtl/>
        </w:rPr>
        <w:t>איכות</w:t>
      </w:r>
      <w:r w:rsidRPr="00F41E78">
        <w:rPr>
          <w:rFonts w:eastAsia="Calibri" w:cs="FrankRuehl"/>
          <w:sz w:val="18"/>
          <w:szCs w:val="22"/>
          <w:rtl/>
        </w:rPr>
        <w:t xml:space="preserve"> </w:t>
      </w:r>
      <w:r w:rsidRPr="00F41E78">
        <w:rPr>
          <w:rFonts w:eastAsia="Calibri" w:cs="FrankRuehl" w:hint="cs"/>
          <w:sz w:val="18"/>
          <w:szCs w:val="22"/>
          <w:rtl/>
        </w:rPr>
        <w:t>הנכסים</w:t>
      </w:r>
      <w:r w:rsidRPr="00F41E78">
        <w:rPr>
          <w:rFonts w:eastAsia="Calibri" w:cs="FrankRuehl"/>
          <w:sz w:val="18"/>
          <w:szCs w:val="22"/>
          <w:rtl/>
        </w:rPr>
        <w:t xml:space="preserve"> </w:t>
      </w:r>
      <w:r w:rsidRPr="00F41E78">
        <w:rPr>
          <w:rFonts w:eastAsia="Calibri" w:cs="FrankRuehl" w:hint="cs"/>
          <w:sz w:val="18"/>
          <w:szCs w:val="22"/>
          <w:rtl/>
        </w:rPr>
        <w:t>בקובץ</w:t>
      </w:r>
      <w:r w:rsidRPr="00F41E78">
        <w:rPr>
          <w:rFonts w:eastAsia="Calibri" w:cs="FrankRuehl"/>
          <w:sz w:val="18"/>
          <w:szCs w:val="22"/>
          <w:rtl/>
        </w:rPr>
        <w:t xml:space="preserve"> </w:t>
      </w:r>
      <w:r w:rsidRPr="00F41E78">
        <w:rPr>
          <w:rFonts w:eastAsia="Calibri" w:cs="FrankRuehl" w:hint="cs"/>
          <w:sz w:val="18"/>
          <w:szCs w:val="22"/>
          <w:rtl/>
        </w:rPr>
        <w:t>הכרמ</w:t>
      </w:r>
      <w:r w:rsidRPr="00F41E78">
        <w:rPr>
          <w:rFonts w:eastAsia="Calibri" w:cs="FrankRuehl"/>
          <w:sz w:val="18"/>
          <w:szCs w:val="22"/>
          <w:rtl/>
        </w:rPr>
        <w:t>"</w:t>
      </w:r>
      <w:r w:rsidRPr="00F41E78">
        <w:rPr>
          <w:rFonts w:eastAsia="Calibri" w:cs="FrankRuehl" w:hint="cs"/>
          <w:sz w:val="18"/>
          <w:szCs w:val="22"/>
          <w:rtl/>
        </w:rPr>
        <w:t>ן. זאת על בסיס בדיקה</w:t>
      </w:r>
      <w:r w:rsidRPr="00F41E78">
        <w:rPr>
          <w:rFonts w:eastAsia="Calibri" w:cs="FrankRuehl"/>
          <w:sz w:val="18"/>
          <w:szCs w:val="22"/>
          <w:rtl/>
        </w:rPr>
        <w:t xml:space="preserve"> </w:t>
      </w:r>
      <w:r w:rsidRPr="00F41E78">
        <w:rPr>
          <w:rFonts w:eastAsia="Calibri" w:cs="FrankRuehl" w:hint="cs"/>
          <w:sz w:val="18"/>
          <w:szCs w:val="22"/>
          <w:rtl/>
        </w:rPr>
        <w:t>של</w:t>
      </w:r>
      <w:r w:rsidRPr="00F41E78">
        <w:rPr>
          <w:rFonts w:eastAsia="Calibri" w:cs="FrankRuehl"/>
          <w:sz w:val="18"/>
          <w:szCs w:val="22"/>
          <w:rtl/>
        </w:rPr>
        <w:t xml:space="preserve"> </w:t>
      </w:r>
      <w:r w:rsidRPr="00F41E78">
        <w:rPr>
          <w:rFonts w:eastAsia="Calibri" w:cs="FrankRuehl" w:hint="cs"/>
          <w:sz w:val="18"/>
          <w:szCs w:val="22"/>
          <w:rtl/>
        </w:rPr>
        <w:t>כל</w:t>
      </w:r>
      <w:r w:rsidRPr="00F41E78">
        <w:rPr>
          <w:rFonts w:eastAsia="Calibri" w:cs="FrankRuehl"/>
          <w:sz w:val="18"/>
          <w:szCs w:val="22"/>
          <w:rtl/>
        </w:rPr>
        <w:t xml:space="preserve"> </w:t>
      </w:r>
      <w:r w:rsidRPr="00F41E78">
        <w:rPr>
          <w:rFonts w:eastAsia="Calibri" w:cs="FrankRuehl" w:hint="cs"/>
          <w:sz w:val="18"/>
          <w:szCs w:val="22"/>
          <w:rtl/>
        </w:rPr>
        <w:t>העסקאות</w:t>
      </w:r>
      <w:r w:rsidRPr="00F41E78">
        <w:rPr>
          <w:rFonts w:eastAsia="Calibri" w:cs="FrankRuehl"/>
          <w:sz w:val="18"/>
          <w:szCs w:val="22"/>
          <w:rtl/>
        </w:rPr>
        <w:t xml:space="preserve"> </w:t>
      </w:r>
      <w:r w:rsidRPr="00F41E78">
        <w:rPr>
          <w:rFonts w:eastAsia="Calibri" w:cs="FrankRuehl" w:hint="cs"/>
          <w:sz w:val="18"/>
          <w:szCs w:val="22"/>
          <w:rtl/>
        </w:rPr>
        <w:t>המדווחות</w:t>
      </w:r>
      <w:r w:rsidRPr="00F41E78">
        <w:rPr>
          <w:rFonts w:eastAsia="Calibri" w:cs="FrankRuehl"/>
          <w:sz w:val="18"/>
          <w:szCs w:val="22"/>
          <w:rtl/>
        </w:rPr>
        <w:t xml:space="preserve"> </w:t>
      </w:r>
      <w:r w:rsidRPr="00F41E78">
        <w:rPr>
          <w:rFonts w:eastAsia="Calibri" w:cs="FrankRuehl" w:hint="cs"/>
          <w:sz w:val="18"/>
          <w:szCs w:val="22"/>
          <w:rtl/>
        </w:rPr>
        <w:t>של</w:t>
      </w:r>
      <w:r w:rsidRPr="00F41E78">
        <w:rPr>
          <w:rFonts w:eastAsia="Calibri" w:cs="FrankRuehl"/>
          <w:sz w:val="18"/>
          <w:szCs w:val="22"/>
          <w:rtl/>
        </w:rPr>
        <w:t xml:space="preserve"> </w:t>
      </w:r>
      <w:r w:rsidRPr="00F41E78">
        <w:rPr>
          <w:rFonts w:eastAsia="Calibri" w:cs="FrankRuehl" w:hint="cs"/>
          <w:sz w:val="18"/>
          <w:szCs w:val="22"/>
          <w:rtl/>
        </w:rPr>
        <w:t>דירות</w:t>
      </w:r>
      <w:r w:rsidRPr="00F41E78">
        <w:rPr>
          <w:rFonts w:eastAsia="Calibri" w:cs="FrankRuehl"/>
          <w:sz w:val="18"/>
          <w:szCs w:val="22"/>
          <w:rtl/>
        </w:rPr>
        <w:t xml:space="preserve"> </w:t>
      </w:r>
      <w:r w:rsidRPr="00F41E78">
        <w:rPr>
          <w:rFonts w:eastAsia="Calibri" w:cs="FrankRuehl" w:hint="cs"/>
          <w:sz w:val="18"/>
          <w:szCs w:val="22"/>
          <w:rtl/>
        </w:rPr>
        <w:t>חדשות</w:t>
      </w:r>
      <w:r w:rsidRPr="00F41E78">
        <w:rPr>
          <w:rFonts w:eastAsia="Calibri" w:cs="FrankRuehl"/>
          <w:sz w:val="18"/>
          <w:szCs w:val="22"/>
          <w:rtl/>
        </w:rPr>
        <w:t xml:space="preserve"> </w:t>
      </w:r>
      <w:r w:rsidRPr="00F41E78">
        <w:rPr>
          <w:rFonts w:eastAsia="Calibri" w:cs="FrankRuehl" w:hint="cs"/>
          <w:sz w:val="18"/>
          <w:szCs w:val="22"/>
          <w:rtl/>
        </w:rPr>
        <w:t>ברחוב</w:t>
      </w:r>
      <w:r w:rsidRPr="00F41E78">
        <w:rPr>
          <w:rFonts w:eastAsia="Calibri" w:cs="FrankRuehl"/>
          <w:sz w:val="18"/>
          <w:szCs w:val="22"/>
          <w:rtl/>
        </w:rPr>
        <w:t xml:space="preserve"> </w:t>
      </w:r>
      <w:r w:rsidRPr="00F41E78">
        <w:rPr>
          <w:rFonts w:eastAsia="Calibri" w:cs="FrankRuehl" w:hint="cs"/>
          <w:sz w:val="18"/>
          <w:szCs w:val="22"/>
          <w:rtl/>
        </w:rPr>
        <w:t>מסוים</w:t>
      </w:r>
      <w:r w:rsidRPr="00F41E78">
        <w:rPr>
          <w:rFonts w:eastAsia="Calibri" w:cs="FrankRuehl"/>
          <w:sz w:val="18"/>
          <w:szCs w:val="22"/>
          <w:rtl/>
        </w:rPr>
        <w:t xml:space="preserve"> </w:t>
      </w:r>
      <w:r w:rsidRPr="00F41E78">
        <w:rPr>
          <w:rFonts w:eastAsia="Calibri" w:cs="FrankRuehl" w:hint="cs"/>
          <w:sz w:val="18"/>
          <w:szCs w:val="22"/>
          <w:rtl/>
        </w:rPr>
        <w:t>בתל</w:t>
      </w:r>
      <w:r w:rsidRPr="00F41E78">
        <w:rPr>
          <w:rFonts w:eastAsia="Calibri" w:cs="FrankRuehl"/>
          <w:sz w:val="18"/>
          <w:szCs w:val="22"/>
          <w:rtl/>
        </w:rPr>
        <w:t xml:space="preserve"> </w:t>
      </w:r>
      <w:r w:rsidRPr="00F41E78">
        <w:rPr>
          <w:rFonts w:eastAsia="Calibri" w:cs="FrankRuehl" w:hint="cs"/>
          <w:sz w:val="18"/>
          <w:szCs w:val="22"/>
          <w:rtl/>
        </w:rPr>
        <w:t>אביב</w:t>
      </w:r>
      <w:r w:rsidRPr="00F41E78">
        <w:rPr>
          <w:rFonts w:eastAsia="Calibri" w:cs="FrankRuehl"/>
          <w:sz w:val="18"/>
          <w:szCs w:val="22"/>
          <w:rtl/>
        </w:rPr>
        <w:t xml:space="preserve"> </w:t>
      </w:r>
      <w:r w:rsidRPr="00F41E78">
        <w:rPr>
          <w:rFonts w:eastAsia="Calibri" w:cs="FrankRuehl" w:hint="cs"/>
          <w:sz w:val="18"/>
          <w:szCs w:val="22"/>
          <w:rtl/>
        </w:rPr>
        <w:t>בשנים</w:t>
      </w:r>
      <w:r w:rsidRPr="00F41E78">
        <w:rPr>
          <w:rFonts w:eastAsia="Calibri" w:cs="FrankRuehl"/>
          <w:sz w:val="18"/>
          <w:szCs w:val="22"/>
          <w:rtl/>
        </w:rPr>
        <w:t xml:space="preserve"> 2008-2007.</w:t>
      </w:r>
      <w:r w:rsidRPr="00F41E78">
        <w:rPr>
          <w:rFonts w:eastAsia="Calibri" w:cs="FrankRuehl" w:hint="cs"/>
          <w:sz w:val="18"/>
          <w:szCs w:val="22"/>
          <w:rtl/>
        </w:rPr>
        <w:t xml:space="preserve"> בבדיקה האמורה נמצאה עלייה בפועל של 5% במחיר הממוצע של דירות חדשות ברחוב לעומת 2007. הבדיקה העלתה שבכ-44% מהעסקאות באותו רחוב בשנת 2008 לא מילאה רשות המסים בקובץ הכרמ"ן נתונים על איכות הדירות, כמו שטח ומספר חדרים. לאחר השמטת דירות אלו מהדירות שעליהן התבסס חישוב מדד מחירי הדיור בשל המידע החסר, נמצא כי חלה ירידה של 9% במחיר הממוצע של דירות חדשות ברחוב.</w:t>
      </w:r>
      <w:r w:rsidRPr="00F41E78">
        <w:rPr>
          <w:rFonts w:eastAsia="Calibri" w:cs="FrankRuehl"/>
          <w:sz w:val="18"/>
          <w:szCs w:val="22"/>
          <w:rtl/>
        </w:rPr>
        <w:t xml:space="preserve"> </w:t>
      </w:r>
    </w:p>
    <w:p w:rsidR="00D22B16" w:rsidRPr="00F41E78" w:rsidP="00D22B16">
      <w:pPr>
        <w:pStyle w:val="RESHET"/>
        <w:keepLines/>
        <w:ind w:left="567"/>
        <w:rPr>
          <w:rFonts w:eastAsia="Calibri"/>
          <w:rtl/>
        </w:rPr>
      </w:pPr>
      <w:r w:rsidRPr="00F41E78">
        <w:rPr>
          <w:rFonts w:eastAsia="Calibri" w:hint="cs"/>
          <w:rtl/>
        </w:rPr>
        <w:t>נמצא כי אף שבקובץ הכרמ"ן ישנם שדות המיועדים למילוי מאפיינים פיזיים של איכות הבנייה</w:t>
      </w:r>
      <w:r w:rsidRPr="00F41E78">
        <w:rPr>
          <w:rFonts w:eastAsia="Calibri"/>
          <w:rtl/>
        </w:rPr>
        <w:t>,</w:t>
      </w:r>
      <w:r w:rsidRPr="00F41E78">
        <w:rPr>
          <w:rFonts w:eastAsia="Calibri" w:hint="cs"/>
          <w:rtl/>
        </w:rPr>
        <w:t xml:space="preserve"> כמו רמת התחזוקה, מספר המעליות בבניין, מספר חדרי השירותים בדירה, הימצאות מערכות הסקה ומיזוג, אורך החזית וגובה התקרה, אין רשות המסים אוספת וממלאת נתונים אלו כלל. עוד נמצא כי לעתים לא מוזנים בקובץ הכרמ"ן נתונים נוספים הנכללים בטופסי הצהרת העסקה הידניים, כמו מספר הקומות בבניין, מספר הדירות בבניין, הקומה שבה נמצאת הדירה, מהות הזכות הנמכרת, שנת הבנייה והימצאות חניה. הזנת הנתונים הייתה מאפשרת ללמוד על הקשרים בינם ובין מחיר הדירה ואף לשפר את רמת הדיוק של המדד. </w:t>
      </w:r>
    </w:p>
    <w:p w:rsidR="00E97EDA" w:rsidRPr="00F41E78" w:rsidP="00377B7D">
      <w:pPr>
        <w:spacing w:before="180" w:after="240" w:line="230" w:lineRule="exact"/>
        <w:ind w:left="340" w:hanging="340"/>
        <w:jc w:val="both"/>
        <w:rPr>
          <w:rFonts w:eastAsia="Calibri" w:cs="FrankRuehl"/>
          <w:sz w:val="18"/>
          <w:szCs w:val="22"/>
          <w:rtl/>
        </w:rPr>
      </w:pPr>
      <w:r w:rsidRPr="00F41E78">
        <w:rPr>
          <w:rFonts w:eastAsia="Calibri" w:cs="FrankRuehl" w:hint="cs"/>
          <w:sz w:val="18"/>
          <w:szCs w:val="22"/>
          <w:rtl/>
        </w:rPr>
        <w:t xml:space="preserve">2. </w:t>
      </w:r>
      <w:r w:rsidRPr="00F41E78">
        <w:rPr>
          <w:rFonts w:eastAsia="Calibri" w:cs="FrankRuehl" w:hint="cs"/>
          <w:sz w:val="18"/>
          <w:szCs w:val="22"/>
          <w:rtl/>
        </w:rPr>
        <w:tab/>
        <w:t>באוגוסט 2009 דנו חברי הוועדה הציבורית בנושא סטטיסטיקה של דיור ובינוי</w:t>
      </w:r>
      <w:r>
        <w:rPr>
          <w:rFonts w:eastAsia="Calibri" w:cs="FrankRuehl"/>
          <w:sz w:val="18"/>
          <w:szCs w:val="22"/>
          <w:vertAlign w:val="superscript"/>
          <w:rtl/>
        </w:rPr>
        <w:footnoteReference w:id="57"/>
      </w:r>
      <w:r w:rsidRPr="00F41E78">
        <w:rPr>
          <w:rFonts w:eastAsia="Calibri" w:cs="FrankRuehl" w:hint="cs"/>
          <w:sz w:val="18"/>
          <w:szCs w:val="22"/>
          <w:rtl/>
        </w:rPr>
        <w:t xml:space="preserve"> שפעלה מטעם המועצה הציבורית לסטטיסטיקה (להלן - הוועדה לסטטיסטיקה) בבעייתיות הנתונים בתחום הדיור. בדברי</w:t>
      </w:r>
      <w:r w:rsidRPr="00F41E78">
        <w:rPr>
          <w:rFonts w:eastAsia="Calibri" w:cs="FrankRuehl"/>
          <w:sz w:val="18"/>
          <w:szCs w:val="22"/>
          <w:rtl/>
        </w:rPr>
        <w:t xml:space="preserve"> </w:t>
      </w:r>
      <w:r w:rsidRPr="00F41E78">
        <w:rPr>
          <w:rFonts w:eastAsia="Calibri" w:cs="FrankRuehl" w:hint="cs"/>
          <w:sz w:val="18"/>
          <w:szCs w:val="22"/>
          <w:rtl/>
        </w:rPr>
        <w:t>הסיכום קבע יו"ר הוועדה כי "ישנן ארבע סוגיות חשובות לטיפול", ובהן "</w:t>
      </w:r>
      <w:r w:rsidRPr="00F41E78">
        <w:rPr>
          <w:rFonts w:eastAsia="Calibri" w:cs="FrankRuehl" w:hint="cs"/>
          <w:b/>
          <w:bCs/>
          <w:sz w:val="18"/>
          <w:szCs w:val="22"/>
          <w:rtl/>
        </w:rPr>
        <w:t>שיפור איכות הנתונים</w:t>
      </w:r>
      <w:r w:rsidRPr="00F41E78">
        <w:rPr>
          <w:rFonts w:eastAsia="Calibri" w:cs="FrankRuehl" w:hint="cs"/>
          <w:sz w:val="18"/>
          <w:szCs w:val="22"/>
          <w:rtl/>
        </w:rPr>
        <w:t xml:space="preserve"> באמצעות תמריצים לעובדים, הסכמים בין משרדים שונים" (ההדגשה במקור) ו"יש להקים תתי ועדות בנושאים הללו שיכללו את משתתפי הדיון בהתאם למומחיות שלהם".</w:t>
      </w:r>
    </w:p>
    <w:p w:rsidR="00D22B16" w:rsidRPr="00F41E78" w:rsidP="00D22B16">
      <w:pPr>
        <w:pStyle w:val="RESHET"/>
        <w:keepLines/>
        <w:ind w:left="567"/>
        <w:rPr>
          <w:rFonts w:eastAsia="Calibri"/>
          <w:rtl/>
        </w:rPr>
      </w:pPr>
      <w:r w:rsidRPr="00F41E78">
        <w:rPr>
          <w:rFonts w:eastAsia="Calibri" w:hint="cs"/>
          <w:rtl/>
        </w:rPr>
        <w:t>נמצא כי רק בינואר 2011 כינס אג"ת צוות משותף בריכוז מנכ"ל משרד האוצר דאז כדי לבחון את בעיית הנתונים בתחום הדיור</w:t>
      </w:r>
      <w:r>
        <w:rPr>
          <w:rFonts w:eastAsia="Calibri"/>
          <w:vertAlign w:val="superscript"/>
          <w:rtl/>
        </w:rPr>
        <w:footnoteReference w:id="58"/>
      </w:r>
      <w:r w:rsidRPr="00F41E78">
        <w:rPr>
          <w:rFonts w:eastAsia="Calibri" w:hint="cs"/>
          <w:rtl/>
        </w:rPr>
        <w:t>.</w:t>
      </w:r>
    </w:p>
    <w:p w:rsidR="00FA6646" w:rsidRPr="00FA6646" w:rsidP="00377B7D">
      <w:pPr>
        <w:spacing w:before="180" w:after="120" w:line="230" w:lineRule="exact"/>
        <w:ind w:left="340" w:hanging="340"/>
        <w:jc w:val="both"/>
        <w:rPr>
          <w:rFonts w:eastAsia="Calibri" w:cs="FrankRuehl"/>
          <w:sz w:val="20"/>
          <w:szCs w:val="22"/>
          <w:rtl/>
        </w:rPr>
      </w:pPr>
      <w:r w:rsidRPr="00F41E78">
        <w:rPr>
          <w:rFonts w:eastAsia="Calibri" w:cs="FrankRuehl" w:hint="cs"/>
          <w:sz w:val="18"/>
          <w:szCs w:val="22"/>
          <w:rtl/>
        </w:rPr>
        <w:t xml:space="preserve">3. </w:t>
      </w:r>
      <w:r w:rsidRPr="00F41E78">
        <w:rPr>
          <w:rFonts w:eastAsia="Calibri" w:cs="FrankRuehl" w:hint="cs"/>
          <w:sz w:val="18"/>
          <w:szCs w:val="22"/>
          <w:rtl/>
        </w:rPr>
        <w:tab/>
        <w:t>בהחלטת הממשלה בנושא הקמת המועצה הלאומית לכלכלה (להלן - המועצה לכלכלה) משנת 2006</w:t>
      </w:r>
      <w:r>
        <w:rPr>
          <w:rFonts w:eastAsia="Calibri" w:cs="FrankRuehl"/>
          <w:sz w:val="18"/>
          <w:szCs w:val="22"/>
          <w:vertAlign w:val="superscript"/>
          <w:rtl/>
        </w:rPr>
        <w:footnoteReference w:id="59"/>
      </w:r>
      <w:r w:rsidRPr="00E719A9">
        <w:rPr>
          <w:rFonts w:ascii="Calibri" w:eastAsia="Calibri" w:hAnsi="Calibri" w:cs="Arial" w:hint="cs"/>
          <w:vertAlign w:val="superscript"/>
          <w:rtl/>
        </w:rPr>
        <w:t xml:space="preserve"> </w:t>
      </w:r>
      <w:r w:rsidRPr="00FA6646">
        <w:rPr>
          <w:rFonts w:eastAsia="Calibri" w:cs="FrankRuehl" w:hint="cs"/>
          <w:sz w:val="20"/>
          <w:szCs w:val="22"/>
          <w:rtl/>
        </w:rPr>
        <w:t xml:space="preserve">נקבע כי המועצה נועדה "לשמש גוף מטה לראש הממשלה בנושאי כלכלה, במטרה לסייע בתהליך קבלת ההחלטות בתחומים אלו, בהתבסס על ניתוחים מקצועיים, נתונים עדכניים". </w:t>
      </w:r>
    </w:p>
    <w:p w:rsidR="00E97EDA" w:rsidRPr="00F41E78" w:rsidP="00377B7D">
      <w:pPr>
        <w:spacing w:after="120" w:line="230" w:lineRule="exact"/>
        <w:ind w:left="340" w:hanging="340"/>
        <w:jc w:val="both"/>
        <w:rPr>
          <w:rFonts w:eastAsia="Calibri" w:cs="FrankRuehl"/>
          <w:sz w:val="18"/>
          <w:szCs w:val="22"/>
          <w:rtl/>
        </w:rPr>
      </w:pPr>
      <w:r>
        <w:rPr>
          <w:rFonts w:eastAsia="Calibri" w:cs="FrankRuehl"/>
          <w:sz w:val="18"/>
          <w:szCs w:val="22"/>
        </w:rPr>
        <w:tab/>
      </w:r>
      <w:r w:rsidRPr="00F41E78">
        <w:rPr>
          <w:rFonts w:eastAsia="Calibri" w:cs="FrankRuehl" w:hint="cs"/>
          <w:sz w:val="18"/>
          <w:szCs w:val="22"/>
          <w:rtl/>
        </w:rPr>
        <w:t xml:space="preserve">בתחילת 2012 פוצל הצוות האמור שהוקם באג"ת לשני צוותים. הצוות הראשון, בהובלת אג"ת, המשיך לדון בשיפור הנתונים, והמועצה לכלכלה המשיכה להשתתף בו כחברה פעילה המקדמת צעדים ליצירת מקורות מידע נוספים בנוגע לדירות מגורים. הצוות האחר, בראשות </w:t>
      </w:r>
      <w:r w:rsidRPr="00F41E78">
        <w:rPr>
          <w:rFonts w:eastAsia="Calibri" w:cs="FrankRuehl" w:hint="cs"/>
          <w:sz w:val="18"/>
          <w:szCs w:val="22"/>
          <w:rtl/>
        </w:rPr>
        <w:t>המועצה לכלכלה</w:t>
      </w:r>
      <w:r>
        <w:rPr>
          <w:rFonts w:eastAsia="Calibri" w:cs="FrankRuehl"/>
          <w:sz w:val="18"/>
          <w:szCs w:val="22"/>
          <w:vertAlign w:val="superscript"/>
          <w:rtl/>
        </w:rPr>
        <w:footnoteReference w:id="60"/>
      </w:r>
      <w:r w:rsidRPr="00F41E78">
        <w:rPr>
          <w:rFonts w:eastAsia="Calibri" w:cs="FrankRuehl"/>
          <w:sz w:val="18"/>
          <w:szCs w:val="22"/>
          <w:rtl/>
        </w:rPr>
        <w:t xml:space="preserve"> </w:t>
      </w:r>
      <w:r w:rsidRPr="00F41E78">
        <w:rPr>
          <w:rFonts w:eastAsia="Calibri" w:cs="FrankRuehl" w:hint="cs"/>
          <w:sz w:val="18"/>
          <w:szCs w:val="22"/>
          <w:rtl/>
        </w:rPr>
        <w:t xml:space="preserve">(להלן - צוות המועצה לכלכלה), עסק בשיפור ובפיתוח של מתודולוגיה ושל מדדים נוספים לצורך קבלת החלטות. </w:t>
      </w:r>
    </w:p>
    <w:p w:rsidR="00E97EDA" w:rsidRPr="00F41E78" w:rsidP="00377B7D">
      <w:pPr>
        <w:spacing w:after="120" w:line="230" w:lineRule="exact"/>
        <w:ind w:left="340" w:hanging="340"/>
        <w:jc w:val="both"/>
        <w:rPr>
          <w:rFonts w:eastAsia="Calibri" w:cs="FrankRuehl"/>
          <w:sz w:val="18"/>
          <w:szCs w:val="22"/>
          <w:rtl/>
        </w:rPr>
      </w:pPr>
      <w:r>
        <w:rPr>
          <w:rFonts w:eastAsia="Calibri" w:cs="FrankRuehl"/>
          <w:sz w:val="18"/>
          <w:szCs w:val="22"/>
        </w:rPr>
        <w:tab/>
      </w:r>
      <w:r w:rsidRPr="00F41E78">
        <w:rPr>
          <w:rFonts w:eastAsia="Calibri" w:cs="FrankRuehl" w:hint="cs"/>
          <w:sz w:val="18"/>
          <w:szCs w:val="22"/>
          <w:rtl/>
        </w:rPr>
        <w:t>יצוין כי בהחלטת ממשלה מס' 374 מיוני 2013 הוחלט להקים ועדת היגוי בין-משרדית שתעסוק בשיפור מסד הנתונים הממשלתי על שוק הנדל"ן (להלן - ועדת ההיגוי לנתוני נדל"ן) בראשותו של הממונה על אג"ת או סגנו. בוועדת ההיגוי חברים נציגים מ-16 משרדי ממשלה ומגופים שלטוניים, לרבות נציגים מהמועצה לכלכלה, מהלמ"ס, מרשות המסים, מאגף החשב הכללי, ומרשות האוכלוסין וההגירה. יצוין כי בוועדת ההיגוי אין משתתף נציג של מינהל הכנסות המדינה אף שמתוקף תפקידו המינהל עוקב אחר התפתחויות</w:t>
      </w:r>
      <w:r w:rsidRPr="00F41E78">
        <w:rPr>
          <w:rFonts w:eastAsia="Calibri" w:cs="FrankRuehl" w:hint="cs"/>
          <w:b/>
          <w:bCs/>
          <w:sz w:val="18"/>
          <w:szCs w:val="22"/>
          <w:rtl/>
        </w:rPr>
        <w:t xml:space="preserve"> </w:t>
      </w:r>
      <w:r w:rsidRPr="00F41E78">
        <w:rPr>
          <w:rFonts w:eastAsia="Calibri" w:cs="FrankRuehl" w:hint="cs"/>
          <w:sz w:val="18"/>
          <w:szCs w:val="22"/>
          <w:rtl/>
        </w:rPr>
        <w:t>בשוק הנדל"ן לשם קביעת מדיניות המיסוי. ועדת ההיגוי החלה לפעול באמצעות שני הצוותים האמורים.</w:t>
      </w:r>
    </w:p>
    <w:p w:rsidR="00E97EDA" w:rsidRPr="00F41E78" w:rsidP="00377B7D">
      <w:pPr>
        <w:spacing w:after="240" w:line="230" w:lineRule="exact"/>
        <w:ind w:left="340" w:hanging="340"/>
        <w:jc w:val="both"/>
        <w:rPr>
          <w:rFonts w:eastAsia="Calibri" w:cs="FrankRuehl"/>
          <w:sz w:val="18"/>
          <w:szCs w:val="22"/>
          <w:rtl/>
        </w:rPr>
      </w:pPr>
      <w:r>
        <w:rPr>
          <w:rFonts w:eastAsia="Calibri" w:cs="FrankRuehl"/>
          <w:sz w:val="18"/>
          <w:szCs w:val="22"/>
        </w:rPr>
        <w:tab/>
      </w:r>
      <w:r w:rsidRPr="00F41E78">
        <w:rPr>
          <w:rFonts w:eastAsia="Calibri" w:cs="FrankRuehl" w:hint="cs"/>
          <w:sz w:val="18"/>
          <w:szCs w:val="22"/>
          <w:rtl/>
        </w:rPr>
        <w:t>בינואר 2014 פרסם צוות המועצה לכלכלה דוח ביניים</w:t>
      </w:r>
      <w:r>
        <w:rPr>
          <w:rFonts w:eastAsia="Calibri" w:cs="FrankRuehl"/>
          <w:sz w:val="18"/>
          <w:szCs w:val="22"/>
          <w:vertAlign w:val="superscript"/>
          <w:rtl/>
        </w:rPr>
        <w:footnoteReference w:id="61"/>
      </w:r>
      <w:r w:rsidRPr="00F41E78">
        <w:rPr>
          <w:rFonts w:eastAsia="Calibri" w:cs="FrankRuehl" w:hint="cs"/>
          <w:sz w:val="18"/>
          <w:szCs w:val="22"/>
          <w:rtl/>
        </w:rPr>
        <w:t>. בדוח צוין שבבדיקה שבוצעה בעקבות הביקורת בנושא היעדר הדיוק במדד מחירי הדירות, נמצא כי חלק</w:t>
      </w:r>
      <w:r w:rsidRPr="00F41E78">
        <w:rPr>
          <w:rFonts w:eastAsia="Calibri" w:cs="FrankRuehl"/>
          <w:sz w:val="18"/>
          <w:szCs w:val="22"/>
          <w:rtl/>
        </w:rPr>
        <w:t xml:space="preserve"> </w:t>
      </w:r>
      <w:r w:rsidRPr="00F41E78">
        <w:rPr>
          <w:rFonts w:eastAsia="Calibri" w:cs="FrankRuehl" w:hint="cs"/>
          <w:sz w:val="18"/>
          <w:szCs w:val="22"/>
          <w:rtl/>
        </w:rPr>
        <w:t>ניכר</w:t>
      </w:r>
      <w:r w:rsidRPr="00F41E78">
        <w:rPr>
          <w:rFonts w:eastAsia="Calibri" w:cs="FrankRuehl"/>
          <w:sz w:val="18"/>
          <w:szCs w:val="22"/>
          <w:rtl/>
        </w:rPr>
        <w:t xml:space="preserve"> </w:t>
      </w:r>
      <w:r w:rsidRPr="00F41E78">
        <w:rPr>
          <w:rFonts w:eastAsia="Calibri" w:cs="FrankRuehl" w:hint="cs"/>
          <w:sz w:val="18"/>
          <w:szCs w:val="22"/>
          <w:rtl/>
        </w:rPr>
        <w:t>ממאפייני</w:t>
      </w:r>
      <w:r w:rsidRPr="00F41E78">
        <w:rPr>
          <w:rFonts w:eastAsia="Calibri" w:cs="FrankRuehl"/>
          <w:sz w:val="18"/>
          <w:szCs w:val="22"/>
          <w:rtl/>
        </w:rPr>
        <w:t xml:space="preserve"> </w:t>
      </w:r>
      <w:r w:rsidRPr="00F41E78">
        <w:rPr>
          <w:rFonts w:eastAsia="Calibri" w:cs="FrankRuehl" w:hint="cs"/>
          <w:sz w:val="18"/>
          <w:szCs w:val="22"/>
          <w:rtl/>
        </w:rPr>
        <w:t>הדירות</w:t>
      </w:r>
      <w:r w:rsidRPr="00F41E78">
        <w:rPr>
          <w:rFonts w:eastAsia="Calibri" w:cs="FrankRuehl"/>
          <w:sz w:val="18"/>
          <w:szCs w:val="22"/>
          <w:rtl/>
        </w:rPr>
        <w:t xml:space="preserve"> </w:t>
      </w:r>
      <w:r w:rsidRPr="00F41E78">
        <w:rPr>
          <w:rFonts w:eastAsia="Calibri" w:cs="FrankRuehl" w:hint="cs"/>
          <w:sz w:val="18"/>
          <w:szCs w:val="22"/>
          <w:rtl/>
        </w:rPr>
        <w:t>אינם</w:t>
      </w:r>
      <w:r w:rsidRPr="00F41E78">
        <w:rPr>
          <w:rFonts w:eastAsia="Calibri" w:cs="FrankRuehl"/>
          <w:sz w:val="18"/>
          <w:szCs w:val="22"/>
          <w:rtl/>
        </w:rPr>
        <w:t xml:space="preserve"> </w:t>
      </w:r>
      <w:r w:rsidRPr="00F41E78">
        <w:rPr>
          <w:rFonts w:eastAsia="Calibri" w:cs="FrankRuehl" w:hint="cs"/>
          <w:sz w:val="18"/>
          <w:szCs w:val="22"/>
          <w:rtl/>
        </w:rPr>
        <w:t xml:space="preserve">מדווחים ועל כן אינם נכללים בנתוני הכרמ"ן המועברים ללמ"ס, "לפיכך נמצא כי לידי הלמ"ס מועברים נתונים חלקיים בלבד ולכן חלק ניכר מעסקאות מכר הדירות אינו נכלל בחישובי מדד מחירי הדירות. על כן הוחלט שרשות המיסים, האמונה על איסוף נתוני עסקאות המכר ומאפייני הדירות, תשפר את איסוף הנתונים על ידי חיוב הקלדת המאפיינים המרכזיים על ידי פקיד רשות המיסים בעת עריכת השומה לעסקאות המכר". </w:t>
      </w:r>
    </w:p>
    <w:p w:rsidR="00D22B16" w:rsidRPr="00F41E78" w:rsidP="00D22B16">
      <w:pPr>
        <w:pStyle w:val="RESHET"/>
        <w:keepLines/>
        <w:ind w:left="567"/>
        <w:rPr>
          <w:rFonts w:eastAsia="Calibri"/>
          <w:rtl/>
        </w:rPr>
      </w:pPr>
      <w:r w:rsidRPr="00F41E78">
        <w:rPr>
          <w:rFonts w:eastAsia="Calibri" w:hint="cs"/>
          <w:rtl/>
        </w:rPr>
        <w:t>משרד מבקר המדינה העיר ללמ"ס, כגוף האחראי לקבלת נתונים שלמים ונאותים כבסיס לביצוע חישוב מדדים, ולרשות המסים על השיהוי הניכר באימוץ ההחלטה לשיפור איסוף הנתונים באמצעות הקלדת מאפייני איכות הנכס במסגרת הכנת כל שומה. כבר</w:t>
      </w:r>
      <w:r w:rsidRPr="00F41E78">
        <w:rPr>
          <w:rFonts w:eastAsia="Calibri"/>
          <w:rtl/>
        </w:rPr>
        <w:t xml:space="preserve"> </w:t>
      </w:r>
      <w:r w:rsidRPr="00F41E78">
        <w:rPr>
          <w:rFonts w:eastAsia="Calibri" w:hint="cs"/>
          <w:rtl/>
        </w:rPr>
        <w:t>משנת</w:t>
      </w:r>
      <w:r w:rsidRPr="00F41E78">
        <w:rPr>
          <w:rFonts w:eastAsia="Calibri"/>
          <w:rtl/>
        </w:rPr>
        <w:t xml:space="preserve"> 2007 </w:t>
      </w:r>
      <w:r w:rsidRPr="00F41E78">
        <w:rPr>
          <w:rFonts w:eastAsia="Calibri" w:hint="cs"/>
          <w:rtl/>
        </w:rPr>
        <w:t>שיעור</w:t>
      </w:r>
      <w:r w:rsidRPr="00F41E78">
        <w:rPr>
          <w:rFonts w:eastAsia="Calibri"/>
          <w:rtl/>
        </w:rPr>
        <w:t xml:space="preserve"> </w:t>
      </w:r>
      <w:r w:rsidRPr="00F41E78">
        <w:rPr>
          <w:rFonts w:eastAsia="Calibri" w:hint="cs"/>
          <w:rtl/>
        </w:rPr>
        <w:t>הנתונים</w:t>
      </w:r>
      <w:r w:rsidRPr="00F41E78">
        <w:rPr>
          <w:rFonts w:eastAsia="Calibri"/>
          <w:rtl/>
        </w:rPr>
        <w:t xml:space="preserve"> </w:t>
      </w:r>
      <w:r w:rsidRPr="00F41E78">
        <w:rPr>
          <w:rFonts w:eastAsia="Calibri" w:hint="cs"/>
          <w:rtl/>
        </w:rPr>
        <w:t>הכולל</w:t>
      </w:r>
      <w:r w:rsidRPr="00F41E78">
        <w:rPr>
          <w:rFonts w:eastAsia="Calibri"/>
          <w:rtl/>
        </w:rPr>
        <w:t xml:space="preserve"> </w:t>
      </w:r>
      <w:r w:rsidRPr="00F41E78">
        <w:rPr>
          <w:rFonts w:eastAsia="Calibri" w:hint="cs"/>
          <w:rtl/>
        </w:rPr>
        <w:t>מידע</w:t>
      </w:r>
      <w:r w:rsidRPr="00F41E78">
        <w:rPr>
          <w:rFonts w:eastAsia="Calibri"/>
          <w:rtl/>
        </w:rPr>
        <w:t xml:space="preserve"> </w:t>
      </w:r>
      <w:r w:rsidRPr="00F41E78">
        <w:rPr>
          <w:rFonts w:eastAsia="Calibri" w:hint="cs"/>
          <w:rtl/>
        </w:rPr>
        <w:t>על</w:t>
      </w:r>
      <w:r w:rsidRPr="00F41E78">
        <w:rPr>
          <w:rFonts w:eastAsia="Calibri"/>
          <w:rtl/>
        </w:rPr>
        <w:t xml:space="preserve"> </w:t>
      </w:r>
      <w:r w:rsidRPr="00F41E78">
        <w:rPr>
          <w:rFonts w:eastAsia="Calibri" w:hint="cs"/>
          <w:rtl/>
        </w:rPr>
        <w:t>איכות</w:t>
      </w:r>
      <w:r w:rsidRPr="00F41E78">
        <w:rPr>
          <w:rFonts w:eastAsia="Calibri"/>
          <w:rtl/>
        </w:rPr>
        <w:t xml:space="preserve"> </w:t>
      </w:r>
      <w:r w:rsidRPr="00F41E78">
        <w:rPr>
          <w:rFonts w:eastAsia="Calibri" w:hint="cs"/>
          <w:rtl/>
        </w:rPr>
        <w:t>הנכסים</w:t>
      </w:r>
      <w:r w:rsidRPr="00F41E78">
        <w:rPr>
          <w:rFonts w:eastAsia="Calibri"/>
          <w:rtl/>
        </w:rPr>
        <w:t xml:space="preserve"> </w:t>
      </w:r>
      <w:r w:rsidRPr="00F41E78">
        <w:rPr>
          <w:rFonts w:eastAsia="Calibri" w:hint="cs"/>
          <w:rtl/>
        </w:rPr>
        <w:t>הוא</w:t>
      </w:r>
      <w:r w:rsidRPr="00F41E78">
        <w:rPr>
          <w:rFonts w:eastAsia="Calibri"/>
          <w:rtl/>
        </w:rPr>
        <w:t xml:space="preserve"> </w:t>
      </w:r>
      <w:r w:rsidRPr="00F41E78">
        <w:rPr>
          <w:rFonts w:eastAsia="Calibri" w:hint="cs"/>
          <w:rtl/>
        </w:rPr>
        <w:t>בגדר</w:t>
      </w:r>
      <w:r w:rsidRPr="00F41E78">
        <w:rPr>
          <w:rFonts w:eastAsia="Calibri"/>
          <w:rtl/>
        </w:rPr>
        <w:t xml:space="preserve"> "</w:t>
      </w:r>
      <w:r w:rsidRPr="00F41E78">
        <w:rPr>
          <w:rFonts w:eastAsia="Calibri" w:hint="cs"/>
          <w:rtl/>
        </w:rPr>
        <w:t>תמרור</w:t>
      </w:r>
      <w:r w:rsidRPr="00F41E78">
        <w:rPr>
          <w:rFonts w:eastAsia="Calibri"/>
          <w:rtl/>
        </w:rPr>
        <w:t xml:space="preserve"> </w:t>
      </w:r>
      <w:r w:rsidRPr="00F41E78">
        <w:rPr>
          <w:rFonts w:eastAsia="Calibri" w:hint="cs"/>
          <w:rtl/>
        </w:rPr>
        <w:t>אדום</w:t>
      </w:r>
      <w:r w:rsidRPr="00F41E78">
        <w:rPr>
          <w:rFonts w:eastAsia="Calibri"/>
          <w:rtl/>
        </w:rPr>
        <w:t xml:space="preserve">" </w:t>
      </w:r>
      <w:r w:rsidRPr="00F41E78">
        <w:rPr>
          <w:rFonts w:eastAsia="Calibri" w:hint="cs"/>
          <w:rtl/>
        </w:rPr>
        <w:t>וניכר</w:t>
      </w:r>
      <w:r w:rsidRPr="00F41E78">
        <w:rPr>
          <w:rFonts w:eastAsia="Calibri"/>
          <w:rtl/>
        </w:rPr>
        <w:t xml:space="preserve"> </w:t>
      </w:r>
      <w:r w:rsidRPr="00F41E78">
        <w:rPr>
          <w:rFonts w:eastAsia="Calibri" w:hint="cs"/>
          <w:rtl/>
        </w:rPr>
        <w:t>שאין</w:t>
      </w:r>
      <w:r w:rsidRPr="00F41E78">
        <w:rPr>
          <w:rFonts w:eastAsia="Calibri"/>
          <w:rtl/>
        </w:rPr>
        <w:t xml:space="preserve"> </w:t>
      </w:r>
      <w:r w:rsidRPr="00F41E78">
        <w:rPr>
          <w:rFonts w:eastAsia="Calibri" w:hint="cs"/>
          <w:rtl/>
        </w:rPr>
        <w:t>קובץ</w:t>
      </w:r>
      <w:r w:rsidRPr="00F41E78">
        <w:rPr>
          <w:rFonts w:eastAsia="Calibri"/>
          <w:rtl/>
        </w:rPr>
        <w:t xml:space="preserve"> </w:t>
      </w:r>
      <w:r w:rsidRPr="00F41E78">
        <w:rPr>
          <w:rFonts w:eastAsia="Calibri" w:hint="cs"/>
          <w:rtl/>
        </w:rPr>
        <w:t>הכרמ</w:t>
      </w:r>
      <w:r w:rsidRPr="00F41E78">
        <w:rPr>
          <w:rFonts w:eastAsia="Calibri"/>
          <w:rtl/>
        </w:rPr>
        <w:t>"</w:t>
      </w:r>
      <w:r w:rsidRPr="00F41E78">
        <w:rPr>
          <w:rFonts w:eastAsia="Calibri" w:hint="cs"/>
          <w:rtl/>
        </w:rPr>
        <w:t>ן</w:t>
      </w:r>
      <w:r w:rsidRPr="00F41E78">
        <w:rPr>
          <w:rFonts w:eastAsia="Calibri"/>
          <w:rtl/>
        </w:rPr>
        <w:t xml:space="preserve"> </w:t>
      </w:r>
      <w:r w:rsidRPr="00F41E78">
        <w:rPr>
          <w:rFonts w:eastAsia="Calibri" w:hint="cs"/>
          <w:rtl/>
        </w:rPr>
        <w:t>מייצג</w:t>
      </w:r>
      <w:r w:rsidRPr="00F41E78">
        <w:rPr>
          <w:rFonts w:eastAsia="Calibri"/>
          <w:rtl/>
        </w:rPr>
        <w:t xml:space="preserve"> </w:t>
      </w:r>
      <w:r w:rsidRPr="00F41E78">
        <w:rPr>
          <w:rFonts w:eastAsia="Calibri" w:hint="cs"/>
          <w:rtl/>
        </w:rPr>
        <w:t>את</w:t>
      </w:r>
      <w:r w:rsidRPr="00F41E78">
        <w:rPr>
          <w:rFonts w:eastAsia="Calibri"/>
          <w:rtl/>
        </w:rPr>
        <w:t xml:space="preserve"> </w:t>
      </w:r>
      <w:r w:rsidRPr="00F41E78">
        <w:rPr>
          <w:rFonts w:eastAsia="Calibri" w:hint="cs"/>
          <w:rtl/>
        </w:rPr>
        <w:t>כלל</w:t>
      </w:r>
      <w:r w:rsidRPr="00F41E78">
        <w:rPr>
          <w:rFonts w:eastAsia="Calibri"/>
          <w:rtl/>
        </w:rPr>
        <w:t xml:space="preserve"> </w:t>
      </w:r>
      <w:r w:rsidRPr="00F41E78">
        <w:rPr>
          <w:rFonts w:eastAsia="Calibri" w:hint="cs"/>
          <w:rtl/>
        </w:rPr>
        <w:t>עסקאות</w:t>
      </w:r>
      <w:r w:rsidRPr="00F41E78">
        <w:rPr>
          <w:rFonts w:eastAsia="Calibri"/>
          <w:rtl/>
        </w:rPr>
        <w:t xml:space="preserve"> </w:t>
      </w:r>
      <w:r w:rsidRPr="00F41E78">
        <w:rPr>
          <w:rFonts w:eastAsia="Calibri" w:hint="cs"/>
          <w:rtl/>
        </w:rPr>
        <w:t>המקרקעין</w:t>
      </w:r>
      <w:r w:rsidRPr="00F41E78">
        <w:rPr>
          <w:rFonts w:eastAsia="Calibri"/>
          <w:rtl/>
        </w:rPr>
        <w:t xml:space="preserve"> </w:t>
      </w:r>
      <w:r w:rsidRPr="00F41E78">
        <w:rPr>
          <w:rFonts w:eastAsia="Calibri" w:hint="cs"/>
          <w:rtl/>
        </w:rPr>
        <w:t>בין</w:t>
      </w:r>
      <w:r w:rsidRPr="00F41E78">
        <w:rPr>
          <w:rFonts w:eastAsia="Calibri"/>
          <w:rtl/>
        </w:rPr>
        <w:t xml:space="preserve"> </w:t>
      </w:r>
      <w:r w:rsidRPr="00F41E78">
        <w:rPr>
          <w:rFonts w:eastAsia="Calibri" w:hint="cs"/>
          <w:rtl/>
        </w:rPr>
        <w:t>מוכר</w:t>
      </w:r>
      <w:r w:rsidRPr="00F41E78">
        <w:rPr>
          <w:rFonts w:eastAsia="Calibri"/>
          <w:rtl/>
        </w:rPr>
        <w:t xml:space="preserve"> </w:t>
      </w:r>
      <w:r w:rsidRPr="00F41E78">
        <w:rPr>
          <w:rFonts w:eastAsia="Calibri" w:hint="cs"/>
          <w:rtl/>
        </w:rPr>
        <w:t>מרצון</w:t>
      </w:r>
      <w:r w:rsidRPr="00F41E78">
        <w:rPr>
          <w:rFonts w:eastAsia="Calibri"/>
          <w:rtl/>
        </w:rPr>
        <w:t xml:space="preserve"> </w:t>
      </w:r>
      <w:r w:rsidRPr="00F41E78">
        <w:rPr>
          <w:rFonts w:eastAsia="Calibri" w:hint="cs"/>
          <w:rtl/>
        </w:rPr>
        <w:t>לקונה</w:t>
      </w:r>
      <w:r w:rsidRPr="00F41E78">
        <w:rPr>
          <w:rFonts w:eastAsia="Calibri"/>
          <w:rtl/>
        </w:rPr>
        <w:t xml:space="preserve"> </w:t>
      </w:r>
      <w:r w:rsidRPr="00F41E78">
        <w:rPr>
          <w:rFonts w:eastAsia="Calibri" w:hint="cs"/>
          <w:rtl/>
        </w:rPr>
        <w:t>מרצון</w:t>
      </w:r>
      <w:r w:rsidRPr="00F41E78">
        <w:rPr>
          <w:rFonts w:eastAsia="Calibri"/>
          <w:rtl/>
        </w:rPr>
        <w:t xml:space="preserve">, </w:t>
      </w:r>
      <w:r w:rsidRPr="00F41E78">
        <w:rPr>
          <w:rFonts w:eastAsia="Calibri" w:hint="cs"/>
          <w:rtl/>
        </w:rPr>
        <w:t>והשימוש</w:t>
      </w:r>
      <w:r w:rsidRPr="00F41E78">
        <w:rPr>
          <w:rFonts w:eastAsia="Calibri"/>
          <w:rtl/>
        </w:rPr>
        <w:t xml:space="preserve"> </w:t>
      </w:r>
      <w:r w:rsidRPr="00F41E78">
        <w:rPr>
          <w:rFonts w:eastAsia="Calibri" w:hint="cs"/>
          <w:rtl/>
        </w:rPr>
        <w:t>הנעשה</w:t>
      </w:r>
      <w:r w:rsidRPr="00F41E78">
        <w:rPr>
          <w:rFonts w:eastAsia="Calibri"/>
          <w:rtl/>
        </w:rPr>
        <w:t xml:space="preserve"> </w:t>
      </w:r>
      <w:r w:rsidRPr="00F41E78">
        <w:rPr>
          <w:rFonts w:eastAsia="Calibri" w:hint="cs"/>
          <w:rtl/>
        </w:rPr>
        <w:t>בקובץ</w:t>
      </w:r>
      <w:r w:rsidRPr="00F41E78">
        <w:rPr>
          <w:rFonts w:eastAsia="Calibri"/>
          <w:rtl/>
        </w:rPr>
        <w:t xml:space="preserve"> </w:t>
      </w:r>
      <w:r w:rsidRPr="00F41E78">
        <w:rPr>
          <w:rFonts w:eastAsia="Calibri" w:hint="cs"/>
          <w:rtl/>
        </w:rPr>
        <w:t>זה</w:t>
      </w:r>
      <w:r w:rsidRPr="00F41E78">
        <w:rPr>
          <w:rFonts w:eastAsia="Calibri"/>
          <w:rtl/>
        </w:rPr>
        <w:t xml:space="preserve"> </w:t>
      </w:r>
      <w:r w:rsidRPr="00F41E78">
        <w:rPr>
          <w:rFonts w:eastAsia="Calibri" w:hint="cs"/>
          <w:rtl/>
        </w:rPr>
        <w:t>לקביעת</w:t>
      </w:r>
      <w:r w:rsidRPr="00F41E78">
        <w:rPr>
          <w:rFonts w:eastAsia="Calibri"/>
          <w:rtl/>
        </w:rPr>
        <w:t xml:space="preserve"> </w:t>
      </w:r>
      <w:r w:rsidRPr="00F41E78">
        <w:rPr>
          <w:rFonts w:eastAsia="Calibri" w:hint="cs"/>
          <w:rtl/>
        </w:rPr>
        <w:t>מדדי</w:t>
      </w:r>
      <w:r w:rsidRPr="00F41E78">
        <w:rPr>
          <w:rFonts w:eastAsia="Calibri"/>
          <w:rtl/>
        </w:rPr>
        <w:t xml:space="preserve"> </w:t>
      </w:r>
      <w:r w:rsidRPr="00F41E78">
        <w:rPr>
          <w:rFonts w:eastAsia="Calibri" w:hint="cs"/>
          <w:rtl/>
        </w:rPr>
        <w:t>מחירים</w:t>
      </w:r>
      <w:r w:rsidRPr="00F41E78">
        <w:rPr>
          <w:rFonts w:eastAsia="Calibri"/>
          <w:rtl/>
        </w:rPr>
        <w:t xml:space="preserve"> </w:t>
      </w:r>
      <w:r w:rsidRPr="00F41E78">
        <w:rPr>
          <w:rFonts w:eastAsia="Calibri" w:hint="cs"/>
          <w:rtl/>
        </w:rPr>
        <w:t>לאורך</w:t>
      </w:r>
      <w:r w:rsidRPr="00F41E78">
        <w:rPr>
          <w:rFonts w:eastAsia="Calibri"/>
          <w:rtl/>
        </w:rPr>
        <w:t xml:space="preserve"> </w:t>
      </w:r>
      <w:r w:rsidRPr="00F41E78">
        <w:rPr>
          <w:rFonts w:eastAsia="Calibri" w:hint="cs"/>
          <w:rtl/>
        </w:rPr>
        <w:t>זמן</w:t>
      </w:r>
      <w:r w:rsidRPr="00F41E78">
        <w:rPr>
          <w:rFonts w:eastAsia="Calibri"/>
          <w:rtl/>
        </w:rPr>
        <w:t xml:space="preserve"> </w:t>
      </w:r>
      <w:r w:rsidRPr="00F41E78">
        <w:rPr>
          <w:rFonts w:eastAsia="Calibri" w:hint="cs"/>
          <w:rtl/>
        </w:rPr>
        <w:t>עלול</w:t>
      </w:r>
      <w:r w:rsidRPr="00F41E78">
        <w:rPr>
          <w:rFonts w:eastAsia="Calibri"/>
          <w:rtl/>
        </w:rPr>
        <w:t xml:space="preserve"> </w:t>
      </w:r>
      <w:r w:rsidRPr="00F41E78">
        <w:rPr>
          <w:rFonts w:eastAsia="Calibri" w:hint="cs"/>
          <w:rtl/>
        </w:rPr>
        <w:t>ליצור</w:t>
      </w:r>
      <w:r w:rsidRPr="00F41E78">
        <w:rPr>
          <w:rFonts w:eastAsia="Calibri"/>
          <w:rtl/>
        </w:rPr>
        <w:t xml:space="preserve"> </w:t>
      </w:r>
      <w:r w:rsidRPr="00F41E78">
        <w:rPr>
          <w:rFonts w:eastAsia="Calibri" w:hint="cs"/>
          <w:rtl/>
        </w:rPr>
        <w:t>הטיה</w:t>
      </w:r>
      <w:r w:rsidRPr="00F41E78">
        <w:rPr>
          <w:rFonts w:eastAsia="Calibri"/>
          <w:rtl/>
        </w:rPr>
        <w:t xml:space="preserve"> </w:t>
      </w:r>
      <w:r w:rsidRPr="00F41E78">
        <w:rPr>
          <w:rFonts w:eastAsia="Calibri" w:hint="cs"/>
          <w:rtl/>
        </w:rPr>
        <w:t>ניכרת</w:t>
      </w:r>
      <w:r w:rsidRPr="00F41E78">
        <w:rPr>
          <w:rFonts w:eastAsia="Calibri"/>
          <w:rtl/>
        </w:rPr>
        <w:t>.</w:t>
      </w:r>
      <w:r w:rsidRPr="00F41E78">
        <w:rPr>
          <w:rFonts w:eastAsia="Calibri" w:hint="cs"/>
          <w:rtl/>
        </w:rPr>
        <w:t xml:space="preserve"> </w:t>
      </w:r>
    </w:p>
    <w:p w:rsidR="00E97EDA" w:rsidRPr="00F41E78" w:rsidP="00A01D32">
      <w:pPr>
        <w:spacing w:before="180" w:after="120" w:line="230" w:lineRule="exact"/>
        <w:ind w:left="340" w:hanging="340"/>
        <w:jc w:val="both"/>
        <w:rPr>
          <w:rFonts w:eastAsia="Calibri" w:cs="FrankRuehl"/>
          <w:sz w:val="18"/>
          <w:szCs w:val="22"/>
          <w:rtl/>
        </w:rPr>
      </w:pPr>
      <w:r w:rsidRPr="00F41E78">
        <w:rPr>
          <w:rFonts w:eastAsia="Calibri" w:cs="FrankRuehl" w:hint="cs"/>
          <w:sz w:val="18"/>
          <w:szCs w:val="22"/>
          <w:rtl/>
        </w:rPr>
        <w:t xml:space="preserve">4. </w:t>
      </w:r>
      <w:r w:rsidRPr="00F41E78">
        <w:rPr>
          <w:rFonts w:eastAsia="Calibri" w:cs="FrankRuehl" w:hint="cs"/>
          <w:sz w:val="18"/>
          <w:szCs w:val="22"/>
          <w:rtl/>
        </w:rPr>
        <w:tab/>
        <w:t>ביולי 2011 בחן מינהל הכנסות המדינה את השפעותיה של ההחלטה לחייב את מפקחי מיסוי מקרקעין להזין את מאפייני איכות הנכס בקובץ הכרמ"ן בכל שומה</w:t>
      </w:r>
      <w:r>
        <w:rPr>
          <w:rFonts w:eastAsia="Calibri" w:cs="FrankRuehl"/>
          <w:sz w:val="18"/>
          <w:szCs w:val="22"/>
          <w:vertAlign w:val="superscript"/>
          <w:rtl/>
        </w:rPr>
        <w:footnoteReference w:id="62"/>
      </w:r>
      <w:r w:rsidRPr="00F41E78">
        <w:rPr>
          <w:rFonts w:eastAsia="Calibri" w:cs="FrankRuehl" w:hint="cs"/>
          <w:sz w:val="18"/>
          <w:szCs w:val="22"/>
          <w:rtl/>
        </w:rPr>
        <w:t xml:space="preserve"> (להלן - בקרת הזנת הכרמ"ן). המינהל בדק באופן ידני כ-10,000 טופסי הצהרה שהוגשו למשרדי מיסוי מקרקעין האזוריים בשנת 2010, המכילים שדות אלו</w:t>
      </w:r>
      <w:r>
        <w:rPr>
          <w:rFonts w:eastAsia="Calibri" w:cs="FrankRuehl"/>
          <w:sz w:val="18"/>
          <w:szCs w:val="22"/>
          <w:vertAlign w:val="superscript"/>
          <w:rtl/>
        </w:rPr>
        <w:footnoteReference w:id="63"/>
      </w:r>
      <w:r w:rsidRPr="00F41E78">
        <w:rPr>
          <w:rFonts w:eastAsia="Calibri" w:cs="FrankRuehl" w:hint="cs"/>
          <w:sz w:val="18"/>
          <w:szCs w:val="22"/>
          <w:rtl/>
        </w:rPr>
        <w:t xml:space="preserve">: שנת הבנייה, סוג הנכס, קומה, שטח נטו, שטח ברוטו ומספר החדרים. את חוסר ההתאמות שנמצאו בין הנתונים על מאפייני איכות הנכס שנכללו בטופסי ההצהרה ובין הנתונים שבקובץ הכרמ"ן ניתן לחלק לשתי קבוצות עיקריות: (א) </w:t>
      </w:r>
      <w:r w:rsidR="00377B7D">
        <w:rPr>
          <w:rFonts w:eastAsia="Calibri" w:cs="FrankRuehl" w:hint="cs"/>
          <w:sz w:val="18"/>
          <w:szCs w:val="22"/>
          <w:rtl/>
        </w:rPr>
        <w:t xml:space="preserve"> </w:t>
      </w:r>
      <w:r w:rsidRPr="00F41E78">
        <w:rPr>
          <w:rFonts w:eastAsia="Calibri" w:cs="FrankRuehl" w:hint="cs"/>
          <w:sz w:val="18"/>
          <w:szCs w:val="22"/>
          <w:rtl/>
        </w:rPr>
        <w:t>נתון הנעדר מטופסי ההצהרה נכלל בקובץ, דהיינו מפקחי מיסוי מקרקעין מילאו בקובץ נתון שלא הופיע בטופס.</w:t>
      </w:r>
      <w:r w:rsidR="00377B7D">
        <w:rPr>
          <w:rFonts w:eastAsia="Calibri" w:cs="FrankRuehl" w:hint="cs"/>
          <w:sz w:val="18"/>
          <w:szCs w:val="22"/>
          <w:rtl/>
        </w:rPr>
        <w:t xml:space="preserve">  </w:t>
      </w:r>
      <w:r w:rsidRPr="00F41E78">
        <w:rPr>
          <w:rFonts w:eastAsia="Calibri" w:cs="FrankRuehl" w:hint="cs"/>
          <w:sz w:val="18"/>
          <w:szCs w:val="22"/>
          <w:rtl/>
        </w:rPr>
        <w:t xml:space="preserve"> (ב) </w:t>
      </w:r>
      <w:r w:rsidR="00377B7D">
        <w:rPr>
          <w:rFonts w:eastAsia="Calibri" w:cs="FrankRuehl" w:hint="cs"/>
          <w:sz w:val="18"/>
          <w:szCs w:val="22"/>
          <w:rtl/>
        </w:rPr>
        <w:t xml:space="preserve"> </w:t>
      </w:r>
      <w:r w:rsidRPr="00F41E78">
        <w:rPr>
          <w:rFonts w:eastAsia="Calibri" w:cs="FrankRuehl" w:hint="cs"/>
          <w:sz w:val="18"/>
          <w:szCs w:val="22"/>
          <w:rtl/>
        </w:rPr>
        <w:t>חוסר התאמה בין נתונים שבטופס ההצהרה ובין נתונים שבקובץ הכרמ"ן, דהיינו</w:t>
      </w:r>
      <w:r w:rsidR="00A01D32">
        <w:rPr>
          <w:rFonts w:eastAsia="Calibri" w:cs="FrankRuehl" w:hint="cs"/>
          <w:sz w:val="18"/>
          <w:szCs w:val="22"/>
          <w:rtl/>
        </w:rPr>
        <w:t xml:space="preserve"> </w:t>
      </w:r>
      <w:r w:rsidRPr="00F41E78">
        <w:rPr>
          <w:rFonts w:eastAsia="Calibri" w:cs="FrankRuehl" w:hint="cs"/>
          <w:sz w:val="18"/>
          <w:szCs w:val="22"/>
          <w:rtl/>
        </w:rPr>
        <w:t>המפקח מילא בקובץ נתון אחר מזה המופיע בטופס.</w:t>
      </w:r>
    </w:p>
    <w:p w:rsidR="00E97EDA" w:rsidRPr="00F41E78" w:rsidP="009B6784">
      <w:pPr>
        <w:spacing w:after="120" w:line="230" w:lineRule="exact"/>
        <w:jc w:val="both"/>
        <w:rPr>
          <w:rFonts w:eastAsia="Calibri" w:cs="FrankRuehl"/>
          <w:sz w:val="18"/>
          <w:szCs w:val="22"/>
          <w:rtl/>
        </w:rPr>
      </w:pPr>
      <w:r w:rsidRPr="00F41E78">
        <w:rPr>
          <w:rFonts w:eastAsia="Calibri" w:cs="FrankRuehl" w:hint="cs"/>
          <w:sz w:val="18"/>
          <w:szCs w:val="22"/>
          <w:rtl/>
        </w:rPr>
        <w:t>כפי שעולה מתרשים 1 להלן, רק ב-20.5% מהמקרים נמצאה התאמה מלאה בין נתוני הטפסים לנתוני קובץ הכרמ"ן. ב</w:t>
      </w:r>
      <w:r w:rsidRPr="00F41E78">
        <w:rPr>
          <w:rFonts w:eastAsia="Calibri" w:cs="FrankRuehl"/>
          <w:sz w:val="18"/>
          <w:szCs w:val="22"/>
          <w:rtl/>
        </w:rPr>
        <w:t>-20.</w:t>
      </w:r>
      <w:r w:rsidR="009B6784">
        <w:rPr>
          <w:rFonts w:eastAsia="Calibri" w:cs="FrankRuehl" w:hint="cs"/>
          <w:sz w:val="18"/>
          <w:szCs w:val="22"/>
          <w:rtl/>
        </w:rPr>
        <w:t>9</w:t>
      </w:r>
      <w:r w:rsidRPr="00F41E78">
        <w:rPr>
          <w:rFonts w:eastAsia="Calibri" w:cs="FrankRuehl"/>
          <w:sz w:val="18"/>
          <w:szCs w:val="22"/>
          <w:rtl/>
        </w:rPr>
        <w:t xml:space="preserve">% </w:t>
      </w:r>
      <w:r w:rsidRPr="00F41E78">
        <w:rPr>
          <w:rFonts w:eastAsia="Calibri" w:cs="FrankRuehl" w:hint="cs"/>
          <w:sz w:val="18"/>
          <w:szCs w:val="22"/>
          <w:rtl/>
        </w:rPr>
        <w:t>מהמקרים</w:t>
      </w:r>
      <w:r w:rsidRPr="00F41E78">
        <w:rPr>
          <w:rFonts w:eastAsia="Calibri" w:cs="FrankRuehl"/>
          <w:sz w:val="18"/>
          <w:szCs w:val="22"/>
          <w:rtl/>
        </w:rPr>
        <w:t xml:space="preserve">, </w:t>
      </w:r>
      <w:r w:rsidRPr="00F41E78">
        <w:rPr>
          <w:rFonts w:eastAsia="Calibri" w:cs="FrankRuehl" w:hint="cs"/>
          <w:sz w:val="18"/>
          <w:szCs w:val="22"/>
          <w:rtl/>
        </w:rPr>
        <w:t>לפחות</w:t>
      </w:r>
      <w:r w:rsidRPr="00F41E78">
        <w:rPr>
          <w:rFonts w:eastAsia="Calibri" w:cs="FrankRuehl"/>
          <w:sz w:val="18"/>
          <w:szCs w:val="22"/>
          <w:rtl/>
        </w:rPr>
        <w:t xml:space="preserve"> </w:t>
      </w:r>
      <w:r w:rsidRPr="00F41E78">
        <w:rPr>
          <w:rFonts w:eastAsia="Calibri" w:cs="FrankRuehl" w:hint="cs"/>
          <w:sz w:val="18"/>
          <w:szCs w:val="22"/>
          <w:rtl/>
        </w:rPr>
        <w:t>ערך</w:t>
      </w:r>
      <w:r w:rsidRPr="00F41E78">
        <w:rPr>
          <w:rFonts w:eastAsia="Calibri" w:cs="FrankRuehl"/>
          <w:sz w:val="18"/>
          <w:szCs w:val="22"/>
          <w:rtl/>
        </w:rPr>
        <w:t xml:space="preserve"> </w:t>
      </w:r>
      <w:r w:rsidRPr="00F41E78">
        <w:rPr>
          <w:rFonts w:eastAsia="Calibri" w:cs="FrankRuehl" w:hint="cs"/>
          <w:sz w:val="18"/>
          <w:szCs w:val="22"/>
          <w:rtl/>
        </w:rPr>
        <w:t>אחד</w:t>
      </w:r>
      <w:r w:rsidRPr="00F41E78">
        <w:rPr>
          <w:rFonts w:eastAsia="Calibri" w:cs="FrankRuehl"/>
          <w:sz w:val="18"/>
          <w:szCs w:val="22"/>
          <w:rtl/>
        </w:rPr>
        <w:t xml:space="preserve"> </w:t>
      </w:r>
      <w:r w:rsidRPr="00F41E78">
        <w:rPr>
          <w:rFonts w:eastAsia="Calibri" w:cs="FrankRuehl" w:hint="cs"/>
          <w:sz w:val="18"/>
          <w:szCs w:val="22"/>
          <w:rtl/>
        </w:rPr>
        <w:t>שהוזן</w:t>
      </w:r>
      <w:r w:rsidRPr="00F41E78">
        <w:rPr>
          <w:rFonts w:eastAsia="Calibri" w:cs="FrankRuehl"/>
          <w:sz w:val="18"/>
          <w:szCs w:val="22"/>
          <w:rtl/>
        </w:rPr>
        <w:t xml:space="preserve"> </w:t>
      </w:r>
      <w:r w:rsidRPr="00F41E78">
        <w:rPr>
          <w:rFonts w:eastAsia="Calibri" w:cs="FrankRuehl" w:hint="cs"/>
          <w:sz w:val="18"/>
          <w:szCs w:val="22"/>
          <w:rtl/>
        </w:rPr>
        <w:t>באחד</w:t>
      </w:r>
      <w:r w:rsidRPr="00F41E78">
        <w:rPr>
          <w:rFonts w:eastAsia="Calibri" w:cs="FrankRuehl"/>
          <w:sz w:val="18"/>
          <w:szCs w:val="22"/>
          <w:rtl/>
        </w:rPr>
        <w:t xml:space="preserve"> </w:t>
      </w:r>
      <w:r w:rsidRPr="00F41E78">
        <w:rPr>
          <w:rFonts w:eastAsia="Calibri" w:cs="FrankRuehl" w:hint="cs"/>
          <w:sz w:val="18"/>
          <w:szCs w:val="22"/>
          <w:rtl/>
        </w:rPr>
        <w:t>השדות</w:t>
      </w:r>
      <w:r w:rsidRPr="00F41E78">
        <w:rPr>
          <w:rFonts w:eastAsia="Calibri" w:cs="FrankRuehl"/>
          <w:sz w:val="18"/>
          <w:szCs w:val="22"/>
          <w:rtl/>
        </w:rPr>
        <w:t xml:space="preserve"> </w:t>
      </w:r>
      <w:r w:rsidRPr="00F41E78">
        <w:rPr>
          <w:rFonts w:eastAsia="Calibri" w:cs="FrankRuehl" w:hint="cs"/>
          <w:sz w:val="18"/>
          <w:szCs w:val="22"/>
          <w:rtl/>
        </w:rPr>
        <w:t>בקובץ</w:t>
      </w:r>
      <w:r w:rsidRPr="00F41E78">
        <w:rPr>
          <w:rFonts w:eastAsia="Calibri" w:cs="FrankRuehl"/>
          <w:sz w:val="18"/>
          <w:szCs w:val="22"/>
          <w:rtl/>
        </w:rPr>
        <w:t xml:space="preserve"> </w:t>
      </w:r>
      <w:r w:rsidRPr="00F41E78">
        <w:rPr>
          <w:rFonts w:eastAsia="Calibri" w:cs="FrankRuehl" w:hint="cs"/>
          <w:sz w:val="18"/>
          <w:szCs w:val="22"/>
          <w:rtl/>
        </w:rPr>
        <w:t>הכרמ</w:t>
      </w:r>
      <w:r w:rsidRPr="00F41E78">
        <w:rPr>
          <w:rFonts w:eastAsia="Calibri" w:cs="FrankRuehl"/>
          <w:sz w:val="18"/>
          <w:szCs w:val="22"/>
          <w:rtl/>
        </w:rPr>
        <w:t>"</w:t>
      </w:r>
      <w:r w:rsidRPr="00F41E78">
        <w:rPr>
          <w:rFonts w:eastAsia="Calibri" w:cs="FrankRuehl" w:hint="cs"/>
          <w:sz w:val="18"/>
          <w:szCs w:val="22"/>
          <w:rtl/>
        </w:rPr>
        <w:t>ן</w:t>
      </w:r>
      <w:r w:rsidRPr="00F41E78">
        <w:rPr>
          <w:rFonts w:eastAsia="Calibri" w:cs="FrankRuehl"/>
          <w:sz w:val="18"/>
          <w:szCs w:val="22"/>
          <w:rtl/>
        </w:rPr>
        <w:t xml:space="preserve"> </w:t>
      </w:r>
      <w:r w:rsidRPr="00F41E78">
        <w:rPr>
          <w:rFonts w:eastAsia="Calibri" w:cs="FrankRuehl" w:hint="cs"/>
          <w:sz w:val="18"/>
          <w:szCs w:val="22"/>
          <w:rtl/>
        </w:rPr>
        <w:t>לא</w:t>
      </w:r>
      <w:r w:rsidRPr="00F41E78">
        <w:rPr>
          <w:rFonts w:eastAsia="Calibri" w:cs="FrankRuehl"/>
          <w:sz w:val="18"/>
          <w:szCs w:val="22"/>
          <w:rtl/>
        </w:rPr>
        <w:t xml:space="preserve"> </w:t>
      </w:r>
      <w:r w:rsidRPr="00F41E78">
        <w:rPr>
          <w:rFonts w:eastAsia="Calibri" w:cs="FrankRuehl" w:hint="cs"/>
          <w:sz w:val="18"/>
          <w:szCs w:val="22"/>
          <w:rtl/>
        </w:rPr>
        <w:t>היה</w:t>
      </w:r>
      <w:r w:rsidRPr="00F41E78">
        <w:rPr>
          <w:rFonts w:eastAsia="Calibri" w:cs="FrankRuehl"/>
          <w:sz w:val="18"/>
          <w:szCs w:val="22"/>
          <w:rtl/>
        </w:rPr>
        <w:t xml:space="preserve"> </w:t>
      </w:r>
      <w:r w:rsidRPr="00F41E78">
        <w:rPr>
          <w:rFonts w:eastAsia="Calibri" w:cs="FrankRuehl" w:hint="cs"/>
          <w:sz w:val="18"/>
          <w:szCs w:val="22"/>
          <w:rtl/>
        </w:rPr>
        <w:t>שווה</w:t>
      </w:r>
      <w:r w:rsidRPr="00F41E78">
        <w:rPr>
          <w:rFonts w:eastAsia="Calibri" w:cs="FrankRuehl"/>
          <w:sz w:val="18"/>
          <w:szCs w:val="22"/>
          <w:rtl/>
        </w:rPr>
        <w:t xml:space="preserve"> </w:t>
      </w:r>
      <w:r w:rsidRPr="00F41E78">
        <w:rPr>
          <w:rFonts w:eastAsia="Calibri" w:cs="FrankRuehl" w:hint="cs"/>
          <w:sz w:val="18"/>
          <w:szCs w:val="22"/>
          <w:rtl/>
        </w:rPr>
        <w:t>לערך</w:t>
      </w:r>
      <w:r w:rsidRPr="00F41E78">
        <w:rPr>
          <w:rFonts w:eastAsia="Calibri" w:cs="FrankRuehl"/>
          <w:sz w:val="18"/>
          <w:szCs w:val="22"/>
          <w:rtl/>
        </w:rPr>
        <w:t xml:space="preserve"> </w:t>
      </w:r>
      <w:r w:rsidRPr="00F41E78">
        <w:rPr>
          <w:rFonts w:eastAsia="Calibri" w:cs="FrankRuehl" w:hint="cs"/>
          <w:sz w:val="18"/>
          <w:szCs w:val="22"/>
          <w:rtl/>
        </w:rPr>
        <w:t>שהוזן</w:t>
      </w:r>
      <w:r w:rsidRPr="00F41E78">
        <w:rPr>
          <w:rFonts w:eastAsia="Calibri" w:cs="FrankRuehl"/>
          <w:sz w:val="18"/>
          <w:szCs w:val="22"/>
          <w:rtl/>
        </w:rPr>
        <w:t xml:space="preserve"> </w:t>
      </w:r>
      <w:r w:rsidRPr="00F41E78">
        <w:rPr>
          <w:rFonts w:eastAsia="Calibri" w:cs="FrankRuehl" w:hint="cs"/>
          <w:sz w:val="18"/>
          <w:szCs w:val="22"/>
          <w:rtl/>
        </w:rPr>
        <w:t>בטופס</w:t>
      </w:r>
      <w:r w:rsidRPr="00F41E78">
        <w:rPr>
          <w:rFonts w:eastAsia="Calibri" w:cs="FrankRuehl"/>
          <w:sz w:val="18"/>
          <w:szCs w:val="22"/>
          <w:rtl/>
        </w:rPr>
        <w:t xml:space="preserve"> </w:t>
      </w:r>
      <w:r w:rsidRPr="00F41E78">
        <w:rPr>
          <w:rFonts w:eastAsia="Calibri" w:cs="FrankRuehl" w:hint="cs"/>
          <w:sz w:val="18"/>
          <w:szCs w:val="22"/>
          <w:rtl/>
        </w:rPr>
        <w:t>ההצהרה</w:t>
      </w:r>
      <w:r w:rsidRPr="00F41E78">
        <w:rPr>
          <w:rFonts w:eastAsia="Calibri" w:cs="FrankRuehl"/>
          <w:sz w:val="18"/>
          <w:szCs w:val="22"/>
          <w:rtl/>
        </w:rPr>
        <w:t xml:space="preserve">; </w:t>
      </w:r>
      <w:r w:rsidRPr="00F41E78">
        <w:rPr>
          <w:rFonts w:eastAsia="Calibri" w:cs="FrankRuehl" w:hint="cs"/>
          <w:sz w:val="18"/>
          <w:szCs w:val="22"/>
          <w:rtl/>
        </w:rPr>
        <w:t>וב</w:t>
      </w:r>
      <w:r w:rsidRPr="00F41E78">
        <w:rPr>
          <w:rFonts w:eastAsia="Calibri" w:cs="FrankRuehl"/>
          <w:sz w:val="18"/>
          <w:szCs w:val="22"/>
          <w:rtl/>
        </w:rPr>
        <w:t>-58.</w:t>
      </w:r>
      <w:r w:rsidR="009B6784">
        <w:rPr>
          <w:rFonts w:eastAsia="Calibri" w:cs="FrankRuehl" w:hint="cs"/>
          <w:sz w:val="18"/>
          <w:szCs w:val="22"/>
          <w:rtl/>
        </w:rPr>
        <w:t>6</w:t>
      </w:r>
      <w:r w:rsidRPr="00F41E78">
        <w:rPr>
          <w:rFonts w:eastAsia="Calibri" w:cs="FrankRuehl"/>
          <w:sz w:val="18"/>
          <w:szCs w:val="22"/>
          <w:rtl/>
        </w:rPr>
        <w:t xml:space="preserve">% </w:t>
      </w:r>
      <w:r w:rsidRPr="00F41E78">
        <w:rPr>
          <w:rFonts w:eastAsia="Calibri" w:cs="FrankRuehl" w:hint="cs"/>
          <w:sz w:val="18"/>
          <w:szCs w:val="22"/>
          <w:rtl/>
        </w:rPr>
        <w:t>מהמקרים</w:t>
      </w:r>
      <w:r w:rsidRPr="00F41E78">
        <w:rPr>
          <w:rFonts w:eastAsia="Calibri" w:cs="FrankRuehl"/>
          <w:sz w:val="18"/>
          <w:szCs w:val="22"/>
          <w:rtl/>
        </w:rPr>
        <w:t xml:space="preserve">, </w:t>
      </w:r>
      <w:r w:rsidRPr="00F41E78">
        <w:rPr>
          <w:rFonts w:eastAsia="Calibri" w:cs="FrankRuehl" w:hint="cs"/>
          <w:sz w:val="18"/>
          <w:szCs w:val="22"/>
          <w:rtl/>
        </w:rPr>
        <w:t>לפחות</w:t>
      </w:r>
      <w:r w:rsidRPr="00F41E78">
        <w:rPr>
          <w:rFonts w:eastAsia="Calibri" w:cs="FrankRuehl"/>
          <w:sz w:val="18"/>
          <w:szCs w:val="22"/>
          <w:rtl/>
        </w:rPr>
        <w:t xml:space="preserve"> </w:t>
      </w:r>
      <w:r w:rsidRPr="00F41E78">
        <w:rPr>
          <w:rFonts w:eastAsia="Calibri" w:cs="FrankRuehl" w:hint="cs"/>
          <w:sz w:val="18"/>
          <w:szCs w:val="22"/>
          <w:rtl/>
        </w:rPr>
        <w:t>אחד</w:t>
      </w:r>
      <w:r w:rsidRPr="00F41E78">
        <w:rPr>
          <w:rFonts w:eastAsia="Calibri" w:cs="FrankRuehl"/>
          <w:sz w:val="18"/>
          <w:szCs w:val="22"/>
          <w:rtl/>
        </w:rPr>
        <w:t xml:space="preserve"> </w:t>
      </w:r>
      <w:r w:rsidRPr="00F41E78">
        <w:rPr>
          <w:rFonts w:eastAsia="Calibri" w:cs="FrankRuehl" w:hint="cs"/>
          <w:sz w:val="18"/>
          <w:szCs w:val="22"/>
          <w:rtl/>
        </w:rPr>
        <w:t>השדות</w:t>
      </w:r>
      <w:r w:rsidRPr="00F41E78">
        <w:rPr>
          <w:rFonts w:eastAsia="Calibri" w:cs="FrankRuehl"/>
          <w:sz w:val="18"/>
          <w:szCs w:val="22"/>
          <w:rtl/>
        </w:rPr>
        <w:t xml:space="preserve"> </w:t>
      </w:r>
      <w:r w:rsidRPr="00F41E78">
        <w:rPr>
          <w:rFonts w:eastAsia="Calibri" w:cs="FrankRuehl" w:hint="cs"/>
          <w:sz w:val="18"/>
          <w:szCs w:val="22"/>
          <w:rtl/>
        </w:rPr>
        <w:t>שלא</w:t>
      </w:r>
      <w:r w:rsidRPr="00F41E78">
        <w:rPr>
          <w:rFonts w:eastAsia="Calibri" w:cs="FrankRuehl"/>
          <w:sz w:val="18"/>
          <w:szCs w:val="22"/>
          <w:rtl/>
        </w:rPr>
        <w:t xml:space="preserve"> </w:t>
      </w:r>
      <w:r w:rsidR="009B6784">
        <w:rPr>
          <w:rFonts w:eastAsia="Calibri" w:cs="FrankRuehl" w:hint="cs"/>
          <w:sz w:val="18"/>
          <w:szCs w:val="22"/>
          <w:rtl/>
        </w:rPr>
        <w:t>נרשם</w:t>
      </w:r>
      <w:r w:rsidRPr="00F41E78">
        <w:rPr>
          <w:rFonts w:eastAsia="Calibri" w:cs="FrankRuehl"/>
          <w:sz w:val="18"/>
          <w:szCs w:val="22"/>
          <w:rtl/>
        </w:rPr>
        <w:t xml:space="preserve"> </w:t>
      </w:r>
      <w:r w:rsidRPr="00F41E78">
        <w:rPr>
          <w:rFonts w:eastAsia="Calibri" w:cs="FrankRuehl" w:hint="cs"/>
          <w:sz w:val="18"/>
          <w:szCs w:val="22"/>
          <w:rtl/>
        </w:rPr>
        <w:t>בטפסים</w:t>
      </w:r>
      <w:r w:rsidRPr="00F41E78">
        <w:rPr>
          <w:rFonts w:eastAsia="Calibri" w:cs="FrankRuehl"/>
          <w:sz w:val="18"/>
          <w:szCs w:val="22"/>
          <w:rtl/>
        </w:rPr>
        <w:t xml:space="preserve"> </w:t>
      </w:r>
      <w:r w:rsidRPr="00F41E78">
        <w:rPr>
          <w:rFonts w:eastAsia="Calibri" w:cs="FrankRuehl" w:hint="cs"/>
          <w:sz w:val="18"/>
          <w:szCs w:val="22"/>
          <w:rtl/>
        </w:rPr>
        <w:t>הידניים</w:t>
      </w:r>
      <w:r w:rsidRPr="00F41E78">
        <w:rPr>
          <w:rFonts w:eastAsia="Calibri" w:cs="FrankRuehl"/>
          <w:sz w:val="18"/>
          <w:szCs w:val="22"/>
          <w:rtl/>
        </w:rPr>
        <w:t xml:space="preserve"> </w:t>
      </w:r>
      <w:r w:rsidRPr="00F41E78">
        <w:rPr>
          <w:rFonts w:eastAsia="Calibri" w:cs="FrankRuehl" w:hint="cs"/>
          <w:sz w:val="18"/>
          <w:szCs w:val="22"/>
          <w:rtl/>
        </w:rPr>
        <w:t>הוזן</w:t>
      </w:r>
      <w:r w:rsidRPr="00F41E78">
        <w:rPr>
          <w:rFonts w:eastAsia="Calibri" w:cs="FrankRuehl"/>
          <w:sz w:val="18"/>
          <w:szCs w:val="22"/>
          <w:rtl/>
        </w:rPr>
        <w:t xml:space="preserve"> </w:t>
      </w:r>
      <w:r w:rsidRPr="00F41E78">
        <w:rPr>
          <w:rFonts w:eastAsia="Calibri" w:cs="FrankRuehl" w:hint="cs"/>
          <w:sz w:val="18"/>
          <w:szCs w:val="22"/>
          <w:rtl/>
        </w:rPr>
        <w:t>בקובץ</w:t>
      </w:r>
      <w:r w:rsidRPr="00F41E78">
        <w:rPr>
          <w:rFonts w:eastAsia="Calibri" w:cs="FrankRuehl"/>
          <w:sz w:val="18"/>
          <w:szCs w:val="22"/>
          <w:rtl/>
        </w:rPr>
        <w:t xml:space="preserve"> </w:t>
      </w:r>
      <w:r w:rsidRPr="00F41E78">
        <w:rPr>
          <w:rFonts w:eastAsia="Calibri" w:cs="FrankRuehl" w:hint="cs"/>
          <w:sz w:val="18"/>
          <w:szCs w:val="22"/>
          <w:rtl/>
        </w:rPr>
        <w:t>הכרמ</w:t>
      </w:r>
      <w:r w:rsidRPr="00F41E78">
        <w:rPr>
          <w:rFonts w:eastAsia="Calibri" w:cs="FrankRuehl"/>
          <w:sz w:val="18"/>
          <w:szCs w:val="22"/>
          <w:rtl/>
        </w:rPr>
        <w:t>"</w:t>
      </w:r>
      <w:r w:rsidRPr="00F41E78">
        <w:rPr>
          <w:rFonts w:eastAsia="Calibri" w:cs="FrankRuehl" w:hint="cs"/>
          <w:sz w:val="18"/>
          <w:szCs w:val="22"/>
          <w:rtl/>
        </w:rPr>
        <w:t>ן</w:t>
      </w:r>
      <w:r w:rsidRPr="00F41E78">
        <w:rPr>
          <w:rFonts w:eastAsia="Calibri" w:cs="FrankRuehl"/>
          <w:sz w:val="18"/>
          <w:szCs w:val="22"/>
          <w:rtl/>
        </w:rPr>
        <w:t>.</w:t>
      </w:r>
      <w:r w:rsidRPr="00F41E78">
        <w:rPr>
          <w:rFonts w:eastAsia="Calibri" w:cs="FrankRuehl" w:hint="cs"/>
          <w:sz w:val="18"/>
          <w:szCs w:val="22"/>
          <w:rtl/>
        </w:rPr>
        <w:t xml:space="preserve"> </w:t>
      </w:r>
    </w:p>
    <w:p w:rsidR="00143E57" w:rsidRPr="00687567" w:rsidP="00377B7D">
      <w:pPr>
        <w:spacing w:after="240" w:line="240" w:lineRule="atLeast"/>
        <w:jc w:val="center"/>
        <w:rPr>
          <w:rFonts w:ascii="Arial" w:eastAsia="Calibri" w:hAnsi="Arial" w:cs="Arial"/>
          <w:sz w:val="22"/>
          <w:szCs w:val="20"/>
          <w:rtl/>
        </w:rPr>
      </w:pPr>
      <w:r>
        <w:rPr>
          <w:rFonts w:ascii="Arial" w:hAnsi="Arial" w:cs="Arial"/>
          <w:noProof/>
        </w:rPr>
        <w:pict>
          <v:shape id="_x0000_i1037" type="#_x0000_t75" style="width:340pt;height:204.5pt">
            <v:imagedata r:id="rId25" o:title="A2-1-Cx"/>
          </v:shape>
        </w:pict>
      </w:r>
    </w:p>
    <w:p w:rsidR="00E97EDA" w:rsidRPr="00377B7D" w:rsidP="000E4311">
      <w:pPr>
        <w:pStyle w:val="BodyText"/>
        <w:spacing w:before="0" w:after="240"/>
        <w:rPr>
          <w:rFonts w:eastAsia="Calibri"/>
          <w:sz w:val="18"/>
          <w:rtl/>
        </w:rPr>
      </w:pPr>
      <w:r w:rsidRPr="00377B7D">
        <w:rPr>
          <w:rFonts w:eastAsia="Calibri" w:hint="cs"/>
          <w:sz w:val="18"/>
          <w:rtl/>
        </w:rPr>
        <w:t>להלן בתרשים 2 התפלגות המקרים שבהם לא נמצאה התאמה מלאה בין הנתונים שבטפסים לנתונים שבקובץ הכרמ"ן. ניתן לראות כי ב-44.</w:t>
      </w:r>
      <w:r w:rsidR="000E4311">
        <w:rPr>
          <w:rFonts w:eastAsia="Calibri" w:hint="cs"/>
          <w:sz w:val="18"/>
          <w:rtl/>
        </w:rPr>
        <w:t>1</w:t>
      </w:r>
      <w:r w:rsidRPr="00377B7D">
        <w:rPr>
          <w:rFonts w:eastAsia="Calibri" w:hint="cs"/>
          <w:sz w:val="18"/>
          <w:rtl/>
        </w:rPr>
        <w:t>% מהמקרים הייתה אי-התאמה בשני שדות או יותר, ומכאן שלא ניתן לדעת אם הפרמטרים המהווים חלק ממאפייני הדירה שבהם מתחשבים לצורך מדידת השינוי במחירי הדירות אכן נכונים.</w:t>
      </w:r>
    </w:p>
    <w:p w:rsidR="00143E57" w:rsidRPr="00687567" w:rsidP="00377B7D">
      <w:pPr>
        <w:spacing w:after="240" w:line="240" w:lineRule="atLeast"/>
        <w:jc w:val="center"/>
        <w:rPr>
          <w:rFonts w:ascii="Arial" w:eastAsia="Calibri" w:hAnsi="Arial" w:cs="Arial"/>
          <w:u w:val="single"/>
          <w:rtl/>
        </w:rPr>
      </w:pPr>
      <w:r>
        <w:rPr>
          <w:rFonts w:ascii="Arial" w:hAnsi="Arial" w:cs="Arial"/>
          <w:noProof/>
        </w:rPr>
        <w:pict>
          <v:shape id="_x0000_i1038" type="#_x0000_t75" style="width:340pt;height:204.5pt">
            <v:imagedata r:id="rId26" o:title="A2-2-Cx"/>
          </v:shape>
        </w:pic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 xml:space="preserve">מינהל הכנסות המדינה בדק גם את אופן מילוי הנתונים החסרים ומצא כי במקרים שהמפקחים מילאו בעצמם בטפסים את הנתונים החסרים בשדות, הייתה שונות ניכרת בנתונים ובהתפלגותם לעומת שדות שמולאו על סמך נתונים שדווחו בטופסי ההצהרה. למשל, בהיעדר הנתון על מספר </w:t>
      </w:r>
      <w:r w:rsidRPr="00F41E78">
        <w:rPr>
          <w:rFonts w:eastAsia="Calibri" w:cs="FrankRuehl" w:hint="cs"/>
          <w:sz w:val="18"/>
          <w:szCs w:val="22"/>
          <w:rtl/>
        </w:rPr>
        <w:t>החדרים מילאו המפקחים מספר שאינו משקף את המצב בפועל והביא לידי סטייה ניכרת במתאם שבין מספר החדרים לשטח הנכס.</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בנובמבר 2011, לאחר קבלת נתוני בקרת הזנת הכרמ"ן, מינה מנהל רשות המסים דאז ועדה בראשותו של הממונה על מיסוי מקרקעין ברשות המסים (להלן - ועדת גלצר) לצורך בחינה ויישום של דיווח מקוון במיסוי מקרקעין. במרץ 2012 הגישה הוועדה את מסקנותיה. בהמלצות הוועדה נכתב בין היתר כי "הוועדה ממליצה פה אחד על מעבר למילוי הצהרה למיסוי מקרקעין באופן מקוון". עוד הומלץ כי "בכל מקטע של הדוח יהיה על המייצג להזין סידרת נתונים ורק לאחר שמילא אותם כהלכה יוכל להמשיך. בדרך זו יהיה על המייצג למלא רק את הפרטים ההכרחיים להצהרה ומאידך, כל הפרטים יכללו בדו"ח ולא ניתן יהיה להגיש דוח חלקי/חסר".</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ועדת גלצר המליצה על בקרות שייעשו בעת שמייצגי הצדדים בעסקאות יזינו את הנתונים למערכת חדשה שתוקם לדיווח מקוון על ידי המייצגים. בקרות באמצעות הצלבת הנתונים הרלוונטיים עם נתוני הארנונה ועם חוות הדעת השמאית המוגשת לבנקים לצורכי משכנתה, המפרטת נתונים הדרושים למערכת הכרמ"ן, כמו שטח הנכס, הקומה, מספר החדרים והצמדות שטחים לנכס (חניות וגג הבניין). הוועדה המליצה לבצע תיקון בחקיקה שעל פיו מייצג יהיה חייב להעביר את הדיווחים באופן מקוון, והצרופות לדיווחיו יהיו סרוקות. בריכוז המלצות הוועדה נכתב בין היתר כי לצורך הפעלת מערכת הדיווח המקוון לפני סוף 2012 תידרש הקצאת כוח אדם מידית של</w:t>
      </w:r>
      <w:r w:rsidRPr="00F41E78">
        <w:rPr>
          <w:rFonts w:eastAsia="Calibri" w:cs="FrankRuehl"/>
          <w:sz w:val="18"/>
          <w:szCs w:val="22"/>
          <w:rtl/>
        </w:rPr>
        <w:t xml:space="preserve"> </w:t>
      </w:r>
      <w:r w:rsidRPr="00F41E78">
        <w:rPr>
          <w:rFonts w:eastAsia="Calibri" w:cs="FrankRuehl" w:hint="cs"/>
          <w:sz w:val="18"/>
          <w:szCs w:val="22"/>
          <w:rtl/>
        </w:rPr>
        <w:t>שמונה</w:t>
      </w:r>
      <w:r w:rsidRPr="00F41E78">
        <w:rPr>
          <w:rFonts w:eastAsia="Calibri" w:cs="FrankRuehl"/>
          <w:sz w:val="18"/>
          <w:szCs w:val="22"/>
          <w:rtl/>
        </w:rPr>
        <w:t xml:space="preserve"> </w:t>
      </w:r>
      <w:r w:rsidRPr="00F41E78">
        <w:rPr>
          <w:rFonts w:eastAsia="Calibri" w:cs="FrankRuehl" w:hint="cs"/>
          <w:sz w:val="18"/>
          <w:szCs w:val="22"/>
          <w:rtl/>
        </w:rPr>
        <w:t>שנות</w:t>
      </w:r>
      <w:r w:rsidRPr="00F41E78">
        <w:rPr>
          <w:rFonts w:eastAsia="Calibri" w:cs="FrankRuehl"/>
          <w:sz w:val="18"/>
          <w:szCs w:val="22"/>
          <w:rtl/>
        </w:rPr>
        <w:t xml:space="preserve"> </w:t>
      </w:r>
      <w:r w:rsidRPr="00F41E78">
        <w:rPr>
          <w:rFonts w:eastAsia="Calibri" w:cs="FrankRuehl" w:hint="cs"/>
          <w:sz w:val="18"/>
          <w:szCs w:val="22"/>
          <w:rtl/>
        </w:rPr>
        <w:t>אדם ליחידת שע"ם</w:t>
      </w:r>
      <w:r>
        <w:rPr>
          <w:rFonts w:eastAsia="Calibri" w:cs="FrankRuehl"/>
          <w:sz w:val="18"/>
          <w:szCs w:val="22"/>
          <w:vertAlign w:val="superscript"/>
          <w:rtl/>
        </w:rPr>
        <w:footnoteReference w:id="64"/>
      </w:r>
      <w:r w:rsidRPr="00F41E78">
        <w:rPr>
          <w:rFonts w:eastAsia="Calibri" w:cs="FrankRuehl" w:hint="cs"/>
          <w:sz w:val="18"/>
          <w:szCs w:val="22"/>
          <w:rtl/>
        </w:rPr>
        <w:t xml:space="preserve">. </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בלוח 1</w:t>
      </w:r>
      <w:r w:rsidRPr="00F41E78">
        <w:rPr>
          <w:rFonts w:eastAsia="Calibri" w:cs="FrankRuehl"/>
          <w:sz w:val="18"/>
          <w:szCs w:val="22"/>
          <w:rtl/>
        </w:rPr>
        <w:t xml:space="preserve"> </w:t>
      </w:r>
      <w:r w:rsidRPr="00F41E78">
        <w:rPr>
          <w:rFonts w:eastAsia="Calibri" w:cs="FrankRuehl" w:hint="cs"/>
          <w:sz w:val="18"/>
          <w:szCs w:val="22"/>
          <w:rtl/>
        </w:rPr>
        <w:t xml:space="preserve">להלן מובאת השוואה שעשה משרד מבקר המדינה בין הנתונים על נכסים שנמכרו בשנת 2012 והוזנו בקובץ הכרמ"ן בשנת 2012 ובין הנתונים של אותם הנכסים שכבר נמכרו בשנים </w:t>
      </w:r>
      <w:r w:rsidR="00F95926">
        <w:rPr>
          <w:rFonts w:eastAsia="Calibri" w:cs="FrankRuehl"/>
          <w:sz w:val="18"/>
          <w:szCs w:val="22"/>
        </w:rPr>
        <w:br/>
      </w:r>
      <w:r w:rsidRPr="00F41E78">
        <w:rPr>
          <w:rFonts w:eastAsia="Calibri" w:cs="FrankRuehl" w:hint="cs"/>
          <w:sz w:val="18"/>
          <w:szCs w:val="22"/>
          <w:rtl/>
        </w:rPr>
        <w:t>2011-2003 והוזנו לקובץ הכרמ"ן באותן שנים (בדיקה של "מכירות חוזרות")</w:t>
      </w:r>
      <w:r>
        <w:rPr>
          <w:rFonts w:eastAsia="Calibri" w:cs="FrankRuehl"/>
          <w:sz w:val="18"/>
          <w:szCs w:val="22"/>
          <w:vertAlign w:val="superscript"/>
          <w:rtl/>
        </w:rPr>
        <w:footnoteReference w:id="65"/>
      </w:r>
      <w:r w:rsidRPr="00F41E78">
        <w:rPr>
          <w:rFonts w:eastAsia="Calibri" w:cs="FrankRuehl" w:hint="cs"/>
          <w:sz w:val="18"/>
          <w:szCs w:val="22"/>
          <w:rtl/>
        </w:rPr>
        <w:t>:</w:t>
      </w:r>
    </w:p>
    <w:p w:rsidR="00E97EDA" w:rsidP="005D58C9">
      <w:pPr>
        <w:pStyle w:val="tab-name"/>
        <w:rPr>
          <w:rFonts w:eastAsia="Calibri"/>
          <w:rtl/>
        </w:rPr>
      </w:pPr>
      <w:r w:rsidRPr="00377B7D">
        <w:rPr>
          <w:rFonts w:eastAsia="Calibri" w:hint="cs"/>
          <w:b w:val="0"/>
          <w:bCs w:val="0"/>
          <w:sz w:val="20"/>
          <w:szCs w:val="20"/>
          <w:rtl/>
        </w:rPr>
        <w:t xml:space="preserve">לוח </w:t>
      </w:r>
      <w:r w:rsidRPr="00377B7D" w:rsidR="00377B7D">
        <w:rPr>
          <w:rFonts w:eastAsia="Calibri" w:hint="cs"/>
          <w:b w:val="0"/>
          <w:bCs w:val="0"/>
          <w:sz w:val="20"/>
          <w:szCs w:val="20"/>
          <w:rtl/>
        </w:rPr>
        <w:t>1</w:t>
      </w:r>
      <w:r w:rsidRPr="00377B7D" w:rsidR="00377B7D">
        <w:rPr>
          <w:rFonts w:eastAsia="Calibri"/>
          <w:b w:val="0"/>
          <w:bCs w:val="0"/>
          <w:sz w:val="20"/>
          <w:szCs w:val="20"/>
          <w:rtl/>
        </w:rPr>
        <w:br/>
      </w:r>
      <w:r w:rsidRPr="002963AC">
        <w:rPr>
          <w:rFonts w:eastAsia="Calibri" w:hint="cs"/>
          <w:rtl/>
        </w:rPr>
        <w:t>מידת ההתאמה של</w:t>
      </w:r>
      <w:r w:rsidRPr="002963AC">
        <w:rPr>
          <w:rFonts w:eastAsia="Calibri"/>
          <w:rtl/>
        </w:rPr>
        <w:t xml:space="preserve"> </w:t>
      </w:r>
      <w:r w:rsidRPr="002963AC">
        <w:rPr>
          <w:rFonts w:eastAsia="Calibri" w:hint="cs"/>
          <w:rtl/>
        </w:rPr>
        <w:t>נתוני נכסים ב</w:t>
      </w:r>
      <w:r w:rsidRPr="002963AC">
        <w:rPr>
          <w:rFonts w:eastAsia="Calibri"/>
          <w:rtl/>
        </w:rPr>
        <w:t xml:space="preserve">קובץ </w:t>
      </w:r>
      <w:r w:rsidRPr="002963AC">
        <w:rPr>
          <w:rFonts w:eastAsia="Calibri" w:hint="cs"/>
          <w:rtl/>
        </w:rPr>
        <w:t>ה</w:t>
      </w:r>
      <w:r w:rsidRPr="002963AC">
        <w:rPr>
          <w:rFonts w:eastAsia="Calibri"/>
          <w:rtl/>
        </w:rPr>
        <w:t xml:space="preserve">כרמ"ן </w:t>
      </w:r>
      <w:r w:rsidRPr="002963AC">
        <w:rPr>
          <w:rFonts w:eastAsia="Calibri" w:hint="cs"/>
          <w:rtl/>
        </w:rPr>
        <w:t xml:space="preserve">שהוזנו בשנת </w:t>
      </w:r>
      <w:r w:rsidRPr="002963AC">
        <w:rPr>
          <w:rFonts w:eastAsia="Calibri"/>
          <w:rtl/>
        </w:rPr>
        <w:t xml:space="preserve">2012 </w:t>
      </w:r>
      <w:r w:rsidRPr="002963AC">
        <w:rPr>
          <w:rFonts w:eastAsia="Calibri"/>
        </w:rPr>
        <w:br/>
      </w:r>
      <w:r w:rsidRPr="002963AC">
        <w:rPr>
          <w:rFonts w:eastAsia="Calibri" w:hint="cs"/>
          <w:rtl/>
        </w:rPr>
        <w:t>ובין הנתונים של אותם הנכסים שהוזנו בשנים 2011-2003*</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000"/>
      </w:tblPr>
      <w:tblGrid>
        <w:gridCol w:w="2983"/>
        <w:gridCol w:w="3708"/>
      </w:tblGrid>
      <w:tr w:rsidTr="00F95926">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000"/>
        </w:tblPrEx>
        <w:trPr>
          <w:jc w:val="center"/>
        </w:trPr>
        <w:tc>
          <w:tcPr>
            <w:tcW w:w="2281" w:type="dxa"/>
            <w:tcBorders>
              <w:top w:val="single" w:sz="12" w:space="0" w:color="auto"/>
              <w:bottom w:val="single" w:sz="12" w:space="0" w:color="auto"/>
            </w:tcBorders>
            <w:shd w:val="pct10" w:color="auto" w:fill="auto"/>
            <w:noWrap/>
            <w:vAlign w:val="bottom"/>
          </w:tcPr>
          <w:p w:rsidR="00E97EDA" w:rsidRPr="00377B7D" w:rsidP="00F95926">
            <w:pPr>
              <w:bidi w:val="0"/>
              <w:spacing w:before="40" w:after="40" w:line="200" w:lineRule="exact"/>
              <w:rPr>
                <w:rFonts w:ascii="Arial" w:hAnsi="Arial" w:cs="FrankRuehl"/>
                <w:sz w:val="20"/>
                <w:szCs w:val="20"/>
              </w:rPr>
            </w:pPr>
            <w:r w:rsidRPr="00377B7D">
              <w:rPr>
                <w:rFonts w:ascii="Arial" w:hAnsi="Arial" w:cs="FrankRuehl"/>
                <w:sz w:val="20"/>
                <w:szCs w:val="20"/>
              </w:rPr>
              <w:t> </w:t>
            </w:r>
          </w:p>
        </w:tc>
        <w:tc>
          <w:tcPr>
            <w:tcW w:w="2835" w:type="dxa"/>
            <w:tcBorders>
              <w:top w:val="single" w:sz="12" w:space="0" w:color="auto"/>
              <w:bottom w:val="single" w:sz="12" w:space="0" w:color="auto"/>
            </w:tcBorders>
            <w:shd w:val="pct10" w:color="auto" w:fill="auto"/>
            <w:noWrap/>
            <w:vAlign w:val="bottom"/>
          </w:tcPr>
          <w:p w:rsidR="00E97EDA" w:rsidRPr="00377B7D" w:rsidP="00F95926">
            <w:pPr>
              <w:spacing w:before="40" w:after="40" w:line="200" w:lineRule="exact"/>
              <w:jc w:val="center"/>
              <w:rPr>
                <w:rFonts w:ascii="Arial" w:hAnsi="Arial" w:cs="FrankRuehl"/>
                <w:b/>
                <w:bCs/>
                <w:sz w:val="20"/>
                <w:szCs w:val="20"/>
              </w:rPr>
            </w:pPr>
            <w:r w:rsidRPr="00377B7D">
              <w:rPr>
                <w:rFonts w:ascii="Arial" w:hAnsi="Arial" w:cs="FrankRuehl" w:hint="cs"/>
                <w:b/>
                <w:bCs/>
                <w:sz w:val="20"/>
                <w:szCs w:val="20"/>
                <w:rtl/>
              </w:rPr>
              <w:t xml:space="preserve">מידת ההתאמה </w:t>
            </w:r>
            <w:r w:rsidRPr="00377B7D">
              <w:rPr>
                <w:rFonts w:ascii="Arial" w:hAnsi="Arial" w:cs="FrankRuehl"/>
                <w:b/>
                <w:bCs/>
                <w:sz w:val="20"/>
                <w:szCs w:val="20"/>
                <w:rtl/>
              </w:rPr>
              <w:br/>
            </w:r>
            <w:r w:rsidRPr="00377B7D">
              <w:rPr>
                <w:rFonts w:ascii="Arial" w:hAnsi="Arial" w:cs="FrankRuehl" w:hint="cs"/>
                <w:b/>
                <w:bCs/>
                <w:sz w:val="20"/>
                <w:szCs w:val="20"/>
                <w:rtl/>
              </w:rPr>
              <w:t>(אחוזים)</w:t>
            </w:r>
          </w:p>
        </w:tc>
      </w:tr>
      <w:tr w:rsidTr="00F95926">
        <w:tblPrEx>
          <w:tblW w:w="6691" w:type="dxa"/>
          <w:jc w:val="center"/>
          <w:tblLook w:val="0000"/>
        </w:tblPrEx>
        <w:trPr>
          <w:jc w:val="center"/>
        </w:trPr>
        <w:tc>
          <w:tcPr>
            <w:tcW w:w="2281" w:type="dxa"/>
            <w:tcBorders>
              <w:top w:val="single" w:sz="12" w:space="0" w:color="auto"/>
            </w:tcBorders>
            <w:shd w:val="clear" w:color="auto" w:fill="auto"/>
            <w:noWrap/>
            <w:vAlign w:val="bottom"/>
          </w:tcPr>
          <w:p w:rsidR="00E97EDA" w:rsidRPr="00F95926" w:rsidP="00F95926">
            <w:pPr>
              <w:pStyle w:val="FootnoteText"/>
              <w:spacing w:before="40" w:after="40" w:line="200" w:lineRule="exact"/>
              <w:rPr>
                <w:rFonts w:ascii="Arial" w:hAnsi="Arial" w:cs="FrankRuehl"/>
                <w:rtl/>
              </w:rPr>
            </w:pPr>
            <w:r w:rsidRPr="00F95926">
              <w:rPr>
                <w:rFonts w:ascii="Arial" w:hAnsi="Arial" w:cs="FrankRuehl" w:hint="cs"/>
                <w:rtl/>
              </w:rPr>
              <w:t>שטח הנכס נטו</w:t>
            </w:r>
          </w:p>
        </w:tc>
        <w:tc>
          <w:tcPr>
            <w:tcW w:w="2835" w:type="dxa"/>
            <w:tcBorders>
              <w:top w:val="single" w:sz="12" w:space="0" w:color="auto"/>
            </w:tcBorders>
            <w:shd w:val="clear" w:color="auto" w:fill="auto"/>
            <w:noWrap/>
            <w:vAlign w:val="bottom"/>
          </w:tcPr>
          <w:p w:rsidR="00E97EDA" w:rsidRPr="00F95926" w:rsidP="00F95926">
            <w:pPr>
              <w:spacing w:before="40" w:after="40" w:line="200" w:lineRule="exact"/>
              <w:ind w:left="1534"/>
              <w:rPr>
                <w:rFonts w:ascii="FrankRuehl" w:hAnsi="FrankRuehl" w:cs="FrankRuehl"/>
                <w:sz w:val="20"/>
                <w:szCs w:val="20"/>
              </w:rPr>
            </w:pPr>
            <w:r w:rsidRPr="00F95926">
              <w:rPr>
                <w:rFonts w:ascii="FrankRuehl" w:hAnsi="FrankRuehl" w:cs="FrankRuehl"/>
                <w:sz w:val="20"/>
                <w:szCs w:val="20"/>
              </w:rPr>
              <w:t>22.1</w:t>
            </w:r>
            <w:r w:rsidRPr="00F95926">
              <w:rPr>
                <w:rFonts w:ascii="FrankRuehl" w:hAnsi="FrankRuehl" w:cs="FrankRuehl" w:hint="cs"/>
                <w:sz w:val="20"/>
                <w:szCs w:val="20"/>
                <w:rtl/>
              </w:rPr>
              <w:t xml:space="preserve"> **</w:t>
            </w:r>
          </w:p>
        </w:tc>
      </w:tr>
      <w:tr w:rsidTr="00F95926">
        <w:tblPrEx>
          <w:tblW w:w="6691" w:type="dxa"/>
          <w:jc w:val="center"/>
          <w:tblLook w:val="0000"/>
        </w:tblPrEx>
        <w:trPr>
          <w:jc w:val="center"/>
        </w:trPr>
        <w:tc>
          <w:tcPr>
            <w:tcW w:w="2281" w:type="dxa"/>
            <w:shd w:val="clear" w:color="auto" w:fill="auto"/>
            <w:noWrap/>
            <w:vAlign w:val="bottom"/>
          </w:tcPr>
          <w:p w:rsidR="00E97EDA" w:rsidRPr="00F95926" w:rsidP="00F95926">
            <w:pPr>
              <w:spacing w:before="40" w:after="40" w:line="200" w:lineRule="exact"/>
              <w:rPr>
                <w:rFonts w:ascii="Arial" w:hAnsi="Arial" w:cs="FrankRuehl"/>
                <w:sz w:val="20"/>
                <w:szCs w:val="20"/>
              </w:rPr>
            </w:pPr>
            <w:r w:rsidRPr="00F95926">
              <w:rPr>
                <w:rFonts w:ascii="Arial" w:hAnsi="Arial" w:cs="FrankRuehl" w:hint="cs"/>
                <w:sz w:val="20"/>
                <w:szCs w:val="20"/>
                <w:rtl/>
              </w:rPr>
              <w:t>מספר החדרים</w:t>
            </w:r>
          </w:p>
        </w:tc>
        <w:tc>
          <w:tcPr>
            <w:tcW w:w="2835" w:type="dxa"/>
            <w:shd w:val="clear" w:color="auto" w:fill="auto"/>
            <w:noWrap/>
            <w:vAlign w:val="bottom"/>
          </w:tcPr>
          <w:p w:rsidR="00E97EDA" w:rsidRPr="00F95926" w:rsidP="00F95926">
            <w:pPr>
              <w:spacing w:before="40" w:after="40" w:line="200" w:lineRule="exact"/>
              <w:ind w:left="1534"/>
              <w:rPr>
                <w:rFonts w:ascii="FrankRuehl" w:hAnsi="FrankRuehl" w:cs="FrankRuehl"/>
                <w:sz w:val="20"/>
                <w:szCs w:val="20"/>
              </w:rPr>
            </w:pPr>
            <w:r w:rsidRPr="00F95926">
              <w:rPr>
                <w:rFonts w:ascii="FrankRuehl" w:hAnsi="FrankRuehl" w:cs="FrankRuehl" w:hint="cs"/>
                <w:sz w:val="20"/>
                <w:szCs w:val="20"/>
                <w:rtl/>
              </w:rPr>
              <w:t>50.0</w:t>
            </w:r>
          </w:p>
        </w:tc>
      </w:tr>
      <w:tr w:rsidTr="00F95926">
        <w:tblPrEx>
          <w:tblW w:w="6691" w:type="dxa"/>
          <w:jc w:val="center"/>
          <w:tblLook w:val="0000"/>
        </w:tblPrEx>
        <w:trPr>
          <w:jc w:val="center"/>
        </w:trPr>
        <w:tc>
          <w:tcPr>
            <w:tcW w:w="2281" w:type="dxa"/>
            <w:shd w:val="clear" w:color="auto" w:fill="auto"/>
            <w:noWrap/>
            <w:vAlign w:val="bottom"/>
          </w:tcPr>
          <w:p w:rsidR="00E97EDA" w:rsidRPr="00F95926" w:rsidP="00F95926">
            <w:pPr>
              <w:spacing w:before="40" w:after="40" w:line="200" w:lineRule="exact"/>
              <w:rPr>
                <w:rFonts w:ascii="Arial" w:hAnsi="Arial" w:cs="FrankRuehl"/>
                <w:sz w:val="20"/>
                <w:szCs w:val="20"/>
              </w:rPr>
            </w:pPr>
            <w:r w:rsidRPr="00F95926">
              <w:rPr>
                <w:rFonts w:ascii="Arial" w:hAnsi="Arial" w:cs="FrankRuehl" w:hint="cs"/>
                <w:sz w:val="20"/>
                <w:szCs w:val="20"/>
                <w:rtl/>
              </w:rPr>
              <w:t>שנת הבנייה</w:t>
            </w:r>
          </w:p>
        </w:tc>
        <w:tc>
          <w:tcPr>
            <w:tcW w:w="2835" w:type="dxa"/>
            <w:shd w:val="clear" w:color="auto" w:fill="auto"/>
            <w:noWrap/>
            <w:vAlign w:val="bottom"/>
          </w:tcPr>
          <w:p w:rsidR="00E97EDA" w:rsidRPr="00F95926" w:rsidP="00F95926">
            <w:pPr>
              <w:spacing w:before="40" w:after="40" w:line="200" w:lineRule="exact"/>
              <w:ind w:left="1534"/>
              <w:rPr>
                <w:rFonts w:ascii="FrankRuehl" w:hAnsi="FrankRuehl" w:cs="FrankRuehl"/>
                <w:sz w:val="20"/>
                <w:szCs w:val="20"/>
              </w:rPr>
            </w:pPr>
            <w:r w:rsidRPr="00F95926">
              <w:rPr>
                <w:rFonts w:ascii="FrankRuehl" w:hAnsi="FrankRuehl" w:cs="FrankRuehl"/>
                <w:sz w:val="20"/>
                <w:szCs w:val="20"/>
              </w:rPr>
              <w:t>15.5</w:t>
            </w:r>
            <w:r w:rsidRPr="00F95926">
              <w:rPr>
                <w:rFonts w:ascii="FrankRuehl" w:hAnsi="FrankRuehl" w:cs="FrankRuehl" w:hint="cs"/>
                <w:sz w:val="20"/>
                <w:szCs w:val="20"/>
                <w:rtl/>
              </w:rPr>
              <w:t xml:space="preserve"> ***</w:t>
            </w:r>
          </w:p>
        </w:tc>
      </w:tr>
      <w:tr w:rsidTr="00F95926">
        <w:tblPrEx>
          <w:tblW w:w="6691" w:type="dxa"/>
          <w:jc w:val="center"/>
          <w:tblLook w:val="0000"/>
        </w:tblPrEx>
        <w:trPr>
          <w:jc w:val="center"/>
        </w:trPr>
        <w:tc>
          <w:tcPr>
            <w:tcW w:w="2281" w:type="dxa"/>
            <w:shd w:val="clear" w:color="auto" w:fill="auto"/>
            <w:noWrap/>
            <w:vAlign w:val="bottom"/>
          </w:tcPr>
          <w:p w:rsidR="00E97EDA" w:rsidRPr="00F95926" w:rsidP="00F95926">
            <w:pPr>
              <w:spacing w:before="40" w:after="40" w:line="200" w:lineRule="exact"/>
              <w:rPr>
                <w:rFonts w:ascii="Arial" w:hAnsi="Arial" w:cs="FrankRuehl"/>
                <w:sz w:val="20"/>
                <w:szCs w:val="20"/>
              </w:rPr>
            </w:pPr>
            <w:r w:rsidRPr="00F95926">
              <w:rPr>
                <w:rFonts w:ascii="Arial" w:hAnsi="Arial" w:cs="FrankRuehl" w:hint="cs"/>
                <w:sz w:val="20"/>
                <w:szCs w:val="20"/>
                <w:rtl/>
              </w:rPr>
              <w:t>מספר הקומות בבניין</w:t>
            </w:r>
          </w:p>
        </w:tc>
        <w:tc>
          <w:tcPr>
            <w:tcW w:w="2835" w:type="dxa"/>
            <w:shd w:val="clear" w:color="auto" w:fill="auto"/>
            <w:noWrap/>
            <w:vAlign w:val="bottom"/>
          </w:tcPr>
          <w:p w:rsidR="00E97EDA" w:rsidRPr="00F95926" w:rsidP="00F95926">
            <w:pPr>
              <w:spacing w:before="40" w:after="40" w:line="200" w:lineRule="exact"/>
              <w:ind w:left="1534"/>
              <w:rPr>
                <w:rFonts w:ascii="FrankRuehl" w:hAnsi="FrankRuehl" w:cs="FrankRuehl"/>
                <w:sz w:val="20"/>
                <w:szCs w:val="20"/>
              </w:rPr>
            </w:pPr>
            <w:r w:rsidRPr="00F95926">
              <w:rPr>
                <w:rFonts w:ascii="FrankRuehl" w:hAnsi="FrankRuehl" w:cs="FrankRuehl"/>
                <w:sz w:val="20"/>
                <w:szCs w:val="20"/>
              </w:rPr>
              <w:t>47.9</w:t>
            </w:r>
          </w:p>
        </w:tc>
      </w:tr>
    </w:tbl>
    <w:p w:rsidR="00E97EDA" w:rsidRPr="00F95926" w:rsidP="00F95926">
      <w:pPr>
        <w:spacing w:before="120" w:line="200" w:lineRule="exact"/>
        <w:ind w:left="397" w:hanging="397"/>
        <w:jc w:val="both"/>
        <w:rPr>
          <w:rFonts w:cs="FrankRuehl"/>
          <w:sz w:val="20"/>
          <w:szCs w:val="20"/>
          <w:rtl/>
        </w:rPr>
      </w:pPr>
      <w:r w:rsidRPr="00F95926">
        <w:rPr>
          <w:rFonts w:cs="FrankRuehl" w:hint="cs"/>
          <w:sz w:val="20"/>
          <w:szCs w:val="20"/>
          <w:rtl/>
        </w:rPr>
        <w:t>*</w:t>
      </w:r>
      <w:r w:rsidRPr="00F95926">
        <w:rPr>
          <w:rFonts w:cs="FrankRuehl" w:hint="cs"/>
          <w:sz w:val="20"/>
          <w:szCs w:val="20"/>
          <w:rtl/>
        </w:rPr>
        <w:tab/>
        <w:t>לפי</w:t>
      </w:r>
      <w:r w:rsidRPr="00F95926">
        <w:rPr>
          <w:rFonts w:cs="FrankRuehl"/>
          <w:sz w:val="20"/>
          <w:szCs w:val="20"/>
          <w:rtl/>
        </w:rPr>
        <w:t xml:space="preserve"> עיבודי </w:t>
      </w:r>
      <w:r w:rsidRPr="00F95926">
        <w:rPr>
          <w:rFonts w:cs="FrankRuehl" w:hint="cs"/>
          <w:sz w:val="20"/>
          <w:szCs w:val="20"/>
          <w:rtl/>
        </w:rPr>
        <w:t>נתונים</w:t>
      </w:r>
      <w:r w:rsidRPr="00F95926">
        <w:rPr>
          <w:rFonts w:cs="FrankRuehl"/>
          <w:sz w:val="20"/>
          <w:szCs w:val="20"/>
          <w:rtl/>
        </w:rPr>
        <w:t xml:space="preserve"> של </w:t>
      </w:r>
      <w:r w:rsidRPr="00F95926">
        <w:rPr>
          <w:rFonts w:cs="FrankRuehl" w:hint="cs"/>
          <w:sz w:val="20"/>
          <w:szCs w:val="20"/>
          <w:rtl/>
        </w:rPr>
        <w:t>מינהל</w:t>
      </w:r>
      <w:r w:rsidRPr="00F95926">
        <w:rPr>
          <w:rFonts w:cs="FrankRuehl"/>
          <w:sz w:val="20"/>
          <w:szCs w:val="20"/>
          <w:rtl/>
        </w:rPr>
        <w:t xml:space="preserve"> </w:t>
      </w:r>
      <w:r w:rsidRPr="00F95926">
        <w:rPr>
          <w:rFonts w:cs="FrankRuehl" w:hint="cs"/>
          <w:sz w:val="20"/>
          <w:szCs w:val="20"/>
          <w:rtl/>
        </w:rPr>
        <w:t>הכנסות</w:t>
      </w:r>
      <w:r w:rsidRPr="00F95926">
        <w:rPr>
          <w:rFonts w:cs="FrankRuehl"/>
          <w:sz w:val="20"/>
          <w:szCs w:val="20"/>
          <w:rtl/>
        </w:rPr>
        <w:t xml:space="preserve"> </w:t>
      </w:r>
      <w:r w:rsidRPr="00F95926">
        <w:rPr>
          <w:rFonts w:cs="FrankRuehl" w:hint="cs"/>
          <w:sz w:val="20"/>
          <w:szCs w:val="20"/>
          <w:rtl/>
        </w:rPr>
        <w:t>המדינה</w:t>
      </w:r>
    </w:p>
    <w:p w:rsidR="00E97EDA" w:rsidRPr="00F95926" w:rsidP="00F95926">
      <w:pPr>
        <w:spacing w:line="200" w:lineRule="exact"/>
        <w:ind w:left="397" w:hanging="397"/>
        <w:jc w:val="both"/>
        <w:rPr>
          <w:rFonts w:cs="FrankRuehl"/>
          <w:sz w:val="20"/>
          <w:szCs w:val="20"/>
          <w:rtl/>
        </w:rPr>
      </w:pPr>
      <w:r w:rsidRPr="00F95926">
        <w:rPr>
          <w:rFonts w:cs="FrankRuehl" w:hint="cs"/>
          <w:sz w:val="20"/>
          <w:szCs w:val="20"/>
          <w:rtl/>
        </w:rPr>
        <w:t>**</w:t>
      </w:r>
      <w:r w:rsidRPr="00F95926">
        <w:rPr>
          <w:rFonts w:cs="FrankRuehl" w:hint="cs"/>
          <w:sz w:val="20"/>
          <w:szCs w:val="20"/>
          <w:rtl/>
        </w:rPr>
        <w:tab/>
        <w:t>בכ-10% מהמקרים הפער בין השטחים הוא 34 מ"ר ויותר.</w:t>
      </w:r>
    </w:p>
    <w:p w:rsidR="00E97EDA" w:rsidRPr="00F95926" w:rsidP="00F95926">
      <w:pPr>
        <w:spacing w:after="180" w:line="200" w:lineRule="exact"/>
        <w:ind w:left="397" w:hanging="397"/>
        <w:jc w:val="both"/>
        <w:rPr>
          <w:rFonts w:cs="FrankRuehl"/>
          <w:sz w:val="20"/>
          <w:szCs w:val="20"/>
          <w:rtl/>
        </w:rPr>
      </w:pPr>
      <w:r w:rsidRPr="00F95926">
        <w:rPr>
          <w:rFonts w:cs="FrankRuehl" w:hint="cs"/>
          <w:sz w:val="20"/>
          <w:szCs w:val="20"/>
          <w:rtl/>
        </w:rPr>
        <w:t>***</w:t>
      </w:r>
      <w:r w:rsidRPr="00F95926">
        <w:rPr>
          <w:rFonts w:cs="FrankRuehl" w:hint="cs"/>
          <w:sz w:val="20"/>
          <w:szCs w:val="20"/>
          <w:rtl/>
        </w:rPr>
        <w:tab/>
        <w:t>בכ-5% מהמקרים הפער בין שנות הבנייה הוא 20 שנים ויותר.</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דוגמה לחוסר התאמה בנתונים שדווחו בשנים השונות בנוגע לבניין</w:t>
      </w:r>
      <w:r w:rsidRPr="00F41E78">
        <w:rPr>
          <w:rFonts w:eastAsia="Calibri" w:cs="FrankRuehl"/>
          <w:sz w:val="18"/>
          <w:szCs w:val="22"/>
          <w:rtl/>
        </w:rPr>
        <w:t xml:space="preserve"> </w:t>
      </w:r>
      <w:r w:rsidRPr="00F41E78">
        <w:rPr>
          <w:rFonts w:eastAsia="Calibri" w:cs="FrankRuehl" w:hint="cs"/>
          <w:sz w:val="18"/>
          <w:szCs w:val="22"/>
          <w:rtl/>
        </w:rPr>
        <w:t>במרכז הארץ שתצלומו</w:t>
      </w:r>
      <w:r w:rsidRPr="00F41E78">
        <w:rPr>
          <w:rFonts w:eastAsia="Calibri" w:cs="FrankRuehl"/>
          <w:sz w:val="18"/>
          <w:szCs w:val="22"/>
          <w:rtl/>
        </w:rPr>
        <w:t xml:space="preserve"> </w:t>
      </w:r>
      <w:r w:rsidRPr="00F41E78">
        <w:rPr>
          <w:rFonts w:eastAsia="Calibri" w:cs="FrankRuehl" w:hint="cs"/>
          <w:sz w:val="18"/>
          <w:szCs w:val="22"/>
          <w:rtl/>
        </w:rPr>
        <w:t>מובא</w:t>
      </w:r>
      <w:r w:rsidRPr="00F41E78">
        <w:rPr>
          <w:rFonts w:eastAsia="Calibri" w:cs="FrankRuehl"/>
          <w:sz w:val="18"/>
          <w:szCs w:val="22"/>
          <w:rtl/>
        </w:rPr>
        <w:t xml:space="preserve"> </w:t>
      </w:r>
      <w:r w:rsidRPr="00F41E78">
        <w:rPr>
          <w:rFonts w:eastAsia="Calibri" w:cs="FrankRuehl" w:hint="cs"/>
          <w:sz w:val="18"/>
          <w:szCs w:val="22"/>
          <w:rtl/>
        </w:rPr>
        <w:t>להלן. שנת הבנייה של הבניין שבתצלום לפי נתוני קובץ הכרמ"ן לשנת 2012 היא 2000 ואילו שנת הבנייה לפי נתוני קובץ הכרמ"ן לשנים 2011-2003 היא 1970.</w:t>
      </w:r>
    </w:p>
    <w:p w:rsidR="00E97EDA" w:rsidRPr="00EC0156" w:rsidP="00F95926">
      <w:pPr>
        <w:spacing w:after="240" w:line="240" w:lineRule="atLeast"/>
        <w:jc w:val="center"/>
        <w:rPr>
          <w:rFonts w:ascii="Arial" w:eastAsia="Calibri" w:hAnsi="Arial" w:cs="Arial"/>
          <w:rtl/>
        </w:rPr>
      </w:pPr>
      <w:r>
        <w:rPr>
          <w:rFonts w:ascii="Arial" w:hAnsi="Arial" w:cs="Arial"/>
          <w:noProof/>
        </w:rPr>
        <w:pict>
          <v:shape id="תמונה 3" o:spid="_x0000_i1039" type="#_x0000_t75" alt="בניין 28 זווית 2 m" style="width:303.5pt;height:172.5pt;visibility:visible">
            <v:imagedata r:id="rId27" o:title="בניין 28 זווית 2 m"/>
            <o:lock v:ext="edit" aspectratio="f"/>
          </v:shape>
        </w:pict>
      </w:r>
    </w:p>
    <w:p w:rsidR="00E97EDA" w:rsidRPr="00F41E78" w:rsidP="00F95926">
      <w:pPr>
        <w:spacing w:after="240" w:line="230" w:lineRule="exact"/>
        <w:jc w:val="both"/>
        <w:rPr>
          <w:rFonts w:eastAsia="Calibri" w:cs="FrankRuehl"/>
          <w:sz w:val="18"/>
          <w:szCs w:val="22"/>
          <w:rtl/>
        </w:rPr>
      </w:pPr>
      <w:r w:rsidRPr="00F41E78">
        <w:rPr>
          <w:rFonts w:eastAsia="Calibri" w:cs="FrankRuehl" w:hint="cs"/>
          <w:sz w:val="18"/>
          <w:szCs w:val="22"/>
          <w:rtl/>
        </w:rPr>
        <w:t>יצוין כי בביקורת נמצאו עסקאות רבות למכירת נכסים שבשדות שבקובץ הכרמ"ן לא הוזנו נתונים הנוגעים למספר הבית שבו התבצעה העסקה.</w:t>
      </w:r>
    </w:p>
    <w:p w:rsidR="00D22B16" w:rsidRPr="00F41E78" w:rsidP="00D22B16">
      <w:pPr>
        <w:pStyle w:val="RESHET"/>
        <w:keepLines/>
        <w:rPr>
          <w:rFonts w:eastAsia="Calibri"/>
          <w:rtl/>
        </w:rPr>
      </w:pPr>
      <w:r w:rsidRPr="00F41E78">
        <w:rPr>
          <w:rFonts w:hint="cs"/>
          <w:rtl/>
        </w:rPr>
        <w:t>הועלה כי הגופים השונים במשק מסתמכים על הנתונים המצויים בקובץ הכרמ"ן</w:t>
      </w:r>
      <w:r w:rsidRPr="00F41E78">
        <w:rPr>
          <w:rFonts w:eastAsia="Calibri" w:hint="cs"/>
          <w:rtl/>
        </w:rPr>
        <w:t xml:space="preserve"> לצורך ניפוי עסקאות. לדוגמה, המודל שהשמאי הממשלתי משתמש בו לצורך מדידת השינויים במחירי הדירות מתבסס רק על נתוני רכישת דירות של ארבעה חדרים ומסנן עסקאות לרכישת דירות שמספר חדריהן אחר. משרד הבינוי והלמ"ס בודקים את הסבירות למחיר למ"ר בעסקה המדווחת ומסננים עסקאות שבהן החריגה עולה על תקרה מסוימת. הלמ"ס בודקת את הסבירות של היחס בין שטח הדירה למספר החדרים המדווח ואין היא כוללת בחישוב המדד דירות שמספר חדריהן גדול מחמש. לפיכך, נתונים על מספר החדרים ושטח הדירה משפיעים על מדידות המחירים שהגופים האמורים עושים.</w:t>
      </w:r>
    </w:p>
    <w:p w:rsidR="00D22B16" w:rsidRPr="00F41E78" w:rsidP="00D22B16">
      <w:pPr>
        <w:pStyle w:val="RESHET"/>
        <w:keepLines/>
        <w:rPr>
          <w:rFonts w:eastAsia="Calibri"/>
          <w:rtl/>
        </w:rPr>
      </w:pPr>
      <w:r w:rsidRPr="00F41E78">
        <w:rPr>
          <w:rFonts w:eastAsia="Calibri" w:hint="cs"/>
          <w:rtl/>
        </w:rPr>
        <w:t>משרד מבקר המדינה מעיר כי לבד מפגיעה ביכולת בקרת נכונות השומה העצמית המדווחת לרשות המסים בעריכת שומת מיסוי מקרקעין לעסקאות על ידי מפקחי מיסוי מקרקעין, ליקויים באיכות הנתונים מביאים לידי הטיה במדידת שינויים במחירי הדירות שהגופים השונים במשק מבצעים. הגופים האמורים מסתמכים על בסיס הנתונים בקובץ הכרמ"ן, וליקויים באיכותם של הנתונים המופיעים בו פוגעים ביכולתם של הגורמים הרלוונטיים לקבל החלטות מושכלות.</w:t>
      </w:r>
    </w:p>
    <w:p w:rsidR="00D22B16" w:rsidRPr="00F41E78" w:rsidP="000E4311">
      <w:pPr>
        <w:pStyle w:val="RESHET"/>
        <w:keepLines/>
        <w:rPr>
          <w:rFonts w:eastAsia="Calibri"/>
          <w:rtl/>
        </w:rPr>
      </w:pPr>
      <w:r w:rsidRPr="00F41E78">
        <w:rPr>
          <w:rFonts w:eastAsia="Calibri" w:hint="cs"/>
          <w:rtl/>
        </w:rPr>
        <w:t xml:space="preserve">עוד הועלה כי אין רשות </w:t>
      </w:r>
      <w:r w:rsidR="000E4311">
        <w:rPr>
          <w:rFonts w:eastAsia="Calibri" w:hint="cs"/>
          <w:rtl/>
        </w:rPr>
        <w:t xml:space="preserve">המיסים </w:t>
      </w:r>
      <w:r w:rsidRPr="00F41E78">
        <w:rPr>
          <w:rFonts w:eastAsia="Calibri" w:hint="cs"/>
          <w:rtl/>
        </w:rPr>
        <w:t xml:space="preserve">עושה בקרה על אמינות הנתונים הנכללים בטופסי ההצהרה לצורכי מס שבח ורכישה, ואף לא על אמינות הנתונים שמילאו מפקחי מיסוי מקרקעין בעצמם בטפסים שבהם שדות ריקים. </w:t>
      </w:r>
    </w:p>
    <w:p w:rsidR="00E97EDA" w:rsidRPr="00F41E78" w:rsidP="00F95926">
      <w:pPr>
        <w:spacing w:before="180" w:after="120" w:line="230" w:lineRule="exact"/>
        <w:jc w:val="both"/>
        <w:rPr>
          <w:rFonts w:eastAsia="Calibri" w:cs="FrankRuehl"/>
          <w:sz w:val="18"/>
          <w:szCs w:val="22"/>
          <w:rtl/>
        </w:rPr>
      </w:pPr>
      <w:r w:rsidRPr="00F41E78">
        <w:rPr>
          <w:rFonts w:eastAsia="Calibri" w:cs="FrankRuehl" w:hint="cs"/>
          <w:sz w:val="18"/>
          <w:szCs w:val="22"/>
          <w:rtl/>
        </w:rPr>
        <w:t>בתשובתה של רשות המסים מפברואר</w:t>
      </w:r>
      <w:r w:rsidRPr="00F41E78">
        <w:rPr>
          <w:rFonts w:eastAsia="Calibri" w:cs="FrankRuehl"/>
          <w:sz w:val="18"/>
          <w:szCs w:val="22"/>
          <w:rtl/>
        </w:rPr>
        <w:t xml:space="preserve"> 2014</w:t>
      </w:r>
      <w:r w:rsidRPr="00F41E78">
        <w:rPr>
          <w:rFonts w:eastAsia="Calibri" w:cs="FrankRuehl" w:hint="cs"/>
          <w:sz w:val="18"/>
          <w:szCs w:val="22"/>
          <w:rtl/>
        </w:rPr>
        <w:t xml:space="preserve"> מסר</w:t>
      </w:r>
      <w:r w:rsidRPr="00F41E78">
        <w:rPr>
          <w:rFonts w:eastAsia="Calibri" w:cs="FrankRuehl"/>
          <w:sz w:val="18"/>
          <w:szCs w:val="22"/>
          <w:rtl/>
        </w:rPr>
        <w:t xml:space="preserve"> </w:t>
      </w:r>
      <w:r w:rsidRPr="00F41E78">
        <w:rPr>
          <w:rFonts w:eastAsia="Calibri" w:cs="FrankRuehl" w:hint="cs"/>
          <w:sz w:val="18"/>
          <w:szCs w:val="22"/>
          <w:rtl/>
        </w:rPr>
        <w:t>מנהל</w:t>
      </w:r>
      <w:r w:rsidRPr="00F41E78">
        <w:rPr>
          <w:rFonts w:eastAsia="Calibri" w:cs="FrankRuehl"/>
          <w:sz w:val="18"/>
          <w:szCs w:val="22"/>
          <w:rtl/>
        </w:rPr>
        <w:t xml:space="preserve"> </w:t>
      </w:r>
      <w:r w:rsidRPr="00F41E78">
        <w:rPr>
          <w:rFonts w:eastAsia="Calibri" w:cs="FrankRuehl" w:hint="cs"/>
          <w:sz w:val="18"/>
          <w:szCs w:val="22"/>
          <w:rtl/>
        </w:rPr>
        <w:t>אגף</w:t>
      </w:r>
      <w:r w:rsidRPr="00F41E78">
        <w:rPr>
          <w:rFonts w:eastAsia="Calibri" w:cs="FrankRuehl"/>
          <w:sz w:val="18"/>
          <w:szCs w:val="22"/>
          <w:rtl/>
        </w:rPr>
        <w:t xml:space="preserve"> </w:t>
      </w:r>
      <w:r w:rsidRPr="00F41E78">
        <w:rPr>
          <w:rFonts w:eastAsia="Calibri" w:cs="FrankRuehl" w:hint="cs"/>
          <w:sz w:val="18"/>
          <w:szCs w:val="22"/>
          <w:rtl/>
        </w:rPr>
        <w:t>א</w:t>
      </w:r>
      <w:r w:rsidRPr="00F41E78">
        <w:rPr>
          <w:rFonts w:eastAsia="Calibri" w:cs="FrankRuehl"/>
          <w:sz w:val="18"/>
          <w:szCs w:val="22"/>
          <w:rtl/>
        </w:rPr>
        <w:t xml:space="preserve"> </w:t>
      </w:r>
      <w:r w:rsidRPr="00F41E78">
        <w:rPr>
          <w:rFonts w:eastAsia="Calibri" w:cs="FrankRuehl" w:hint="cs"/>
          <w:sz w:val="18"/>
          <w:szCs w:val="22"/>
          <w:rtl/>
        </w:rPr>
        <w:t>במחלקת</w:t>
      </w:r>
      <w:r w:rsidRPr="00F41E78">
        <w:rPr>
          <w:rFonts w:eastAsia="Calibri" w:cs="FrankRuehl"/>
          <w:sz w:val="18"/>
          <w:szCs w:val="22"/>
          <w:rtl/>
        </w:rPr>
        <w:t xml:space="preserve"> </w:t>
      </w:r>
      <w:r w:rsidRPr="00F41E78">
        <w:rPr>
          <w:rFonts w:eastAsia="Calibri" w:cs="FrankRuehl" w:hint="cs"/>
          <w:sz w:val="18"/>
          <w:szCs w:val="22"/>
          <w:rtl/>
        </w:rPr>
        <w:t>שומת</w:t>
      </w:r>
      <w:r w:rsidRPr="00F41E78">
        <w:rPr>
          <w:rFonts w:eastAsia="Calibri" w:cs="FrankRuehl"/>
          <w:sz w:val="18"/>
          <w:szCs w:val="22"/>
          <w:rtl/>
        </w:rPr>
        <w:t xml:space="preserve"> </w:t>
      </w:r>
      <w:r w:rsidRPr="00F41E78">
        <w:rPr>
          <w:rFonts w:eastAsia="Calibri" w:cs="FrankRuehl" w:hint="cs"/>
          <w:sz w:val="18"/>
          <w:szCs w:val="22"/>
          <w:rtl/>
        </w:rPr>
        <w:t>מקרקעין</w:t>
      </w:r>
      <w:r w:rsidRPr="00F41E78">
        <w:rPr>
          <w:rFonts w:eastAsia="Calibri" w:cs="FrankRuehl"/>
          <w:sz w:val="18"/>
          <w:szCs w:val="22"/>
          <w:rtl/>
        </w:rPr>
        <w:t xml:space="preserve"> </w:t>
      </w:r>
      <w:r w:rsidRPr="00F41E78">
        <w:rPr>
          <w:rFonts w:eastAsia="Calibri" w:cs="FrankRuehl" w:hint="cs"/>
          <w:sz w:val="18"/>
          <w:szCs w:val="22"/>
          <w:rtl/>
        </w:rPr>
        <w:t>שברשות</w:t>
      </w:r>
      <w:r w:rsidRPr="00F41E78">
        <w:rPr>
          <w:rFonts w:eastAsia="Calibri" w:cs="FrankRuehl"/>
          <w:sz w:val="18"/>
          <w:szCs w:val="22"/>
          <w:rtl/>
        </w:rPr>
        <w:t xml:space="preserve"> </w:t>
      </w:r>
      <w:r w:rsidRPr="00F41E78">
        <w:rPr>
          <w:rFonts w:eastAsia="Calibri" w:cs="FrankRuehl" w:hint="cs"/>
          <w:sz w:val="18"/>
          <w:szCs w:val="22"/>
          <w:rtl/>
        </w:rPr>
        <w:t>כי עובדי הרשות המזינים את נתוני ההצהרה לקובץ הכרמ"ן עוברים הכשרות בכל הקשור לשינויים המשפיעים על הקובץ, והם מעודכנים בנוגע לחשיבות המידע ולשימוש הנרחב הנעשה בו. עוד מסר כי מסכי הקלט של קובץ הכרמ"ן עודכנו ובשדות הדיווח שולבו בדיקות</w:t>
      </w:r>
      <w:r w:rsidRPr="00F41E78">
        <w:rPr>
          <w:rFonts w:eastAsia="Calibri" w:cs="FrankRuehl"/>
          <w:sz w:val="18"/>
          <w:szCs w:val="22"/>
          <w:rtl/>
        </w:rPr>
        <w:t xml:space="preserve"> </w:t>
      </w:r>
      <w:r w:rsidRPr="00F41E78">
        <w:rPr>
          <w:rFonts w:eastAsia="Calibri" w:cs="FrankRuehl" w:hint="cs"/>
          <w:sz w:val="18"/>
          <w:szCs w:val="22"/>
          <w:rtl/>
        </w:rPr>
        <w:t>לוגיות, לרבות התראות על דיווחים חריגים וקביעת שדות חובה שללא מילוי הנתונים בהם</w:t>
      </w:r>
      <w:r w:rsidRPr="00F41E78">
        <w:rPr>
          <w:rFonts w:eastAsia="Calibri" w:cs="FrankRuehl"/>
          <w:sz w:val="18"/>
          <w:szCs w:val="22"/>
          <w:rtl/>
        </w:rPr>
        <w:t xml:space="preserve"> </w:t>
      </w:r>
      <w:r w:rsidRPr="00F41E78">
        <w:rPr>
          <w:rFonts w:eastAsia="Calibri" w:cs="FrankRuehl" w:hint="cs"/>
          <w:sz w:val="18"/>
          <w:szCs w:val="22"/>
          <w:rtl/>
        </w:rPr>
        <w:t>לא</w:t>
      </w:r>
      <w:r w:rsidRPr="00F41E78">
        <w:rPr>
          <w:rFonts w:eastAsia="Calibri" w:cs="FrankRuehl"/>
          <w:sz w:val="18"/>
          <w:szCs w:val="22"/>
          <w:rtl/>
        </w:rPr>
        <w:t xml:space="preserve"> </w:t>
      </w:r>
      <w:r w:rsidRPr="00F41E78">
        <w:rPr>
          <w:rFonts w:eastAsia="Calibri" w:cs="FrankRuehl" w:hint="cs"/>
          <w:sz w:val="18"/>
          <w:szCs w:val="22"/>
          <w:rtl/>
        </w:rPr>
        <w:t>ניתן</w:t>
      </w:r>
      <w:r w:rsidRPr="00F41E78">
        <w:rPr>
          <w:rFonts w:eastAsia="Calibri" w:cs="FrankRuehl"/>
          <w:sz w:val="18"/>
          <w:szCs w:val="22"/>
          <w:rtl/>
        </w:rPr>
        <w:t xml:space="preserve"> </w:t>
      </w:r>
      <w:r w:rsidRPr="00F41E78">
        <w:rPr>
          <w:rFonts w:eastAsia="Calibri" w:cs="FrankRuehl" w:hint="cs"/>
          <w:sz w:val="18"/>
          <w:szCs w:val="22"/>
          <w:rtl/>
        </w:rPr>
        <w:t>יהיה</w:t>
      </w:r>
      <w:r w:rsidRPr="00F41E78">
        <w:rPr>
          <w:rFonts w:eastAsia="Calibri" w:cs="FrankRuehl"/>
          <w:sz w:val="18"/>
          <w:szCs w:val="22"/>
          <w:rtl/>
        </w:rPr>
        <w:t xml:space="preserve"> </w:t>
      </w:r>
      <w:r w:rsidRPr="00F41E78">
        <w:rPr>
          <w:rFonts w:eastAsia="Calibri" w:cs="FrankRuehl" w:hint="cs"/>
          <w:sz w:val="18"/>
          <w:szCs w:val="22"/>
          <w:rtl/>
        </w:rPr>
        <w:t>להשלים</w:t>
      </w:r>
      <w:r w:rsidRPr="00F41E78">
        <w:rPr>
          <w:rFonts w:eastAsia="Calibri" w:cs="FrankRuehl"/>
          <w:sz w:val="18"/>
          <w:szCs w:val="22"/>
          <w:rtl/>
        </w:rPr>
        <w:t xml:space="preserve"> </w:t>
      </w:r>
      <w:r w:rsidRPr="00F41E78">
        <w:rPr>
          <w:rFonts w:eastAsia="Calibri" w:cs="FrankRuehl" w:hint="cs"/>
          <w:sz w:val="18"/>
          <w:szCs w:val="22"/>
          <w:rtl/>
        </w:rPr>
        <w:t>את</w:t>
      </w:r>
      <w:r w:rsidRPr="00F41E78">
        <w:rPr>
          <w:rFonts w:eastAsia="Calibri" w:cs="FrankRuehl"/>
          <w:sz w:val="18"/>
          <w:szCs w:val="22"/>
          <w:rtl/>
        </w:rPr>
        <w:t xml:space="preserve"> </w:t>
      </w:r>
      <w:r w:rsidRPr="00F41E78">
        <w:rPr>
          <w:rFonts w:eastAsia="Calibri" w:cs="FrankRuehl" w:hint="cs"/>
          <w:sz w:val="18"/>
          <w:szCs w:val="22"/>
          <w:rtl/>
        </w:rPr>
        <w:t>הדיווח</w:t>
      </w:r>
      <w:r w:rsidRPr="00F41E78">
        <w:rPr>
          <w:rFonts w:eastAsia="Calibri" w:cs="FrankRuehl"/>
          <w:sz w:val="18"/>
          <w:szCs w:val="22"/>
          <w:rtl/>
        </w:rPr>
        <w:t>.</w:t>
      </w:r>
      <w:r w:rsidRPr="00F41E78">
        <w:rPr>
          <w:rFonts w:eastAsia="Calibri" w:cs="FrankRuehl" w:hint="cs"/>
          <w:sz w:val="18"/>
          <w:szCs w:val="22"/>
          <w:rtl/>
        </w:rPr>
        <w:t xml:space="preserve"> </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מנהל</w:t>
      </w:r>
      <w:r w:rsidRPr="00F41E78">
        <w:rPr>
          <w:rFonts w:eastAsia="Calibri" w:cs="FrankRuehl"/>
          <w:sz w:val="18"/>
          <w:szCs w:val="22"/>
          <w:rtl/>
        </w:rPr>
        <w:t xml:space="preserve"> </w:t>
      </w:r>
      <w:r w:rsidRPr="00F41E78">
        <w:rPr>
          <w:rFonts w:eastAsia="Calibri" w:cs="FrankRuehl" w:hint="cs"/>
          <w:sz w:val="18"/>
          <w:szCs w:val="22"/>
          <w:rtl/>
        </w:rPr>
        <w:t>האגף</w:t>
      </w:r>
      <w:r w:rsidRPr="00F41E78">
        <w:rPr>
          <w:rFonts w:eastAsia="Calibri" w:cs="FrankRuehl"/>
          <w:sz w:val="18"/>
          <w:szCs w:val="22"/>
          <w:rtl/>
        </w:rPr>
        <w:t xml:space="preserve"> </w:t>
      </w:r>
      <w:r w:rsidRPr="00F41E78">
        <w:rPr>
          <w:rFonts w:eastAsia="Calibri" w:cs="FrankRuehl" w:hint="cs"/>
          <w:sz w:val="18"/>
          <w:szCs w:val="22"/>
          <w:rtl/>
        </w:rPr>
        <w:t>הוסיף</w:t>
      </w:r>
      <w:r w:rsidRPr="00F41E78">
        <w:rPr>
          <w:rFonts w:eastAsia="Calibri" w:cs="FrankRuehl"/>
          <w:sz w:val="18"/>
          <w:szCs w:val="22"/>
          <w:rtl/>
        </w:rPr>
        <w:t xml:space="preserve"> </w:t>
      </w:r>
      <w:r w:rsidRPr="00F41E78">
        <w:rPr>
          <w:rFonts w:eastAsia="Calibri" w:cs="FrankRuehl" w:hint="cs"/>
          <w:sz w:val="18"/>
          <w:szCs w:val="22"/>
          <w:rtl/>
        </w:rPr>
        <w:t>כי</w:t>
      </w:r>
      <w:r w:rsidRPr="00F41E78">
        <w:rPr>
          <w:rFonts w:eastAsia="Calibri" w:cs="FrankRuehl"/>
          <w:sz w:val="18"/>
          <w:szCs w:val="22"/>
          <w:rtl/>
        </w:rPr>
        <w:t xml:space="preserve"> </w:t>
      </w:r>
      <w:r w:rsidRPr="00F41E78">
        <w:rPr>
          <w:rFonts w:eastAsia="Calibri" w:cs="FrankRuehl" w:hint="cs"/>
          <w:sz w:val="18"/>
          <w:szCs w:val="22"/>
          <w:rtl/>
        </w:rPr>
        <w:t>רשות</w:t>
      </w:r>
      <w:r w:rsidRPr="00F41E78">
        <w:rPr>
          <w:rFonts w:eastAsia="Calibri" w:cs="FrankRuehl"/>
          <w:sz w:val="18"/>
          <w:szCs w:val="22"/>
          <w:rtl/>
        </w:rPr>
        <w:t xml:space="preserve"> </w:t>
      </w:r>
      <w:r w:rsidRPr="00F41E78">
        <w:rPr>
          <w:rFonts w:eastAsia="Calibri" w:cs="FrankRuehl" w:hint="cs"/>
          <w:sz w:val="18"/>
          <w:szCs w:val="22"/>
          <w:rtl/>
        </w:rPr>
        <w:t>המסים,</w:t>
      </w:r>
      <w:r w:rsidRPr="00F41E78">
        <w:rPr>
          <w:rFonts w:eastAsia="Calibri" w:cs="FrankRuehl"/>
          <w:sz w:val="18"/>
          <w:szCs w:val="22"/>
          <w:rtl/>
        </w:rPr>
        <w:t xml:space="preserve"> </w:t>
      </w:r>
      <w:r w:rsidRPr="00F41E78">
        <w:rPr>
          <w:rFonts w:eastAsia="Calibri" w:cs="FrankRuehl" w:hint="cs"/>
          <w:sz w:val="18"/>
          <w:szCs w:val="22"/>
          <w:rtl/>
        </w:rPr>
        <w:t>למרות</w:t>
      </w:r>
      <w:r w:rsidRPr="00F41E78">
        <w:rPr>
          <w:rFonts w:eastAsia="Calibri" w:cs="FrankRuehl"/>
          <w:sz w:val="18"/>
          <w:szCs w:val="22"/>
          <w:rtl/>
        </w:rPr>
        <w:t xml:space="preserve"> </w:t>
      </w:r>
      <w:r w:rsidRPr="00F41E78">
        <w:rPr>
          <w:rFonts w:eastAsia="Calibri" w:cs="FrankRuehl" w:hint="cs"/>
          <w:sz w:val="18"/>
          <w:szCs w:val="22"/>
          <w:rtl/>
        </w:rPr>
        <w:t>מגבלות</w:t>
      </w:r>
      <w:r w:rsidRPr="00F41E78">
        <w:rPr>
          <w:rFonts w:eastAsia="Calibri" w:cs="FrankRuehl"/>
          <w:sz w:val="18"/>
          <w:szCs w:val="22"/>
          <w:rtl/>
        </w:rPr>
        <w:t xml:space="preserve"> </w:t>
      </w:r>
      <w:r w:rsidRPr="00F41E78">
        <w:rPr>
          <w:rFonts w:eastAsia="Calibri" w:cs="FrankRuehl" w:hint="cs"/>
          <w:sz w:val="18"/>
          <w:szCs w:val="22"/>
          <w:rtl/>
        </w:rPr>
        <w:t>כוח</w:t>
      </w:r>
      <w:r w:rsidRPr="00F41E78">
        <w:rPr>
          <w:rFonts w:eastAsia="Calibri" w:cs="FrankRuehl"/>
          <w:sz w:val="18"/>
          <w:szCs w:val="22"/>
          <w:rtl/>
        </w:rPr>
        <w:t xml:space="preserve"> </w:t>
      </w:r>
      <w:r w:rsidRPr="00F41E78">
        <w:rPr>
          <w:rFonts w:eastAsia="Calibri" w:cs="FrankRuehl" w:hint="cs"/>
          <w:sz w:val="18"/>
          <w:szCs w:val="22"/>
          <w:rtl/>
        </w:rPr>
        <w:t>אדם</w:t>
      </w:r>
      <w:r w:rsidRPr="00F41E78">
        <w:rPr>
          <w:rFonts w:eastAsia="Calibri" w:cs="FrankRuehl"/>
          <w:sz w:val="18"/>
          <w:szCs w:val="22"/>
          <w:rtl/>
        </w:rPr>
        <w:t xml:space="preserve"> </w:t>
      </w:r>
      <w:r w:rsidRPr="00F41E78">
        <w:rPr>
          <w:rFonts w:eastAsia="Calibri" w:cs="FrankRuehl" w:hint="cs"/>
          <w:sz w:val="18"/>
          <w:szCs w:val="22"/>
          <w:rtl/>
        </w:rPr>
        <w:t>והיעדר</w:t>
      </w:r>
      <w:r w:rsidRPr="00F41E78">
        <w:rPr>
          <w:rFonts w:eastAsia="Calibri" w:cs="FrankRuehl"/>
          <w:sz w:val="18"/>
          <w:szCs w:val="22"/>
          <w:rtl/>
        </w:rPr>
        <w:t xml:space="preserve"> </w:t>
      </w:r>
      <w:r w:rsidRPr="00F41E78">
        <w:rPr>
          <w:rFonts w:eastAsia="Calibri" w:cs="FrankRuehl" w:hint="cs"/>
          <w:sz w:val="18"/>
          <w:szCs w:val="22"/>
          <w:rtl/>
        </w:rPr>
        <w:t>תשומות</w:t>
      </w:r>
      <w:r w:rsidRPr="00F41E78">
        <w:rPr>
          <w:rFonts w:eastAsia="Calibri" w:cs="FrankRuehl"/>
          <w:sz w:val="18"/>
          <w:szCs w:val="22"/>
          <w:rtl/>
        </w:rPr>
        <w:t xml:space="preserve"> </w:t>
      </w:r>
      <w:r w:rsidRPr="00F41E78">
        <w:rPr>
          <w:rFonts w:eastAsia="Calibri" w:cs="FrankRuehl" w:hint="cs"/>
          <w:sz w:val="18"/>
          <w:szCs w:val="22"/>
          <w:rtl/>
        </w:rPr>
        <w:t>מתאימות,</w:t>
      </w:r>
      <w:r w:rsidRPr="00F41E78">
        <w:rPr>
          <w:rFonts w:eastAsia="Calibri" w:cs="FrankRuehl"/>
          <w:sz w:val="18"/>
          <w:szCs w:val="22"/>
          <w:rtl/>
        </w:rPr>
        <w:t xml:space="preserve"> </w:t>
      </w:r>
      <w:r w:rsidRPr="00F41E78">
        <w:rPr>
          <w:rFonts w:eastAsia="Calibri" w:cs="FrankRuehl" w:hint="cs"/>
          <w:sz w:val="18"/>
          <w:szCs w:val="22"/>
          <w:rtl/>
        </w:rPr>
        <w:t>פעלה</w:t>
      </w:r>
      <w:r w:rsidRPr="00F41E78">
        <w:rPr>
          <w:rFonts w:eastAsia="Calibri" w:cs="FrankRuehl"/>
          <w:sz w:val="18"/>
          <w:szCs w:val="22"/>
          <w:rtl/>
        </w:rPr>
        <w:t xml:space="preserve"> </w:t>
      </w:r>
      <w:r w:rsidRPr="00F41E78">
        <w:rPr>
          <w:rFonts w:eastAsia="Calibri" w:cs="FrankRuehl" w:hint="cs"/>
          <w:sz w:val="18"/>
          <w:szCs w:val="22"/>
          <w:rtl/>
        </w:rPr>
        <w:t>ופועלת</w:t>
      </w:r>
      <w:r w:rsidRPr="00F41E78">
        <w:rPr>
          <w:rFonts w:eastAsia="Calibri" w:cs="FrankRuehl"/>
          <w:sz w:val="18"/>
          <w:szCs w:val="22"/>
          <w:rtl/>
        </w:rPr>
        <w:t xml:space="preserve"> </w:t>
      </w:r>
      <w:r w:rsidRPr="00F41E78">
        <w:rPr>
          <w:rFonts w:eastAsia="Calibri" w:cs="FrankRuehl" w:hint="cs"/>
          <w:sz w:val="18"/>
          <w:szCs w:val="22"/>
          <w:rtl/>
        </w:rPr>
        <w:t>רבות</w:t>
      </w:r>
      <w:r w:rsidRPr="00F41E78">
        <w:rPr>
          <w:rFonts w:eastAsia="Calibri" w:cs="FrankRuehl"/>
          <w:sz w:val="18"/>
          <w:szCs w:val="22"/>
          <w:rtl/>
        </w:rPr>
        <w:t xml:space="preserve"> </w:t>
      </w:r>
      <w:r w:rsidRPr="00F41E78">
        <w:rPr>
          <w:rFonts w:eastAsia="Calibri" w:cs="FrankRuehl" w:hint="cs"/>
          <w:sz w:val="18"/>
          <w:szCs w:val="22"/>
          <w:rtl/>
        </w:rPr>
        <w:t>לשיפור</w:t>
      </w:r>
      <w:r w:rsidRPr="00F41E78">
        <w:rPr>
          <w:rFonts w:eastAsia="Calibri" w:cs="FrankRuehl"/>
          <w:sz w:val="18"/>
          <w:szCs w:val="22"/>
          <w:rtl/>
        </w:rPr>
        <w:t xml:space="preserve"> </w:t>
      </w:r>
      <w:r w:rsidRPr="00F41E78">
        <w:rPr>
          <w:rFonts w:eastAsia="Calibri" w:cs="FrankRuehl" w:hint="cs"/>
          <w:sz w:val="18"/>
          <w:szCs w:val="22"/>
          <w:rtl/>
        </w:rPr>
        <w:t>איכות</w:t>
      </w:r>
      <w:r w:rsidRPr="00F41E78">
        <w:rPr>
          <w:rFonts w:eastAsia="Calibri" w:cs="FrankRuehl"/>
          <w:sz w:val="18"/>
          <w:szCs w:val="22"/>
          <w:rtl/>
        </w:rPr>
        <w:t xml:space="preserve"> </w:t>
      </w:r>
      <w:r w:rsidRPr="00F41E78">
        <w:rPr>
          <w:rFonts w:eastAsia="Calibri" w:cs="FrankRuehl" w:hint="cs"/>
          <w:sz w:val="18"/>
          <w:szCs w:val="22"/>
          <w:rtl/>
        </w:rPr>
        <w:t>הנתונים ושלמותם מצד אחד ולשמירת</w:t>
      </w:r>
      <w:r w:rsidRPr="00F41E78">
        <w:rPr>
          <w:rFonts w:eastAsia="Calibri" w:cs="FrankRuehl"/>
          <w:sz w:val="18"/>
          <w:szCs w:val="22"/>
          <w:rtl/>
        </w:rPr>
        <w:t xml:space="preserve"> </w:t>
      </w:r>
      <w:r w:rsidRPr="00F41E78">
        <w:rPr>
          <w:rFonts w:eastAsia="Calibri" w:cs="FrankRuehl" w:hint="cs"/>
          <w:sz w:val="18"/>
          <w:szCs w:val="22"/>
          <w:rtl/>
        </w:rPr>
        <w:t>זהות</w:t>
      </w:r>
      <w:r w:rsidRPr="00F41E78">
        <w:rPr>
          <w:rFonts w:eastAsia="Calibri" w:cs="FrankRuehl"/>
          <w:sz w:val="18"/>
          <w:szCs w:val="22"/>
          <w:rtl/>
        </w:rPr>
        <w:t xml:space="preserve"> </w:t>
      </w:r>
      <w:r w:rsidRPr="00F41E78">
        <w:rPr>
          <w:rFonts w:eastAsia="Calibri" w:cs="FrankRuehl" w:hint="cs"/>
          <w:sz w:val="18"/>
          <w:szCs w:val="22"/>
          <w:rtl/>
        </w:rPr>
        <w:t>הצדדים</w:t>
      </w:r>
      <w:r w:rsidRPr="00F41E78">
        <w:rPr>
          <w:rFonts w:eastAsia="Calibri" w:cs="FrankRuehl"/>
          <w:sz w:val="18"/>
          <w:szCs w:val="22"/>
          <w:rtl/>
        </w:rPr>
        <w:t xml:space="preserve"> </w:t>
      </w:r>
      <w:r w:rsidRPr="00F41E78">
        <w:rPr>
          <w:rFonts w:eastAsia="Calibri" w:cs="FrankRuehl" w:hint="cs"/>
          <w:sz w:val="18"/>
          <w:szCs w:val="22"/>
          <w:rtl/>
        </w:rPr>
        <w:t>לעסקה כמתחייב</w:t>
      </w:r>
      <w:r w:rsidRPr="00F41E78">
        <w:rPr>
          <w:rFonts w:eastAsia="Calibri" w:cs="FrankRuehl"/>
          <w:sz w:val="18"/>
          <w:szCs w:val="22"/>
          <w:rtl/>
        </w:rPr>
        <w:t xml:space="preserve"> </w:t>
      </w:r>
      <w:r w:rsidRPr="00F41E78">
        <w:rPr>
          <w:rFonts w:eastAsia="Calibri" w:cs="FrankRuehl" w:hint="cs"/>
          <w:sz w:val="18"/>
          <w:szCs w:val="22"/>
          <w:rtl/>
        </w:rPr>
        <w:t>מהוראות</w:t>
      </w:r>
      <w:r w:rsidRPr="00F41E78">
        <w:rPr>
          <w:rFonts w:eastAsia="Calibri" w:cs="FrankRuehl"/>
          <w:sz w:val="18"/>
          <w:szCs w:val="22"/>
          <w:rtl/>
        </w:rPr>
        <w:t xml:space="preserve"> </w:t>
      </w:r>
      <w:r w:rsidRPr="00F41E78">
        <w:rPr>
          <w:rFonts w:eastAsia="Calibri" w:cs="FrankRuehl" w:hint="cs"/>
          <w:sz w:val="18"/>
          <w:szCs w:val="22"/>
          <w:rtl/>
        </w:rPr>
        <w:t>החוק</w:t>
      </w:r>
      <w:r w:rsidRPr="00F41E78">
        <w:rPr>
          <w:rFonts w:eastAsia="Calibri" w:cs="FrankRuehl"/>
          <w:sz w:val="18"/>
          <w:szCs w:val="22"/>
          <w:rtl/>
        </w:rPr>
        <w:t xml:space="preserve"> </w:t>
      </w:r>
      <w:r w:rsidRPr="00F41E78">
        <w:rPr>
          <w:rFonts w:eastAsia="Calibri" w:cs="FrankRuehl" w:hint="cs"/>
          <w:sz w:val="18"/>
          <w:szCs w:val="22"/>
          <w:rtl/>
        </w:rPr>
        <w:t>מצד אחר</w:t>
      </w:r>
      <w:r w:rsidRPr="00F41E78">
        <w:rPr>
          <w:rFonts w:eastAsia="Calibri" w:cs="FrankRuehl"/>
          <w:sz w:val="18"/>
          <w:szCs w:val="22"/>
          <w:rtl/>
        </w:rPr>
        <w:t xml:space="preserve">. </w:t>
      </w:r>
      <w:r w:rsidRPr="00F41E78">
        <w:rPr>
          <w:rFonts w:eastAsia="Calibri" w:cs="FrankRuehl" w:hint="cs"/>
          <w:sz w:val="18"/>
          <w:szCs w:val="22"/>
          <w:rtl/>
        </w:rPr>
        <w:t>עם</w:t>
      </w:r>
      <w:r w:rsidRPr="00F41E78">
        <w:rPr>
          <w:rFonts w:eastAsia="Calibri" w:cs="FrankRuehl"/>
          <w:sz w:val="18"/>
          <w:szCs w:val="22"/>
          <w:rtl/>
        </w:rPr>
        <w:t xml:space="preserve"> </w:t>
      </w:r>
      <w:r w:rsidRPr="00F41E78">
        <w:rPr>
          <w:rFonts w:eastAsia="Calibri" w:cs="FrankRuehl" w:hint="cs"/>
          <w:sz w:val="18"/>
          <w:szCs w:val="22"/>
          <w:rtl/>
        </w:rPr>
        <w:t>זאת,</w:t>
      </w:r>
      <w:r w:rsidRPr="00F41E78">
        <w:rPr>
          <w:rFonts w:eastAsia="Calibri" w:cs="FrankRuehl"/>
          <w:sz w:val="18"/>
          <w:szCs w:val="22"/>
          <w:rtl/>
        </w:rPr>
        <w:t xml:space="preserve"> </w:t>
      </w:r>
      <w:r w:rsidRPr="00F41E78">
        <w:rPr>
          <w:rFonts w:eastAsia="Calibri" w:cs="FrankRuehl" w:hint="cs"/>
          <w:sz w:val="18"/>
          <w:szCs w:val="22"/>
          <w:rtl/>
        </w:rPr>
        <w:t>הפתרון</w:t>
      </w:r>
      <w:r w:rsidRPr="00F41E78">
        <w:rPr>
          <w:rFonts w:eastAsia="Calibri" w:cs="FrankRuehl"/>
          <w:sz w:val="18"/>
          <w:szCs w:val="22"/>
          <w:rtl/>
        </w:rPr>
        <w:t xml:space="preserve"> </w:t>
      </w:r>
      <w:r w:rsidRPr="00F41E78">
        <w:rPr>
          <w:rFonts w:eastAsia="Calibri" w:cs="FrankRuehl" w:hint="cs"/>
          <w:sz w:val="18"/>
          <w:szCs w:val="22"/>
          <w:rtl/>
        </w:rPr>
        <w:t>המיטבי</w:t>
      </w:r>
      <w:r w:rsidRPr="00F41E78">
        <w:rPr>
          <w:rFonts w:eastAsia="Calibri" w:cs="FrankRuehl"/>
          <w:sz w:val="18"/>
          <w:szCs w:val="22"/>
          <w:rtl/>
        </w:rPr>
        <w:t xml:space="preserve"> </w:t>
      </w:r>
      <w:r w:rsidRPr="00F41E78">
        <w:rPr>
          <w:rFonts w:eastAsia="Calibri" w:cs="FrankRuehl" w:hint="cs"/>
          <w:sz w:val="18"/>
          <w:szCs w:val="22"/>
          <w:rtl/>
        </w:rPr>
        <w:t>לסוגיית טיוב</w:t>
      </w:r>
      <w:r w:rsidRPr="00F41E78">
        <w:rPr>
          <w:rFonts w:eastAsia="Calibri" w:cs="FrankRuehl"/>
          <w:sz w:val="18"/>
          <w:szCs w:val="22"/>
          <w:rtl/>
        </w:rPr>
        <w:t xml:space="preserve"> </w:t>
      </w:r>
      <w:r w:rsidRPr="00F41E78">
        <w:rPr>
          <w:rFonts w:eastAsia="Calibri" w:cs="FrankRuehl" w:hint="cs"/>
          <w:sz w:val="18"/>
          <w:szCs w:val="22"/>
          <w:rtl/>
        </w:rPr>
        <w:t>מאגר</w:t>
      </w:r>
      <w:r w:rsidRPr="00F41E78">
        <w:rPr>
          <w:rFonts w:eastAsia="Calibri" w:cs="FrankRuehl"/>
          <w:sz w:val="18"/>
          <w:szCs w:val="22"/>
          <w:rtl/>
        </w:rPr>
        <w:t xml:space="preserve"> </w:t>
      </w:r>
      <w:r w:rsidRPr="00F41E78">
        <w:rPr>
          <w:rFonts w:eastAsia="Calibri" w:cs="FrankRuehl" w:hint="cs"/>
          <w:sz w:val="18"/>
          <w:szCs w:val="22"/>
          <w:rtl/>
        </w:rPr>
        <w:t>המידע</w:t>
      </w:r>
      <w:r w:rsidRPr="00F41E78">
        <w:rPr>
          <w:rFonts w:eastAsia="Calibri" w:cs="FrankRuehl"/>
          <w:sz w:val="18"/>
          <w:szCs w:val="22"/>
          <w:rtl/>
        </w:rPr>
        <w:t xml:space="preserve"> </w:t>
      </w:r>
      <w:r w:rsidRPr="00F41E78">
        <w:rPr>
          <w:rFonts w:eastAsia="Calibri" w:cs="FrankRuehl" w:hint="cs"/>
          <w:sz w:val="18"/>
          <w:szCs w:val="22"/>
          <w:rtl/>
        </w:rPr>
        <w:t>טמון</w:t>
      </w:r>
      <w:r w:rsidRPr="00F41E78">
        <w:rPr>
          <w:rFonts w:eastAsia="Calibri" w:cs="FrankRuehl"/>
          <w:sz w:val="18"/>
          <w:szCs w:val="22"/>
          <w:rtl/>
        </w:rPr>
        <w:t xml:space="preserve"> </w:t>
      </w:r>
      <w:r w:rsidRPr="00F41E78">
        <w:rPr>
          <w:rFonts w:eastAsia="Calibri" w:cs="FrankRuehl" w:hint="cs"/>
          <w:sz w:val="18"/>
          <w:szCs w:val="22"/>
          <w:rtl/>
        </w:rPr>
        <w:t>בהקצאת</w:t>
      </w:r>
      <w:r w:rsidRPr="00F41E78">
        <w:rPr>
          <w:rFonts w:eastAsia="Calibri" w:cs="FrankRuehl"/>
          <w:sz w:val="18"/>
          <w:szCs w:val="22"/>
          <w:rtl/>
        </w:rPr>
        <w:t xml:space="preserve"> </w:t>
      </w:r>
      <w:r w:rsidRPr="00F41E78">
        <w:rPr>
          <w:rFonts w:eastAsia="Calibri" w:cs="FrankRuehl" w:hint="cs"/>
          <w:sz w:val="18"/>
          <w:szCs w:val="22"/>
          <w:rtl/>
        </w:rPr>
        <w:t>משאבים</w:t>
      </w:r>
      <w:r w:rsidRPr="00F41E78">
        <w:rPr>
          <w:rFonts w:eastAsia="Calibri" w:cs="FrankRuehl"/>
          <w:sz w:val="18"/>
          <w:szCs w:val="22"/>
          <w:rtl/>
        </w:rPr>
        <w:t xml:space="preserve"> </w:t>
      </w:r>
      <w:r w:rsidRPr="00F41E78">
        <w:rPr>
          <w:rFonts w:eastAsia="Calibri" w:cs="FrankRuehl" w:hint="cs"/>
          <w:sz w:val="18"/>
          <w:szCs w:val="22"/>
          <w:rtl/>
        </w:rPr>
        <w:t>ייעודיים</w:t>
      </w:r>
      <w:r w:rsidRPr="00F41E78">
        <w:rPr>
          <w:rFonts w:eastAsia="Calibri" w:cs="FrankRuehl"/>
          <w:sz w:val="18"/>
          <w:szCs w:val="22"/>
          <w:rtl/>
        </w:rPr>
        <w:t xml:space="preserve"> </w:t>
      </w:r>
      <w:r w:rsidRPr="00F41E78">
        <w:rPr>
          <w:rFonts w:eastAsia="Calibri" w:cs="FrankRuehl" w:hint="cs"/>
          <w:sz w:val="18"/>
          <w:szCs w:val="22"/>
          <w:rtl/>
        </w:rPr>
        <w:t>לנושא</w:t>
      </w:r>
      <w:r w:rsidRPr="00F41E78">
        <w:rPr>
          <w:rFonts w:eastAsia="Calibri" w:cs="FrankRuehl"/>
          <w:sz w:val="18"/>
          <w:szCs w:val="22"/>
          <w:rtl/>
        </w:rPr>
        <w:t xml:space="preserve"> </w:t>
      </w:r>
      <w:r w:rsidRPr="00F41E78">
        <w:rPr>
          <w:rFonts w:eastAsia="Calibri" w:cs="FrankRuehl" w:hint="cs"/>
          <w:sz w:val="18"/>
          <w:szCs w:val="22"/>
          <w:rtl/>
        </w:rPr>
        <w:t>כמו</w:t>
      </w:r>
      <w:r w:rsidRPr="00F41E78">
        <w:rPr>
          <w:rFonts w:eastAsia="Calibri" w:cs="FrankRuehl"/>
          <w:sz w:val="18"/>
          <w:szCs w:val="22"/>
          <w:rtl/>
        </w:rPr>
        <w:t xml:space="preserve"> </w:t>
      </w:r>
      <w:r w:rsidRPr="00F41E78">
        <w:rPr>
          <w:rFonts w:eastAsia="Calibri" w:cs="FrankRuehl" w:hint="cs"/>
          <w:sz w:val="18"/>
          <w:szCs w:val="22"/>
          <w:rtl/>
        </w:rPr>
        <w:t>תגבור</w:t>
      </w:r>
      <w:r w:rsidRPr="00F41E78">
        <w:rPr>
          <w:rFonts w:eastAsia="Calibri" w:cs="FrankRuehl"/>
          <w:sz w:val="18"/>
          <w:szCs w:val="22"/>
          <w:rtl/>
        </w:rPr>
        <w:t xml:space="preserve"> </w:t>
      </w:r>
      <w:r w:rsidRPr="00F41E78">
        <w:rPr>
          <w:rFonts w:eastAsia="Calibri" w:cs="FrankRuehl" w:hint="cs"/>
          <w:sz w:val="18"/>
          <w:szCs w:val="22"/>
          <w:rtl/>
        </w:rPr>
        <w:t>כוח</w:t>
      </w:r>
      <w:r w:rsidRPr="00F41E78">
        <w:rPr>
          <w:rFonts w:eastAsia="Calibri" w:cs="FrankRuehl"/>
          <w:sz w:val="18"/>
          <w:szCs w:val="22"/>
          <w:rtl/>
        </w:rPr>
        <w:t xml:space="preserve"> </w:t>
      </w:r>
      <w:r w:rsidRPr="00F41E78">
        <w:rPr>
          <w:rFonts w:eastAsia="Calibri" w:cs="FrankRuehl" w:hint="cs"/>
          <w:sz w:val="18"/>
          <w:szCs w:val="22"/>
          <w:rtl/>
        </w:rPr>
        <w:t>אדם</w:t>
      </w:r>
      <w:r w:rsidRPr="00F41E78">
        <w:rPr>
          <w:rFonts w:eastAsia="Calibri" w:cs="FrankRuehl"/>
          <w:sz w:val="18"/>
          <w:szCs w:val="22"/>
          <w:rtl/>
        </w:rPr>
        <w:t xml:space="preserve"> </w:t>
      </w:r>
      <w:r w:rsidRPr="00F41E78">
        <w:rPr>
          <w:rFonts w:eastAsia="Calibri" w:cs="FrankRuehl" w:hint="cs"/>
          <w:sz w:val="18"/>
          <w:szCs w:val="22"/>
          <w:rtl/>
        </w:rPr>
        <w:t>לצורך</w:t>
      </w:r>
      <w:r w:rsidRPr="00F41E78">
        <w:rPr>
          <w:rFonts w:eastAsia="Calibri" w:cs="FrankRuehl"/>
          <w:sz w:val="18"/>
          <w:szCs w:val="22"/>
          <w:rtl/>
        </w:rPr>
        <w:t xml:space="preserve"> </w:t>
      </w:r>
      <w:r w:rsidRPr="00F41E78">
        <w:rPr>
          <w:rFonts w:eastAsia="Calibri" w:cs="FrankRuehl" w:hint="cs"/>
          <w:sz w:val="18"/>
          <w:szCs w:val="22"/>
          <w:rtl/>
        </w:rPr>
        <w:t>איתור</w:t>
      </w:r>
      <w:r w:rsidRPr="00F41E78">
        <w:rPr>
          <w:rFonts w:eastAsia="Calibri" w:cs="FrankRuehl"/>
          <w:sz w:val="18"/>
          <w:szCs w:val="22"/>
          <w:rtl/>
        </w:rPr>
        <w:t xml:space="preserve"> </w:t>
      </w:r>
      <w:r w:rsidRPr="00F41E78">
        <w:rPr>
          <w:rFonts w:eastAsia="Calibri" w:cs="FrankRuehl" w:hint="cs"/>
          <w:sz w:val="18"/>
          <w:szCs w:val="22"/>
          <w:rtl/>
        </w:rPr>
        <w:t>חריגים</w:t>
      </w:r>
      <w:r w:rsidRPr="00F41E78">
        <w:rPr>
          <w:rFonts w:eastAsia="Calibri" w:cs="FrankRuehl"/>
          <w:sz w:val="18"/>
          <w:szCs w:val="22"/>
          <w:rtl/>
        </w:rPr>
        <w:t xml:space="preserve"> </w:t>
      </w:r>
      <w:r w:rsidRPr="00F41E78">
        <w:rPr>
          <w:rFonts w:eastAsia="Calibri" w:cs="FrankRuehl" w:hint="cs"/>
          <w:sz w:val="18"/>
          <w:szCs w:val="22"/>
          <w:rtl/>
        </w:rPr>
        <w:t>ובדיקתם</w:t>
      </w:r>
      <w:r w:rsidRPr="00F41E78">
        <w:rPr>
          <w:rFonts w:eastAsia="Calibri" w:cs="FrankRuehl"/>
          <w:sz w:val="18"/>
          <w:szCs w:val="22"/>
          <w:rtl/>
        </w:rPr>
        <w:t xml:space="preserve"> </w:t>
      </w:r>
      <w:r w:rsidRPr="00F41E78">
        <w:rPr>
          <w:rFonts w:eastAsia="Calibri" w:cs="FrankRuehl" w:hint="cs"/>
          <w:sz w:val="18"/>
          <w:szCs w:val="22"/>
          <w:rtl/>
        </w:rPr>
        <w:t>ועדכון</w:t>
      </w:r>
      <w:r w:rsidRPr="00F41E78">
        <w:rPr>
          <w:rFonts w:eastAsia="Calibri" w:cs="FrankRuehl"/>
          <w:sz w:val="18"/>
          <w:szCs w:val="22"/>
          <w:rtl/>
        </w:rPr>
        <w:t xml:space="preserve"> </w:t>
      </w:r>
      <w:r w:rsidRPr="00F41E78">
        <w:rPr>
          <w:rFonts w:eastAsia="Calibri" w:cs="FrankRuehl" w:hint="cs"/>
          <w:sz w:val="18"/>
          <w:szCs w:val="22"/>
          <w:rtl/>
        </w:rPr>
        <w:t>הנתונים</w:t>
      </w:r>
      <w:r w:rsidRPr="00F41E78">
        <w:rPr>
          <w:rFonts w:eastAsia="Calibri" w:cs="FrankRuehl"/>
          <w:sz w:val="18"/>
          <w:szCs w:val="22"/>
          <w:rtl/>
        </w:rPr>
        <w:t xml:space="preserve"> </w:t>
      </w:r>
      <w:r w:rsidRPr="00F41E78">
        <w:rPr>
          <w:rFonts w:eastAsia="Calibri" w:cs="FrankRuehl" w:hint="cs"/>
          <w:sz w:val="18"/>
          <w:szCs w:val="22"/>
          <w:rtl/>
        </w:rPr>
        <w:t>לפי הממצאים,</w:t>
      </w:r>
      <w:r w:rsidRPr="00F41E78">
        <w:rPr>
          <w:rFonts w:eastAsia="Calibri" w:cs="FrankRuehl"/>
          <w:sz w:val="18"/>
          <w:szCs w:val="22"/>
          <w:rtl/>
        </w:rPr>
        <w:t xml:space="preserve"> </w:t>
      </w:r>
      <w:r w:rsidRPr="00F41E78">
        <w:rPr>
          <w:rFonts w:eastAsia="Calibri" w:cs="FrankRuehl" w:hint="cs"/>
          <w:sz w:val="18"/>
          <w:szCs w:val="22"/>
          <w:rtl/>
        </w:rPr>
        <w:t>ניהול</w:t>
      </w:r>
      <w:r w:rsidRPr="00F41E78">
        <w:rPr>
          <w:rFonts w:eastAsia="Calibri" w:cs="FrankRuehl"/>
          <w:sz w:val="18"/>
          <w:szCs w:val="22"/>
          <w:rtl/>
        </w:rPr>
        <w:t xml:space="preserve"> </w:t>
      </w:r>
      <w:r w:rsidRPr="00F41E78">
        <w:rPr>
          <w:rFonts w:eastAsia="Calibri" w:cs="FrankRuehl" w:hint="cs"/>
          <w:sz w:val="18"/>
          <w:szCs w:val="22"/>
          <w:rtl/>
        </w:rPr>
        <w:t>מאגר</w:t>
      </w:r>
      <w:r w:rsidRPr="00F41E78">
        <w:rPr>
          <w:rFonts w:eastAsia="Calibri" w:cs="FrankRuehl"/>
          <w:sz w:val="18"/>
          <w:szCs w:val="22"/>
          <w:rtl/>
        </w:rPr>
        <w:t xml:space="preserve"> </w:t>
      </w:r>
      <w:r w:rsidRPr="00F41E78">
        <w:rPr>
          <w:rFonts w:eastAsia="Calibri" w:cs="FrankRuehl" w:hint="cs"/>
          <w:sz w:val="18"/>
          <w:szCs w:val="22"/>
          <w:rtl/>
        </w:rPr>
        <w:t>המידע</w:t>
      </w:r>
      <w:r w:rsidRPr="00F41E78">
        <w:rPr>
          <w:rFonts w:eastAsia="Calibri" w:cs="FrankRuehl"/>
          <w:sz w:val="18"/>
          <w:szCs w:val="22"/>
          <w:rtl/>
        </w:rPr>
        <w:t xml:space="preserve"> </w:t>
      </w:r>
      <w:r w:rsidRPr="00F41E78">
        <w:rPr>
          <w:rFonts w:eastAsia="Calibri" w:cs="FrankRuehl" w:hint="cs"/>
          <w:sz w:val="18"/>
          <w:szCs w:val="22"/>
          <w:rtl/>
        </w:rPr>
        <w:t>וריכוז</w:t>
      </w:r>
      <w:r w:rsidRPr="00F41E78">
        <w:rPr>
          <w:rFonts w:eastAsia="Calibri" w:cs="FrankRuehl"/>
          <w:sz w:val="18"/>
          <w:szCs w:val="22"/>
          <w:rtl/>
        </w:rPr>
        <w:t xml:space="preserve"> </w:t>
      </w:r>
      <w:r w:rsidRPr="00F41E78">
        <w:rPr>
          <w:rFonts w:eastAsia="Calibri" w:cs="FrankRuehl" w:hint="cs"/>
          <w:sz w:val="18"/>
          <w:szCs w:val="22"/>
          <w:rtl/>
        </w:rPr>
        <w:t>פעילות</w:t>
      </w:r>
      <w:r w:rsidRPr="00F41E78">
        <w:rPr>
          <w:rFonts w:eastAsia="Calibri" w:cs="FrankRuehl"/>
          <w:sz w:val="18"/>
          <w:szCs w:val="22"/>
          <w:rtl/>
        </w:rPr>
        <w:t xml:space="preserve"> </w:t>
      </w:r>
      <w:r w:rsidRPr="00F41E78">
        <w:rPr>
          <w:rFonts w:eastAsia="Calibri" w:cs="FrankRuehl" w:hint="cs"/>
          <w:sz w:val="18"/>
          <w:szCs w:val="22"/>
          <w:rtl/>
        </w:rPr>
        <w:t>העובדים</w:t>
      </w:r>
      <w:r w:rsidRPr="00F41E78">
        <w:rPr>
          <w:rFonts w:eastAsia="Calibri" w:cs="FrankRuehl"/>
          <w:sz w:val="18"/>
          <w:szCs w:val="22"/>
          <w:rtl/>
        </w:rPr>
        <w:t xml:space="preserve"> </w:t>
      </w:r>
      <w:r w:rsidRPr="00F41E78">
        <w:rPr>
          <w:rFonts w:eastAsia="Calibri" w:cs="FrankRuehl" w:hint="cs"/>
          <w:sz w:val="18"/>
          <w:szCs w:val="22"/>
          <w:rtl/>
        </w:rPr>
        <w:t>במשרדים</w:t>
      </w:r>
      <w:r w:rsidRPr="00F41E78">
        <w:rPr>
          <w:rFonts w:eastAsia="Calibri" w:cs="FrankRuehl"/>
          <w:sz w:val="18"/>
          <w:szCs w:val="22"/>
          <w:rtl/>
        </w:rPr>
        <w:t xml:space="preserve"> </w:t>
      </w:r>
      <w:r w:rsidRPr="00F41E78">
        <w:rPr>
          <w:rFonts w:eastAsia="Calibri" w:cs="FrankRuehl" w:hint="cs"/>
          <w:sz w:val="18"/>
          <w:szCs w:val="22"/>
          <w:rtl/>
        </w:rPr>
        <w:t>ועדכון</w:t>
      </w:r>
      <w:r w:rsidRPr="00F41E78">
        <w:rPr>
          <w:rFonts w:eastAsia="Calibri" w:cs="FrankRuehl"/>
          <w:sz w:val="18"/>
          <w:szCs w:val="22"/>
          <w:rtl/>
        </w:rPr>
        <w:t xml:space="preserve"> </w:t>
      </w:r>
      <w:r w:rsidRPr="00F41E78">
        <w:rPr>
          <w:rFonts w:eastAsia="Calibri" w:cs="FrankRuehl" w:hint="cs"/>
          <w:sz w:val="18"/>
          <w:szCs w:val="22"/>
          <w:rtl/>
        </w:rPr>
        <w:t>של מערכות</w:t>
      </w:r>
      <w:r w:rsidRPr="00F41E78">
        <w:rPr>
          <w:rFonts w:eastAsia="Calibri" w:cs="FrankRuehl"/>
          <w:sz w:val="18"/>
          <w:szCs w:val="22"/>
          <w:rtl/>
        </w:rPr>
        <w:t xml:space="preserve"> </w:t>
      </w:r>
      <w:r w:rsidRPr="00F41E78">
        <w:rPr>
          <w:rFonts w:eastAsia="Calibri" w:cs="FrankRuehl" w:hint="cs"/>
          <w:sz w:val="18"/>
          <w:szCs w:val="22"/>
          <w:rtl/>
        </w:rPr>
        <w:t>המחשוב ושיפורן</w:t>
      </w:r>
      <w:r w:rsidRPr="00F41E78">
        <w:rPr>
          <w:rFonts w:eastAsia="Calibri" w:cs="FrankRuehl"/>
          <w:sz w:val="18"/>
          <w:szCs w:val="22"/>
          <w:rtl/>
        </w:rPr>
        <w:t>.</w:t>
      </w:r>
    </w:p>
    <w:p w:rsidR="00FA6646" w:rsidRPr="00FA6646" w:rsidP="00F95926">
      <w:pPr>
        <w:spacing w:after="240" w:line="230" w:lineRule="exact"/>
        <w:jc w:val="both"/>
        <w:rPr>
          <w:rFonts w:eastAsia="Calibri" w:cs="FrankRuehl"/>
          <w:sz w:val="20"/>
          <w:szCs w:val="22"/>
          <w:rtl/>
        </w:rPr>
      </w:pPr>
      <w:r w:rsidRPr="00F41E78">
        <w:rPr>
          <w:rFonts w:eastAsia="Calibri" w:cs="FrankRuehl" w:hint="cs"/>
          <w:sz w:val="18"/>
          <w:szCs w:val="22"/>
          <w:rtl/>
        </w:rPr>
        <w:t>יצוין כי במהלך הביקורת נכללה ההצעה על יישום מסקנות ועדת גלצר במסגרת התכנית הכלכלית של הממשלה לשנים 2014-2013</w:t>
      </w:r>
      <w:r>
        <w:rPr>
          <w:rFonts w:eastAsia="Calibri" w:cs="FrankRuehl"/>
          <w:sz w:val="18"/>
          <w:szCs w:val="22"/>
          <w:vertAlign w:val="superscript"/>
          <w:rtl/>
        </w:rPr>
        <w:footnoteReference w:id="66"/>
      </w:r>
      <w:r w:rsidRPr="00F41E78">
        <w:rPr>
          <w:rFonts w:eastAsia="Calibri" w:cs="FrankRuehl" w:hint="cs"/>
          <w:sz w:val="18"/>
          <w:szCs w:val="22"/>
          <w:rtl/>
        </w:rPr>
        <w:t>. במסגרת התכנית הוצע כי "בהתאם להמלצות ועדת גלצר שהוקמה ברשות המיסים, אשר המליצה על מעבר לדו"ח מקוון במיסוי מקרקעין, ובשל היתרונות הקיימים לדו"ח המקוון, מומלץ... לקבוע את החובה להגיש דיווח מקוון החל בשנת 2015". באוגוסט 2013 שונה חוק</w:t>
      </w:r>
      <w:r w:rsidRPr="00F41E78">
        <w:rPr>
          <w:rFonts w:eastAsia="Calibri" w:cs="FrankRuehl"/>
          <w:sz w:val="18"/>
          <w:szCs w:val="22"/>
          <w:rtl/>
        </w:rPr>
        <w:t xml:space="preserve"> </w:t>
      </w:r>
      <w:r w:rsidRPr="00F41E78">
        <w:rPr>
          <w:rFonts w:eastAsia="Calibri" w:cs="FrankRuehl" w:hint="cs"/>
          <w:sz w:val="18"/>
          <w:szCs w:val="22"/>
          <w:rtl/>
        </w:rPr>
        <w:t>מיסוי</w:t>
      </w:r>
      <w:r w:rsidRPr="00F41E78">
        <w:rPr>
          <w:rFonts w:eastAsia="Calibri" w:cs="FrankRuehl"/>
          <w:sz w:val="18"/>
          <w:szCs w:val="22"/>
          <w:rtl/>
        </w:rPr>
        <w:t xml:space="preserve"> </w:t>
      </w:r>
      <w:r w:rsidRPr="00F41E78">
        <w:rPr>
          <w:rFonts w:eastAsia="Calibri" w:cs="FrankRuehl" w:hint="cs"/>
          <w:sz w:val="18"/>
          <w:szCs w:val="22"/>
          <w:rtl/>
        </w:rPr>
        <w:t>מקרקעין</w:t>
      </w:r>
      <w:r w:rsidRPr="00F41E78">
        <w:rPr>
          <w:rFonts w:eastAsia="Calibri" w:cs="FrankRuehl"/>
          <w:sz w:val="18"/>
          <w:szCs w:val="22"/>
          <w:rtl/>
        </w:rPr>
        <w:t xml:space="preserve"> (</w:t>
      </w:r>
      <w:r w:rsidRPr="00F41E78">
        <w:rPr>
          <w:rFonts w:eastAsia="Calibri" w:cs="FrankRuehl" w:hint="cs"/>
          <w:sz w:val="18"/>
          <w:szCs w:val="22"/>
          <w:rtl/>
        </w:rPr>
        <w:t>שבח</w:t>
      </w:r>
      <w:r w:rsidRPr="00F41E78">
        <w:rPr>
          <w:rFonts w:eastAsia="Calibri" w:cs="FrankRuehl"/>
          <w:sz w:val="18"/>
          <w:szCs w:val="22"/>
          <w:rtl/>
        </w:rPr>
        <w:t xml:space="preserve"> </w:t>
      </w:r>
      <w:r w:rsidRPr="00F41E78">
        <w:rPr>
          <w:rFonts w:eastAsia="Calibri" w:cs="FrankRuehl" w:hint="cs"/>
          <w:sz w:val="18"/>
          <w:szCs w:val="22"/>
          <w:rtl/>
        </w:rPr>
        <w:t>ורכישה</w:t>
      </w:r>
      <w:r w:rsidRPr="00F41E78">
        <w:rPr>
          <w:rFonts w:eastAsia="Calibri" w:cs="FrankRuehl"/>
          <w:sz w:val="18"/>
          <w:szCs w:val="22"/>
          <w:rtl/>
        </w:rPr>
        <w:t xml:space="preserve">), </w:t>
      </w:r>
      <w:r w:rsidRPr="00F41E78">
        <w:rPr>
          <w:rFonts w:eastAsia="Calibri" w:cs="FrankRuehl" w:hint="cs"/>
          <w:sz w:val="18"/>
          <w:szCs w:val="22"/>
          <w:rtl/>
        </w:rPr>
        <w:t>התשכ</w:t>
      </w:r>
      <w:r w:rsidRPr="00F41E78">
        <w:rPr>
          <w:rFonts w:eastAsia="Calibri" w:cs="FrankRuehl"/>
          <w:sz w:val="18"/>
          <w:szCs w:val="22"/>
          <w:rtl/>
        </w:rPr>
        <w:t>"</w:t>
      </w:r>
      <w:r w:rsidRPr="00F41E78">
        <w:rPr>
          <w:rFonts w:eastAsia="Calibri" w:cs="FrankRuehl" w:hint="cs"/>
          <w:sz w:val="18"/>
          <w:szCs w:val="22"/>
          <w:rtl/>
        </w:rPr>
        <w:t>ג</w:t>
      </w:r>
      <w:r w:rsidRPr="00F41E78">
        <w:rPr>
          <w:rFonts w:eastAsia="Calibri" w:cs="FrankRuehl"/>
          <w:sz w:val="18"/>
          <w:szCs w:val="22"/>
          <w:rtl/>
        </w:rPr>
        <w:t>-1963</w:t>
      </w:r>
      <w:r>
        <w:rPr>
          <w:rFonts w:eastAsia="Calibri" w:cs="FrankRuehl"/>
          <w:sz w:val="18"/>
          <w:szCs w:val="22"/>
          <w:vertAlign w:val="superscript"/>
          <w:rtl/>
        </w:rPr>
        <w:footnoteReference w:id="67"/>
      </w:r>
      <w:r w:rsidRPr="00E719A9">
        <w:rPr>
          <w:rFonts w:ascii="Calibri" w:eastAsia="Calibri" w:hAnsi="Calibri" w:cs="Arial" w:hint="cs"/>
          <w:vertAlign w:val="superscript"/>
          <w:rtl/>
        </w:rPr>
        <w:t xml:space="preserve"> </w:t>
      </w:r>
      <w:r w:rsidRPr="00FA6646">
        <w:rPr>
          <w:rFonts w:eastAsia="Calibri" w:cs="FrankRuehl" w:hint="cs"/>
          <w:sz w:val="20"/>
          <w:szCs w:val="22"/>
          <w:rtl/>
        </w:rPr>
        <w:t xml:space="preserve">והוסף לו סעיף 76א בדבר "הגשת הצהרה באופן מקוון" המסמיך את מנהל רשות המסים לקבוע כי תוגש לו הצהרה באופן מקוון. </w:t>
      </w:r>
    </w:p>
    <w:p w:rsidR="00D22B16" w:rsidRPr="00F41E78" w:rsidP="00D22B16">
      <w:pPr>
        <w:pStyle w:val="RESHET"/>
        <w:keepLines/>
        <w:rPr>
          <w:rFonts w:eastAsia="Calibri"/>
          <w:rtl/>
        </w:rPr>
      </w:pPr>
      <w:r w:rsidRPr="00F41E78">
        <w:rPr>
          <w:rFonts w:eastAsia="Calibri" w:hint="cs"/>
          <w:rtl/>
        </w:rPr>
        <w:t>לדעת משרד מבקר המדינה, עקב החשיבות שביצירת בסיס נתונים אמין למקבלי ההחלטות בנוגע לנתוני שוק הדיור והחשיבות הרבה של ההחלטות הנסמכות עליו, מן הראוי שמשרד האוצר ורשות המסים יפעלו לטיוב הנתונים בהקדם האפשרי, כדי שלפחות חלק מהבקרות ייעשו עוד לפני שייושם דוח מקוון של מיסוי מקרקעין.</w:t>
      </w:r>
    </w:p>
    <w:p w:rsidR="008D3837" w:rsidRPr="00F41E78" w:rsidP="00F41E78">
      <w:pPr>
        <w:spacing w:after="120" w:line="230" w:lineRule="exact"/>
        <w:jc w:val="both"/>
        <w:rPr>
          <w:rFonts w:eastAsia="Calibri" w:cs="FrankRuehl"/>
          <w:sz w:val="18"/>
          <w:szCs w:val="22"/>
          <w:rtl/>
        </w:rPr>
      </w:pPr>
    </w:p>
    <w:p w:rsidR="00E97EDA" w:rsidRPr="00E719A9" w:rsidP="008D3837">
      <w:pPr>
        <w:pStyle w:val="KOT5"/>
        <w:rPr>
          <w:rFonts w:eastAsia="Calibri"/>
          <w:rtl/>
        </w:rPr>
      </w:pPr>
      <w:r w:rsidRPr="00E719A9">
        <w:rPr>
          <w:rFonts w:eastAsia="Calibri" w:hint="cs"/>
          <w:rtl/>
        </w:rPr>
        <w:t xml:space="preserve">העברת נתונים מזוהים מרשות המסים וממינהל הכנסות המדינה ללמ"ס </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הועלה שנתונים מזוהים מקובץ העסקאות יכולים לסייע ללמ"ס לשפר מדדים רשמיים חשובים נוספים המהווים בסיס לפעילות כלכלית מהותית במשק, כמו שיפור מדד המחירים לצרכן באמצעות שיפור באומדני זקיפת המשקל של מרכיב שירותי דיור בבעלות הדיירים (בינואר 2013 היה משקלו של מרכיב זה כ-19.4% מהמדד)</w:t>
      </w:r>
      <w:r>
        <w:rPr>
          <w:rFonts w:eastAsia="Calibri" w:cs="FrankRuehl"/>
          <w:sz w:val="18"/>
          <w:szCs w:val="22"/>
          <w:vertAlign w:val="superscript"/>
          <w:rtl/>
        </w:rPr>
        <w:footnoteReference w:id="68"/>
      </w:r>
      <w:r w:rsidRPr="00F41E78">
        <w:rPr>
          <w:rFonts w:eastAsia="Calibri" w:cs="FrankRuehl" w:hint="cs"/>
          <w:sz w:val="18"/>
          <w:szCs w:val="22"/>
          <w:rtl/>
        </w:rPr>
        <w:t>; שיפור איכותו של מידע סטטיסטי על דירות חדשות באמצעות הצלבה וטיוב של הנתונים המצויים בידי הלמ"ס עם נתונים ממקורות אחרים; הפרדה</w:t>
      </w:r>
      <w:r w:rsidRPr="00F41E78">
        <w:rPr>
          <w:rFonts w:eastAsia="Calibri" w:cs="FrankRuehl"/>
          <w:sz w:val="18"/>
          <w:szCs w:val="22"/>
          <w:rtl/>
        </w:rPr>
        <w:t xml:space="preserve"> </w:t>
      </w:r>
      <w:r w:rsidRPr="00F41E78">
        <w:rPr>
          <w:rFonts w:eastAsia="Calibri" w:cs="FrankRuehl" w:hint="cs"/>
          <w:sz w:val="18"/>
          <w:szCs w:val="22"/>
          <w:rtl/>
        </w:rPr>
        <w:t>בין דירות שקנו תושבי ישראל ובין דירות שקנו תושבי חוץ לצורכי השקעה; ושיפור איכותו של המידע הסטטיסטי על הכנסות ועל מדידת העוני.</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ללמ"ס הסמכות</w:t>
      </w:r>
      <w:r w:rsidRPr="00F41E78">
        <w:rPr>
          <w:rFonts w:eastAsia="Calibri" w:cs="FrankRuehl"/>
          <w:sz w:val="18"/>
          <w:szCs w:val="22"/>
          <w:rtl/>
        </w:rPr>
        <w:t xml:space="preserve"> </w:t>
      </w:r>
      <w:r w:rsidRPr="00F41E78">
        <w:rPr>
          <w:rFonts w:eastAsia="Calibri" w:cs="FrankRuehl" w:hint="cs"/>
          <w:sz w:val="18"/>
          <w:szCs w:val="22"/>
          <w:rtl/>
        </w:rPr>
        <w:t>לדרוש מידע</w:t>
      </w:r>
      <w:r w:rsidRPr="00F41E78">
        <w:rPr>
          <w:rFonts w:eastAsia="Calibri" w:cs="FrankRuehl"/>
          <w:sz w:val="18"/>
          <w:szCs w:val="22"/>
          <w:rtl/>
        </w:rPr>
        <w:t xml:space="preserve"> </w:t>
      </w:r>
      <w:r w:rsidRPr="00F41E78">
        <w:rPr>
          <w:rFonts w:eastAsia="Calibri" w:cs="FrankRuehl" w:hint="cs"/>
          <w:sz w:val="18"/>
          <w:szCs w:val="22"/>
          <w:rtl/>
        </w:rPr>
        <w:t>מגופים</w:t>
      </w:r>
      <w:r w:rsidRPr="00F41E78">
        <w:rPr>
          <w:rFonts w:eastAsia="Calibri" w:cs="FrankRuehl"/>
          <w:sz w:val="18"/>
          <w:szCs w:val="22"/>
          <w:rtl/>
        </w:rPr>
        <w:t xml:space="preserve"> </w:t>
      </w:r>
      <w:r w:rsidRPr="00F41E78">
        <w:rPr>
          <w:rFonts w:eastAsia="Calibri" w:cs="FrankRuehl" w:hint="cs"/>
          <w:sz w:val="18"/>
          <w:szCs w:val="22"/>
          <w:rtl/>
        </w:rPr>
        <w:t>שונים מתוקף פקודת הסטטיסטיקה. סעיף 15 לפקודה קובע כי לאחר שהממשלה אישרה איסוף סטטיסטיקה הנוגעת לעניין פלוני, "יהא כל אדם השומר או הממונה על רשומות או תעודות של המדינה... או של כל אדם שלדעת הסטטיסטיקן אפשר להשיג מהם מידע הנוגע לעניין האמור או עשוי לסייע להשלמתה או לתיקונה של הסטטיסטיקה הנוגעת לאותו עניין, חייב ליתן לסטטיסטיקן גישה אליהם כדי להשיג את המידע". סעיף 15א(א) לפקודה, קובע כי על אף האמור בכל דין האוסר על מסירת ידיעות או המחייב את שמירתן בסוד, רשאי הסטטיסטיקן לדרוש ממוסד ממוסדות המדינה למסור לו ידיעות, רשומות ותעודות... לצורך עריכת פעולה סטטיסטית בידי הלשכה"</w:t>
      </w:r>
      <w:r w:rsidRPr="00F41E78">
        <w:rPr>
          <w:rFonts w:eastAsia="Calibri" w:cs="FrankRuehl"/>
          <w:sz w:val="18"/>
          <w:szCs w:val="22"/>
          <w:rtl/>
        </w:rPr>
        <w:t xml:space="preserve">. </w:t>
      </w:r>
      <w:r w:rsidRPr="00F41E78">
        <w:rPr>
          <w:rFonts w:eastAsia="Calibri" w:cs="FrankRuehl" w:hint="cs"/>
          <w:sz w:val="18"/>
          <w:szCs w:val="22"/>
          <w:rtl/>
        </w:rPr>
        <w:t>אולם</w:t>
      </w:r>
      <w:r w:rsidRPr="00F41E78">
        <w:rPr>
          <w:rFonts w:eastAsia="Calibri" w:cs="FrankRuehl"/>
          <w:sz w:val="18"/>
          <w:szCs w:val="22"/>
          <w:rtl/>
        </w:rPr>
        <w:t xml:space="preserve"> </w:t>
      </w:r>
      <w:r w:rsidRPr="00F41E78">
        <w:rPr>
          <w:rFonts w:eastAsia="Calibri" w:cs="FrankRuehl" w:hint="cs"/>
          <w:sz w:val="18"/>
          <w:szCs w:val="22"/>
          <w:rtl/>
        </w:rPr>
        <w:t>בפקודה</w:t>
      </w:r>
      <w:r w:rsidRPr="00F41E78">
        <w:rPr>
          <w:rFonts w:eastAsia="Calibri" w:cs="FrankRuehl"/>
          <w:sz w:val="18"/>
          <w:szCs w:val="22"/>
          <w:rtl/>
        </w:rPr>
        <w:t xml:space="preserve"> </w:t>
      </w:r>
      <w:r w:rsidRPr="00F41E78">
        <w:rPr>
          <w:rFonts w:eastAsia="Calibri" w:cs="FrankRuehl" w:hint="cs"/>
          <w:sz w:val="18"/>
          <w:szCs w:val="22"/>
          <w:rtl/>
        </w:rPr>
        <w:t>נקבעו סייגים</w:t>
      </w:r>
      <w:r w:rsidRPr="00F41E78">
        <w:rPr>
          <w:rFonts w:eastAsia="Calibri" w:cs="FrankRuehl"/>
          <w:sz w:val="18"/>
          <w:szCs w:val="22"/>
          <w:rtl/>
        </w:rPr>
        <w:t xml:space="preserve"> </w:t>
      </w:r>
      <w:r w:rsidRPr="00F41E78">
        <w:rPr>
          <w:rFonts w:eastAsia="Calibri" w:cs="FrankRuehl" w:hint="cs"/>
          <w:sz w:val="18"/>
          <w:szCs w:val="22"/>
          <w:rtl/>
        </w:rPr>
        <w:t>בנוגע למסירת מידע סודי, ובכלל זה נקבע שלא יימסרו ידיעות שלדעת ראש הממשלה או שר הביטחון יש בהן כדי לפגוע בביטחון המדינה</w:t>
      </w:r>
      <w:r w:rsidRPr="00F41E78">
        <w:rPr>
          <w:rFonts w:eastAsia="Calibri" w:cs="FrankRuehl"/>
          <w:sz w:val="18"/>
          <w:szCs w:val="22"/>
          <w:rtl/>
        </w:rPr>
        <w:t>,</w:t>
      </w:r>
      <w:r w:rsidRPr="00F41E78">
        <w:rPr>
          <w:rFonts w:eastAsia="Calibri" w:cs="FrankRuehl" w:hint="cs"/>
          <w:sz w:val="18"/>
          <w:szCs w:val="22"/>
          <w:rtl/>
        </w:rPr>
        <w:t xml:space="preserve"> ביחסי החוץ שלה, בסחר הבין-לאומי שלה, במערכת הכלכלית של המדינה או במוסדותיה הכספיים.</w:t>
      </w:r>
    </w:p>
    <w:p w:rsidR="00E97EDA" w:rsidRPr="00F41E78" w:rsidP="00F95926">
      <w:pPr>
        <w:spacing w:after="240" w:line="230" w:lineRule="exact"/>
        <w:jc w:val="both"/>
        <w:rPr>
          <w:rFonts w:eastAsia="Calibri" w:cs="FrankRuehl"/>
          <w:sz w:val="18"/>
          <w:szCs w:val="22"/>
          <w:rtl/>
        </w:rPr>
      </w:pPr>
      <w:r w:rsidRPr="00F41E78">
        <w:rPr>
          <w:rFonts w:eastAsia="Calibri" w:cs="FrankRuehl" w:hint="cs"/>
          <w:sz w:val="18"/>
          <w:szCs w:val="22"/>
          <w:rtl/>
        </w:rPr>
        <w:t xml:space="preserve">כאמור, ממסמך הנתונים עולה שכבר בשנת 2008 הציג מינהל הכנסות המדינה ללמ"ס פערים של ממש בין נתונים הנוגעים להתפתחות מחירי הדיור, הנסמכים על קובץ העסקאות, ובין הנתונים שפרסמה הלמ"ס שלא נסמכו על קובץ העסקאות. </w:t>
      </w:r>
    </w:p>
    <w:p w:rsidR="00D22B16" w:rsidRPr="00F41E78" w:rsidP="00D22B16">
      <w:pPr>
        <w:pStyle w:val="RESHET"/>
        <w:keepLines/>
        <w:rPr>
          <w:rFonts w:eastAsia="Calibri"/>
          <w:rtl/>
        </w:rPr>
      </w:pPr>
      <w:r w:rsidRPr="00F41E78">
        <w:rPr>
          <w:rFonts w:eastAsia="Calibri" w:hint="cs"/>
          <w:rtl/>
        </w:rPr>
        <w:t xml:space="preserve">רק ביוני 2009 פנה הסטטיסטיקן הממשלתי דאז למנכ"ל משרד האוצר דאז בדרישה לקבל מידע על "כל העסקאות בתחום הנדל"ן למגורים, כולל נתונים פרטניים המאפשרים זיהוי של רוכשי הדירות והקבלן המוכר"; דהיינו, לקבל את נתוני קובץ העסקאות שיאפשרו טיוב של נתונים המשמשים לקביעת מדדים רבים של הסטטיסטיקה הרשמית של המדינה, ובכלל זה מאפשרים לשפר את רמת הדיוק של מדד מחירי הדיור בבעלות ואת מדד המחירים לצרכן. </w:t>
      </w:r>
    </w:p>
    <w:p w:rsidR="00E97EDA" w:rsidRPr="00F41E78" w:rsidP="00F95926">
      <w:pPr>
        <w:spacing w:before="180" w:after="240" w:line="230" w:lineRule="exact"/>
        <w:jc w:val="both"/>
        <w:rPr>
          <w:rFonts w:eastAsia="Calibri" w:cs="FrankRuehl"/>
          <w:sz w:val="18"/>
          <w:szCs w:val="22"/>
          <w:rtl/>
        </w:rPr>
      </w:pPr>
      <w:r w:rsidRPr="00F41E78">
        <w:rPr>
          <w:rFonts w:eastAsia="Calibri" w:cs="FrankRuehl" w:hint="cs"/>
          <w:sz w:val="18"/>
          <w:szCs w:val="22"/>
          <w:rtl/>
        </w:rPr>
        <w:t xml:space="preserve">מבדיקת משרד מבקר המדינה עולה כי לאחר הפנייה האמורה התקיימו דיונים ממושכים בין הלמ"ס ובין רשות המסים ומשרד האוצר בנושא זה, ורק ביולי 2010 החליט משרד האוצר להעביר את ההכרעה בשאלת העברת הנתונים לנציג היועץ המשפטי לממשלה לנוכח הפגיעה האפשרית בזכות לפרטיות. באוגוסט 2010 מסרה הלמ"ס את עמדתה בכתב למחלקת ייעוץ וחקיקה במשרד המשפטים. בדצמבר 2010 קיבלה הלמ"ס מכתב מהחטיבה המשפטית ברשות המסים, ולפיו לאחר בחינה נוספת החליטה למסור לה את קובץ העסקאות, לרבות מספרי זהות של צדדים בעסקאות לרכישת דירות. </w:t>
      </w:r>
    </w:p>
    <w:p w:rsidR="00D22B16" w:rsidRPr="00F41E78" w:rsidP="00D22B16">
      <w:pPr>
        <w:pStyle w:val="RESHET"/>
        <w:keepLines/>
        <w:rPr>
          <w:rFonts w:eastAsia="Calibri"/>
          <w:rtl/>
        </w:rPr>
      </w:pPr>
      <w:r w:rsidRPr="00F41E78">
        <w:rPr>
          <w:rFonts w:eastAsia="Calibri" w:hint="cs"/>
          <w:rtl/>
        </w:rPr>
        <w:t>משרד מבקר המדינה העיר למשרד האוצר על השיהוי הניכר שחל עד מועד קבלת ההחלטה על העברת נתוני הדיור ללמ"ס, בייחוד כאשר נתונים אלו משמשים לצורך שיפור הסטטיסטיקה הרשמית של מדינת ישראל והם כלי מרכזי המסייע לקיים תהליך קבלת החלטות מושכל בתחום הדיור. נמצא</w:t>
      </w:r>
      <w:r w:rsidRPr="00F41E78">
        <w:rPr>
          <w:rFonts w:eastAsia="Calibri"/>
          <w:rtl/>
        </w:rPr>
        <w:t xml:space="preserve"> </w:t>
      </w:r>
      <w:r w:rsidRPr="00F41E78">
        <w:rPr>
          <w:rFonts w:eastAsia="Calibri" w:hint="cs"/>
          <w:rtl/>
        </w:rPr>
        <w:t>כי</w:t>
      </w:r>
      <w:r w:rsidRPr="00F41E78">
        <w:rPr>
          <w:rFonts w:eastAsia="Calibri"/>
          <w:rtl/>
        </w:rPr>
        <w:t xml:space="preserve"> </w:t>
      </w:r>
      <w:r w:rsidRPr="00F41E78">
        <w:rPr>
          <w:rFonts w:eastAsia="Calibri" w:hint="cs"/>
          <w:rtl/>
        </w:rPr>
        <w:t>רק</w:t>
      </w:r>
      <w:r w:rsidRPr="00F41E78">
        <w:rPr>
          <w:rFonts w:eastAsia="Calibri"/>
          <w:rtl/>
        </w:rPr>
        <w:t xml:space="preserve"> </w:t>
      </w:r>
      <w:r w:rsidRPr="00F41E78">
        <w:rPr>
          <w:rFonts w:eastAsia="Calibri" w:hint="cs"/>
          <w:rtl/>
        </w:rPr>
        <w:t>ביוני</w:t>
      </w:r>
      <w:r w:rsidRPr="00F41E78">
        <w:rPr>
          <w:rFonts w:eastAsia="Calibri"/>
          <w:rtl/>
        </w:rPr>
        <w:t xml:space="preserve"> 2011, </w:t>
      </w:r>
      <w:r w:rsidRPr="00F41E78">
        <w:rPr>
          <w:rFonts w:eastAsia="Calibri" w:hint="cs"/>
          <w:rtl/>
        </w:rPr>
        <w:t>כשנתיים</w:t>
      </w:r>
      <w:r w:rsidRPr="00F41E78">
        <w:rPr>
          <w:rFonts w:eastAsia="Calibri"/>
          <w:rtl/>
        </w:rPr>
        <w:t xml:space="preserve"> </w:t>
      </w:r>
      <w:r w:rsidRPr="00F41E78">
        <w:rPr>
          <w:rFonts w:eastAsia="Calibri" w:hint="cs"/>
          <w:rtl/>
        </w:rPr>
        <w:t>לאחר</w:t>
      </w:r>
      <w:r w:rsidRPr="00F41E78">
        <w:rPr>
          <w:rFonts w:eastAsia="Calibri"/>
          <w:rtl/>
        </w:rPr>
        <w:t xml:space="preserve"> </w:t>
      </w:r>
      <w:r w:rsidRPr="00F41E78">
        <w:rPr>
          <w:rFonts w:eastAsia="Calibri" w:hint="cs"/>
          <w:rtl/>
        </w:rPr>
        <w:t>הפנייה</w:t>
      </w:r>
      <w:r w:rsidRPr="00F41E78">
        <w:rPr>
          <w:rFonts w:eastAsia="Calibri"/>
          <w:rtl/>
        </w:rPr>
        <w:t xml:space="preserve"> </w:t>
      </w:r>
      <w:r w:rsidRPr="00F41E78">
        <w:rPr>
          <w:rFonts w:eastAsia="Calibri" w:hint="cs"/>
          <w:rtl/>
        </w:rPr>
        <w:t>האמורה</w:t>
      </w:r>
      <w:r w:rsidRPr="00F41E78">
        <w:rPr>
          <w:rFonts w:eastAsia="Calibri"/>
          <w:rtl/>
        </w:rPr>
        <w:t xml:space="preserve">, </w:t>
      </w:r>
      <w:r w:rsidRPr="00F41E78">
        <w:rPr>
          <w:rFonts w:eastAsia="Calibri" w:hint="cs"/>
          <w:rtl/>
        </w:rPr>
        <w:t>נשלח</w:t>
      </w:r>
      <w:r w:rsidRPr="00F41E78">
        <w:rPr>
          <w:rFonts w:eastAsia="Calibri"/>
          <w:rtl/>
        </w:rPr>
        <w:t xml:space="preserve"> </w:t>
      </w:r>
      <w:r w:rsidRPr="00F41E78">
        <w:rPr>
          <w:rFonts w:eastAsia="Calibri" w:hint="cs"/>
          <w:rtl/>
        </w:rPr>
        <w:t>לראשונה</w:t>
      </w:r>
      <w:r w:rsidRPr="00F41E78">
        <w:rPr>
          <w:rFonts w:eastAsia="Calibri"/>
          <w:rtl/>
        </w:rPr>
        <w:t xml:space="preserve"> </w:t>
      </w:r>
      <w:r w:rsidRPr="00F41E78">
        <w:rPr>
          <w:rFonts w:eastAsia="Calibri" w:hint="cs"/>
          <w:rtl/>
        </w:rPr>
        <w:t>קובץ</w:t>
      </w:r>
      <w:r w:rsidRPr="00F41E78">
        <w:rPr>
          <w:rFonts w:eastAsia="Calibri"/>
          <w:rtl/>
        </w:rPr>
        <w:t xml:space="preserve"> </w:t>
      </w:r>
      <w:r w:rsidRPr="00F41E78">
        <w:rPr>
          <w:rFonts w:eastAsia="Calibri" w:hint="cs"/>
          <w:rtl/>
        </w:rPr>
        <w:t>העסקאות</w:t>
      </w:r>
      <w:r w:rsidRPr="00F41E78">
        <w:rPr>
          <w:rFonts w:eastAsia="Calibri"/>
          <w:rtl/>
        </w:rPr>
        <w:t xml:space="preserve"> </w:t>
      </w:r>
      <w:r w:rsidRPr="00F41E78">
        <w:rPr>
          <w:rFonts w:eastAsia="Calibri" w:hint="cs"/>
          <w:rtl/>
        </w:rPr>
        <w:t>ללמ</w:t>
      </w:r>
      <w:r w:rsidRPr="00F41E78">
        <w:rPr>
          <w:rFonts w:eastAsia="Calibri"/>
          <w:rtl/>
        </w:rPr>
        <w:t>"</w:t>
      </w:r>
      <w:r w:rsidRPr="00F41E78">
        <w:rPr>
          <w:rFonts w:eastAsia="Calibri" w:hint="cs"/>
          <w:rtl/>
        </w:rPr>
        <w:t>ס</w:t>
      </w:r>
      <w:r w:rsidRPr="00F41E78">
        <w:rPr>
          <w:rFonts w:eastAsia="Calibri"/>
          <w:rtl/>
        </w:rPr>
        <w:t>.</w:t>
      </w:r>
    </w:p>
    <w:p w:rsidR="00D22B16" w:rsidRPr="00F41E78" w:rsidP="00D22B16">
      <w:pPr>
        <w:pStyle w:val="RESHET"/>
        <w:keepLines/>
        <w:rPr>
          <w:rFonts w:eastAsia="Calibri"/>
          <w:rtl/>
        </w:rPr>
      </w:pPr>
      <w:r w:rsidRPr="00F41E78">
        <w:rPr>
          <w:rFonts w:eastAsia="Calibri" w:hint="cs"/>
          <w:rtl/>
        </w:rPr>
        <w:t xml:space="preserve">עוד נמצא כי אף שהוחל במשלוח קובץ העסקאות ללמ"ס ובו נתונים מזוהים, המשיך קובץ הכרמ"ן להישלח ללמ"ס ללא פרטי הזהות של הצדדים לעסקה; וזאת אף על פי שבשיחה עם נציג הלמ"ס מיולי 2013 נמסר לנציג משרד מבקר המדינה כי הבקשה הועלתה לאורך השנים בשיחות בין הלמ"ס לרשות המסים. </w:t>
      </w:r>
    </w:p>
    <w:p w:rsidR="00D22B16" w:rsidRPr="00F41E78" w:rsidP="00D22B16">
      <w:pPr>
        <w:pStyle w:val="RESHET"/>
        <w:keepLines/>
        <w:rPr>
          <w:rFonts w:eastAsia="Calibri"/>
          <w:rtl/>
        </w:rPr>
      </w:pPr>
      <w:r w:rsidRPr="00F41E78">
        <w:rPr>
          <w:rFonts w:eastAsia="Calibri" w:hint="cs"/>
          <w:rtl/>
        </w:rPr>
        <w:t xml:space="preserve">לדעת משרד מבקר המדינה, משהוחלט על מסירת קובץ העסקאות במתכונת המאפשרת לקשרו לקובץ הכרמ"ן, מן הראוי היה לבחון אם לכלול גם בקובץ הכרמ"ן את פרטי הזהות של הצדדים בעסקה כדי לאפשר זיהוי והצלבה ישירה בין הקבצים ברמה גבוהה, אמינה וזולה ביותר. </w:t>
      </w:r>
    </w:p>
    <w:p w:rsidR="008D3837" w:rsidRPr="00F41E78" w:rsidP="00F41E78">
      <w:pPr>
        <w:spacing w:after="120" w:line="230" w:lineRule="exact"/>
        <w:jc w:val="both"/>
        <w:rPr>
          <w:rFonts w:eastAsia="Calibri" w:cs="FrankRuehl"/>
          <w:b/>
          <w:bCs/>
          <w:sz w:val="18"/>
          <w:szCs w:val="22"/>
          <w:rtl/>
        </w:rPr>
      </w:pPr>
    </w:p>
    <w:p w:rsidR="00E97EDA" w:rsidRPr="00E719A9" w:rsidP="008D3837">
      <w:pPr>
        <w:pStyle w:val="KOT5"/>
        <w:rPr>
          <w:rFonts w:eastAsia="Calibri"/>
          <w:rtl/>
        </w:rPr>
      </w:pPr>
      <w:r w:rsidRPr="00E719A9">
        <w:rPr>
          <w:rFonts w:eastAsia="Calibri" w:hint="cs"/>
          <w:rtl/>
        </w:rPr>
        <w:t>טיוב</w:t>
      </w:r>
      <w:r w:rsidRPr="00E719A9">
        <w:rPr>
          <w:rFonts w:eastAsia="Calibri"/>
          <w:rtl/>
        </w:rPr>
        <w:t xml:space="preserve"> </w:t>
      </w:r>
      <w:r w:rsidRPr="00E719A9">
        <w:rPr>
          <w:rFonts w:eastAsia="Calibri" w:hint="cs"/>
          <w:rtl/>
        </w:rPr>
        <w:t>הנתונים</w:t>
      </w:r>
      <w:r w:rsidRPr="00E719A9">
        <w:rPr>
          <w:rFonts w:eastAsia="Calibri"/>
          <w:rtl/>
        </w:rPr>
        <w:t xml:space="preserve"> </w:t>
      </w:r>
      <w:r w:rsidRPr="00E719A9">
        <w:rPr>
          <w:rFonts w:eastAsia="Calibri" w:hint="cs"/>
          <w:rtl/>
        </w:rPr>
        <w:t>בשוק</w:t>
      </w:r>
      <w:r w:rsidRPr="00E719A9">
        <w:rPr>
          <w:rFonts w:eastAsia="Calibri"/>
          <w:rtl/>
        </w:rPr>
        <w:t xml:space="preserve"> </w:t>
      </w:r>
      <w:r w:rsidRPr="00E719A9">
        <w:rPr>
          <w:rFonts w:eastAsia="Calibri" w:hint="cs"/>
          <w:rtl/>
        </w:rPr>
        <w:t>הנדל</w:t>
      </w:r>
      <w:r w:rsidRPr="00E719A9">
        <w:rPr>
          <w:rFonts w:eastAsia="Calibri"/>
          <w:rtl/>
        </w:rPr>
        <w:t>"</w:t>
      </w:r>
      <w:r w:rsidRPr="00E719A9">
        <w:rPr>
          <w:rFonts w:eastAsia="Calibri" w:hint="cs"/>
          <w:rtl/>
        </w:rPr>
        <w:t>ן</w:t>
      </w:r>
      <w:r w:rsidRPr="00E719A9">
        <w:rPr>
          <w:rFonts w:eastAsia="Calibri"/>
          <w:rtl/>
        </w:rPr>
        <w:t xml:space="preserve"> </w:t>
      </w:r>
      <w:r w:rsidRPr="00E719A9">
        <w:rPr>
          <w:rFonts w:eastAsia="Calibri" w:hint="cs"/>
          <w:rtl/>
        </w:rPr>
        <w:t>באמצעות</w:t>
      </w:r>
      <w:r w:rsidRPr="00E719A9">
        <w:rPr>
          <w:rFonts w:eastAsia="Calibri"/>
          <w:rtl/>
        </w:rPr>
        <w:t xml:space="preserve"> </w:t>
      </w:r>
      <w:r w:rsidRPr="00E719A9">
        <w:rPr>
          <w:rFonts w:eastAsia="Calibri" w:hint="cs"/>
          <w:rtl/>
        </w:rPr>
        <w:t>מאגרי</w:t>
      </w:r>
      <w:r w:rsidRPr="00E719A9">
        <w:rPr>
          <w:rFonts w:eastAsia="Calibri"/>
          <w:rtl/>
        </w:rPr>
        <w:t xml:space="preserve"> </w:t>
      </w:r>
      <w:r w:rsidRPr="00E719A9">
        <w:rPr>
          <w:rFonts w:eastAsia="Calibri" w:hint="cs"/>
          <w:rtl/>
        </w:rPr>
        <w:t>מידע</w:t>
      </w:r>
      <w:r w:rsidRPr="00E719A9">
        <w:rPr>
          <w:rFonts w:eastAsia="Calibri"/>
          <w:rtl/>
        </w:rPr>
        <w:t xml:space="preserve"> </w:t>
      </w:r>
      <w:r w:rsidRPr="00E719A9">
        <w:rPr>
          <w:rFonts w:eastAsia="Calibri" w:hint="cs"/>
          <w:rtl/>
        </w:rPr>
        <w:t>נוספים</w:t>
      </w:r>
    </w:p>
    <w:p w:rsidR="00E97EDA" w:rsidRPr="00F41E78" w:rsidP="008819C2">
      <w:pPr>
        <w:spacing w:after="120" w:line="230" w:lineRule="exact"/>
        <w:ind w:left="340" w:hanging="340"/>
        <w:jc w:val="both"/>
        <w:rPr>
          <w:rFonts w:eastAsia="Calibri" w:cs="FrankRuehl"/>
          <w:sz w:val="18"/>
          <w:szCs w:val="22"/>
          <w:rtl/>
        </w:rPr>
      </w:pPr>
      <w:r w:rsidRPr="00F41E78">
        <w:rPr>
          <w:rFonts w:eastAsia="Calibri" w:cs="FrankRuehl" w:hint="cs"/>
          <w:sz w:val="18"/>
          <w:szCs w:val="22"/>
          <w:rtl/>
        </w:rPr>
        <w:t xml:space="preserve">1. </w:t>
      </w:r>
      <w:r w:rsidRPr="00F41E78">
        <w:rPr>
          <w:rFonts w:eastAsia="Calibri" w:cs="FrankRuehl" w:hint="cs"/>
          <w:sz w:val="18"/>
          <w:szCs w:val="22"/>
          <w:rtl/>
        </w:rPr>
        <w:tab/>
      </w:r>
      <w:r w:rsidRPr="00F41E78">
        <w:rPr>
          <w:rFonts w:eastAsia="Calibri" w:cs="FrankRuehl"/>
          <w:sz w:val="18"/>
          <w:szCs w:val="22"/>
          <w:rtl/>
        </w:rPr>
        <w:t>ח</w:t>
      </w:r>
      <w:r w:rsidRPr="00F41E78">
        <w:rPr>
          <w:rFonts w:eastAsia="Calibri" w:cs="FrankRuehl" w:hint="cs"/>
          <w:sz w:val="18"/>
          <w:szCs w:val="22"/>
          <w:rtl/>
        </w:rPr>
        <w:t>וק המכר (דירות) (הבטחת השקעות של רוכשי דירות), התשל"ה-</w:t>
      </w:r>
      <w:r w:rsidRPr="00F41E78">
        <w:rPr>
          <w:rFonts w:eastAsia="Calibri" w:cs="FrankRuehl"/>
          <w:sz w:val="18"/>
          <w:szCs w:val="22"/>
          <w:rtl/>
        </w:rPr>
        <w:t>1974</w:t>
      </w:r>
      <w:r w:rsidRPr="00F41E78">
        <w:rPr>
          <w:rFonts w:eastAsia="Calibri" w:cs="FrankRuehl" w:hint="cs"/>
          <w:sz w:val="18"/>
          <w:szCs w:val="22"/>
          <w:rtl/>
        </w:rPr>
        <w:t xml:space="preserve"> (להלן - חוק המכר), קובע כי </w:t>
      </w:r>
      <w:r w:rsidRPr="00F41E78">
        <w:rPr>
          <w:rFonts w:eastAsia="Calibri" w:cs="FrankRuehl"/>
          <w:sz w:val="18"/>
          <w:szCs w:val="22"/>
          <w:rtl/>
        </w:rPr>
        <w:t>לא</w:t>
      </w:r>
      <w:r w:rsidRPr="00F41E78">
        <w:rPr>
          <w:rFonts w:eastAsia="Calibri" w:cs="FrankRuehl" w:hint="cs"/>
          <w:sz w:val="18"/>
          <w:szCs w:val="22"/>
          <w:rtl/>
        </w:rPr>
        <w:t xml:space="preserve"> יקבל מוכר מקונה, על חשבון מחיר הדירה, סכום העולה על 7% מהמחי</w:t>
      </w:r>
      <w:r w:rsidRPr="00F41E78">
        <w:rPr>
          <w:rFonts w:eastAsia="Calibri" w:cs="FrankRuehl"/>
          <w:sz w:val="18"/>
          <w:szCs w:val="22"/>
          <w:rtl/>
        </w:rPr>
        <w:t>ר</w:t>
      </w:r>
      <w:r w:rsidRPr="00F41E78">
        <w:rPr>
          <w:rFonts w:eastAsia="Calibri" w:cs="FrankRuehl" w:hint="cs"/>
          <w:sz w:val="18"/>
          <w:szCs w:val="22"/>
          <w:rtl/>
        </w:rPr>
        <w:t xml:space="preserve">, אלא אם הבטיח באמצעות מתן בטוחה כי כספו של הקונה יוחזר לו אם לא יוכל לקבל בעלות או זכות אחרת בדירה כמוסכם בחוזה המכר. עוד נקבע בחוק כי שר </w:t>
      </w:r>
      <w:r w:rsidR="008819C2">
        <w:rPr>
          <w:rFonts w:eastAsia="Calibri" w:cs="FrankRuehl" w:hint="cs"/>
          <w:sz w:val="18"/>
          <w:szCs w:val="22"/>
          <w:rtl/>
        </w:rPr>
        <w:t>הבינוי</w:t>
      </w:r>
      <w:r w:rsidRPr="00F41E78">
        <w:rPr>
          <w:rFonts w:eastAsia="Calibri" w:cs="FrankRuehl" w:hint="cs"/>
          <w:sz w:val="18"/>
          <w:szCs w:val="22"/>
          <w:rtl/>
        </w:rPr>
        <w:t xml:space="preserve"> ימנה ממונה לעניין יישום הוראות חוק זה (להלן - ממונה חוק מכר), ו"הממונה ינהל רישום שיפורטו בו שם קונה הדירה, שם המוכר, פרטי המקרקעין, נותן הבטוחה וסוג הבטוחה שניתנה לטובת הקונה" (להלן - נתוני חוק המכר). </w:t>
      </w:r>
    </w:p>
    <w:p w:rsidR="00E97EDA" w:rsidRPr="00F41E78" w:rsidP="008819C2">
      <w:pPr>
        <w:spacing w:after="120" w:line="230" w:lineRule="exact"/>
        <w:ind w:left="340" w:hanging="340"/>
        <w:jc w:val="both"/>
        <w:rPr>
          <w:rFonts w:eastAsia="Calibri" w:cs="FrankRuehl"/>
          <w:sz w:val="18"/>
          <w:szCs w:val="22"/>
          <w:rtl/>
        </w:rPr>
      </w:pPr>
      <w:r>
        <w:rPr>
          <w:rFonts w:eastAsia="Calibri" w:cs="FrankRuehl"/>
          <w:sz w:val="18"/>
          <w:szCs w:val="22"/>
        </w:rPr>
        <w:tab/>
      </w:r>
      <w:r w:rsidRPr="00F41E78">
        <w:rPr>
          <w:rFonts w:eastAsia="Calibri" w:cs="FrankRuehl" w:hint="cs"/>
          <w:sz w:val="18"/>
          <w:szCs w:val="22"/>
          <w:rtl/>
        </w:rPr>
        <w:t>מסיכום דוח הביניים של המועצה לכלכלה (להלן - דוח הביניים של המועצה לכלכלה) עולה כי "הצוות [צוות המועצה לכלכלה] פעל ליצירת שיתוף פעולה בין הממונה על חוק המכר במשרד הבינוי והשיכון לבין הלמ"ס... כך שהנתונים הייחודיים שבידי הממונה יועברו לידי הלמ"ס ובעזרתם יוכל הלמ"ס לטייב ולהרחיב את בסיס הנתונים המשמש לבניית מדד מחירי הדירות". יצוין כי נתוני חוק המכר מאפשרים לטייב את מאגר המידע המצוי בידי הלמ"ס בכל הנוגע למכירת דירות חדשות שהן כ</w:t>
      </w:r>
      <w:r w:rsidRPr="00F41E78">
        <w:rPr>
          <w:rFonts w:eastAsia="Calibri" w:cs="FrankRuehl"/>
          <w:sz w:val="18"/>
          <w:szCs w:val="22"/>
          <w:rtl/>
        </w:rPr>
        <w:t xml:space="preserve">-22% </w:t>
      </w:r>
      <w:r w:rsidRPr="00F41E78">
        <w:rPr>
          <w:rFonts w:eastAsia="Calibri" w:cs="FrankRuehl" w:hint="cs"/>
          <w:sz w:val="18"/>
          <w:szCs w:val="22"/>
          <w:rtl/>
        </w:rPr>
        <w:t>מסך</w:t>
      </w:r>
      <w:r w:rsidRPr="00F41E78">
        <w:rPr>
          <w:rFonts w:eastAsia="Calibri" w:cs="FrankRuehl"/>
          <w:sz w:val="18"/>
          <w:szCs w:val="22"/>
          <w:rtl/>
        </w:rPr>
        <w:t xml:space="preserve"> </w:t>
      </w:r>
      <w:r w:rsidRPr="00F41E78">
        <w:rPr>
          <w:rFonts w:eastAsia="Calibri" w:cs="FrankRuehl" w:hint="cs"/>
          <w:sz w:val="18"/>
          <w:szCs w:val="22"/>
          <w:rtl/>
        </w:rPr>
        <w:t>הדירות</w:t>
      </w:r>
      <w:r w:rsidRPr="00F41E78">
        <w:rPr>
          <w:rFonts w:eastAsia="Calibri" w:cs="FrankRuehl"/>
          <w:sz w:val="18"/>
          <w:szCs w:val="22"/>
          <w:rtl/>
        </w:rPr>
        <w:t xml:space="preserve"> </w:t>
      </w:r>
      <w:r w:rsidRPr="00F41E78">
        <w:rPr>
          <w:rFonts w:eastAsia="Calibri" w:cs="FrankRuehl" w:hint="cs"/>
          <w:sz w:val="18"/>
          <w:szCs w:val="22"/>
          <w:rtl/>
        </w:rPr>
        <w:t>שנמכרו</w:t>
      </w:r>
      <w:r w:rsidRPr="00F41E78">
        <w:rPr>
          <w:rFonts w:eastAsia="Calibri" w:cs="FrankRuehl"/>
          <w:sz w:val="18"/>
          <w:szCs w:val="22"/>
          <w:rtl/>
        </w:rPr>
        <w:t xml:space="preserve"> </w:t>
      </w:r>
      <w:r w:rsidRPr="00F41E78">
        <w:rPr>
          <w:rFonts w:eastAsia="Calibri" w:cs="FrankRuehl" w:hint="cs"/>
          <w:sz w:val="18"/>
          <w:szCs w:val="22"/>
          <w:rtl/>
        </w:rPr>
        <w:t>בשנת</w:t>
      </w:r>
      <w:r w:rsidRPr="00F41E78">
        <w:rPr>
          <w:rFonts w:eastAsia="Calibri" w:cs="FrankRuehl"/>
          <w:sz w:val="18"/>
          <w:szCs w:val="22"/>
          <w:rtl/>
        </w:rPr>
        <w:t xml:space="preserve"> 2012</w:t>
      </w:r>
      <w:r>
        <w:rPr>
          <w:rFonts w:eastAsia="Calibri" w:cs="FrankRuehl"/>
          <w:sz w:val="18"/>
          <w:szCs w:val="22"/>
          <w:vertAlign w:val="superscript"/>
          <w:rtl/>
        </w:rPr>
        <w:footnoteReference w:id="69"/>
      </w:r>
      <w:r w:rsidRPr="00F41E78">
        <w:rPr>
          <w:rFonts w:eastAsia="Calibri" w:cs="FrankRuehl" w:hint="cs"/>
          <w:sz w:val="18"/>
          <w:szCs w:val="22"/>
          <w:rtl/>
        </w:rPr>
        <w:t>. ביולי 2013 כתבה הלמ"ס למשרד מבקר המדינה כי "נבנה תהליך לאימות נתונים עם קובץ חוק המכר שהתקבל לאחרונה ממשרד הבינוי".</w:t>
      </w:r>
    </w:p>
    <w:p w:rsidR="00E97EDA" w:rsidRPr="00F41E78" w:rsidP="00FF2CBA">
      <w:pPr>
        <w:spacing w:after="120" w:line="230" w:lineRule="exact"/>
        <w:ind w:left="340" w:hanging="340"/>
        <w:jc w:val="both"/>
        <w:rPr>
          <w:rFonts w:eastAsia="Calibri" w:cs="FrankRuehl"/>
          <w:b/>
          <w:bCs/>
          <w:sz w:val="18"/>
          <w:szCs w:val="22"/>
          <w:rtl/>
        </w:rPr>
      </w:pPr>
      <w:r w:rsidRPr="00F41E78">
        <w:rPr>
          <w:rFonts w:eastAsia="Calibri" w:cs="FrankRuehl" w:hint="cs"/>
          <w:sz w:val="18"/>
          <w:szCs w:val="22"/>
          <w:rtl/>
        </w:rPr>
        <w:t xml:space="preserve">2. </w:t>
      </w:r>
      <w:r w:rsidRPr="00F41E78">
        <w:rPr>
          <w:rFonts w:eastAsia="Calibri" w:cs="FrankRuehl" w:hint="cs"/>
          <w:sz w:val="18"/>
          <w:szCs w:val="22"/>
          <w:rtl/>
        </w:rPr>
        <w:tab/>
        <w:t xml:space="preserve">במאי 2012 פנה ראש המועצה לכלכלה למפקח על הבנקים בבנק ישראל (להלן - המפקח) וציין כי "מבדיקה שערכה המועצה הלאומית לכלכלה </w:t>
      </w:r>
      <w:r w:rsidRPr="00F41E78">
        <w:rPr>
          <w:rFonts w:eastAsia="Calibri" w:cs="FrankRuehl" w:hint="eastAsia"/>
          <w:sz w:val="18"/>
          <w:szCs w:val="22"/>
          <w:rtl/>
        </w:rPr>
        <w:t>עלה</w:t>
      </w:r>
      <w:r w:rsidRPr="00F41E78">
        <w:rPr>
          <w:rFonts w:eastAsia="Calibri" w:cs="FrankRuehl"/>
          <w:sz w:val="18"/>
          <w:szCs w:val="22"/>
          <w:rtl/>
        </w:rPr>
        <w:t xml:space="preserve"> </w:t>
      </w:r>
      <w:r w:rsidRPr="00F41E78">
        <w:rPr>
          <w:rFonts w:eastAsia="Calibri" w:cs="FrankRuehl" w:hint="eastAsia"/>
          <w:sz w:val="18"/>
          <w:szCs w:val="22"/>
          <w:rtl/>
        </w:rPr>
        <w:t>שמההיבט</w:t>
      </w:r>
      <w:r w:rsidRPr="00F41E78">
        <w:rPr>
          <w:rFonts w:eastAsia="Calibri" w:cs="FrankRuehl"/>
          <w:sz w:val="18"/>
          <w:szCs w:val="22"/>
          <w:rtl/>
        </w:rPr>
        <w:t xml:space="preserve"> </w:t>
      </w:r>
      <w:r w:rsidRPr="00F41E78">
        <w:rPr>
          <w:rFonts w:eastAsia="Calibri" w:cs="FrankRuehl" w:hint="eastAsia"/>
          <w:sz w:val="18"/>
          <w:szCs w:val="22"/>
          <w:rtl/>
        </w:rPr>
        <w:t>המתודולוגי</w:t>
      </w:r>
      <w:r w:rsidRPr="00F41E78">
        <w:rPr>
          <w:rFonts w:eastAsia="Calibri" w:cs="FrankRuehl"/>
          <w:sz w:val="18"/>
          <w:szCs w:val="22"/>
          <w:rtl/>
        </w:rPr>
        <w:t xml:space="preserve"> </w:t>
      </w:r>
      <w:r w:rsidRPr="00F41E78">
        <w:rPr>
          <w:rFonts w:eastAsia="Calibri" w:cs="FrankRuehl" w:hint="eastAsia"/>
          <w:sz w:val="18"/>
          <w:szCs w:val="22"/>
          <w:rtl/>
        </w:rPr>
        <w:t>אופן</w:t>
      </w:r>
      <w:r w:rsidRPr="00F41E78">
        <w:rPr>
          <w:rFonts w:eastAsia="Calibri" w:cs="FrankRuehl"/>
          <w:sz w:val="18"/>
          <w:szCs w:val="22"/>
          <w:rtl/>
        </w:rPr>
        <w:t xml:space="preserve"> </w:t>
      </w:r>
      <w:r w:rsidRPr="00F41E78">
        <w:rPr>
          <w:rFonts w:eastAsia="Calibri" w:cs="FrankRuehl" w:hint="eastAsia"/>
          <w:sz w:val="18"/>
          <w:szCs w:val="22"/>
          <w:rtl/>
        </w:rPr>
        <w:t>חישוב</w:t>
      </w:r>
      <w:r w:rsidRPr="00F41E78">
        <w:rPr>
          <w:rFonts w:eastAsia="Calibri" w:cs="FrankRuehl"/>
          <w:sz w:val="18"/>
          <w:szCs w:val="22"/>
          <w:rtl/>
        </w:rPr>
        <w:t xml:space="preserve"> </w:t>
      </w:r>
      <w:r w:rsidRPr="00F41E78">
        <w:rPr>
          <w:rFonts w:eastAsia="Calibri" w:cs="FrankRuehl" w:hint="eastAsia"/>
          <w:sz w:val="18"/>
          <w:szCs w:val="22"/>
          <w:rtl/>
        </w:rPr>
        <w:t>מדד</w:t>
      </w:r>
      <w:r w:rsidRPr="00F41E78">
        <w:rPr>
          <w:rFonts w:eastAsia="Calibri" w:cs="FrankRuehl"/>
          <w:sz w:val="18"/>
          <w:szCs w:val="22"/>
          <w:rtl/>
        </w:rPr>
        <w:t xml:space="preserve"> </w:t>
      </w:r>
      <w:r w:rsidRPr="00F41E78">
        <w:rPr>
          <w:rFonts w:eastAsia="Calibri" w:cs="FrankRuehl" w:hint="eastAsia"/>
          <w:sz w:val="18"/>
          <w:szCs w:val="22"/>
          <w:rtl/>
        </w:rPr>
        <w:t>מחירי</w:t>
      </w:r>
      <w:r w:rsidRPr="00F41E78">
        <w:rPr>
          <w:rFonts w:eastAsia="Calibri" w:cs="FrankRuehl"/>
          <w:sz w:val="18"/>
          <w:szCs w:val="22"/>
          <w:rtl/>
        </w:rPr>
        <w:t xml:space="preserve"> </w:t>
      </w:r>
      <w:r w:rsidRPr="00F41E78">
        <w:rPr>
          <w:rFonts w:eastAsia="Calibri" w:cs="FrankRuehl" w:hint="eastAsia"/>
          <w:sz w:val="18"/>
          <w:szCs w:val="22"/>
          <w:rtl/>
        </w:rPr>
        <w:t>הדיור</w:t>
      </w:r>
      <w:r w:rsidRPr="00F41E78">
        <w:rPr>
          <w:rFonts w:eastAsia="Calibri" w:cs="FrankRuehl"/>
          <w:sz w:val="18"/>
          <w:szCs w:val="22"/>
          <w:rtl/>
        </w:rPr>
        <w:t xml:space="preserve"> </w:t>
      </w:r>
      <w:r w:rsidRPr="00F41E78">
        <w:rPr>
          <w:rFonts w:eastAsia="Calibri" w:cs="FrankRuehl" w:hint="eastAsia"/>
          <w:sz w:val="18"/>
          <w:szCs w:val="22"/>
          <w:rtl/>
        </w:rPr>
        <w:t>על</w:t>
      </w:r>
      <w:r w:rsidRPr="00F41E78">
        <w:rPr>
          <w:rFonts w:eastAsia="Calibri" w:cs="FrankRuehl"/>
          <w:sz w:val="18"/>
          <w:szCs w:val="22"/>
          <w:rtl/>
        </w:rPr>
        <w:t xml:space="preserve"> </w:t>
      </w:r>
      <w:r w:rsidRPr="00F41E78">
        <w:rPr>
          <w:rFonts w:eastAsia="Calibri" w:cs="FrankRuehl" w:hint="eastAsia"/>
          <w:sz w:val="18"/>
          <w:szCs w:val="22"/>
          <w:rtl/>
        </w:rPr>
        <w:t>ידי</w:t>
      </w:r>
      <w:r w:rsidRPr="00F41E78">
        <w:rPr>
          <w:rFonts w:eastAsia="Calibri" w:cs="FrankRuehl"/>
          <w:sz w:val="18"/>
          <w:szCs w:val="22"/>
          <w:rtl/>
        </w:rPr>
        <w:t xml:space="preserve"> </w:t>
      </w:r>
      <w:r w:rsidRPr="00F41E78">
        <w:rPr>
          <w:rFonts w:eastAsia="Calibri" w:cs="FrankRuehl" w:hint="eastAsia"/>
          <w:sz w:val="18"/>
          <w:szCs w:val="22"/>
          <w:rtl/>
        </w:rPr>
        <w:t>הלמ</w:t>
      </w:r>
      <w:r w:rsidRPr="00F41E78">
        <w:rPr>
          <w:rFonts w:eastAsia="Calibri" w:cs="FrankRuehl"/>
          <w:sz w:val="18"/>
          <w:szCs w:val="22"/>
          <w:rtl/>
        </w:rPr>
        <w:t>"</w:t>
      </w:r>
      <w:r w:rsidRPr="00F41E78">
        <w:rPr>
          <w:rFonts w:eastAsia="Calibri" w:cs="FrankRuehl" w:hint="eastAsia"/>
          <w:sz w:val="18"/>
          <w:szCs w:val="22"/>
          <w:rtl/>
        </w:rPr>
        <w:t>ס</w:t>
      </w:r>
      <w:r w:rsidRPr="00F41E78">
        <w:rPr>
          <w:rFonts w:eastAsia="Calibri" w:cs="FrankRuehl"/>
          <w:sz w:val="18"/>
          <w:szCs w:val="22"/>
          <w:rtl/>
        </w:rPr>
        <w:t xml:space="preserve"> </w:t>
      </w:r>
      <w:r w:rsidRPr="00F41E78">
        <w:rPr>
          <w:rFonts w:eastAsia="Calibri" w:cs="FrankRuehl" w:hint="eastAsia"/>
          <w:sz w:val="18"/>
          <w:szCs w:val="22"/>
          <w:rtl/>
        </w:rPr>
        <w:t>הוא</w:t>
      </w:r>
      <w:r w:rsidRPr="00F41E78">
        <w:rPr>
          <w:rFonts w:eastAsia="Calibri" w:cs="FrankRuehl"/>
          <w:sz w:val="18"/>
          <w:szCs w:val="22"/>
          <w:rtl/>
        </w:rPr>
        <w:t xml:space="preserve"> </w:t>
      </w:r>
      <w:r w:rsidRPr="00F41E78">
        <w:rPr>
          <w:rFonts w:eastAsia="Calibri" w:cs="FrankRuehl" w:hint="eastAsia"/>
          <w:sz w:val="18"/>
          <w:szCs w:val="22"/>
          <w:rtl/>
        </w:rPr>
        <w:t>תקין</w:t>
      </w:r>
      <w:r w:rsidRPr="00F41E78">
        <w:rPr>
          <w:rFonts w:eastAsia="Calibri" w:cs="FrankRuehl"/>
          <w:sz w:val="18"/>
          <w:szCs w:val="22"/>
          <w:rtl/>
        </w:rPr>
        <w:t xml:space="preserve">. </w:t>
      </w:r>
      <w:r w:rsidRPr="00F41E78">
        <w:rPr>
          <w:rFonts w:eastAsia="Calibri" w:cs="FrankRuehl" w:hint="eastAsia"/>
          <w:sz w:val="18"/>
          <w:szCs w:val="22"/>
          <w:rtl/>
        </w:rPr>
        <w:t>עם</w:t>
      </w:r>
      <w:r w:rsidRPr="00F41E78">
        <w:rPr>
          <w:rFonts w:eastAsia="Calibri" w:cs="FrankRuehl"/>
          <w:sz w:val="18"/>
          <w:szCs w:val="22"/>
          <w:rtl/>
        </w:rPr>
        <w:t xml:space="preserve"> </w:t>
      </w:r>
      <w:r w:rsidRPr="00F41E78">
        <w:rPr>
          <w:rFonts w:eastAsia="Calibri" w:cs="FrankRuehl" w:hint="eastAsia"/>
          <w:sz w:val="18"/>
          <w:szCs w:val="22"/>
          <w:rtl/>
        </w:rPr>
        <w:t>זאת</w:t>
      </w:r>
      <w:r w:rsidRPr="00F41E78">
        <w:rPr>
          <w:rFonts w:eastAsia="Calibri" w:cs="FrankRuehl"/>
          <w:sz w:val="18"/>
          <w:szCs w:val="22"/>
          <w:rtl/>
        </w:rPr>
        <w:t xml:space="preserve">, </w:t>
      </w:r>
      <w:r w:rsidRPr="00F41E78">
        <w:rPr>
          <w:rFonts w:eastAsia="Calibri" w:cs="FrankRuehl" w:hint="eastAsia"/>
          <w:sz w:val="18"/>
          <w:szCs w:val="22"/>
          <w:rtl/>
        </w:rPr>
        <w:t>נתגלו</w:t>
      </w:r>
      <w:r w:rsidRPr="00F41E78">
        <w:rPr>
          <w:rFonts w:eastAsia="Calibri" w:cs="FrankRuehl"/>
          <w:sz w:val="18"/>
          <w:szCs w:val="22"/>
          <w:rtl/>
        </w:rPr>
        <w:t xml:space="preserve"> </w:t>
      </w:r>
      <w:r w:rsidRPr="00F41E78">
        <w:rPr>
          <w:rFonts w:eastAsia="Calibri" w:cs="FrankRuehl" w:hint="eastAsia"/>
          <w:sz w:val="18"/>
          <w:szCs w:val="22"/>
          <w:rtl/>
        </w:rPr>
        <w:t>בעיות</w:t>
      </w:r>
      <w:r w:rsidRPr="00F41E78">
        <w:rPr>
          <w:rFonts w:eastAsia="Calibri" w:cs="FrankRuehl"/>
          <w:sz w:val="18"/>
          <w:szCs w:val="22"/>
          <w:rtl/>
        </w:rPr>
        <w:t xml:space="preserve"> </w:t>
      </w:r>
      <w:r w:rsidRPr="00F41E78">
        <w:rPr>
          <w:rFonts w:eastAsia="Calibri" w:cs="FrankRuehl" w:hint="eastAsia"/>
          <w:sz w:val="18"/>
          <w:szCs w:val="22"/>
          <w:rtl/>
        </w:rPr>
        <w:t>חמורות</w:t>
      </w:r>
      <w:r w:rsidRPr="00F41E78">
        <w:rPr>
          <w:rFonts w:eastAsia="Calibri" w:cs="FrankRuehl"/>
          <w:sz w:val="18"/>
          <w:szCs w:val="22"/>
          <w:rtl/>
        </w:rPr>
        <w:t xml:space="preserve"> </w:t>
      </w:r>
      <w:r w:rsidRPr="00F41E78">
        <w:rPr>
          <w:rFonts w:eastAsia="Calibri" w:cs="FrankRuehl" w:hint="eastAsia"/>
          <w:sz w:val="18"/>
          <w:szCs w:val="22"/>
          <w:rtl/>
        </w:rPr>
        <w:t>בקשר</w:t>
      </w:r>
      <w:r w:rsidRPr="00F41E78">
        <w:rPr>
          <w:rFonts w:eastAsia="Calibri" w:cs="FrankRuehl"/>
          <w:sz w:val="18"/>
          <w:szCs w:val="22"/>
          <w:rtl/>
        </w:rPr>
        <w:t xml:space="preserve"> </w:t>
      </w:r>
      <w:r w:rsidRPr="00F41E78">
        <w:rPr>
          <w:rFonts w:eastAsia="Calibri" w:cs="FrankRuehl" w:hint="eastAsia"/>
          <w:sz w:val="18"/>
          <w:szCs w:val="22"/>
          <w:rtl/>
        </w:rPr>
        <w:t>לבסיס</w:t>
      </w:r>
      <w:r w:rsidRPr="00F41E78">
        <w:rPr>
          <w:rFonts w:eastAsia="Calibri" w:cs="FrankRuehl"/>
          <w:sz w:val="18"/>
          <w:szCs w:val="22"/>
          <w:rtl/>
        </w:rPr>
        <w:t xml:space="preserve"> </w:t>
      </w:r>
      <w:r w:rsidRPr="00F41E78">
        <w:rPr>
          <w:rFonts w:eastAsia="Calibri" w:cs="FrankRuehl" w:hint="eastAsia"/>
          <w:sz w:val="18"/>
          <w:szCs w:val="22"/>
          <w:rtl/>
        </w:rPr>
        <w:t>הנתונים</w:t>
      </w:r>
      <w:r w:rsidRPr="00F41E78">
        <w:rPr>
          <w:rFonts w:eastAsia="Calibri" w:cs="FrankRuehl"/>
          <w:sz w:val="18"/>
          <w:szCs w:val="22"/>
          <w:rtl/>
        </w:rPr>
        <w:t xml:space="preserve"> </w:t>
      </w:r>
      <w:r w:rsidRPr="00F41E78">
        <w:rPr>
          <w:rFonts w:eastAsia="Calibri" w:cs="FrankRuehl" w:hint="eastAsia"/>
          <w:sz w:val="18"/>
          <w:szCs w:val="22"/>
          <w:rtl/>
        </w:rPr>
        <w:t>המשמש</w:t>
      </w:r>
      <w:r w:rsidRPr="00F41E78">
        <w:rPr>
          <w:rFonts w:eastAsia="Calibri" w:cs="FrankRuehl"/>
          <w:sz w:val="18"/>
          <w:szCs w:val="22"/>
          <w:rtl/>
        </w:rPr>
        <w:t xml:space="preserve"> </w:t>
      </w:r>
      <w:r w:rsidRPr="00F41E78">
        <w:rPr>
          <w:rFonts w:eastAsia="Calibri" w:cs="FrankRuehl" w:hint="eastAsia"/>
          <w:sz w:val="18"/>
          <w:szCs w:val="22"/>
          <w:rtl/>
        </w:rPr>
        <w:t>לחישוב</w:t>
      </w:r>
      <w:r w:rsidRPr="00F41E78">
        <w:rPr>
          <w:rFonts w:eastAsia="Calibri" w:cs="FrankRuehl"/>
          <w:sz w:val="18"/>
          <w:szCs w:val="22"/>
          <w:rtl/>
        </w:rPr>
        <w:t xml:space="preserve"> </w:t>
      </w:r>
      <w:r w:rsidRPr="00F41E78">
        <w:rPr>
          <w:rFonts w:eastAsia="Calibri" w:cs="FrankRuehl" w:hint="eastAsia"/>
          <w:sz w:val="18"/>
          <w:szCs w:val="22"/>
          <w:rtl/>
        </w:rPr>
        <w:t>המדד</w:t>
      </w:r>
      <w:r w:rsidRPr="00F41E78">
        <w:rPr>
          <w:rFonts w:eastAsia="Calibri" w:cs="FrankRuehl"/>
          <w:sz w:val="18"/>
          <w:szCs w:val="22"/>
          <w:rtl/>
        </w:rPr>
        <w:t xml:space="preserve">, </w:t>
      </w:r>
      <w:r w:rsidRPr="00F41E78">
        <w:rPr>
          <w:rFonts w:eastAsia="Calibri" w:cs="FrankRuehl" w:hint="eastAsia"/>
          <w:sz w:val="18"/>
          <w:szCs w:val="22"/>
          <w:rtl/>
        </w:rPr>
        <w:t>החייבות</w:t>
      </w:r>
      <w:r w:rsidRPr="00F41E78">
        <w:rPr>
          <w:rFonts w:eastAsia="Calibri" w:cs="FrankRuehl"/>
          <w:sz w:val="18"/>
          <w:szCs w:val="22"/>
          <w:rtl/>
        </w:rPr>
        <w:t xml:space="preserve"> </w:t>
      </w:r>
      <w:r w:rsidRPr="00F41E78">
        <w:rPr>
          <w:rFonts w:eastAsia="Calibri" w:cs="FrankRuehl" w:hint="eastAsia"/>
          <w:sz w:val="18"/>
          <w:szCs w:val="22"/>
          <w:rtl/>
        </w:rPr>
        <w:t>להיפתר</w:t>
      </w:r>
      <w:r w:rsidRPr="00F41E78">
        <w:rPr>
          <w:rFonts w:eastAsia="Calibri" w:cs="FrankRuehl"/>
          <w:sz w:val="18"/>
          <w:szCs w:val="22"/>
          <w:rtl/>
        </w:rPr>
        <w:t xml:space="preserve"> </w:t>
      </w:r>
      <w:r w:rsidRPr="00F41E78">
        <w:rPr>
          <w:rFonts w:eastAsia="Calibri" w:cs="FrankRuehl" w:hint="eastAsia"/>
          <w:sz w:val="18"/>
          <w:szCs w:val="22"/>
          <w:rtl/>
        </w:rPr>
        <w:t>על</w:t>
      </w:r>
      <w:r w:rsidRPr="00F41E78">
        <w:rPr>
          <w:rFonts w:eastAsia="Calibri" w:cs="FrankRuehl"/>
          <w:sz w:val="18"/>
          <w:szCs w:val="22"/>
          <w:rtl/>
        </w:rPr>
        <w:t xml:space="preserve"> </w:t>
      </w:r>
      <w:r w:rsidRPr="00F41E78">
        <w:rPr>
          <w:rFonts w:eastAsia="Calibri" w:cs="FrankRuehl" w:hint="eastAsia"/>
          <w:sz w:val="18"/>
          <w:szCs w:val="22"/>
          <w:rtl/>
        </w:rPr>
        <w:t>מנת</w:t>
      </w:r>
      <w:r w:rsidRPr="00F41E78">
        <w:rPr>
          <w:rFonts w:eastAsia="Calibri" w:cs="FrankRuehl"/>
          <w:sz w:val="18"/>
          <w:szCs w:val="22"/>
          <w:rtl/>
        </w:rPr>
        <w:t xml:space="preserve"> </w:t>
      </w:r>
      <w:r w:rsidRPr="00F41E78">
        <w:rPr>
          <w:rFonts w:eastAsia="Calibri" w:cs="FrankRuehl" w:hint="eastAsia"/>
          <w:sz w:val="18"/>
          <w:szCs w:val="22"/>
          <w:rtl/>
        </w:rPr>
        <w:t>שניתן</w:t>
      </w:r>
      <w:r w:rsidRPr="00F41E78">
        <w:rPr>
          <w:rFonts w:eastAsia="Calibri" w:cs="FrankRuehl"/>
          <w:sz w:val="18"/>
          <w:szCs w:val="22"/>
          <w:rtl/>
        </w:rPr>
        <w:t xml:space="preserve"> </w:t>
      </w:r>
      <w:r w:rsidRPr="00F41E78">
        <w:rPr>
          <w:rFonts w:eastAsia="Calibri" w:cs="FrankRuehl" w:hint="eastAsia"/>
          <w:sz w:val="18"/>
          <w:szCs w:val="22"/>
          <w:rtl/>
        </w:rPr>
        <w:t>יהיה</w:t>
      </w:r>
      <w:r w:rsidRPr="00F41E78">
        <w:rPr>
          <w:rFonts w:eastAsia="Calibri" w:cs="FrankRuehl"/>
          <w:sz w:val="18"/>
          <w:szCs w:val="22"/>
          <w:rtl/>
        </w:rPr>
        <w:t xml:space="preserve"> </w:t>
      </w:r>
      <w:r w:rsidRPr="00F41E78">
        <w:rPr>
          <w:rFonts w:eastAsia="Calibri" w:cs="FrankRuehl" w:hint="eastAsia"/>
          <w:sz w:val="18"/>
          <w:szCs w:val="22"/>
          <w:rtl/>
        </w:rPr>
        <w:t>לבטוח</w:t>
      </w:r>
      <w:r w:rsidRPr="00F41E78">
        <w:rPr>
          <w:rFonts w:eastAsia="Calibri" w:cs="FrankRuehl"/>
          <w:sz w:val="18"/>
          <w:szCs w:val="22"/>
          <w:rtl/>
        </w:rPr>
        <w:t xml:space="preserve"> </w:t>
      </w:r>
      <w:r w:rsidRPr="00F41E78">
        <w:rPr>
          <w:rFonts w:eastAsia="Calibri" w:cs="FrankRuehl" w:hint="eastAsia"/>
          <w:sz w:val="18"/>
          <w:szCs w:val="22"/>
          <w:rtl/>
        </w:rPr>
        <w:t>בתוצאותיו</w:t>
      </w:r>
      <w:r w:rsidRPr="00F41E78">
        <w:rPr>
          <w:rFonts w:eastAsia="Calibri" w:cs="FrankRuehl" w:hint="cs"/>
          <w:sz w:val="18"/>
          <w:szCs w:val="22"/>
          <w:rtl/>
        </w:rPr>
        <w:t>". עוד צוין בפנייה כי</w:t>
      </w:r>
      <w:r w:rsidRPr="00F41E78">
        <w:rPr>
          <w:rFonts w:eastAsia="Calibri" w:cs="FrankRuehl" w:hint="eastAsia"/>
          <w:sz w:val="18"/>
          <w:szCs w:val="22"/>
          <w:rtl/>
        </w:rPr>
        <w:t xml:space="preserve"> </w:t>
      </w:r>
      <w:r w:rsidRPr="00F41E78">
        <w:rPr>
          <w:rFonts w:eastAsia="Calibri" w:cs="FrankRuehl" w:hint="cs"/>
          <w:sz w:val="18"/>
          <w:szCs w:val="22"/>
          <w:rtl/>
        </w:rPr>
        <w:t>"</w:t>
      </w:r>
      <w:r w:rsidRPr="00F41E78">
        <w:rPr>
          <w:rFonts w:eastAsia="Calibri" w:cs="FrankRuehl" w:hint="eastAsia"/>
          <w:sz w:val="18"/>
          <w:szCs w:val="22"/>
          <w:rtl/>
        </w:rPr>
        <w:t>בהקשר</w:t>
      </w:r>
      <w:r w:rsidRPr="00F41E78">
        <w:rPr>
          <w:rFonts w:eastAsia="Calibri" w:cs="FrankRuehl"/>
          <w:sz w:val="18"/>
          <w:szCs w:val="22"/>
          <w:rtl/>
        </w:rPr>
        <w:t xml:space="preserve"> </w:t>
      </w:r>
      <w:r w:rsidRPr="00F41E78">
        <w:rPr>
          <w:rFonts w:eastAsia="Calibri" w:cs="FrankRuehl" w:hint="eastAsia"/>
          <w:sz w:val="18"/>
          <w:szCs w:val="22"/>
          <w:rtl/>
        </w:rPr>
        <w:t>זה</w:t>
      </w:r>
      <w:r w:rsidRPr="00F41E78">
        <w:rPr>
          <w:rFonts w:eastAsia="Calibri" w:cs="FrankRuehl"/>
          <w:sz w:val="18"/>
          <w:szCs w:val="22"/>
          <w:rtl/>
        </w:rPr>
        <w:t xml:space="preserve">, </w:t>
      </w:r>
      <w:r w:rsidRPr="00F41E78">
        <w:rPr>
          <w:rFonts w:eastAsia="Calibri" w:cs="FrankRuehl" w:hint="eastAsia"/>
          <w:sz w:val="18"/>
          <w:szCs w:val="22"/>
          <w:rtl/>
        </w:rPr>
        <w:t>הערכות</w:t>
      </w:r>
      <w:r w:rsidRPr="00F41E78">
        <w:rPr>
          <w:rFonts w:eastAsia="Calibri" w:cs="FrankRuehl"/>
          <w:sz w:val="18"/>
          <w:szCs w:val="22"/>
          <w:rtl/>
        </w:rPr>
        <w:t xml:space="preserve"> </w:t>
      </w:r>
      <w:r w:rsidRPr="00F41E78">
        <w:rPr>
          <w:rFonts w:eastAsia="Calibri" w:cs="FrankRuehl" w:hint="eastAsia"/>
          <w:sz w:val="18"/>
          <w:szCs w:val="22"/>
          <w:rtl/>
        </w:rPr>
        <w:t>השמאי</w:t>
      </w:r>
      <w:r w:rsidRPr="00F41E78">
        <w:rPr>
          <w:rFonts w:eastAsia="Calibri" w:cs="FrankRuehl"/>
          <w:sz w:val="18"/>
          <w:szCs w:val="22"/>
          <w:rtl/>
        </w:rPr>
        <w:t xml:space="preserve"> </w:t>
      </w:r>
      <w:r w:rsidRPr="00F41E78">
        <w:rPr>
          <w:rFonts w:eastAsia="Calibri" w:cs="FrankRuehl" w:hint="eastAsia"/>
          <w:sz w:val="18"/>
          <w:szCs w:val="22"/>
          <w:rtl/>
        </w:rPr>
        <w:t>המופקות</w:t>
      </w:r>
      <w:r w:rsidRPr="00F41E78">
        <w:rPr>
          <w:rFonts w:eastAsia="Calibri" w:cs="FrankRuehl"/>
          <w:sz w:val="18"/>
          <w:szCs w:val="22"/>
          <w:rtl/>
        </w:rPr>
        <w:t xml:space="preserve"> </w:t>
      </w:r>
      <w:r w:rsidRPr="00F41E78">
        <w:rPr>
          <w:rFonts w:eastAsia="Calibri" w:cs="FrankRuehl" w:hint="eastAsia"/>
          <w:sz w:val="18"/>
          <w:szCs w:val="22"/>
          <w:rtl/>
        </w:rPr>
        <w:t>לבנקים</w:t>
      </w:r>
      <w:r w:rsidRPr="00F41E78">
        <w:rPr>
          <w:rFonts w:eastAsia="Calibri" w:cs="FrankRuehl"/>
          <w:sz w:val="18"/>
          <w:szCs w:val="22"/>
          <w:rtl/>
        </w:rPr>
        <w:t xml:space="preserve"> </w:t>
      </w:r>
      <w:r w:rsidRPr="00F41E78">
        <w:rPr>
          <w:rFonts w:eastAsia="Calibri" w:cs="FrankRuehl" w:hint="eastAsia"/>
          <w:sz w:val="18"/>
          <w:szCs w:val="22"/>
          <w:rtl/>
        </w:rPr>
        <w:t>למשכנתאות</w:t>
      </w:r>
      <w:r w:rsidRPr="00F41E78">
        <w:rPr>
          <w:rFonts w:eastAsia="Calibri" w:cs="FrankRuehl"/>
          <w:sz w:val="18"/>
          <w:szCs w:val="22"/>
          <w:rtl/>
        </w:rPr>
        <w:t xml:space="preserve"> </w:t>
      </w:r>
      <w:r w:rsidRPr="00F41E78">
        <w:rPr>
          <w:rFonts w:eastAsia="Calibri" w:cs="FrankRuehl" w:hint="eastAsia"/>
          <w:sz w:val="18"/>
          <w:szCs w:val="22"/>
          <w:rtl/>
        </w:rPr>
        <w:t>על</w:t>
      </w:r>
      <w:r w:rsidRPr="00F41E78">
        <w:rPr>
          <w:rFonts w:eastAsia="Calibri" w:cs="FrankRuehl"/>
          <w:sz w:val="18"/>
          <w:szCs w:val="22"/>
          <w:rtl/>
        </w:rPr>
        <w:t xml:space="preserve"> </w:t>
      </w:r>
      <w:r w:rsidRPr="00F41E78">
        <w:rPr>
          <w:rFonts w:eastAsia="Calibri" w:cs="FrankRuehl" w:hint="eastAsia"/>
          <w:sz w:val="18"/>
          <w:szCs w:val="22"/>
          <w:rtl/>
        </w:rPr>
        <w:t>הדירות</w:t>
      </w:r>
      <w:r w:rsidRPr="00F41E78">
        <w:rPr>
          <w:rFonts w:eastAsia="Calibri" w:cs="FrankRuehl"/>
          <w:sz w:val="18"/>
          <w:szCs w:val="22"/>
          <w:rtl/>
        </w:rPr>
        <w:t xml:space="preserve"> </w:t>
      </w:r>
      <w:r w:rsidRPr="00F41E78">
        <w:rPr>
          <w:rFonts w:eastAsia="Calibri" w:cs="FrankRuehl" w:hint="eastAsia"/>
          <w:sz w:val="18"/>
          <w:szCs w:val="22"/>
          <w:rtl/>
        </w:rPr>
        <w:t>הממושכנות</w:t>
      </w:r>
      <w:r w:rsidRPr="00F41E78">
        <w:rPr>
          <w:rFonts w:eastAsia="Calibri" w:cs="FrankRuehl"/>
          <w:sz w:val="18"/>
          <w:szCs w:val="22"/>
          <w:rtl/>
        </w:rPr>
        <w:t xml:space="preserve"> </w:t>
      </w:r>
      <w:r w:rsidRPr="00F41E78">
        <w:rPr>
          <w:rFonts w:eastAsia="Calibri" w:cs="FrankRuehl" w:hint="eastAsia"/>
          <w:sz w:val="18"/>
          <w:szCs w:val="22"/>
          <w:rtl/>
        </w:rPr>
        <w:t>הן</w:t>
      </w:r>
      <w:r w:rsidRPr="00F41E78">
        <w:rPr>
          <w:rFonts w:eastAsia="Calibri" w:cs="FrankRuehl"/>
          <w:sz w:val="18"/>
          <w:szCs w:val="22"/>
          <w:rtl/>
        </w:rPr>
        <w:t xml:space="preserve"> </w:t>
      </w:r>
      <w:r w:rsidRPr="00F41E78">
        <w:rPr>
          <w:rFonts w:eastAsia="Calibri" w:cs="FrankRuehl" w:hint="eastAsia"/>
          <w:sz w:val="18"/>
          <w:szCs w:val="22"/>
          <w:rtl/>
        </w:rPr>
        <w:t>מקור</w:t>
      </w:r>
      <w:r w:rsidRPr="00F41E78">
        <w:rPr>
          <w:rFonts w:eastAsia="Calibri" w:cs="FrankRuehl"/>
          <w:sz w:val="18"/>
          <w:szCs w:val="22"/>
          <w:rtl/>
        </w:rPr>
        <w:t xml:space="preserve"> </w:t>
      </w:r>
      <w:r w:rsidRPr="00F41E78">
        <w:rPr>
          <w:rFonts w:eastAsia="Calibri" w:cs="FrankRuehl" w:hint="eastAsia"/>
          <w:sz w:val="18"/>
          <w:szCs w:val="22"/>
          <w:rtl/>
        </w:rPr>
        <w:t>מרכזי</w:t>
      </w:r>
      <w:r w:rsidRPr="00F41E78">
        <w:rPr>
          <w:rFonts w:eastAsia="Calibri" w:cs="FrankRuehl"/>
          <w:sz w:val="18"/>
          <w:szCs w:val="22"/>
          <w:rtl/>
        </w:rPr>
        <w:t xml:space="preserve"> </w:t>
      </w:r>
      <w:r w:rsidRPr="00F41E78">
        <w:rPr>
          <w:rFonts w:eastAsia="Calibri" w:cs="FrankRuehl" w:hint="eastAsia"/>
          <w:sz w:val="18"/>
          <w:szCs w:val="22"/>
          <w:rtl/>
        </w:rPr>
        <w:t>לטיוב</w:t>
      </w:r>
      <w:r w:rsidRPr="00F41E78">
        <w:rPr>
          <w:rFonts w:eastAsia="Calibri" w:cs="FrankRuehl"/>
          <w:sz w:val="18"/>
          <w:szCs w:val="22"/>
          <w:rtl/>
        </w:rPr>
        <w:t xml:space="preserve"> </w:t>
      </w:r>
      <w:r w:rsidRPr="00F41E78">
        <w:rPr>
          <w:rFonts w:eastAsia="Calibri" w:cs="FrankRuehl" w:hint="eastAsia"/>
          <w:sz w:val="18"/>
          <w:szCs w:val="22"/>
          <w:rtl/>
        </w:rPr>
        <w:t>בסיס</w:t>
      </w:r>
      <w:r w:rsidRPr="00F41E78">
        <w:rPr>
          <w:rFonts w:eastAsia="Calibri" w:cs="FrankRuehl"/>
          <w:sz w:val="18"/>
          <w:szCs w:val="22"/>
          <w:rtl/>
        </w:rPr>
        <w:t xml:space="preserve"> </w:t>
      </w:r>
      <w:r w:rsidRPr="00F41E78">
        <w:rPr>
          <w:rFonts w:eastAsia="Calibri" w:cs="FrankRuehl" w:hint="eastAsia"/>
          <w:sz w:val="18"/>
          <w:szCs w:val="22"/>
          <w:rtl/>
        </w:rPr>
        <w:t>הנתונים</w:t>
      </w:r>
      <w:r w:rsidRPr="00F41E78">
        <w:rPr>
          <w:rFonts w:eastAsia="Calibri" w:cs="FrankRuehl"/>
          <w:sz w:val="18"/>
          <w:szCs w:val="22"/>
          <w:rtl/>
        </w:rPr>
        <w:t xml:space="preserve"> </w:t>
      </w:r>
      <w:r w:rsidRPr="00F41E78">
        <w:rPr>
          <w:rFonts w:eastAsia="Calibri" w:cs="FrankRuehl" w:hint="eastAsia"/>
          <w:sz w:val="18"/>
          <w:szCs w:val="22"/>
          <w:rtl/>
        </w:rPr>
        <w:t>המשמש</w:t>
      </w:r>
      <w:r w:rsidRPr="00F41E78">
        <w:rPr>
          <w:rFonts w:eastAsia="Calibri" w:cs="FrankRuehl"/>
          <w:sz w:val="18"/>
          <w:szCs w:val="22"/>
          <w:rtl/>
        </w:rPr>
        <w:t xml:space="preserve"> </w:t>
      </w:r>
      <w:r w:rsidRPr="00F41E78">
        <w:rPr>
          <w:rFonts w:eastAsia="Calibri" w:cs="FrankRuehl" w:hint="eastAsia"/>
          <w:sz w:val="18"/>
          <w:szCs w:val="22"/>
          <w:rtl/>
        </w:rPr>
        <w:t>לחישוב</w:t>
      </w:r>
      <w:r w:rsidRPr="00F41E78">
        <w:rPr>
          <w:rFonts w:eastAsia="Calibri" w:cs="FrankRuehl"/>
          <w:sz w:val="18"/>
          <w:szCs w:val="22"/>
          <w:rtl/>
        </w:rPr>
        <w:t xml:space="preserve"> </w:t>
      </w:r>
      <w:r w:rsidRPr="00F41E78">
        <w:rPr>
          <w:rFonts w:eastAsia="Calibri" w:cs="FrankRuehl" w:hint="eastAsia"/>
          <w:sz w:val="18"/>
          <w:szCs w:val="22"/>
          <w:rtl/>
        </w:rPr>
        <w:t>מדד</w:t>
      </w:r>
      <w:r w:rsidRPr="00F41E78">
        <w:rPr>
          <w:rFonts w:eastAsia="Calibri" w:cs="FrankRuehl"/>
          <w:sz w:val="18"/>
          <w:szCs w:val="22"/>
          <w:rtl/>
        </w:rPr>
        <w:t xml:space="preserve"> </w:t>
      </w:r>
      <w:r w:rsidRPr="00F41E78">
        <w:rPr>
          <w:rFonts w:eastAsia="Calibri" w:cs="FrankRuehl" w:hint="eastAsia"/>
          <w:sz w:val="18"/>
          <w:szCs w:val="22"/>
          <w:rtl/>
        </w:rPr>
        <w:t>מחירי</w:t>
      </w:r>
      <w:r w:rsidRPr="00F41E78">
        <w:rPr>
          <w:rFonts w:eastAsia="Calibri" w:cs="FrankRuehl"/>
          <w:sz w:val="18"/>
          <w:szCs w:val="22"/>
          <w:rtl/>
        </w:rPr>
        <w:t xml:space="preserve"> </w:t>
      </w:r>
      <w:r w:rsidRPr="00F41E78">
        <w:rPr>
          <w:rFonts w:eastAsia="Calibri" w:cs="FrankRuehl" w:hint="eastAsia"/>
          <w:sz w:val="18"/>
          <w:szCs w:val="22"/>
          <w:rtl/>
        </w:rPr>
        <w:t>הדיור</w:t>
      </w:r>
      <w:r w:rsidRPr="00F41E78">
        <w:rPr>
          <w:rFonts w:eastAsia="Calibri" w:cs="FrankRuehl"/>
          <w:sz w:val="18"/>
          <w:szCs w:val="22"/>
          <w:rtl/>
        </w:rPr>
        <w:t xml:space="preserve">. </w:t>
      </w:r>
      <w:r w:rsidRPr="00F41E78">
        <w:rPr>
          <w:rFonts w:eastAsia="Calibri" w:cs="FrankRuehl" w:hint="eastAsia"/>
          <w:sz w:val="18"/>
          <w:szCs w:val="22"/>
          <w:rtl/>
        </w:rPr>
        <w:t>זאת</w:t>
      </w:r>
      <w:r w:rsidRPr="00F41E78">
        <w:rPr>
          <w:rFonts w:eastAsia="Calibri" w:cs="FrankRuehl"/>
          <w:sz w:val="18"/>
          <w:szCs w:val="22"/>
          <w:rtl/>
        </w:rPr>
        <w:t xml:space="preserve"> </w:t>
      </w:r>
      <w:r w:rsidRPr="00F41E78">
        <w:rPr>
          <w:rFonts w:eastAsia="Calibri" w:cs="FrankRuehl" w:hint="eastAsia"/>
          <w:sz w:val="18"/>
          <w:szCs w:val="22"/>
          <w:rtl/>
        </w:rPr>
        <w:t>כיוון</w:t>
      </w:r>
      <w:r w:rsidRPr="00F41E78">
        <w:rPr>
          <w:rFonts w:eastAsia="Calibri" w:cs="FrankRuehl"/>
          <w:sz w:val="18"/>
          <w:szCs w:val="22"/>
          <w:rtl/>
        </w:rPr>
        <w:t xml:space="preserve"> </w:t>
      </w:r>
      <w:r w:rsidRPr="00F41E78">
        <w:rPr>
          <w:rFonts w:eastAsia="Calibri" w:cs="FrankRuehl" w:hint="eastAsia"/>
          <w:sz w:val="18"/>
          <w:szCs w:val="22"/>
          <w:rtl/>
        </w:rPr>
        <w:t>שנתונים</w:t>
      </w:r>
      <w:r w:rsidRPr="00F41E78">
        <w:rPr>
          <w:rFonts w:eastAsia="Calibri" w:cs="FrankRuehl"/>
          <w:sz w:val="18"/>
          <w:szCs w:val="22"/>
          <w:rtl/>
        </w:rPr>
        <w:t xml:space="preserve"> </w:t>
      </w:r>
      <w:r w:rsidRPr="00F41E78">
        <w:rPr>
          <w:rFonts w:eastAsia="Calibri" w:cs="FrankRuehl" w:hint="eastAsia"/>
          <w:sz w:val="18"/>
          <w:szCs w:val="22"/>
          <w:rtl/>
        </w:rPr>
        <w:t>אלה</w:t>
      </w:r>
      <w:r w:rsidRPr="00F41E78">
        <w:rPr>
          <w:rFonts w:eastAsia="Calibri" w:cs="FrankRuehl"/>
          <w:sz w:val="18"/>
          <w:szCs w:val="22"/>
          <w:rtl/>
        </w:rPr>
        <w:t xml:space="preserve"> </w:t>
      </w:r>
      <w:r w:rsidRPr="00F41E78">
        <w:rPr>
          <w:rFonts w:eastAsia="Calibri" w:cs="FrankRuehl" w:hint="eastAsia"/>
          <w:sz w:val="18"/>
          <w:szCs w:val="22"/>
          <w:rtl/>
        </w:rPr>
        <w:t>הם</w:t>
      </w:r>
      <w:r w:rsidRPr="00F41E78">
        <w:rPr>
          <w:rFonts w:eastAsia="Calibri" w:cs="FrankRuehl"/>
          <w:sz w:val="18"/>
          <w:szCs w:val="22"/>
          <w:rtl/>
        </w:rPr>
        <w:t xml:space="preserve"> </w:t>
      </w:r>
      <w:r w:rsidRPr="00F41E78">
        <w:rPr>
          <w:rFonts w:eastAsia="Calibri" w:cs="FrankRuehl" w:hint="eastAsia"/>
          <w:sz w:val="18"/>
          <w:szCs w:val="22"/>
          <w:rtl/>
        </w:rPr>
        <w:t>בהיקף</w:t>
      </w:r>
      <w:r w:rsidRPr="00F41E78">
        <w:rPr>
          <w:rFonts w:eastAsia="Calibri" w:cs="FrankRuehl"/>
          <w:sz w:val="18"/>
          <w:szCs w:val="22"/>
          <w:rtl/>
        </w:rPr>
        <w:t xml:space="preserve"> </w:t>
      </w:r>
      <w:r w:rsidRPr="00F41E78">
        <w:rPr>
          <w:rFonts w:eastAsia="Calibri" w:cs="FrankRuehl" w:hint="eastAsia"/>
          <w:sz w:val="18"/>
          <w:szCs w:val="22"/>
          <w:rtl/>
        </w:rPr>
        <w:t>נרחב</w:t>
      </w:r>
      <w:r w:rsidRPr="00F41E78">
        <w:rPr>
          <w:rFonts w:eastAsia="Calibri" w:cs="FrankRuehl"/>
          <w:sz w:val="18"/>
          <w:szCs w:val="22"/>
          <w:rtl/>
        </w:rPr>
        <w:t xml:space="preserve"> (</w:t>
      </w:r>
      <w:r w:rsidRPr="00F41E78">
        <w:rPr>
          <w:rFonts w:eastAsia="Calibri" w:cs="FrankRuehl" w:hint="eastAsia"/>
          <w:sz w:val="18"/>
          <w:szCs w:val="22"/>
          <w:rtl/>
        </w:rPr>
        <w:t>ברוב</w:t>
      </w:r>
      <w:r w:rsidRPr="00F41E78">
        <w:rPr>
          <w:rFonts w:eastAsia="Calibri" w:cs="FrankRuehl"/>
          <w:sz w:val="18"/>
          <w:szCs w:val="22"/>
          <w:rtl/>
        </w:rPr>
        <w:t xml:space="preserve"> </w:t>
      </w:r>
      <w:r w:rsidRPr="00F41E78">
        <w:rPr>
          <w:rFonts w:eastAsia="Calibri" w:cs="FrankRuehl" w:hint="eastAsia"/>
          <w:sz w:val="18"/>
          <w:szCs w:val="22"/>
          <w:rtl/>
        </w:rPr>
        <w:t>העסקאות</w:t>
      </w:r>
      <w:r w:rsidRPr="00F41E78">
        <w:rPr>
          <w:rFonts w:eastAsia="Calibri" w:cs="FrankRuehl"/>
          <w:sz w:val="18"/>
          <w:szCs w:val="22"/>
          <w:rtl/>
        </w:rPr>
        <w:t xml:space="preserve"> </w:t>
      </w:r>
      <w:r w:rsidRPr="00F41E78">
        <w:rPr>
          <w:rFonts w:eastAsia="Calibri" w:cs="FrankRuehl" w:hint="eastAsia"/>
          <w:sz w:val="18"/>
          <w:szCs w:val="22"/>
          <w:rtl/>
        </w:rPr>
        <w:t>נלקחת</w:t>
      </w:r>
      <w:r w:rsidRPr="00F41E78">
        <w:rPr>
          <w:rFonts w:eastAsia="Calibri" w:cs="FrankRuehl"/>
          <w:sz w:val="18"/>
          <w:szCs w:val="22"/>
          <w:rtl/>
        </w:rPr>
        <w:t xml:space="preserve"> </w:t>
      </w:r>
      <w:r w:rsidRPr="00F41E78">
        <w:rPr>
          <w:rFonts w:eastAsia="Calibri" w:cs="FrankRuehl" w:hint="eastAsia"/>
          <w:sz w:val="18"/>
          <w:szCs w:val="22"/>
          <w:rtl/>
        </w:rPr>
        <w:t>גם</w:t>
      </w:r>
      <w:r w:rsidRPr="00F41E78">
        <w:rPr>
          <w:rFonts w:eastAsia="Calibri" w:cs="FrankRuehl"/>
          <w:sz w:val="18"/>
          <w:szCs w:val="22"/>
          <w:rtl/>
        </w:rPr>
        <w:t xml:space="preserve"> </w:t>
      </w:r>
      <w:r w:rsidRPr="00F41E78">
        <w:rPr>
          <w:rFonts w:eastAsia="Calibri" w:cs="FrankRuehl" w:hint="eastAsia"/>
          <w:sz w:val="18"/>
          <w:szCs w:val="22"/>
          <w:rtl/>
        </w:rPr>
        <w:t>משכנתא</w:t>
      </w:r>
      <w:r w:rsidRPr="00F41E78">
        <w:rPr>
          <w:rFonts w:eastAsia="Calibri" w:cs="FrankRuehl"/>
          <w:sz w:val="18"/>
          <w:szCs w:val="22"/>
          <w:rtl/>
        </w:rPr>
        <w:t xml:space="preserve">) </w:t>
      </w:r>
      <w:r w:rsidRPr="00F41E78">
        <w:rPr>
          <w:rFonts w:eastAsia="Calibri" w:cs="FrankRuehl" w:hint="eastAsia"/>
          <w:sz w:val="18"/>
          <w:szCs w:val="22"/>
          <w:rtl/>
        </w:rPr>
        <w:t>ואיכותם</w:t>
      </w:r>
      <w:r w:rsidRPr="00F41E78">
        <w:rPr>
          <w:rFonts w:eastAsia="Calibri" w:cs="FrankRuehl"/>
          <w:sz w:val="18"/>
          <w:szCs w:val="22"/>
          <w:rtl/>
        </w:rPr>
        <w:t xml:space="preserve"> </w:t>
      </w:r>
      <w:r w:rsidRPr="00F41E78">
        <w:rPr>
          <w:rFonts w:eastAsia="Calibri" w:cs="FrankRuehl" w:hint="eastAsia"/>
          <w:sz w:val="18"/>
          <w:szCs w:val="22"/>
          <w:rtl/>
        </w:rPr>
        <w:t>מפוקחת</w:t>
      </w:r>
      <w:r w:rsidRPr="00F41E78">
        <w:rPr>
          <w:rFonts w:eastAsia="Calibri" w:cs="FrankRuehl"/>
          <w:sz w:val="18"/>
          <w:szCs w:val="22"/>
          <w:rtl/>
        </w:rPr>
        <w:t xml:space="preserve"> </w:t>
      </w:r>
      <w:r w:rsidRPr="00F41E78">
        <w:rPr>
          <w:rFonts w:eastAsia="Calibri" w:cs="FrankRuehl" w:hint="eastAsia"/>
          <w:sz w:val="18"/>
          <w:szCs w:val="22"/>
          <w:rtl/>
        </w:rPr>
        <w:t>על</w:t>
      </w:r>
      <w:r w:rsidRPr="00F41E78">
        <w:rPr>
          <w:rFonts w:eastAsia="Calibri" w:cs="FrankRuehl"/>
          <w:sz w:val="18"/>
          <w:szCs w:val="22"/>
          <w:rtl/>
        </w:rPr>
        <w:t xml:space="preserve"> </w:t>
      </w:r>
      <w:r w:rsidRPr="00F41E78">
        <w:rPr>
          <w:rFonts w:eastAsia="Calibri" w:cs="FrankRuehl" w:hint="eastAsia"/>
          <w:sz w:val="18"/>
          <w:szCs w:val="22"/>
          <w:rtl/>
        </w:rPr>
        <w:t>ידי</w:t>
      </w:r>
      <w:r w:rsidRPr="00F41E78">
        <w:rPr>
          <w:rFonts w:eastAsia="Calibri" w:cs="FrankRuehl"/>
          <w:sz w:val="18"/>
          <w:szCs w:val="22"/>
          <w:rtl/>
        </w:rPr>
        <w:t xml:space="preserve"> </w:t>
      </w:r>
      <w:r w:rsidRPr="00F41E78">
        <w:rPr>
          <w:rFonts w:eastAsia="Calibri" w:cs="FrankRuehl" w:hint="eastAsia"/>
          <w:sz w:val="18"/>
          <w:szCs w:val="22"/>
          <w:rtl/>
        </w:rPr>
        <w:t>גורם</w:t>
      </w:r>
      <w:r w:rsidRPr="00F41E78">
        <w:rPr>
          <w:rFonts w:eastAsia="Calibri" w:cs="FrankRuehl"/>
          <w:sz w:val="18"/>
          <w:szCs w:val="22"/>
          <w:rtl/>
        </w:rPr>
        <w:t xml:space="preserve"> </w:t>
      </w:r>
      <w:r w:rsidRPr="00F41E78">
        <w:rPr>
          <w:rFonts w:eastAsia="Calibri" w:cs="FrankRuehl" w:hint="eastAsia"/>
          <w:sz w:val="18"/>
          <w:szCs w:val="22"/>
          <w:rtl/>
        </w:rPr>
        <w:t>עסקי</w:t>
      </w:r>
      <w:r w:rsidRPr="00F41E78">
        <w:rPr>
          <w:rFonts w:eastAsia="Calibri" w:cs="FrankRuehl"/>
          <w:sz w:val="18"/>
          <w:szCs w:val="22"/>
          <w:rtl/>
        </w:rPr>
        <w:t xml:space="preserve"> </w:t>
      </w:r>
      <w:r w:rsidRPr="00F41E78">
        <w:rPr>
          <w:rFonts w:eastAsia="Calibri" w:cs="FrankRuehl" w:hint="eastAsia"/>
          <w:sz w:val="18"/>
          <w:szCs w:val="22"/>
          <w:rtl/>
        </w:rPr>
        <w:t>המעוניין</w:t>
      </w:r>
      <w:r w:rsidRPr="00F41E78">
        <w:rPr>
          <w:rFonts w:eastAsia="Calibri" w:cs="FrankRuehl"/>
          <w:sz w:val="18"/>
          <w:szCs w:val="22"/>
          <w:rtl/>
        </w:rPr>
        <w:t xml:space="preserve"> </w:t>
      </w:r>
      <w:r w:rsidRPr="00F41E78">
        <w:rPr>
          <w:rFonts w:eastAsia="Calibri" w:cs="FrankRuehl" w:hint="eastAsia"/>
          <w:sz w:val="18"/>
          <w:szCs w:val="22"/>
          <w:rtl/>
        </w:rPr>
        <w:t>במהימנותם</w:t>
      </w:r>
      <w:r w:rsidRPr="00F41E78">
        <w:rPr>
          <w:rFonts w:eastAsia="Calibri" w:cs="FrankRuehl"/>
          <w:sz w:val="18"/>
          <w:szCs w:val="22"/>
          <w:rtl/>
        </w:rPr>
        <w:t xml:space="preserve"> </w:t>
      </w:r>
      <w:r w:rsidRPr="00F41E78">
        <w:rPr>
          <w:rFonts w:eastAsia="Calibri" w:cs="FrankRuehl" w:hint="eastAsia"/>
          <w:sz w:val="18"/>
          <w:szCs w:val="22"/>
          <w:rtl/>
        </w:rPr>
        <w:t>ואשר</w:t>
      </w:r>
      <w:r w:rsidRPr="00F41E78">
        <w:rPr>
          <w:rFonts w:eastAsia="Calibri" w:cs="FrankRuehl"/>
          <w:sz w:val="18"/>
          <w:szCs w:val="22"/>
          <w:rtl/>
        </w:rPr>
        <w:t xml:space="preserve"> </w:t>
      </w:r>
      <w:r w:rsidRPr="00F41E78">
        <w:rPr>
          <w:rFonts w:eastAsia="Calibri" w:cs="FrankRuehl" w:hint="eastAsia"/>
          <w:sz w:val="18"/>
          <w:szCs w:val="22"/>
          <w:rtl/>
        </w:rPr>
        <w:t>שילם</w:t>
      </w:r>
      <w:r w:rsidRPr="00F41E78">
        <w:rPr>
          <w:rFonts w:eastAsia="Calibri" w:cs="FrankRuehl"/>
          <w:sz w:val="18"/>
          <w:szCs w:val="22"/>
          <w:rtl/>
        </w:rPr>
        <w:t xml:space="preserve"> </w:t>
      </w:r>
      <w:r w:rsidRPr="00F41E78">
        <w:rPr>
          <w:rFonts w:eastAsia="Calibri" w:cs="FrankRuehl" w:hint="eastAsia"/>
          <w:sz w:val="18"/>
          <w:szCs w:val="22"/>
          <w:rtl/>
        </w:rPr>
        <w:t>עבורם</w:t>
      </w:r>
      <w:r w:rsidRPr="00F41E78">
        <w:rPr>
          <w:rFonts w:eastAsia="Calibri" w:cs="FrankRuehl" w:hint="cs"/>
          <w:sz w:val="18"/>
          <w:szCs w:val="22"/>
          <w:rtl/>
        </w:rPr>
        <w:t>".</w:t>
      </w:r>
    </w:p>
    <w:p w:rsidR="00E97EDA" w:rsidRPr="00F41E78" w:rsidP="00FF2CBA">
      <w:pPr>
        <w:spacing w:after="120" w:line="230" w:lineRule="exact"/>
        <w:ind w:left="340" w:hanging="340"/>
        <w:jc w:val="both"/>
        <w:rPr>
          <w:rFonts w:eastAsia="Calibri" w:cs="FrankRuehl"/>
          <w:sz w:val="18"/>
          <w:szCs w:val="22"/>
          <w:rtl/>
        </w:rPr>
      </w:pPr>
      <w:r>
        <w:rPr>
          <w:rFonts w:eastAsia="Calibri" w:cs="FrankRuehl"/>
          <w:sz w:val="18"/>
          <w:szCs w:val="22"/>
        </w:rPr>
        <w:tab/>
      </w:r>
      <w:r w:rsidRPr="00F41E78">
        <w:rPr>
          <w:rFonts w:eastAsia="Calibri" w:cs="FrankRuehl" w:hint="cs"/>
          <w:sz w:val="18"/>
          <w:szCs w:val="22"/>
          <w:rtl/>
        </w:rPr>
        <w:t>מגוון הסיכונים הנלווים לניהול תחום האשראי בתאגידים הבנקאיים מחייב ניהול מערכת מידע מעודכן על הביטחונות שהתקבלו ועל שווים. מתברר כי עד סוף 2012 לא חלה על הבנקים למשכנתאות כל חובה לשמור את הנתונים שאוספים השמאים כבסיס נתונים ממוחשב. כמו</w:t>
      </w:r>
      <w:r w:rsidRPr="00F41E78">
        <w:rPr>
          <w:rFonts w:eastAsia="Calibri" w:cs="FrankRuehl"/>
          <w:sz w:val="18"/>
          <w:szCs w:val="22"/>
          <w:rtl/>
        </w:rPr>
        <w:t xml:space="preserve"> </w:t>
      </w:r>
      <w:r w:rsidRPr="00F41E78">
        <w:rPr>
          <w:rFonts w:eastAsia="Calibri" w:cs="FrankRuehl" w:hint="cs"/>
          <w:sz w:val="18"/>
          <w:szCs w:val="22"/>
          <w:rtl/>
        </w:rPr>
        <w:t>כן</w:t>
      </w:r>
      <w:r w:rsidRPr="00F41E78">
        <w:rPr>
          <w:rFonts w:eastAsia="Calibri" w:cs="FrankRuehl"/>
          <w:sz w:val="18"/>
          <w:szCs w:val="22"/>
          <w:rtl/>
        </w:rPr>
        <w:t xml:space="preserve">, </w:t>
      </w:r>
      <w:r w:rsidRPr="00F41E78">
        <w:rPr>
          <w:rFonts w:eastAsia="Calibri" w:cs="FrankRuehl" w:hint="cs"/>
          <w:sz w:val="18"/>
          <w:szCs w:val="22"/>
          <w:rtl/>
        </w:rPr>
        <w:t>לא</w:t>
      </w:r>
      <w:r w:rsidRPr="00F41E78">
        <w:rPr>
          <w:rFonts w:eastAsia="Calibri" w:cs="FrankRuehl"/>
          <w:sz w:val="18"/>
          <w:szCs w:val="22"/>
          <w:rtl/>
        </w:rPr>
        <w:t xml:space="preserve"> </w:t>
      </w:r>
      <w:r w:rsidRPr="00F41E78">
        <w:rPr>
          <w:rFonts w:eastAsia="Calibri" w:cs="FrankRuehl" w:hint="cs"/>
          <w:sz w:val="18"/>
          <w:szCs w:val="22"/>
          <w:rtl/>
        </w:rPr>
        <w:t>ניתנה</w:t>
      </w:r>
      <w:r w:rsidRPr="00F41E78">
        <w:rPr>
          <w:rFonts w:eastAsia="Calibri" w:cs="FrankRuehl"/>
          <w:sz w:val="18"/>
          <w:szCs w:val="22"/>
          <w:rtl/>
        </w:rPr>
        <w:t xml:space="preserve"> </w:t>
      </w:r>
      <w:r w:rsidRPr="00F41E78">
        <w:rPr>
          <w:rFonts w:eastAsia="Calibri" w:cs="FrankRuehl" w:hint="cs"/>
          <w:sz w:val="18"/>
          <w:szCs w:val="22"/>
          <w:rtl/>
        </w:rPr>
        <w:t>כל</w:t>
      </w:r>
      <w:r w:rsidRPr="00F41E78">
        <w:rPr>
          <w:rFonts w:eastAsia="Calibri" w:cs="FrankRuehl"/>
          <w:sz w:val="18"/>
          <w:szCs w:val="22"/>
          <w:rtl/>
        </w:rPr>
        <w:t xml:space="preserve"> </w:t>
      </w:r>
      <w:r w:rsidRPr="00F41E78">
        <w:rPr>
          <w:rFonts w:eastAsia="Calibri" w:cs="FrankRuehl" w:hint="cs"/>
          <w:sz w:val="18"/>
          <w:szCs w:val="22"/>
          <w:rtl/>
        </w:rPr>
        <w:t>הנחיה</w:t>
      </w:r>
      <w:r w:rsidRPr="00F41E78">
        <w:rPr>
          <w:rFonts w:eastAsia="Calibri" w:cs="FrankRuehl"/>
          <w:sz w:val="18"/>
          <w:szCs w:val="22"/>
          <w:rtl/>
        </w:rPr>
        <w:t xml:space="preserve"> </w:t>
      </w:r>
      <w:r w:rsidRPr="00F41E78">
        <w:rPr>
          <w:rFonts w:eastAsia="Calibri" w:cs="FrankRuehl" w:hint="cs"/>
          <w:sz w:val="18"/>
          <w:szCs w:val="22"/>
          <w:rtl/>
        </w:rPr>
        <w:t>בנוגע</w:t>
      </w:r>
      <w:r w:rsidRPr="00F41E78">
        <w:rPr>
          <w:rFonts w:eastAsia="Calibri" w:cs="FrankRuehl"/>
          <w:sz w:val="18"/>
          <w:szCs w:val="22"/>
          <w:rtl/>
        </w:rPr>
        <w:t xml:space="preserve"> </w:t>
      </w:r>
      <w:r w:rsidRPr="00F41E78">
        <w:rPr>
          <w:rFonts w:eastAsia="Calibri" w:cs="FrankRuehl" w:hint="cs"/>
          <w:sz w:val="18"/>
          <w:szCs w:val="22"/>
          <w:rtl/>
        </w:rPr>
        <w:t>לטופס</w:t>
      </w:r>
      <w:r w:rsidRPr="00F41E78">
        <w:rPr>
          <w:rFonts w:eastAsia="Calibri" w:cs="FrankRuehl"/>
          <w:sz w:val="18"/>
          <w:szCs w:val="22"/>
          <w:rtl/>
        </w:rPr>
        <w:t xml:space="preserve"> </w:t>
      </w:r>
      <w:r w:rsidRPr="00F41E78">
        <w:rPr>
          <w:rFonts w:eastAsia="Calibri" w:cs="FrankRuehl" w:hint="cs"/>
          <w:sz w:val="18"/>
          <w:szCs w:val="22"/>
          <w:rtl/>
        </w:rPr>
        <w:t>סטנדרטי</w:t>
      </w:r>
      <w:r w:rsidRPr="00F41E78">
        <w:rPr>
          <w:rFonts w:eastAsia="Calibri" w:cs="FrankRuehl"/>
          <w:sz w:val="18"/>
          <w:szCs w:val="22"/>
          <w:rtl/>
        </w:rPr>
        <w:t xml:space="preserve"> </w:t>
      </w:r>
      <w:r w:rsidRPr="00F41E78">
        <w:rPr>
          <w:rFonts w:eastAsia="Calibri" w:cs="FrankRuehl" w:hint="cs"/>
          <w:sz w:val="18"/>
          <w:szCs w:val="22"/>
          <w:rtl/>
        </w:rPr>
        <w:t>או</w:t>
      </w:r>
      <w:r w:rsidRPr="00F41E78">
        <w:rPr>
          <w:rFonts w:eastAsia="Calibri" w:cs="FrankRuehl"/>
          <w:sz w:val="18"/>
          <w:szCs w:val="22"/>
          <w:rtl/>
        </w:rPr>
        <w:t xml:space="preserve"> </w:t>
      </w:r>
      <w:r w:rsidRPr="00F41E78">
        <w:rPr>
          <w:rFonts w:eastAsia="Calibri" w:cs="FrankRuehl" w:hint="cs"/>
          <w:sz w:val="18"/>
          <w:szCs w:val="22"/>
          <w:rtl/>
        </w:rPr>
        <w:t>לדיווח</w:t>
      </w:r>
      <w:r w:rsidRPr="00F41E78">
        <w:rPr>
          <w:rFonts w:eastAsia="Calibri" w:cs="FrankRuehl"/>
          <w:sz w:val="18"/>
          <w:szCs w:val="22"/>
          <w:rtl/>
        </w:rPr>
        <w:t xml:space="preserve"> </w:t>
      </w:r>
      <w:r w:rsidRPr="00F41E78">
        <w:rPr>
          <w:rFonts w:eastAsia="Calibri" w:cs="FrankRuehl" w:hint="cs"/>
          <w:sz w:val="18"/>
          <w:szCs w:val="22"/>
          <w:rtl/>
        </w:rPr>
        <w:t>ממוחשב</w:t>
      </w:r>
      <w:r w:rsidRPr="00F41E78">
        <w:rPr>
          <w:rFonts w:eastAsia="Calibri" w:cs="FrankRuehl"/>
          <w:sz w:val="18"/>
          <w:szCs w:val="22"/>
          <w:rtl/>
        </w:rPr>
        <w:t xml:space="preserve"> </w:t>
      </w:r>
      <w:r w:rsidRPr="00F41E78">
        <w:rPr>
          <w:rFonts w:eastAsia="Calibri" w:cs="FrankRuehl" w:hint="cs"/>
          <w:sz w:val="18"/>
          <w:szCs w:val="22"/>
          <w:rtl/>
        </w:rPr>
        <w:t>באמצעות</w:t>
      </w:r>
      <w:r w:rsidRPr="00F41E78">
        <w:rPr>
          <w:rFonts w:eastAsia="Calibri" w:cs="FrankRuehl"/>
          <w:sz w:val="18"/>
          <w:szCs w:val="22"/>
          <w:rtl/>
        </w:rPr>
        <w:t xml:space="preserve"> </w:t>
      </w:r>
      <w:r w:rsidRPr="00F41E78">
        <w:rPr>
          <w:rFonts w:eastAsia="Calibri" w:cs="FrankRuehl" w:hint="cs"/>
          <w:sz w:val="18"/>
          <w:szCs w:val="22"/>
          <w:rtl/>
        </w:rPr>
        <w:t>שדות</w:t>
      </w:r>
      <w:r w:rsidRPr="00F41E78">
        <w:rPr>
          <w:rFonts w:eastAsia="Calibri" w:cs="FrankRuehl"/>
          <w:sz w:val="18"/>
          <w:szCs w:val="22"/>
          <w:rtl/>
        </w:rPr>
        <w:t xml:space="preserve"> </w:t>
      </w:r>
      <w:r w:rsidRPr="00F41E78">
        <w:rPr>
          <w:rFonts w:eastAsia="Calibri" w:cs="FrankRuehl" w:hint="cs"/>
          <w:sz w:val="18"/>
          <w:szCs w:val="22"/>
          <w:rtl/>
        </w:rPr>
        <w:t>חובה</w:t>
      </w:r>
      <w:r w:rsidRPr="00F41E78">
        <w:rPr>
          <w:rFonts w:eastAsia="Calibri" w:cs="FrankRuehl"/>
          <w:sz w:val="18"/>
          <w:szCs w:val="22"/>
          <w:rtl/>
        </w:rPr>
        <w:t xml:space="preserve"> </w:t>
      </w:r>
      <w:r w:rsidRPr="00F41E78">
        <w:rPr>
          <w:rFonts w:eastAsia="Calibri" w:cs="FrankRuehl" w:hint="cs"/>
          <w:sz w:val="18"/>
          <w:szCs w:val="22"/>
          <w:rtl/>
        </w:rPr>
        <w:t>בהערכת</w:t>
      </w:r>
      <w:r w:rsidRPr="00F41E78">
        <w:rPr>
          <w:rFonts w:eastAsia="Calibri" w:cs="FrankRuehl"/>
          <w:sz w:val="18"/>
          <w:szCs w:val="22"/>
          <w:rtl/>
        </w:rPr>
        <w:t xml:space="preserve"> </w:t>
      </w:r>
      <w:r w:rsidRPr="00F41E78">
        <w:rPr>
          <w:rFonts w:eastAsia="Calibri" w:cs="FrankRuehl" w:hint="cs"/>
          <w:sz w:val="18"/>
          <w:szCs w:val="22"/>
          <w:rtl/>
        </w:rPr>
        <w:t>השמאי</w:t>
      </w:r>
      <w:r w:rsidRPr="00F41E78">
        <w:rPr>
          <w:rFonts w:eastAsia="Calibri" w:cs="FrankRuehl"/>
          <w:sz w:val="18"/>
          <w:szCs w:val="22"/>
          <w:rtl/>
        </w:rPr>
        <w:t xml:space="preserve"> </w:t>
      </w:r>
      <w:r w:rsidRPr="00F41E78">
        <w:rPr>
          <w:rFonts w:eastAsia="Calibri" w:cs="FrankRuehl" w:hint="cs"/>
          <w:sz w:val="18"/>
          <w:szCs w:val="22"/>
          <w:rtl/>
        </w:rPr>
        <w:t>המועברת</w:t>
      </w:r>
      <w:r w:rsidRPr="00F41E78">
        <w:rPr>
          <w:rFonts w:eastAsia="Calibri" w:cs="FrankRuehl"/>
          <w:sz w:val="18"/>
          <w:szCs w:val="22"/>
          <w:rtl/>
        </w:rPr>
        <w:t xml:space="preserve"> </w:t>
      </w:r>
      <w:r w:rsidRPr="00F41E78">
        <w:rPr>
          <w:rFonts w:eastAsia="Calibri" w:cs="FrankRuehl" w:hint="cs"/>
          <w:sz w:val="18"/>
          <w:szCs w:val="22"/>
          <w:rtl/>
        </w:rPr>
        <w:t>לבנקים</w:t>
      </w:r>
      <w:r w:rsidRPr="00F41E78">
        <w:rPr>
          <w:rFonts w:eastAsia="Calibri" w:cs="FrankRuehl"/>
          <w:sz w:val="18"/>
          <w:szCs w:val="22"/>
          <w:rtl/>
        </w:rPr>
        <w:t>.</w:t>
      </w:r>
      <w:r w:rsidRPr="00F41E78">
        <w:rPr>
          <w:rFonts w:eastAsia="Calibri" w:cs="FrankRuehl" w:hint="cs"/>
          <w:sz w:val="18"/>
          <w:szCs w:val="22"/>
          <w:rtl/>
        </w:rPr>
        <w:t xml:space="preserve"> בשמירת</w:t>
      </w:r>
      <w:r w:rsidRPr="00F41E78">
        <w:rPr>
          <w:rFonts w:eastAsia="Calibri" w:cs="FrankRuehl"/>
          <w:sz w:val="18"/>
          <w:szCs w:val="22"/>
          <w:rtl/>
        </w:rPr>
        <w:t xml:space="preserve"> </w:t>
      </w:r>
      <w:r w:rsidRPr="00F41E78">
        <w:rPr>
          <w:rFonts w:eastAsia="Calibri" w:cs="FrankRuehl" w:hint="cs"/>
          <w:sz w:val="18"/>
          <w:szCs w:val="22"/>
          <w:rtl/>
        </w:rPr>
        <w:t>הנתונים</w:t>
      </w:r>
      <w:r w:rsidRPr="00F41E78">
        <w:rPr>
          <w:rFonts w:eastAsia="Calibri" w:cs="FrankRuehl"/>
          <w:sz w:val="18"/>
          <w:szCs w:val="22"/>
          <w:rtl/>
        </w:rPr>
        <w:t xml:space="preserve"> </w:t>
      </w:r>
      <w:r w:rsidRPr="00F41E78">
        <w:rPr>
          <w:rFonts w:eastAsia="Calibri" w:cs="FrankRuehl" w:hint="cs"/>
          <w:sz w:val="18"/>
          <w:szCs w:val="22"/>
          <w:rtl/>
        </w:rPr>
        <w:t>באופן זה</w:t>
      </w:r>
      <w:r w:rsidRPr="00F41E78">
        <w:rPr>
          <w:rFonts w:eastAsia="Calibri" w:cs="FrankRuehl"/>
          <w:sz w:val="18"/>
          <w:szCs w:val="22"/>
          <w:rtl/>
        </w:rPr>
        <w:t xml:space="preserve"> </w:t>
      </w:r>
      <w:r w:rsidRPr="00F41E78">
        <w:rPr>
          <w:rFonts w:eastAsia="Calibri" w:cs="FrankRuehl" w:hint="cs"/>
          <w:sz w:val="18"/>
          <w:szCs w:val="22"/>
          <w:rtl/>
        </w:rPr>
        <w:t>יש בכדי לשפר</w:t>
      </w:r>
      <w:r w:rsidRPr="00F41E78">
        <w:rPr>
          <w:rFonts w:eastAsia="Calibri" w:cs="FrankRuehl"/>
          <w:sz w:val="18"/>
          <w:szCs w:val="22"/>
          <w:rtl/>
        </w:rPr>
        <w:t xml:space="preserve"> </w:t>
      </w:r>
      <w:r w:rsidRPr="00F41E78">
        <w:rPr>
          <w:rFonts w:eastAsia="Calibri" w:cs="FrankRuehl" w:hint="cs"/>
          <w:sz w:val="18"/>
          <w:szCs w:val="22"/>
          <w:rtl/>
        </w:rPr>
        <w:t>את</w:t>
      </w:r>
      <w:r w:rsidRPr="00F41E78">
        <w:rPr>
          <w:rFonts w:eastAsia="Calibri" w:cs="FrankRuehl"/>
          <w:sz w:val="18"/>
          <w:szCs w:val="22"/>
          <w:rtl/>
        </w:rPr>
        <w:t xml:space="preserve"> </w:t>
      </w:r>
      <w:r w:rsidRPr="00F41E78">
        <w:rPr>
          <w:rFonts w:eastAsia="Calibri" w:cs="FrankRuehl" w:hint="cs"/>
          <w:sz w:val="18"/>
          <w:szCs w:val="22"/>
          <w:rtl/>
        </w:rPr>
        <w:t>מערך</w:t>
      </w:r>
      <w:r w:rsidRPr="00F41E78">
        <w:rPr>
          <w:rFonts w:eastAsia="Calibri" w:cs="FrankRuehl"/>
          <w:sz w:val="18"/>
          <w:szCs w:val="22"/>
          <w:rtl/>
        </w:rPr>
        <w:t xml:space="preserve"> </w:t>
      </w:r>
      <w:r w:rsidRPr="00F41E78">
        <w:rPr>
          <w:rFonts w:eastAsia="Calibri" w:cs="FrankRuehl" w:hint="cs"/>
          <w:sz w:val="18"/>
          <w:szCs w:val="22"/>
          <w:rtl/>
        </w:rPr>
        <w:t>המידע</w:t>
      </w:r>
      <w:r w:rsidRPr="00F41E78">
        <w:rPr>
          <w:rFonts w:eastAsia="Calibri" w:cs="FrankRuehl"/>
          <w:sz w:val="18"/>
          <w:szCs w:val="22"/>
          <w:rtl/>
        </w:rPr>
        <w:t xml:space="preserve"> </w:t>
      </w:r>
      <w:r w:rsidRPr="00F41E78">
        <w:rPr>
          <w:rFonts w:eastAsia="Calibri" w:cs="FrankRuehl" w:hint="cs"/>
          <w:sz w:val="18"/>
          <w:szCs w:val="22"/>
          <w:rtl/>
        </w:rPr>
        <w:t>על</w:t>
      </w:r>
      <w:r w:rsidRPr="00F41E78">
        <w:rPr>
          <w:rFonts w:eastAsia="Calibri" w:cs="FrankRuehl"/>
          <w:sz w:val="18"/>
          <w:szCs w:val="22"/>
          <w:rtl/>
        </w:rPr>
        <w:t xml:space="preserve"> </w:t>
      </w:r>
      <w:r w:rsidRPr="00F41E78">
        <w:rPr>
          <w:rFonts w:eastAsia="Calibri" w:cs="FrankRuehl" w:hint="cs"/>
          <w:sz w:val="18"/>
          <w:szCs w:val="22"/>
          <w:rtl/>
        </w:rPr>
        <w:t>הלוואות</w:t>
      </w:r>
      <w:r w:rsidRPr="00F41E78">
        <w:rPr>
          <w:rFonts w:eastAsia="Calibri" w:cs="FrankRuehl"/>
          <w:sz w:val="18"/>
          <w:szCs w:val="22"/>
          <w:rtl/>
        </w:rPr>
        <w:t xml:space="preserve"> </w:t>
      </w:r>
      <w:r w:rsidRPr="00F41E78">
        <w:rPr>
          <w:rFonts w:eastAsia="Calibri" w:cs="FrankRuehl" w:hint="cs"/>
          <w:sz w:val="18"/>
          <w:szCs w:val="22"/>
          <w:rtl/>
        </w:rPr>
        <w:t>לדיור בכלל</w:t>
      </w:r>
      <w:r w:rsidRPr="00F41E78">
        <w:rPr>
          <w:rFonts w:eastAsia="Calibri" w:cs="FrankRuehl"/>
          <w:sz w:val="18"/>
          <w:szCs w:val="22"/>
          <w:rtl/>
        </w:rPr>
        <w:t xml:space="preserve"> </w:t>
      </w:r>
      <w:r w:rsidRPr="00F41E78">
        <w:rPr>
          <w:rFonts w:eastAsia="Calibri" w:cs="FrankRuehl" w:hint="cs"/>
          <w:sz w:val="18"/>
          <w:szCs w:val="22"/>
          <w:rtl/>
        </w:rPr>
        <w:t>ועל ביטחונות הניתנים במסגרת עסקת האשראי בפרט.</w:t>
      </w:r>
    </w:p>
    <w:p w:rsidR="00E97EDA" w:rsidRPr="00F41E78" w:rsidP="00FF2CBA">
      <w:pPr>
        <w:spacing w:after="240" w:line="230" w:lineRule="exact"/>
        <w:ind w:left="340" w:hanging="340"/>
        <w:jc w:val="both"/>
        <w:rPr>
          <w:rFonts w:eastAsia="Calibri" w:cs="FrankRuehl"/>
          <w:sz w:val="18"/>
          <w:szCs w:val="22"/>
          <w:rtl/>
        </w:rPr>
      </w:pPr>
      <w:r>
        <w:rPr>
          <w:rFonts w:eastAsia="Calibri" w:cs="FrankRuehl"/>
          <w:sz w:val="18"/>
          <w:szCs w:val="22"/>
        </w:rPr>
        <w:tab/>
      </w:r>
      <w:r w:rsidRPr="00F41E78">
        <w:rPr>
          <w:rFonts w:eastAsia="Calibri" w:cs="FrankRuehl" w:hint="cs"/>
          <w:sz w:val="18"/>
          <w:szCs w:val="22"/>
          <w:rtl/>
        </w:rPr>
        <w:t xml:space="preserve">בינואר 2013 הוציא המפקח טיוטה לתיקון נוהל בנקאי תקין, הוראה מספר 318, שעניינו מאגר מידע על ביטחונות, ולפיה על תאגיד בנקאי לקיים מאגר מידע ממוחשב על דירות למגורים שהתקבלו כבטוחות במסגרת הלוואות לדיור. בטיוטה צוינה רשימת הפרטים המינימליים שייכללו במאגר ומקורם יהיה בהערכת שמאי ובחוזה הרכישה, ובכלל זה שיעור המימון </w:t>
      </w:r>
      <w:r>
        <w:rPr>
          <w:rFonts w:eastAsia="Calibri" w:cs="FrankRuehl"/>
          <w:sz w:val="18"/>
          <w:szCs w:val="22"/>
        </w:rPr>
        <w:br/>
      </w:r>
      <w:r w:rsidRPr="00F41E78">
        <w:rPr>
          <w:rFonts w:eastAsia="Calibri" w:cs="FrankRuehl" w:hint="cs"/>
          <w:sz w:val="18"/>
          <w:szCs w:val="22"/>
          <w:rtl/>
        </w:rPr>
        <w:t>(</w:t>
      </w:r>
      <w:r w:rsidRPr="00F41E78">
        <w:rPr>
          <w:rFonts w:eastAsia="Calibri" w:cs="FrankRuehl" w:hint="cs"/>
          <w:sz w:val="18"/>
          <w:szCs w:val="22"/>
        </w:rPr>
        <w:t>LT</w:t>
      </w:r>
      <w:r w:rsidRPr="00F41E78">
        <w:rPr>
          <w:rFonts w:eastAsia="Calibri" w:cs="FrankRuehl"/>
          <w:sz w:val="18"/>
          <w:szCs w:val="22"/>
        </w:rPr>
        <w:t>V - Loan to Value</w:t>
      </w:r>
      <w:r>
        <w:rPr>
          <w:rFonts w:eastAsia="Calibri" w:cs="FrankRuehl"/>
          <w:sz w:val="18"/>
          <w:szCs w:val="22"/>
          <w:vertAlign w:val="superscript"/>
        </w:rPr>
        <w:footnoteReference w:id="70"/>
      </w:r>
      <w:r w:rsidRPr="00F41E78">
        <w:rPr>
          <w:rFonts w:eastAsia="Calibri" w:cs="FrankRuehl" w:hint="cs"/>
          <w:sz w:val="18"/>
          <w:szCs w:val="22"/>
          <w:rtl/>
        </w:rPr>
        <w:t xml:space="preserve">) ושיעור ההחזר מההכנסה. הטיוטה נכנסה לתוקף ומועד התחולה של השינויים בנוהל האמור הוא 1.7.14. </w:t>
      </w:r>
    </w:p>
    <w:p w:rsidR="00D22B16" w:rsidRPr="00F41E78" w:rsidP="00D22B16">
      <w:pPr>
        <w:pStyle w:val="RESHET"/>
        <w:keepLines/>
        <w:rPr>
          <w:rFonts w:eastAsia="Calibri"/>
          <w:rtl/>
        </w:rPr>
      </w:pPr>
      <w:r w:rsidRPr="00F41E78">
        <w:rPr>
          <w:rFonts w:eastAsia="Calibri" w:hint="cs"/>
          <w:rtl/>
        </w:rPr>
        <w:t>משרד מבקר המדינה העיר ללמ"ס כי לצורך מילוי תפקידה כיאות, היה מקום שתפנה ביזמתה למשרד הבינוי ולבנק ישראל בבקשה שהנתונים</w:t>
      </w:r>
      <w:r w:rsidRPr="00F41E78">
        <w:rPr>
          <w:rFonts w:eastAsia="Calibri"/>
          <w:rtl/>
        </w:rPr>
        <w:t xml:space="preserve"> </w:t>
      </w:r>
      <w:r w:rsidRPr="00F41E78">
        <w:rPr>
          <w:rFonts w:eastAsia="Calibri" w:hint="cs"/>
          <w:rtl/>
        </w:rPr>
        <w:t>ייאספו באופן</w:t>
      </w:r>
      <w:r w:rsidRPr="00F41E78">
        <w:rPr>
          <w:rFonts w:eastAsia="Calibri"/>
          <w:rtl/>
        </w:rPr>
        <w:t xml:space="preserve"> </w:t>
      </w:r>
      <w:r w:rsidRPr="00F41E78">
        <w:rPr>
          <w:rFonts w:eastAsia="Calibri" w:hint="cs"/>
          <w:rtl/>
        </w:rPr>
        <w:t xml:space="preserve">ממוחשב, כדי שהיא תוכל להשתמש בנתונים אלו ולטייב ככל הניתן את איכות הנתונים שבידיה ולוודא את אמינותם. </w:t>
      </w:r>
    </w:p>
    <w:p w:rsidR="008D3837" w:rsidRPr="00F41E78" w:rsidP="00F41E78">
      <w:pPr>
        <w:spacing w:after="120" w:line="230" w:lineRule="exact"/>
        <w:jc w:val="both"/>
        <w:rPr>
          <w:rFonts w:eastAsia="Calibri" w:cs="FrankRuehl"/>
          <w:b/>
          <w:bCs/>
          <w:sz w:val="18"/>
          <w:szCs w:val="22"/>
          <w:rtl/>
        </w:rPr>
      </w:pPr>
    </w:p>
    <w:p w:rsidR="00E97EDA" w:rsidRPr="00E719A9" w:rsidP="008D3837">
      <w:pPr>
        <w:pStyle w:val="KOT5"/>
        <w:rPr>
          <w:rFonts w:eastAsia="Calibri"/>
          <w:rtl/>
        </w:rPr>
      </w:pPr>
      <w:r w:rsidRPr="00E719A9">
        <w:rPr>
          <w:rFonts w:eastAsia="Calibri" w:hint="cs"/>
          <w:rtl/>
        </w:rPr>
        <w:t>ריבוי הנתונים שהגופים הממשלתיים מפרסמים בדבר השינויים במחירי הדירות</w:t>
      </w:r>
    </w:p>
    <w:p w:rsidR="00E97EDA" w:rsidRPr="00F41E78" w:rsidP="00FF2CBA">
      <w:pPr>
        <w:spacing w:after="240" w:line="230" w:lineRule="exact"/>
        <w:jc w:val="both"/>
        <w:rPr>
          <w:rFonts w:eastAsia="Calibri" w:cs="FrankRuehl"/>
          <w:sz w:val="18"/>
          <w:szCs w:val="22"/>
          <w:rtl/>
        </w:rPr>
      </w:pPr>
      <w:r w:rsidRPr="00F41E78">
        <w:rPr>
          <w:rFonts w:eastAsia="Calibri" w:cs="FrankRuehl" w:hint="cs"/>
          <w:sz w:val="18"/>
          <w:szCs w:val="22"/>
          <w:rtl/>
        </w:rPr>
        <w:t>עם הגורמים הממשלתיים המטפלים בתחום הדיור נמנים משרד האוצר - אג"ת, מינהל הכנסות המדינה, אגף החשב הכללי ורשות המסים - משרד הבינוי, בנק ישראל והשמאי הממשלתי המטפל בשמאות של מקרקעין שהמדינה משווקת ובשכר</w:t>
      </w:r>
      <w:r w:rsidRPr="00F41E78">
        <w:rPr>
          <w:rFonts w:eastAsia="Calibri" w:cs="FrankRuehl"/>
          <w:sz w:val="18"/>
          <w:szCs w:val="22"/>
          <w:rtl/>
        </w:rPr>
        <w:t xml:space="preserve"> </w:t>
      </w:r>
      <w:r w:rsidRPr="00F41E78">
        <w:rPr>
          <w:rFonts w:eastAsia="Calibri" w:cs="FrankRuehl" w:hint="cs"/>
          <w:sz w:val="18"/>
          <w:szCs w:val="22"/>
          <w:rtl/>
        </w:rPr>
        <w:t>הדירה</w:t>
      </w:r>
      <w:r w:rsidRPr="00F41E78">
        <w:rPr>
          <w:rFonts w:eastAsia="Calibri" w:cs="FrankRuehl"/>
          <w:sz w:val="18"/>
          <w:szCs w:val="22"/>
          <w:rtl/>
        </w:rPr>
        <w:t xml:space="preserve"> </w:t>
      </w:r>
      <w:r w:rsidRPr="00F41E78">
        <w:rPr>
          <w:rFonts w:eastAsia="Calibri" w:cs="FrankRuehl" w:hint="cs"/>
          <w:sz w:val="18"/>
          <w:szCs w:val="22"/>
          <w:rtl/>
        </w:rPr>
        <w:t>מפוקח</w:t>
      </w:r>
      <w:r w:rsidRPr="00F41E78">
        <w:rPr>
          <w:rFonts w:eastAsia="Calibri" w:cs="FrankRuehl"/>
          <w:sz w:val="18"/>
          <w:szCs w:val="22"/>
          <w:rtl/>
        </w:rPr>
        <w:t xml:space="preserve"> </w:t>
      </w:r>
      <w:r w:rsidRPr="00F41E78">
        <w:rPr>
          <w:rFonts w:eastAsia="Calibri" w:cs="FrankRuehl" w:hint="cs"/>
          <w:sz w:val="18"/>
          <w:szCs w:val="22"/>
          <w:rtl/>
        </w:rPr>
        <w:t>בבמסגרת</w:t>
      </w:r>
      <w:r w:rsidRPr="00F41E78">
        <w:rPr>
          <w:rFonts w:eastAsia="Calibri" w:cs="FrankRuehl"/>
          <w:sz w:val="18"/>
          <w:szCs w:val="22"/>
          <w:rtl/>
        </w:rPr>
        <w:t xml:space="preserve"> </w:t>
      </w:r>
      <w:r w:rsidRPr="00F41E78">
        <w:rPr>
          <w:rFonts w:eastAsia="Calibri" w:cs="FrankRuehl" w:hint="cs"/>
          <w:sz w:val="18"/>
          <w:szCs w:val="22"/>
          <w:rtl/>
        </w:rPr>
        <w:t>מכרזי</w:t>
      </w:r>
      <w:r w:rsidRPr="00F41E78">
        <w:rPr>
          <w:rFonts w:eastAsia="Calibri" w:cs="FrankRuehl"/>
          <w:sz w:val="18"/>
          <w:szCs w:val="22"/>
          <w:rtl/>
        </w:rPr>
        <w:t xml:space="preserve"> </w:t>
      </w:r>
      <w:r w:rsidRPr="00F41E78">
        <w:rPr>
          <w:rFonts w:eastAsia="Calibri" w:cs="FrankRuehl" w:hint="cs"/>
          <w:sz w:val="18"/>
          <w:szCs w:val="22"/>
          <w:rtl/>
        </w:rPr>
        <w:t>דיור</w:t>
      </w:r>
      <w:r w:rsidRPr="00F41E78">
        <w:rPr>
          <w:rFonts w:eastAsia="Calibri" w:cs="FrankRuehl"/>
          <w:sz w:val="18"/>
          <w:szCs w:val="22"/>
          <w:rtl/>
        </w:rPr>
        <w:t xml:space="preserve"> </w:t>
      </w:r>
      <w:r w:rsidRPr="00F41E78">
        <w:rPr>
          <w:rFonts w:eastAsia="Calibri" w:cs="FrankRuehl" w:hint="cs"/>
          <w:sz w:val="18"/>
          <w:szCs w:val="22"/>
          <w:rtl/>
        </w:rPr>
        <w:t>להשכרה</w:t>
      </w:r>
      <w:r w:rsidRPr="00F41E78">
        <w:rPr>
          <w:rFonts w:eastAsia="Calibri" w:cs="FrankRuehl"/>
          <w:sz w:val="18"/>
          <w:szCs w:val="22"/>
          <w:rtl/>
        </w:rPr>
        <w:t>.</w:t>
      </w:r>
      <w:r w:rsidRPr="00F41E78">
        <w:rPr>
          <w:rFonts w:eastAsia="Calibri" w:cs="FrankRuehl" w:hint="cs"/>
          <w:sz w:val="18"/>
          <w:szCs w:val="22"/>
          <w:rtl/>
        </w:rPr>
        <w:t xml:space="preserve"> </w:t>
      </w:r>
    </w:p>
    <w:p w:rsidR="00D22B16" w:rsidRPr="00F41E78" w:rsidP="00D22B16">
      <w:pPr>
        <w:pStyle w:val="RESHET"/>
        <w:keepLines/>
        <w:rPr>
          <w:rFonts w:eastAsia="Calibri"/>
          <w:rtl/>
        </w:rPr>
      </w:pPr>
      <w:r w:rsidRPr="00F41E78">
        <w:rPr>
          <w:rFonts w:eastAsia="Calibri" w:hint="cs"/>
          <w:rtl/>
        </w:rPr>
        <w:t xml:space="preserve">בדיקת משרד מבקר המדינה העלתה שמשרדי הממשלה מפרסמים נתונים שונים, ולעתים סותרים, בנוגע לשינויים במחירי הדירות. לדוגמה, בשנת 2012 מדד מחירי הדירות של הלמ"ס עלה בכ-8.5% לעומת עלייה של כ-2% לפי נתוני משרד הבינוי וכ-5% לפי חישובי השמאי הממשלתי. בשנת 2008 עלה מדד מחירי הדירות לפי נתוני הלמ"ס </w:t>
      </w:r>
      <w:r w:rsidR="00143E57">
        <w:rPr>
          <w:rFonts w:eastAsia="Calibri"/>
        </w:rPr>
        <w:br/>
      </w:r>
      <w:r w:rsidRPr="00F41E78">
        <w:rPr>
          <w:rFonts w:eastAsia="Calibri" w:hint="cs"/>
          <w:rtl/>
        </w:rPr>
        <w:t xml:space="preserve">בכ-10.6% לעומת עלייה של 2.8% בלבד במחיר החציוני של דירה חדשה לפי נתונים של מינהל הכנסות המדינה ושל משרד הבינוי. </w:t>
      </w:r>
    </w:p>
    <w:p w:rsidR="00E97EDA" w:rsidRPr="00F41E78" w:rsidP="00FF2CBA">
      <w:pPr>
        <w:spacing w:before="180" w:after="120" w:line="230" w:lineRule="exact"/>
        <w:jc w:val="both"/>
        <w:rPr>
          <w:rFonts w:eastAsia="Calibri" w:cs="FrankRuehl"/>
          <w:sz w:val="18"/>
          <w:szCs w:val="22"/>
          <w:rtl/>
        </w:rPr>
      </w:pPr>
      <w:r w:rsidRPr="00F41E78">
        <w:rPr>
          <w:rFonts w:eastAsia="Calibri" w:cs="FrankRuehl" w:hint="cs"/>
          <w:sz w:val="18"/>
          <w:szCs w:val="22"/>
          <w:rtl/>
        </w:rPr>
        <w:t>כבר</w:t>
      </w:r>
      <w:r w:rsidRPr="00F41E78">
        <w:rPr>
          <w:rFonts w:eastAsia="Calibri" w:cs="FrankRuehl"/>
          <w:sz w:val="18"/>
          <w:szCs w:val="22"/>
          <w:rtl/>
        </w:rPr>
        <w:t xml:space="preserve"> </w:t>
      </w:r>
      <w:r w:rsidRPr="00F41E78">
        <w:rPr>
          <w:rFonts w:eastAsia="Calibri" w:cs="FrankRuehl" w:hint="cs"/>
          <w:sz w:val="18"/>
          <w:szCs w:val="22"/>
          <w:rtl/>
        </w:rPr>
        <w:t>בישיבת</w:t>
      </w:r>
      <w:r w:rsidRPr="00F41E78">
        <w:rPr>
          <w:rFonts w:eastAsia="Calibri" w:cs="FrankRuehl"/>
          <w:sz w:val="18"/>
          <w:szCs w:val="22"/>
          <w:rtl/>
        </w:rPr>
        <w:t xml:space="preserve"> </w:t>
      </w:r>
      <w:r w:rsidRPr="00F41E78">
        <w:rPr>
          <w:rFonts w:eastAsia="Calibri" w:cs="FrankRuehl" w:hint="cs"/>
          <w:sz w:val="18"/>
          <w:szCs w:val="22"/>
          <w:rtl/>
        </w:rPr>
        <w:t>הוועדה</w:t>
      </w:r>
      <w:r w:rsidRPr="00F41E78">
        <w:rPr>
          <w:rFonts w:eastAsia="Calibri" w:cs="FrankRuehl"/>
          <w:sz w:val="18"/>
          <w:szCs w:val="22"/>
          <w:rtl/>
        </w:rPr>
        <w:t xml:space="preserve"> </w:t>
      </w:r>
      <w:r w:rsidRPr="00F41E78">
        <w:rPr>
          <w:rFonts w:eastAsia="Calibri" w:cs="FrankRuehl" w:hint="cs"/>
          <w:sz w:val="18"/>
          <w:szCs w:val="22"/>
          <w:rtl/>
        </w:rPr>
        <w:t>לסטטיסטיקה</w:t>
      </w:r>
      <w:r w:rsidRPr="00F41E78">
        <w:rPr>
          <w:rFonts w:eastAsia="Calibri" w:cs="FrankRuehl"/>
          <w:sz w:val="18"/>
          <w:szCs w:val="22"/>
          <w:rtl/>
        </w:rPr>
        <w:t xml:space="preserve"> </w:t>
      </w:r>
      <w:r w:rsidRPr="00F41E78">
        <w:rPr>
          <w:rFonts w:eastAsia="Calibri" w:cs="FrankRuehl" w:hint="cs"/>
          <w:sz w:val="18"/>
          <w:szCs w:val="22"/>
          <w:rtl/>
        </w:rPr>
        <w:t>באוגוסט</w:t>
      </w:r>
      <w:r w:rsidRPr="00F41E78">
        <w:rPr>
          <w:rFonts w:eastAsia="Calibri" w:cs="FrankRuehl"/>
          <w:sz w:val="18"/>
          <w:szCs w:val="22"/>
          <w:rtl/>
        </w:rPr>
        <w:t xml:space="preserve"> 2009 </w:t>
      </w:r>
      <w:r w:rsidRPr="00F41E78">
        <w:rPr>
          <w:rFonts w:eastAsia="Calibri" w:cs="FrankRuehl" w:hint="cs"/>
          <w:sz w:val="18"/>
          <w:szCs w:val="22"/>
          <w:rtl/>
        </w:rPr>
        <w:t>ציין</w:t>
      </w:r>
      <w:r w:rsidRPr="00F41E78">
        <w:rPr>
          <w:rFonts w:eastAsia="Calibri" w:cs="FrankRuehl"/>
          <w:sz w:val="18"/>
          <w:szCs w:val="22"/>
          <w:rtl/>
        </w:rPr>
        <w:t xml:space="preserve"> </w:t>
      </w:r>
      <w:r w:rsidRPr="00F41E78">
        <w:rPr>
          <w:rFonts w:eastAsia="Calibri" w:cs="FrankRuehl" w:hint="cs"/>
          <w:sz w:val="18"/>
          <w:szCs w:val="22"/>
          <w:rtl/>
        </w:rPr>
        <w:t>המשנה</w:t>
      </w:r>
      <w:r w:rsidRPr="00F41E78">
        <w:rPr>
          <w:rFonts w:eastAsia="Calibri" w:cs="FrankRuehl"/>
          <w:sz w:val="18"/>
          <w:szCs w:val="22"/>
          <w:rtl/>
        </w:rPr>
        <w:t xml:space="preserve"> </w:t>
      </w:r>
      <w:r w:rsidRPr="00F41E78">
        <w:rPr>
          <w:rFonts w:eastAsia="Calibri" w:cs="FrankRuehl" w:hint="cs"/>
          <w:sz w:val="18"/>
          <w:szCs w:val="22"/>
          <w:rtl/>
        </w:rPr>
        <w:t>לסטטיסטיקן</w:t>
      </w:r>
      <w:r w:rsidRPr="00F41E78">
        <w:rPr>
          <w:rFonts w:eastAsia="Calibri" w:cs="FrankRuehl"/>
          <w:sz w:val="18"/>
          <w:szCs w:val="22"/>
          <w:rtl/>
        </w:rPr>
        <w:t xml:space="preserve"> </w:t>
      </w:r>
      <w:r w:rsidRPr="00F41E78">
        <w:rPr>
          <w:rFonts w:eastAsia="Calibri" w:cs="FrankRuehl" w:hint="cs"/>
          <w:sz w:val="18"/>
          <w:szCs w:val="22"/>
          <w:rtl/>
        </w:rPr>
        <w:t>הממשלתי</w:t>
      </w:r>
      <w:r w:rsidRPr="00F41E78">
        <w:rPr>
          <w:rFonts w:eastAsia="Calibri" w:cs="FrankRuehl"/>
          <w:sz w:val="18"/>
          <w:szCs w:val="22"/>
          <w:rtl/>
        </w:rPr>
        <w:t xml:space="preserve"> </w:t>
      </w:r>
      <w:r w:rsidRPr="00F41E78">
        <w:rPr>
          <w:rFonts w:eastAsia="Calibri" w:cs="FrankRuehl" w:hint="cs"/>
          <w:sz w:val="18"/>
          <w:szCs w:val="22"/>
          <w:rtl/>
        </w:rPr>
        <w:t>כי</w:t>
      </w:r>
      <w:r w:rsidRPr="00F41E78">
        <w:rPr>
          <w:rFonts w:eastAsia="Calibri" w:cs="FrankRuehl"/>
          <w:sz w:val="18"/>
          <w:szCs w:val="22"/>
          <w:rtl/>
        </w:rPr>
        <w:t xml:space="preserve"> "</w:t>
      </w:r>
      <w:r w:rsidRPr="00F41E78">
        <w:rPr>
          <w:rFonts w:eastAsia="Calibri" w:cs="FrankRuehl" w:hint="cs"/>
          <w:sz w:val="18"/>
          <w:szCs w:val="22"/>
          <w:rtl/>
        </w:rPr>
        <w:t>הבעיה</w:t>
      </w:r>
      <w:r w:rsidRPr="00F41E78">
        <w:rPr>
          <w:rFonts w:eastAsia="Calibri" w:cs="FrankRuehl"/>
          <w:sz w:val="18"/>
          <w:szCs w:val="22"/>
          <w:rtl/>
        </w:rPr>
        <w:t xml:space="preserve"> </w:t>
      </w:r>
      <w:r w:rsidRPr="00F41E78">
        <w:rPr>
          <w:rFonts w:eastAsia="Calibri" w:cs="FrankRuehl" w:hint="cs"/>
          <w:sz w:val="18"/>
          <w:szCs w:val="22"/>
          <w:rtl/>
        </w:rPr>
        <w:t>המרכזית</w:t>
      </w:r>
      <w:r w:rsidRPr="00F41E78">
        <w:rPr>
          <w:rFonts w:eastAsia="Calibri" w:cs="FrankRuehl"/>
          <w:sz w:val="18"/>
          <w:szCs w:val="22"/>
          <w:rtl/>
        </w:rPr>
        <w:t xml:space="preserve"> </w:t>
      </w:r>
      <w:r w:rsidRPr="00F41E78">
        <w:rPr>
          <w:rFonts w:eastAsia="Calibri" w:cs="FrankRuehl" w:hint="cs"/>
          <w:sz w:val="18"/>
          <w:szCs w:val="22"/>
          <w:rtl/>
        </w:rPr>
        <w:t>שיש</w:t>
      </w:r>
      <w:r w:rsidRPr="00F41E78">
        <w:rPr>
          <w:rFonts w:eastAsia="Calibri" w:cs="FrankRuehl"/>
          <w:sz w:val="18"/>
          <w:szCs w:val="22"/>
          <w:rtl/>
        </w:rPr>
        <w:t xml:space="preserve"> </w:t>
      </w:r>
      <w:r w:rsidRPr="00F41E78">
        <w:rPr>
          <w:rFonts w:eastAsia="Calibri" w:cs="FrankRuehl" w:hint="cs"/>
          <w:sz w:val="18"/>
          <w:szCs w:val="22"/>
          <w:rtl/>
        </w:rPr>
        <w:t>להתייחס</w:t>
      </w:r>
      <w:r w:rsidRPr="00F41E78">
        <w:rPr>
          <w:rFonts w:eastAsia="Calibri" w:cs="FrankRuehl"/>
          <w:sz w:val="18"/>
          <w:szCs w:val="22"/>
          <w:rtl/>
        </w:rPr>
        <w:t xml:space="preserve"> </w:t>
      </w:r>
      <w:r w:rsidRPr="00F41E78">
        <w:rPr>
          <w:rFonts w:eastAsia="Calibri" w:cs="FrankRuehl" w:hint="cs"/>
          <w:sz w:val="18"/>
          <w:szCs w:val="22"/>
          <w:rtl/>
        </w:rPr>
        <w:t>אליה</w:t>
      </w:r>
      <w:r w:rsidRPr="00F41E78">
        <w:rPr>
          <w:rFonts w:eastAsia="Calibri" w:cs="FrankRuehl"/>
          <w:sz w:val="18"/>
          <w:szCs w:val="22"/>
          <w:rtl/>
        </w:rPr>
        <w:t xml:space="preserve"> </w:t>
      </w:r>
      <w:r w:rsidRPr="00F41E78">
        <w:rPr>
          <w:rFonts w:eastAsia="Calibri" w:cs="FrankRuehl" w:hint="cs"/>
          <w:sz w:val="18"/>
          <w:szCs w:val="22"/>
          <w:rtl/>
        </w:rPr>
        <w:t>היא</w:t>
      </w:r>
      <w:r w:rsidRPr="00F41E78">
        <w:rPr>
          <w:rFonts w:eastAsia="Calibri" w:cs="FrankRuehl"/>
          <w:sz w:val="18"/>
          <w:szCs w:val="22"/>
          <w:rtl/>
        </w:rPr>
        <w:t xml:space="preserve"> </w:t>
      </w:r>
      <w:r w:rsidRPr="00F41E78">
        <w:rPr>
          <w:rFonts w:eastAsia="Calibri" w:cs="FrankRuehl" w:hint="cs"/>
          <w:sz w:val="18"/>
          <w:szCs w:val="22"/>
          <w:rtl/>
        </w:rPr>
        <w:t>בעיית</w:t>
      </w:r>
      <w:r w:rsidRPr="00F41E78">
        <w:rPr>
          <w:rFonts w:eastAsia="Calibri" w:cs="FrankRuehl"/>
          <w:sz w:val="18"/>
          <w:szCs w:val="22"/>
          <w:rtl/>
        </w:rPr>
        <w:t xml:space="preserve"> </w:t>
      </w:r>
      <w:r w:rsidRPr="00F41E78">
        <w:rPr>
          <w:rFonts w:eastAsia="Calibri" w:cs="FrankRuehl" w:hint="cs"/>
          <w:sz w:val="18"/>
          <w:szCs w:val="22"/>
          <w:rtl/>
        </w:rPr>
        <w:t>הנתונים</w:t>
      </w:r>
      <w:r w:rsidRPr="00F41E78">
        <w:rPr>
          <w:rFonts w:eastAsia="Calibri" w:cs="FrankRuehl"/>
          <w:sz w:val="18"/>
          <w:szCs w:val="22"/>
          <w:rtl/>
        </w:rPr>
        <w:t xml:space="preserve">: </w:t>
      </w:r>
      <w:r w:rsidRPr="00F41E78">
        <w:rPr>
          <w:rFonts w:eastAsia="Calibri" w:cs="FrankRuehl" w:hint="cs"/>
          <w:sz w:val="18"/>
          <w:szCs w:val="22"/>
          <w:rtl/>
        </w:rPr>
        <w:t>קיימים</w:t>
      </w:r>
      <w:r w:rsidRPr="00F41E78">
        <w:rPr>
          <w:rFonts w:eastAsia="Calibri" w:cs="FrankRuehl"/>
          <w:sz w:val="18"/>
          <w:szCs w:val="22"/>
          <w:rtl/>
        </w:rPr>
        <w:t xml:space="preserve"> </w:t>
      </w:r>
      <w:r w:rsidRPr="00F41E78">
        <w:rPr>
          <w:rFonts w:eastAsia="Calibri" w:cs="FrankRuehl" w:hint="cs"/>
          <w:sz w:val="18"/>
          <w:szCs w:val="22"/>
          <w:rtl/>
        </w:rPr>
        <w:t>מקרים</w:t>
      </w:r>
      <w:r w:rsidRPr="00F41E78">
        <w:rPr>
          <w:rFonts w:eastAsia="Calibri" w:cs="FrankRuehl"/>
          <w:sz w:val="18"/>
          <w:szCs w:val="22"/>
          <w:rtl/>
        </w:rPr>
        <w:t xml:space="preserve"> </w:t>
      </w:r>
      <w:r w:rsidRPr="00F41E78">
        <w:rPr>
          <w:rFonts w:eastAsia="Calibri" w:cs="FrankRuehl" w:hint="cs"/>
          <w:sz w:val="18"/>
          <w:szCs w:val="22"/>
          <w:rtl/>
        </w:rPr>
        <w:t>רבים</w:t>
      </w:r>
      <w:r w:rsidRPr="00F41E78">
        <w:rPr>
          <w:rFonts w:eastAsia="Calibri" w:cs="FrankRuehl"/>
          <w:sz w:val="18"/>
          <w:szCs w:val="22"/>
          <w:rtl/>
        </w:rPr>
        <w:t xml:space="preserve"> </w:t>
      </w:r>
      <w:r w:rsidRPr="00F41E78">
        <w:rPr>
          <w:rFonts w:eastAsia="Calibri" w:cs="FrankRuehl" w:hint="cs"/>
          <w:sz w:val="18"/>
          <w:szCs w:val="22"/>
          <w:rtl/>
        </w:rPr>
        <w:t>בהם</w:t>
      </w:r>
      <w:r w:rsidRPr="00F41E78">
        <w:rPr>
          <w:rFonts w:eastAsia="Calibri" w:cs="FrankRuehl"/>
          <w:sz w:val="18"/>
          <w:szCs w:val="22"/>
          <w:rtl/>
        </w:rPr>
        <w:t xml:space="preserve"> </w:t>
      </w:r>
      <w:r w:rsidRPr="00F41E78">
        <w:rPr>
          <w:rFonts w:eastAsia="Calibri" w:cs="FrankRuehl" w:hint="cs"/>
          <w:sz w:val="18"/>
          <w:szCs w:val="22"/>
          <w:rtl/>
        </w:rPr>
        <w:t>מפורסמים</w:t>
      </w:r>
      <w:r w:rsidRPr="00F41E78">
        <w:rPr>
          <w:rFonts w:eastAsia="Calibri" w:cs="FrankRuehl"/>
          <w:sz w:val="18"/>
          <w:szCs w:val="22"/>
          <w:rtl/>
        </w:rPr>
        <w:t xml:space="preserve"> </w:t>
      </w:r>
      <w:r w:rsidRPr="00F41E78">
        <w:rPr>
          <w:rFonts w:eastAsia="Calibri" w:cs="FrankRuehl" w:hint="cs"/>
          <w:sz w:val="18"/>
          <w:szCs w:val="22"/>
          <w:rtl/>
        </w:rPr>
        <w:t>נתונים</w:t>
      </w:r>
      <w:r w:rsidRPr="00F41E78">
        <w:rPr>
          <w:rFonts w:eastAsia="Calibri" w:cs="FrankRuehl"/>
          <w:sz w:val="18"/>
          <w:szCs w:val="22"/>
          <w:rtl/>
        </w:rPr>
        <w:t xml:space="preserve"> </w:t>
      </w:r>
      <w:r w:rsidRPr="00F41E78">
        <w:rPr>
          <w:rFonts w:eastAsia="Calibri" w:cs="FrankRuehl" w:hint="cs"/>
          <w:sz w:val="18"/>
          <w:szCs w:val="22"/>
          <w:rtl/>
        </w:rPr>
        <w:t>סותרים</w:t>
      </w:r>
      <w:r w:rsidRPr="00F41E78">
        <w:rPr>
          <w:rFonts w:eastAsia="Calibri" w:cs="FrankRuehl"/>
          <w:sz w:val="18"/>
          <w:szCs w:val="22"/>
          <w:rtl/>
        </w:rPr>
        <w:t xml:space="preserve"> </w:t>
      </w:r>
      <w:r w:rsidRPr="00F41E78">
        <w:rPr>
          <w:rFonts w:eastAsia="Calibri" w:cs="FrankRuehl" w:hint="cs"/>
          <w:sz w:val="18"/>
          <w:szCs w:val="22"/>
          <w:rtl/>
        </w:rPr>
        <w:t>ע</w:t>
      </w:r>
      <w:r w:rsidRPr="00F41E78">
        <w:rPr>
          <w:rFonts w:eastAsia="Calibri" w:cs="FrankRuehl"/>
          <w:sz w:val="18"/>
          <w:szCs w:val="22"/>
          <w:rtl/>
        </w:rPr>
        <w:t>"</w:t>
      </w:r>
      <w:r w:rsidRPr="00F41E78">
        <w:rPr>
          <w:rFonts w:eastAsia="Calibri" w:cs="FrankRuehl" w:hint="cs"/>
          <w:sz w:val="18"/>
          <w:szCs w:val="22"/>
          <w:rtl/>
        </w:rPr>
        <w:t>י</w:t>
      </w:r>
      <w:r w:rsidRPr="00F41E78">
        <w:rPr>
          <w:rFonts w:eastAsia="Calibri" w:cs="FrankRuehl"/>
          <w:sz w:val="18"/>
          <w:szCs w:val="22"/>
          <w:rtl/>
        </w:rPr>
        <w:t xml:space="preserve"> </w:t>
      </w:r>
      <w:r w:rsidRPr="00F41E78">
        <w:rPr>
          <w:rFonts w:eastAsia="Calibri" w:cs="FrankRuehl" w:hint="cs"/>
          <w:sz w:val="18"/>
          <w:szCs w:val="22"/>
          <w:rtl/>
        </w:rPr>
        <w:t>גופים</w:t>
      </w:r>
      <w:r w:rsidRPr="00F41E78">
        <w:rPr>
          <w:rFonts w:eastAsia="Calibri" w:cs="FrankRuehl"/>
          <w:sz w:val="18"/>
          <w:szCs w:val="22"/>
          <w:rtl/>
        </w:rPr>
        <w:t xml:space="preserve"> </w:t>
      </w:r>
      <w:r w:rsidRPr="00F41E78">
        <w:rPr>
          <w:rFonts w:eastAsia="Calibri" w:cs="FrankRuehl" w:hint="cs"/>
          <w:sz w:val="18"/>
          <w:szCs w:val="22"/>
          <w:rtl/>
        </w:rPr>
        <w:t>ממשלתיים</w:t>
      </w:r>
      <w:r w:rsidRPr="00F41E78">
        <w:rPr>
          <w:rFonts w:eastAsia="Calibri" w:cs="FrankRuehl"/>
          <w:sz w:val="18"/>
          <w:szCs w:val="22"/>
          <w:rtl/>
        </w:rPr>
        <w:t xml:space="preserve"> </w:t>
      </w:r>
      <w:r w:rsidRPr="00F41E78">
        <w:rPr>
          <w:rFonts w:eastAsia="Calibri" w:cs="FrankRuehl" w:hint="cs"/>
          <w:sz w:val="18"/>
          <w:szCs w:val="22"/>
          <w:rtl/>
        </w:rPr>
        <w:t>רשמיים</w:t>
      </w:r>
      <w:r w:rsidRPr="00F41E78">
        <w:rPr>
          <w:rFonts w:eastAsia="Calibri" w:cs="FrankRuehl"/>
          <w:sz w:val="18"/>
          <w:szCs w:val="22"/>
          <w:rtl/>
        </w:rPr>
        <w:t xml:space="preserve">, </w:t>
      </w:r>
      <w:r w:rsidRPr="00F41E78">
        <w:rPr>
          <w:rFonts w:eastAsia="Calibri" w:cs="FrankRuehl" w:hint="cs"/>
          <w:sz w:val="18"/>
          <w:szCs w:val="22"/>
          <w:rtl/>
        </w:rPr>
        <w:t>צריך</w:t>
      </w:r>
      <w:r w:rsidRPr="00F41E78">
        <w:rPr>
          <w:rFonts w:eastAsia="Calibri" w:cs="FrankRuehl"/>
          <w:sz w:val="18"/>
          <w:szCs w:val="22"/>
          <w:rtl/>
        </w:rPr>
        <w:t xml:space="preserve"> </w:t>
      </w:r>
      <w:r w:rsidRPr="00F41E78">
        <w:rPr>
          <w:rFonts w:eastAsia="Calibri" w:cs="FrankRuehl" w:hint="cs"/>
          <w:sz w:val="18"/>
          <w:szCs w:val="22"/>
          <w:rtl/>
        </w:rPr>
        <w:t>להיות</w:t>
      </w:r>
      <w:r w:rsidRPr="00F41E78">
        <w:rPr>
          <w:rFonts w:eastAsia="Calibri" w:cs="FrankRuehl"/>
          <w:sz w:val="18"/>
          <w:szCs w:val="22"/>
          <w:rtl/>
        </w:rPr>
        <w:t xml:space="preserve"> </w:t>
      </w:r>
      <w:r w:rsidRPr="00F41E78">
        <w:rPr>
          <w:rFonts w:eastAsia="Calibri" w:cs="FrankRuehl" w:hint="cs"/>
          <w:sz w:val="18"/>
          <w:szCs w:val="22"/>
          <w:rtl/>
        </w:rPr>
        <w:t>תיאום</w:t>
      </w:r>
      <w:r w:rsidRPr="00F41E78">
        <w:rPr>
          <w:rFonts w:eastAsia="Calibri" w:cs="FrankRuehl"/>
          <w:sz w:val="18"/>
          <w:szCs w:val="22"/>
          <w:rtl/>
        </w:rPr>
        <w:t xml:space="preserve"> </w:t>
      </w:r>
      <w:r w:rsidRPr="00F41E78">
        <w:rPr>
          <w:rFonts w:eastAsia="Calibri" w:cs="FrankRuehl" w:hint="cs"/>
          <w:sz w:val="18"/>
          <w:szCs w:val="22"/>
          <w:rtl/>
        </w:rPr>
        <w:t>לגבי</w:t>
      </w:r>
      <w:r w:rsidRPr="00F41E78">
        <w:rPr>
          <w:rFonts w:eastAsia="Calibri" w:cs="FrankRuehl"/>
          <w:sz w:val="18"/>
          <w:szCs w:val="22"/>
          <w:rtl/>
        </w:rPr>
        <w:t xml:space="preserve"> </w:t>
      </w:r>
      <w:r w:rsidRPr="00F41E78">
        <w:rPr>
          <w:rFonts w:eastAsia="Calibri" w:cs="FrankRuehl" w:hint="cs"/>
          <w:sz w:val="18"/>
          <w:szCs w:val="22"/>
          <w:rtl/>
        </w:rPr>
        <w:t>הנתונים</w:t>
      </w:r>
      <w:r w:rsidRPr="00F41E78">
        <w:rPr>
          <w:rFonts w:eastAsia="Calibri" w:cs="FrankRuehl"/>
          <w:sz w:val="18"/>
          <w:szCs w:val="22"/>
          <w:rtl/>
        </w:rPr>
        <w:t xml:space="preserve"> </w:t>
      </w:r>
      <w:r w:rsidRPr="00F41E78">
        <w:rPr>
          <w:rFonts w:eastAsia="Calibri" w:cs="FrankRuehl" w:hint="cs"/>
          <w:sz w:val="18"/>
          <w:szCs w:val="22"/>
          <w:rtl/>
        </w:rPr>
        <w:t>ולהגדיר</w:t>
      </w:r>
      <w:r w:rsidRPr="00F41E78">
        <w:rPr>
          <w:rFonts w:eastAsia="Calibri" w:cs="FrankRuehl"/>
          <w:sz w:val="18"/>
          <w:szCs w:val="22"/>
          <w:rtl/>
        </w:rPr>
        <w:t xml:space="preserve"> </w:t>
      </w:r>
      <w:r w:rsidRPr="00F41E78">
        <w:rPr>
          <w:rFonts w:eastAsia="Calibri" w:cs="FrankRuehl" w:hint="cs"/>
          <w:sz w:val="18"/>
          <w:szCs w:val="22"/>
          <w:rtl/>
        </w:rPr>
        <w:t>מהם</w:t>
      </w:r>
      <w:r w:rsidRPr="00F41E78">
        <w:rPr>
          <w:rFonts w:eastAsia="Calibri" w:cs="FrankRuehl"/>
          <w:sz w:val="18"/>
          <w:szCs w:val="22"/>
          <w:rtl/>
        </w:rPr>
        <w:t xml:space="preserve"> </w:t>
      </w:r>
      <w:r w:rsidRPr="00F41E78">
        <w:rPr>
          <w:rFonts w:eastAsia="Calibri" w:cs="FrankRuehl" w:hint="cs"/>
          <w:sz w:val="18"/>
          <w:szCs w:val="22"/>
          <w:rtl/>
        </w:rPr>
        <w:t>הנתונים</w:t>
      </w:r>
      <w:r w:rsidRPr="00F41E78">
        <w:rPr>
          <w:rFonts w:eastAsia="Calibri" w:cs="FrankRuehl"/>
          <w:sz w:val="18"/>
          <w:szCs w:val="22"/>
          <w:rtl/>
        </w:rPr>
        <w:t xml:space="preserve"> </w:t>
      </w:r>
      <w:r w:rsidRPr="00F41E78">
        <w:rPr>
          <w:rFonts w:eastAsia="Calibri" w:cs="FrankRuehl" w:hint="cs"/>
          <w:sz w:val="18"/>
          <w:szCs w:val="22"/>
          <w:rtl/>
        </w:rPr>
        <w:t>והאינדיקאטורים</w:t>
      </w:r>
      <w:r w:rsidRPr="00F41E78">
        <w:rPr>
          <w:rFonts w:eastAsia="Calibri" w:cs="FrankRuehl"/>
          <w:sz w:val="18"/>
          <w:szCs w:val="22"/>
          <w:rtl/>
        </w:rPr>
        <w:t xml:space="preserve"> </w:t>
      </w:r>
      <w:r w:rsidRPr="00F41E78">
        <w:rPr>
          <w:rFonts w:eastAsia="Calibri" w:cs="FrankRuehl" w:hint="cs"/>
          <w:sz w:val="18"/>
          <w:szCs w:val="22"/>
          <w:rtl/>
        </w:rPr>
        <w:t>המבוקשים</w:t>
      </w:r>
      <w:r w:rsidRPr="00F41E78">
        <w:rPr>
          <w:rFonts w:eastAsia="Calibri" w:cs="FrankRuehl"/>
          <w:sz w:val="18"/>
          <w:szCs w:val="22"/>
          <w:rtl/>
        </w:rPr>
        <w:t xml:space="preserve"> </w:t>
      </w:r>
      <w:r w:rsidRPr="00F41E78">
        <w:rPr>
          <w:rFonts w:eastAsia="Calibri" w:cs="FrankRuehl" w:hint="cs"/>
          <w:sz w:val="18"/>
          <w:szCs w:val="22"/>
          <w:rtl/>
        </w:rPr>
        <w:t>בסטטיסטיקה</w:t>
      </w:r>
      <w:r w:rsidRPr="00F41E78">
        <w:rPr>
          <w:rFonts w:eastAsia="Calibri" w:cs="FrankRuehl"/>
          <w:sz w:val="18"/>
          <w:szCs w:val="22"/>
          <w:rtl/>
        </w:rPr>
        <w:t xml:space="preserve"> </w:t>
      </w:r>
      <w:r w:rsidRPr="00F41E78">
        <w:rPr>
          <w:rFonts w:eastAsia="Calibri" w:cs="FrankRuehl" w:hint="cs"/>
          <w:sz w:val="18"/>
          <w:szCs w:val="22"/>
          <w:rtl/>
        </w:rPr>
        <w:t>הרשמית</w:t>
      </w:r>
      <w:r w:rsidRPr="00F41E78">
        <w:rPr>
          <w:rFonts w:eastAsia="Calibri" w:cs="FrankRuehl"/>
          <w:sz w:val="18"/>
          <w:szCs w:val="22"/>
          <w:rtl/>
        </w:rPr>
        <w:t xml:space="preserve"> </w:t>
      </w:r>
      <w:r w:rsidRPr="00F41E78">
        <w:rPr>
          <w:rFonts w:eastAsia="Calibri" w:cs="FrankRuehl" w:hint="cs"/>
          <w:sz w:val="18"/>
          <w:szCs w:val="22"/>
          <w:rtl/>
        </w:rPr>
        <w:t>בנושא</w:t>
      </w:r>
      <w:r w:rsidRPr="00F41E78">
        <w:rPr>
          <w:rFonts w:eastAsia="Calibri" w:cs="FrankRuehl"/>
          <w:sz w:val="18"/>
          <w:szCs w:val="22"/>
          <w:rtl/>
        </w:rPr>
        <w:t xml:space="preserve"> </w:t>
      </w:r>
      <w:r w:rsidRPr="00F41E78">
        <w:rPr>
          <w:rFonts w:eastAsia="Calibri" w:cs="FrankRuehl" w:hint="cs"/>
          <w:sz w:val="18"/>
          <w:szCs w:val="22"/>
          <w:rtl/>
        </w:rPr>
        <w:t>הדיור</w:t>
      </w:r>
      <w:r w:rsidRPr="00F41E78">
        <w:rPr>
          <w:rFonts w:eastAsia="Calibri" w:cs="FrankRuehl"/>
          <w:sz w:val="18"/>
          <w:szCs w:val="22"/>
          <w:rtl/>
        </w:rPr>
        <w:t xml:space="preserve"> </w:t>
      </w:r>
      <w:r w:rsidRPr="00F41E78">
        <w:rPr>
          <w:rFonts w:eastAsia="Calibri" w:cs="FrankRuehl" w:hint="cs"/>
          <w:sz w:val="18"/>
          <w:szCs w:val="22"/>
          <w:rtl/>
        </w:rPr>
        <w:t>והבינוי</w:t>
      </w:r>
      <w:r w:rsidRPr="00F41E78">
        <w:rPr>
          <w:rFonts w:eastAsia="Calibri" w:cs="FrankRuehl"/>
          <w:sz w:val="18"/>
          <w:szCs w:val="22"/>
          <w:rtl/>
        </w:rPr>
        <w:t xml:space="preserve">". </w:t>
      </w:r>
      <w:r w:rsidRPr="00F41E78">
        <w:rPr>
          <w:rFonts w:eastAsia="Calibri" w:cs="FrankRuehl" w:hint="cs"/>
          <w:sz w:val="18"/>
          <w:szCs w:val="22"/>
          <w:rtl/>
        </w:rPr>
        <w:t>בסיכום</w:t>
      </w:r>
      <w:r w:rsidRPr="00F41E78">
        <w:rPr>
          <w:rFonts w:eastAsia="Calibri" w:cs="FrankRuehl"/>
          <w:sz w:val="18"/>
          <w:szCs w:val="22"/>
          <w:rtl/>
        </w:rPr>
        <w:t xml:space="preserve"> </w:t>
      </w:r>
      <w:r w:rsidRPr="00F41E78">
        <w:rPr>
          <w:rFonts w:eastAsia="Calibri" w:cs="FrankRuehl" w:hint="cs"/>
          <w:sz w:val="18"/>
          <w:szCs w:val="22"/>
          <w:rtl/>
        </w:rPr>
        <w:t>הישיבה</w:t>
      </w:r>
      <w:r w:rsidRPr="00F41E78">
        <w:rPr>
          <w:rFonts w:eastAsia="Calibri" w:cs="FrankRuehl"/>
          <w:sz w:val="18"/>
          <w:szCs w:val="22"/>
          <w:rtl/>
        </w:rPr>
        <w:t xml:space="preserve"> </w:t>
      </w:r>
      <w:r w:rsidRPr="00F41E78">
        <w:rPr>
          <w:rFonts w:eastAsia="Calibri" w:cs="FrankRuehl" w:hint="cs"/>
          <w:sz w:val="18"/>
          <w:szCs w:val="22"/>
          <w:rtl/>
        </w:rPr>
        <w:t>נכתב</w:t>
      </w:r>
      <w:r w:rsidRPr="00F41E78">
        <w:rPr>
          <w:rFonts w:eastAsia="Calibri" w:cs="FrankRuehl"/>
          <w:sz w:val="18"/>
          <w:szCs w:val="22"/>
          <w:rtl/>
        </w:rPr>
        <w:t xml:space="preserve"> </w:t>
      </w:r>
      <w:r w:rsidRPr="00F41E78">
        <w:rPr>
          <w:rFonts w:eastAsia="Calibri" w:cs="FrankRuehl" w:hint="cs"/>
          <w:sz w:val="18"/>
          <w:szCs w:val="22"/>
          <w:rtl/>
        </w:rPr>
        <w:t>ש</w:t>
      </w:r>
      <w:r w:rsidRPr="00F41E78">
        <w:rPr>
          <w:rFonts w:eastAsia="Calibri" w:cs="FrankRuehl"/>
          <w:sz w:val="18"/>
          <w:szCs w:val="22"/>
          <w:rtl/>
        </w:rPr>
        <w:t>"</w:t>
      </w:r>
      <w:r w:rsidRPr="00F41E78">
        <w:rPr>
          <w:rFonts w:eastAsia="Calibri" w:cs="FrankRuehl" w:hint="cs"/>
          <w:sz w:val="18"/>
          <w:szCs w:val="22"/>
          <w:rtl/>
        </w:rPr>
        <w:t>יש</w:t>
      </w:r>
      <w:r w:rsidRPr="00F41E78">
        <w:rPr>
          <w:rFonts w:eastAsia="Calibri" w:cs="FrankRuehl"/>
          <w:sz w:val="18"/>
          <w:szCs w:val="22"/>
          <w:rtl/>
        </w:rPr>
        <w:t xml:space="preserve"> </w:t>
      </w:r>
      <w:r w:rsidRPr="00F41E78">
        <w:rPr>
          <w:rFonts w:eastAsia="Calibri" w:cs="FrankRuehl" w:hint="cs"/>
          <w:sz w:val="18"/>
          <w:szCs w:val="22"/>
          <w:rtl/>
        </w:rPr>
        <w:t>להקים</w:t>
      </w:r>
      <w:r w:rsidRPr="00F41E78">
        <w:rPr>
          <w:rFonts w:eastAsia="Calibri" w:cs="FrankRuehl"/>
          <w:sz w:val="18"/>
          <w:szCs w:val="22"/>
          <w:rtl/>
        </w:rPr>
        <w:t xml:space="preserve"> </w:t>
      </w:r>
      <w:r w:rsidRPr="00F41E78">
        <w:rPr>
          <w:rFonts w:eastAsia="Calibri" w:cs="FrankRuehl" w:hint="cs"/>
          <w:sz w:val="18"/>
          <w:szCs w:val="22"/>
          <w:rtl/>
        </w:rPr>
        <w:t>תתי</w:t>
      </w:r>
      <w:r w:rsidRPr="00F41E78">
        <w:rPr>
          <w:rFonts w:eastAsia="Calibri" w:cs="FrankRuehl"/>
          <w:sz w:val="18"/>
          <w:szCs w:val="22"/>
          <w:rtl/>
        </w:rPr>
        <w:t xml:space="preserve"> </w:t>
      </w:r>
      <w:r w:rsidRPr="00F41E78">
        <w:rPr>
          <w:rFonts w:eastAsia="Calibri" w:cs="FrankRuehl" w:hint="cs"/>
          <w:sz w:val="18"/>
          <w:szCs w:val="22"/>
          <w:rtl/>
        </w:rPr>
        <w:t>ועדות</w:t>
      </w:r>
      <w:r w:rsidRPr="00F41E78">
        <w:rPr>
          <w:rFonts w:eastAsia="Calibri" w:cs="FrankRuehl"/>
          <w:sz w:val="18"/>
          <w:szCs w:val="22"/>
          <w:rtl/>
        </w:rPr>
        <w:t xml:space="preserve"> </w:t>
      </w:r>
      <w:r w:rsidRPr="00F41E78">
        <w:rPr>
          <w:rFonts w:eastAsia="Calibri" w:cs="FrankRuehl" w:hint="cs"/>
          <w:sz w:val="18"/>
          <w:szCs w:val="22"/>
          <w:rtl/>
        </w:rPr>
        <w:t>בנושאים</w:t>
      </w:r>
      <w:r w:rsidRPr="00F41E78">
        <w:rPr>
          <w:rFonts w:eastAsia="Calibri" w:cs="FrankRuehl"/>
          <w:sz w:val="18"/>
          <w:szCs w:val="22"/>
          <w:rtl/>
        </w:rPr>
        <w:t xml:space="preserve"> </w:t>
      </w:r>
      <w:r w:rsidRPr="00F41E78">
        <w:rPr>
          <w:rFonts w:eastAsia="Calibri" w:cs="FrankRuehl" w:hint="cs"/>
          <w:sz w:val="18"/>
          <w:szCs w:val="22"/>
          <w:rtl/>
        </w:rPr>
        <w:t>הללו</w:t>
      </w:r>
      <w:r w:rsidRPr="00F41E78">
        <w:rPr>
          <w:rFonts w:eastAsia="Calibri" w:cs="FrankRuehl"/>
          <w:sz w:val="18"/>
          <w:szCs w:val="22"/>
          <w:rtl/>
        </w:rPr>
        <w:t xml:space="preserve"> </w:t>
      </w:r>
      <w:r w:rsidRPr="00F41E78">
        <w:rPr>
          <w:rFonts w:eastAsia="Calibri" w:cs="FrankRuehl" w:hint="cs"/>
          <w:sz w:val="18"/>
          <w:szCs w:val="22"/>
          <w:rtl/>
        </w:rPr>
        <w:t>שיכללו</w:t>
      </w:r>
      <w:r w:rsidRPr="00F41E78">
        <w:rPr>
          <w:rFonts w:eastAsia="Calibri" w:cs="FrankRuehl"/>
          <w:sz w:val="18"/>
          <w:szCs w:val="22"/>
          <w:rtl/>
        </w:rPr>
        <w:t xml:space="preserve"> </w:t>
      </w:r>
      <w:r w:rsidRPr="00F41E78">
        <w:rPr>
          <w:rFonts w:eastAsia="Calibri" w:cs="FrankRuehl" w:hint="cs"/>
          <w:sz w:val="18"/>
          <w:szCs w:val="22"/>
          <w:rtl/>
        </w:rPr>
        <w:t>את</w:t>
      </w:r>
      <w:r w:rsidRPr="00F41E78">
        <w:rPr>
          <w:rFonts w:eastAsia="Calibri" w:cs="FrankRuehl"/>
          <w:sz w:val="18"/>
          <w:szCs w:val="22"/>
          <w:rtl/>
        </w:rPr>
        <w:t xml:space="preserve"> </w:t>
      </w:r>
      <w:r w:rsidRPr="00F41E78">
        <w:rPr>
          <w:rFonts w:eastAsia="Calibri" w:cs="FrankRuehl" w:hint="cs"/>
          <w:sz w:val="18"/>
          <w:szCs w:val="22"/>
          <w:rtl/>
        </w:rPr>
        <w:t>משתתפי</w:t>
      </w:r>
      <w:r w:rsidRPr="00F41E78">
        <w:rPr>
          <w:rFonts w:eastAsia="Calibri" w:cs="FrankRuehl"/>
          <w:sz w:val="18"/>
          <w:szCs w:val="22"/>
          <w:rtl/>
        </w:rPr>
        <w:t xml:space="preserve"> </w:t>
      </w:r>
      <w:r w:rsidRPr="00F41E78">
        <w:rPr>
          <w:rFonts w:eastAsia="Calibri" w:cs="FrankRuehl" w:hint="cs"/>
          <w:sz w:val="18"/>
          <w:szCs w:val="22"/>
          <w:rtl/>
        </w:rPr>
        <w:t>הדיון</w:t>
      </w:r>
      <w:r w:rsidRPr="00F41E78">
        <w:rPr>
          <w:rFonts w:eastAsia="Calibri" w:cs="FrankRuehl"/>
          <w:sz w:val="18"/>
          <w:szCs w:val="22"/>
          <w:rtl/>
        </w:rPr>
        <w:t xml:space="preserve"> </w:t>
      </w:r>
      <w:r w:rsidRPr="00F41E78">
        <w:rPr>
          <w:rFonts w:eastAsia="Calibri" w:cs="FrankRuehl" w:hint="cs"/>
          <w:sz w:val="18"/>
          <w:szCs w:val="22"/>
          <w:rtl/>
        </w:rPr>
        <w:t>בהתאם</w:t>
      </w:r>
      <w:r w:rsidRPr="00F41E78">
        <w:rPr>
          <w:rFonts w:eastAsia="Calibri" w:cs="FrankRuehl"/>
          <w:sz w:val="18"/>
          <w:szCs w:val="22"/>
          <w:rtl/>
        </w:rPr>
        <w:t xml:space="preserve"> </w:t>
      </w:r>
      <w:r w:rsidRPr="00F41E78">
        <w:rPr>
          <w:rFonts w:eastAsia="Calibri" w:cs="FrankRuehl" w:hint="cs"/>
          <w:sz w:val="18"/>
          <w:szCs w:val="22"/>
          <w:rtl/>
        </w:rPr>
        <w:t>למומחיות</w:t>
      </w:r>
      <w:r w:rsidRPr="00F41E78">
        <w:rPr>
          <w:rFonts w:eastAsia="Calibri" w:cs="FrankRuehl"/>
          <w:sz w:val="18"/>
          <w:szCs w:val="22"/>
          <w:rtl/>
        </w:rPr>
        <w:t xml:space="preserve"> </w:t>
      </w:r>
      <w:r w:rsidRPr="00F41E78">
        <w:rPr>
          <w:rFonts w:eastAsia="Calibri" w:cs="FrankRuehl" w:hint="cs"/>
          <w:sz w:val="18"/>
          <w:szCs w:val="22"/>
          <w:rtl/>
        </w:rPr>
        <w:t>שלהם</w:t>
      </w:r>
      <w:r w:rsidRPr="00F41E78">
        <w:rPr>
          <w:rFonts w:eastAsia="Calibri" w:cs="FrankRuehl"/>
          <w:sz w:val="18"/>
          <w:szCs w:val="22"/>
          <w:rtl/>
        </w:rPr>
        <w:t xml:space="preserve">". </w:t>
      </w:r>
      <w:r w:rsidRPr="00F41E78">
        <w:rPr>
          <w:rFonts w:eastAsia="Calibri" w:cs="FrankRuehl" w:hint="cs"/>
          <w:sz w:val="18"/>
          <w:szCs w:val="22"/>
          <w:rtl/>
        </w:rPr>
        <w:t>עוד</w:t>
      </w:r>
      <w:r w:rsidRPr="00F41E78">
        <w:rPr>
          <w:rFonts w:eastAsia="Calibri" w:cs="FrankRuehl"/>
          <w:sz w:val="18"/>
          <w:szCs w:val="22"/>
          <w:rtl/>
        </w:rPr>
        <w:t xml:space="preserve"> </w:t>
      </w:r>
      <w:r w:rsidRPr="00F41E78">
        <w:rPr>
          <w:rFonts w:eastAsia="Calibri" w:cs="FrankRuehl" w:hint="cs"/>
          <w:sz w:val="18"/>
          <w:szCs w:val="22"/>
          <w:rtl/>
        </w:rPr>
        <w:t>הוחלט</w:t>
      </w:r>
      <w:r w:rsidRPr="00F41E78">
        <w:rPr>
          <w:rFonts w:eastAsia="Calibri" w:cs="FrankRuehl"/>
          <w:sz w:val="18"/>
          <w:szCs w:val="22"/>
          <w:rtl/>
        </w:rPr>
        <w:t xml:space="preserve"> </w:t>
      </w:r>
      <w:r w:rsidRPr="00F41E78">
        <w:rPr>
          <w:rFonts w:eastAsia="Calibri" w:cs="FrankRuehl" w:hint="cs"/>
          <w:sz w:val="18"/>
          <w:szCs w:val="22"/>
          <w:rtl/>
        </w:rPr>
        <w:t>שיש</w:t>
      </w:r>
      <w:r w:rsidRPr="00F41E78">
        <w:rPr>
          <w:rFonts w:eastAsia="Calibri" w:cs="FrankRuehl"/>
          <w:sz w:val="18"/>
          <w:szCs w:val="22"/>
          <w:rtl/>
        </w:rPr>
        <w:t xml:space="preserve"> </w:t>
      </w:r>
      <w:r w:rsidRPr="00F41E78">
        <w:rPr>
          <w:rFonts w:eastAsia="Calibri" w:cs="FrankRuehl" w:hint="cs"/>
          <w:sz w:val="18"/>
          <w:szCs w:val="22"/>
          <w:rtl/>
        </w:rPr>
        <w:t>לטפל</w:t>
      </w:r>
      <w:r w:rsidRPr="00F41E78">
        <w:rPr>
          <w:rFonts w:eastAsia="Calibri" w:cs="FrankRuehl"/>
          <w:sz w:val="18"/>
          <w:szCs w:val="22"/>
          <w:rtl/>
        </w:rPr>
        <w:t xml:space="preserve"> </w:t>
      </w:r>
      <w:r w:rsidRPr="00F41E78">
        <w:rPr>
          <w:rFonts w:eastAsia="Calibri" w:cs="FrankRuehl" w:hint="cs"/>
          <w:sz w:val="18"/>
          <w:szCs w:val="22"/>
          <w:rtl/>
        </w:rPr>
        <w:t>ב</w:t>
      </w:r>
      <w:r w:rsidRPr="00F41E78">
        <w:rPr>
          <w:rFonts w:eastAsia="Calibri" w:cs="FrankRuehl"/>
          <w:sz w:val="18"/>
          <w:szCs w:val="22"/>
          <w:rtl/>
        </w:rPr>
        <w:t>"</w:t>
      </w:r>
      <w:r w:rsidRPr="00F41E78">
        <w:rPr>
          <w:rFonts w:eastAsia="Calibri" w:cs="FrankRuehl" w:hint="cs"/>
          <w:sz w:val="18"/>
          <w:szCs w:val="22"/>
          <w:rtl/>
        </w:rPr>
        <w:t>הסברת</w:t>
      </w:r>
      <w:r w:rsidRPr="00F41E78">
        <w:rPr>
          <w:rFonts w:eastAsia="Calibri" w:cs="FrankRuehl"/>
          <w:sz w:val="18"/>
          <w:szCs w:val="22"/>
          <w:rtl/>
        </w:rPr>
        <w:t xml:space="preserve"> </w:t>
      </w:r>
      <w:r w:rsidRPr="00F41E78">
        <w:rPr>
          <w:rFonts w:eastAsia="Calibri" w:cs="FrankRuehl" w:hint="cs"/>
          <w:sz w:val="18"/>
          <w:szCs w:val="22"/>
          <w:rtl/>
        </w:rPr>
        <w:t>הנתונים</w:t>
      </w:r>
      <w:r w:rsidRPr="00F41E78">
        <w:rPr>
          <w:rFonts w:eastAsia="Calibri" w:cs="FrankRuehl"/>
          <w:sz w:val="18"/>
          <w:szCs w:val="22"/>
          <w:rtl/>
        </w:rPr>
        <w:t xml:space="preserve"> - </w:t>
      </w:r>
      <w:r w:rsidRPr="00F41E78">
        <w:rPr>
          <w:rFonts w:eastAsia="Calibri" w:cs="FrankRuehl" w:hint="cs"/>
          <w:sz w:val="18"/>
          <w:szCs w:val="22"/>
          <w:rtl/>
        </w:rPr>
        <w:t>הרחבת</w:t>
      </w:r>
      <w:r w:rsidRPr="00F41E78">
        <w:rPr>
          <w:rFonts w:eastAsia="Calibri" w:cs="FrankRuehl"/>
          <w:sz w:val="18"/>
          <w:szCs w:val="22"/>
          <w:rtl/>
        </w:rPr>
        <w:t xml:space="preserve"> </w:t>
      </w:r>
      <w:r w:rsidRPr="00F41E78">
        <w:rPr>
          <w:rFonts w:eastAsia="Calibri" w:cs="FrankRuehl" w:hint="cs"/>
          <w:sz w:val="18"/>
          <w:szCs w:val="22"/>
          <w:rtl/>
        </w:rPr>
        <w:t>ההסברים</w:t>
      </w:r>
      <w:r w:rsidRPr="00F41E78">
        <w:rPr>
          <w:rFonts w:eastAsia="Calibri" w:cs="FrankRuehl"/>
          <w:sz w:val="18"/>
          <w:szCs w:val="22"/>
          <w:rtl/>
        </w:rPr>
        <w:t xml:space="preserve"> </w:t>
      </w:r>
      <w:r w:rsidRPr="00F41E78">
        <w:rPr>
          <w:rFonts w:eastAsia="Calibri" w:cs="FrankRuehl" w:hint="cs"/>
          <w:sz w:val="18"/>
          <w:szCs w:val="22"/>
          <w:rtl/>
        </w:rPr>
        <w:t>למשתמש</w:t>
      </w:r>
      <w:r w:rsidRPr="00F41E78">
        <w:rPr>
          <w:rFonts w:eastAsia="Calibri" w:cs="FrankRuehl"/>
          <w:sz w:val="18"/>
          <w:szCs w:val="22"/>
          <w:rtl/>
        </w:rPr>
        <w:t xml:space="preserve"> </w:t>
      </w:r>
      <w:r w:rsidRPr="00F41E78">
        <w:rPr>
          <w:rFonts w:eastAsia="Calibri" w:cs="FrankRuehl" w:hint="cs"/>
          <w:sz w:val="18"/>
          <w:szCs w:val="22"/>
          <w:rtl/>
        </w:rPr>
        <w:t>בצורה</w:t>
      </w:r>
      <w:r w:rsidRPr="00F41E78">
        <w:rPr>
          <w:rFonts w:eastAsia="Calibri" w:cs="FrankRuehl"/>
          <w:sz w:val="18"/>
          <w:szCs w:val="22"/>
          <w:rtl/>
        </w:rPr>
        <w:t xml:space="preserve"> </w:t>
      </w:r>
      <w:r w:rsidRPr="00F41E78">
        <w:rPr>
          <w:rFonts w:eastAsia="Calibri" w:cs="FrankRuehl" w:hint="cs"/>
          <w:sz w:val="18"/>
          <w:szCs w:val="22"/>
          <w:rtl/>
        </w:rPr>
        <w:t>טובה</w:t>
      </w:r>
      <w:r w:rsidRPr="00F41E78">
        <w:rPr>
          <w:rFonts w:eastAsia="Calibri" w:cs="FrankRuehl"/>
          <w:sz w:val="18"/>
          <w:szCs w:val="22"/>
          <w:rtl/>
        </w:rPr>
        <w:t xml:space="preserve"> </w:t>
      </w:r>
      <w:r w:rsidRPr="00F41E78">
        <w:rPr>
          <w:rFonts w:eastAsia="Calibri" w:cs="FrankRuehl" w:hint="cs"/>
          <w:sz w:val="18"/>
          <w:szCs w:val="22"/>
          <w:rtl/>
        </w:rPr>
        <w:t>יותר</w:t>
      </w:r>
      <w:r w:rsidRPr="00F41E78">
        <w:rPr>
          <w:rFonts w:eastAsia="Calibri" w:cs="FrankRuehl"/>
          <w:sz w:val="18"/>
          <w:szCs w:val="22"/>
          <w:rtl/>
        </w:rPr>
        <w:t xml:space="preserve"> </w:t>
      </w:r>
      <w:r w:rsidRPr="00F41E78">
        <w:rPr>
          <w:rFonts w:eastAsia="Calibri" w:cs="FrankRuehl" w:hint="cs"/>
          <w:sz w:val="18"/>
          <w:szCs w:val="22"/>
          <w:rtl/>
        </w:rPr>
        <w:t>כולל</w:t>
      </w:r>
      <w:r w:rsidRPr="00F41E78">
        <w:rPr>
          <w:rFonts w:eastAsia="Calibri" w:cs="FrankRuehl"/>
          <w:sz w:val="18"/>
          <w:szCs w:val="22"/>
          <w:rtl/>
        </w:rPr>
        <w:t xml:space="preserve"> </w:t>
      </w:r>
      <w:r w:rsidRPr="00F41E78">
        <w:rPr>
          <w:rFonts w:eastAsia="Calibri" w:cs="FrankRuehl" w:hint="cs"/>
          <w:sz w:val="18"/>
          <w:szCs w:val="22"/>
          <w:rtl/>
        </w:rPr>
        <w:t>הסברים</w:t>
      </w:r>
      <w:r w:rsidRPr="00F41E78">
        <w:rPr>
          <w:rFonts w:eastAsia="Calibri" w:cs="FrankRuehl"/>
          <w:sz w:val="18"/>
          <w:szCs w:val="22"/>
          <w:rtl/>
        </w:rPr>
        <w:t xml:space="preserve"> </w:t>
      </w:r>
      <w:r w:rsidRPr="00F41E78">
        <w:rPr>
          <w:rFonts w:eastAsia="Calibri" w:cs="FrankRuehl" w:hint="cs"/>
          <w:sz w:val="18"/>
          <w:szCs w:val="22"/>
          <w:rtl/>
        </w:rPr>
        <w:t>ללוחות</w:t>
      </w:r>
      <w:r w:rsidRPr="00F41E78">
        <w:rPr>
          <w:rFonts w:eastAsia="Calibri" w:cs="FrankRuehl"/>
          <w:sz w:val="18"/>
          <w:szCs w:val="22"/>
          <w:rtl/>
        </w:rPr>
        <w:t>".</w:t>
      </w:r>
      <w:r w:rsidRPr="00F41E78">
        <w:rPr>
          <w:rFonts w:eastAsia="Calibri" w:cs="FrankRuehl" w:hint="cs"/>
          <w:sz w:val="18"/>
          <w:szCs w:val="22"/>
          <w:rtl/>
        </w:rPr>
        <w:t xml:space="preserve"> </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בתשובתה של הלמ"ס מינואר</w:t>
      </w:r>
      <w:r w:rsidRPr="00F41E78">
        <w:rPr>
          <w:rFonts w:eastAsia="Calibri" w:cs="FrankRuehl"/>
          <w:sz w:val="18"/>
          <w:szCs w:val="22"/>
          <w:rtl/>
        </w:rPr>
        <w:t xml:space="preserve"> 2014 </w:t>
      </w:r>
      <w:r w:rsidRPr="00F41E78">
        <w:rPr>
          <w:rFonts w:eastAsia="Calibri" w:cs="FrankRuehl" w:hint="cs"/>
          <w:sz w:val="18"/>
          <w:szCs w:val="22"/>
          <w:rtl/>
        </w:rPr>
        <w:t>מסר המשנה</w:t>
      </w:r>
      <w:r w:rsidRPr="00F41E78">
        <w:rPr>
          <w:rFonts w:eastAsia="Calibri" w:cs="FrankRuehl"/>
          <w:sz w:val="18"/>
          <w:szCs w:val="22"/>
          <w:rtl/>
        </w:rPr>
        <w:t xml:space="preserve"> </w:t>
      </w:r>
      <w:r w:rsidRPr="00F41E78">
        <w:rPr>
          <w:rFonts w:eastAsia="Calibri" w:cs="FrankRuehl" w:hint="cs"/>
          <w:sz w:val="18"/>
          <w:szCs w:val="22"/>
          <w:rtl/>
        </w:rPr>
        <w:t>לסטטיסטיקן</w:t>
      </w:r>
      <w:r w:rsidRPr="00F41E78">
        <w:rPr>
          <w:rFonts w:eastAsia="Calibri" w:cs="FrankRuehl"/>
          <w:sz w:val="18"/>
          <w:szCs w:val="22"/>
          <w:rtl/>
        </w:rPr>
        <w:t xml:space="preserve"> </w:t>
      </w:r>
      <w:r w:rsidRPr="00F41E78">
        <w:rPr>
          <w:rFonts w:eastAsia="Calibri" w:cs="FrankRuehl" w:hint="cs"/>
          <w:sz w:val="18"/>
          <w:szCs w:val="22"/>
          <w:rtl/>
        </w:rPr>
        <w:t>הממשלתי</w:t>
      </w:r>
      <w:r w:rsidRPr="00F41E78">
        <w:rPr>
          <w:rFonts w:eastAsia="Calibri" w:cs="FrankRuehl"/>
          <w:sz w:val="18"/>
          <w:szCs w:val="22"/>
          <w:rtl/>
        </w:rPr>
        <w:t xml:space="preserve"> </w:t>
      </w:r>
      <w:r w:rsidRPr="00F41E78">
        <w:rPr>
          <w:rFonts w:eastAsia="Calibri" w:cs="FrankRuehl" w:hint="cs"/>
          <w:sz w:val="18"/>
          <w:szCs w:val="22"/>
          <w:rtl/>
        </w:rPr>
        <w:t>כי</w:t>
      </w:r>
      <w:r w:rsidRPr="00F41E78">
        <w:rPr>
          <w:rFonts w:eastAsia="Calibri" w:cs="FrankRuehl"/>
          <w:sz w:val="18"/>
          <w:szCs w:val="22"/>
          <w:rtl/>
        </w:rPr>
        <w:t xml:space="preserve"> </w:t>
      </w:r>
      <w:r w:rsidRPr="00F41E78">
        <w:rPr>
          <w:rFonts w:eastAsia="Calibri" w:cs="FrankRuehl" w:hint="cs"/>
          <w:sz w:val="18"/>
          <w:szCs w:val="22"/>
          <w:rtl/>
        </w:rPr>
        <w:t>"התעוד</w:t>
      </w:r>
      <w:r w:rsidRPr="00F41E78">
        <w:rPr>
          <w:rFonts w:eastAsia="Calibri" w:cs="FrankRuehl"/>
          <w:sz w:val="18"/>
          <w:szCs w:val="22"/>
          <w:rtl/>
        </w:rPr>
        <w:t xml:space="preserve"> </w:t>
      </w:r>
      <w:r w:rsidRPr="00F41E78">
        <w:rPr>
          <w:rFonts w:eastAsia="Calibri" w:cs="FrankRuehl" w:hint="cs"/>
          <w:sz w:val="18"/>
          <w:szCs w:val="22"/>
          <w:rtl/>
        </w:rPr>
        <w:t>האחרון</w:t>
      </w:r>
      <w:r w:rsidRPr="00F41E78">
        <w:rPr>
          <w:rFonts w:eastAsia="Calibri" w:cs="FrankRuehl"/>
          <w:sz w:val="18"/>
          <w:szCs w:val="22"/>
          <w:rtl/>
        </w:rPr>
        <w:t xml:space="preserve"> </w:t>
      </w:r>
      <w:r w:rsidRPr="00F41E78">
        <w:rPr>
          <w:rFonts w:eastAsia="Calibri" w:cs="FrankRuehl" w:hint="cs"/>
          <w:sz w:val="18"/>
          <w:szCs w:val="22"/>
          <w:rtl/>
        </w:rPr>
        <w:t>עודכן בהתאם</w:t>
      </w:r>
      <w:r w:rsidRPr="00F41E78">
        <w:rPr>
          <w:rFonts w:eastAsia="Calibri" w:cs="FrankRuehl"/>
          <w:sz w:val="18"/>
          <w:szCs w:val="22"/>
          <w:rtl/>
        </w:rPr>
        <w:t xml:space="preserve"> </w:t>
      </w:r>
      <w:r w:rsidRPr="00F41E78">
        <w:rPr>
          <w:rFonts w:eastAsia="Calibri" w:cs="FrankRuehl" w:hint="cs"/>
          <w:sz w:val="18"/>
          <w:szCs w:val="22"/>
          <w:rtl/>
        </w:rPr>
        <w:t>לשינויים</w:t>
      </w:r>
      <w:r w:rsidRPr="00F41E78">
        <w:rPr>
          <w:rFonts w:eastAsia="Calibri" w:cs="FrankRuehl"/>
          <w:sz w:val="18"/>
          <w:szCs w:val="22"/>
          <w:rtl/>
        </w:rPr>
        <w:t xml:space="preserve"> </w:t>
      </w:r>
      <w:r w:rsidRPr="00F41E78">
        <w:rPr>
          <w:rFonts w:eastAsia="Calibri" w:cs="FrankRuehl" w:hint="cs"/>
          <w:sz w:val="18"/>
          <w:szCs w:val="22"/>
          <w:rtl/>
        </w:rPr>
        <w:t>שערכנו בהם מפורטים הסינונים</w:t>
      </w:r>
      <w:r w:rsidRPr="00F41E78">
        <w:rPr>
          <w:rFonts w:eastAsia="Calibri" w:cs="FrankRuehl"/>
          <w:sz w:val="18"/>
          <w:szCs w:val="22"/>
          <w:rtl/>
        </w:rPr>
        <w:t xml:space="preserve">, </w:t>
      </w:r>
      <w:r w:rsidRPr="00F41E78">
        <w:rPr>
          <w:rFonts w:eastAsia="Calibri" w:cs="FrankRuehl" w:hint="cs"/>
          <w:sz w:val="18"/>
          <w:szCs w:val="22"/>
          <w:rtl/>
        </w:rPr>
        <w:t>מה נלקח לחישוב, הנוסחה, רשימת</w:t>
      </w:r>
      <w:r w:rsidRPr="00F41E78">
        <w:rPr>
          <w:rFonts w:eastAsia="Calibri" w:cs="FrankRuehl"/>
          <w:sz w:val="18"/>
          <w:szCs w:val="22"/>
          <w:rtl/>
        </w:rPr>
        <w:t xml:space="preserve"> </w:t>
      </w:r>
      <w:r w:rsidRPr="00F41E78">
        <w:rPr>
          <w:rFonts w:eastAsia="Calibri" w:cs="FrankRuehl" w:hint="cs"/>
          <w:sz w:val="18"/>
          <w:szCs w:val="22"/>
          <w:rtl/>
        </w:rPr>
        <w:t>הישובים</w:t>
      </w:r>
      <w:r w:rsidRPr="00F41E78">
        <w:rPr>
          <w:rFonts w:eastAsia="Calibri" w:cs="FrankRuehl"/>
          <w:sz w:val="18"/>
          <w:szCs w:val="22"/>
          <w:rtl/>
        </w:rPr>
        <w:t xml:space="preserve"> </w:t>
      </w:r>
      <w:r w:rsidRPr="00F41E78">
        <w:rPr>
          <w:rFonts w:eastAsia="Calibri" w:cs="FrankRuehl" w:hint="cs"/>
          <w:sz w:val="18"/>
          <w:szCs w:val="22"/>
          <w:rtl/>
        </w:rPr>
        <w:t>והעיגון".</w:t>
      </w:r>
    </w:p>
    <w:p w:rsidR="00FA6646" w:rsidRPr="00FA6646" w:rsidP="00F41E78">
      <w:pPr>
        <w:spacing w:after="120" w:line="230" w:lineRule="exact"/>
        <w:jc w:val="both"/>
        <w:rPr>
          <w:rFonts w:eastAsia="Calibri" w:cs="FrankRuehl"/>
          <w:sz w:val="20"/>
          <w:szCs w:val="22"/>
          <w:rtl/>
        </w:rPr>
      </w:pPr>
      <w:r w:rsidRPr="00F41E78">
        <w:rPr>
          <w:rFonts w:eastAsia="Calibri" w:cs="FrankRuehl" w:hint="cs"/>
          <w:sz w:val="18"/>
          <w:szCs w:val="22"/>
          <w:rtl/>
        </w:rPr>
        <w:t>בדצמבר 2010 התייחס אג"ת לסוגיית ריבוי האינדיקטורים שהגופים הממשלתיים והרגולטורים מפרסמים בדבר התמורות במחירי הדירות וציין ש"</w:t>
      </w:r>
      <w:r w:rsidRPr="00F41E78">
        <w:rPr>
          <w:rFonts w:eastAsia="Calibri" w:cs="FrankRuehl"/>
          <w:sz w:val="18"/>
          <w:szCs w:val="22"/>
          <w:rtl/>
        </w:rPr>
        <w:t>מדידה אמינה ותקפה של מחירי דירות ושכ"ד הינה כלי חיוני הן לקובעי המדיניות הכלכלית והן לשוק</w:t>
      </w:r>
      <w:r w:rsidRPr="00F41E78">
        <w:rPr>
          <w:rFonts w:eastAsia="Calibri" w:cs="FrankRuehl" w:hint="cs"/>
          <w:sz w:val="18"/>
          <w:szCs w:val="22"/>
          <w:rtl/>
        </w:rPr>
        <w:t xml:space="preserve"> הנדל"ן</w:t>
      </w:r>
      <w:r w:rsidRPr="00F41E78">
        <w:rPr>
          <w:rFonts w:eastAsia="Calibri" w:cs="FrankRuehl"/>
          <w:sz w:val="18"/>
          <w:szCs w:val="22"/>
          <w:rtl/>
        </w:rPr>
        <w:t xml:space="preserve"> עצמו</w:t>
      </w:r>
      <w:r w:rsidRPr="00F41E78">
        <w:rPr>
          <w:rFonts w:eastAsia="Calibri" w:cs="FrankRuehl" w:hint="cs"/>
          <w:sz w:val="18"/>
          <w:szCs w:val="22"/>
          <w:rtl/>
        </w:rPr>
        <w:t>". עוד ציין שמינהל הכנסות המדינה החל לפרסם מדד מקביל ו"מאז נסב</w:t>
      </w:r>
      <w:r w:rsidRPr="00F41E78">
        <w:rPr>
          <w:rFonts w:eastAsia="Calibri" w:cs="FrankRuehl"/>
          <w:sz w:val="18"/>
          <w:szCs w:val="22"/>
          <w:rtl/>
        </w:rPr>
        <w:t xml:space="preserve"> וויכוח, פנים ממשלתי וציבורי בנוגע לאמינות בסיס הנתונים ואופן מדידת מדד מחירי הנדל"ן. בממשלה ובבנק ישראל</w:t>
      </w:r>
      <w:r w:rsidRPr="00E719A9">
        <w:rPr>
          <w:rFonts w:ascii="Calibri" w:eastAsia="Calibri" w:hAnsi="Calibri"/>
          <w:sz w:val="28"/>
          <w:szCs w:val="28"/>
          <w:rtl/>
        </w:rPr>
        <w:t xml:space="preserve"> </w:t>
      </w:r>
      <w:r w:rsidRPr="00FA6646">
        <w:rPr>
          <w:rFonts w:eastAsia="Calibri" w:cs="FrankRuehl"/>
          <w:sz w:val="20"/>
          <w:szCs w:val="22"/>
          <w:rtl/>
        </w:rPr>
        <w:t>הדבר יוצר קושי בקביעת מדיניות לאור אי בהירות הנתונים ובציבור ישנו בלבול רב בקשר למגמות וחוסר אמינות במידע לצורך קבלת החלטות כלכליות</w:t>
      </w:r>
      <w:r w:rsidRPr="00FA6646">
        <w:rPr>
          <w:rFonts w:eastAsia="Calibri" w:cs="FrankRuehl" w:hint="cs"/>
          <w:sz w:val="20"/>
          <w:szCs w:val="22"/>
          <w:rtl/>
        </w:rPr>
        <w:t xml:space="preserve">". </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כל אחד מהגופים הממשלתיים האמורים מנתח את נתוני שוק הנדל"ן באופן אחר; אם באמצעות שיטה הנסמכת על קובץ הכרמ"ן תוך ניכוי והשמטה של נתונים "חריגים" ואם באמצעות שיטה שאינה נסמכת על נתוני הכרמ"ן.</w:t>
      </w:r>
    </w:p>
    <w:p w:rsidR="00E97EDA" w:rsidRPr="00F41E78" w:rsidP="00FF2CBA">
      <w:pPr>
        <w:tabs>
          <w:tab w:val="num" w:pos="516"/>
        </w:tabs>
        <w:spacing w:after="120" w:line="230" w:lineRule="exact"/>
        <w:ind w:left="340" w:hanging="340"/>
        <w:jc w:val="both"/>
        <w:rPr>
          <w:rFonts w:eastAsia="Calibri" w:cs="FrankRuehl"/>
          <w:sz w:val="18"/>
          <w:szCs w:val="22"/>
          <w:rtl/>
        </w:rPr>
      </w:pPr>
      <w:r w:rsidRPr="00F41E78">
        <w:rPr>
          <w:rFonts w:eastAsia="Calibri" w:cs="FrankRuehl" w:hint="cs"/>
          <w:sz w:val="18"/>
          <w:szCs w:val="22"/>
          <w:rtl/>
        </w:rPr>
        <w:t>1.</w:t>
      </w:r>
      <w:r w:rsidRPr="00F41E78">
        <w:rPr>
          <w:rFonts w:eastAsia="Calibri" w:cs="FrankRuehl" w:hint="cs"/>
          <w:sz w:val="18"/>
          <w:szCs w:val="22"/>
          <w:rtl/>
        </w:rPr>
        <w:tab/>
        <w:t>כאמור</w:t>
      </w:r>
      <w:r w:rsidRPr="00F41E78">
        <w:rPr>
          <w:rFonts w:eastAsia="Calibri" w:cs="FrankRuehl"/>
          <w:sz w:val="18"/>
          <w:szCs w:val="22"/>
          <w:rtl/>
        </w:rPr>
        <w:t xml:space="preserve">, </w:t>
      </w:r>
      <w:r w:rsidRPr="00F41E78">
        <w:rPr>
          <w:rFonts w:eastAsia="Calibri" w:cs="FrankRuehl" w:hint="cs"/>
          <w:sz w:val="18"/>
          <w:szCs w:val="22"/>
          <w:rtl/>
        </w:rPr>
        <w:t>הלמ</w:t>
      </w:r>
      <w:r w:rsidRPr="00F41E78">
        <w:rPr>
          <w:rFonts w:eastAsia="Calibri" w:cs="FrankRuehl"/>
          <w:sz w:val="18"/>
          <w:szCs w:val="22"/>
          <w:rtl/>
        </w:rPr>
        <w:t>"</w:t>
      </w:r>
      <w:r w:rsidRPr="00F41E78">
        <w:rPr>
          <w:rFonts w:eastAsia="Calibri" w:cs="FrankRuehl" w:hint="cs"/>
          <w:sz w:val="18"/>
          <w:szCs w:val="22"/>
          <w:rtl/>
        </w:rPr>
        <w:t>ס</w:t>
      </w:r>
      <w:r w:rsidRPr="00F41E78">
        <w:rPr>
          <w:rFonts w:eastAsia="Calibri" w:cs="FrankRuehl"/>
          <w:sz w:val="18"/>
          <w:szCs w:val="22"/>
          <w:rtl/>
        </w:rPr>
        <w:t xml:space="preserve"> </w:t>
      </w:r>
      <w:r w:rsidRPr="00F41E78">
        <w:rPr>
          <w:rFonts w:eastAsia="Calibri" w:cs="FrankRuehl" w:hint="cs"/>
          <w:sz w:val="18"/>
          <w:szCs w:val="22"/>
          <w:rtl/>
        </w:rPr>
        <w:t>מעבדת את נתוני</w:t>
      </w:r>
      <w:r w:rsidRPr="00F41E78">
        <w:rPr>
          <w:rFonts w:eastAsia="Calibri" w:cs="FrankRuehl"/>
          <w:sz w:val="18"/>
          <w:szCs w:val="22"/>
          <w:rtl/>
        </w:rPr>
        <w:t xml:space="preserve"> </w:t>
      </w:r>
      <w:r w:rsidRPr="00F41E78">
        <w:rPr>
          <w:rFonts w:eastAsia="Calibri" w:cs="FrankRuehl" w:hint="cs"/>
          <w:sz w:val="18"/>
          <w:szCs w:val="22"/>
          <w:rtl/>
        </w:rPr>
        <w:t>קובץ</w:t>
      </w:r>
      <w:r w:rsidRPr="00F41E78">
        <w:rPr>
          <w:rFonts w:eastAsia="Calibri" w:cs="FrankRuehl"/>
          <w:sz w:val="18"/>
          <w:szCs w:val="22"/>
          <w:rtl/>
        </w:rPr>
        <w:t xml:space="preserve"> </w:t>
      </w:r>
      <w:r w:rsidRPr="00F41E78">
        <w:rPr>
          <w:rFonts w:eastAsia="Calibri" w:cs="FrankRuehl" w:hint="cs"/>
          <w:sz w:val="18"/>
          <w:szCs w:val="22"/>
          <w:rtl/>
        </w:rPr>
        <w:t>הכרמ</w:t>
      </w:r>
      <w:r w:rsidRPr="00F41E78">
        <w:rPr>
          <w:rFonts w:eastAsia="Calibri" w:cs="FrankRuehl"/>
          <w:sz w:val="18"/>
          <w:szCs w:val="22"/>
          <w:rtl/>
        </w:rPr>
        <w:t>"</w:t>
      </w:r>
      <w:r w:rsidRPr="00F41E78">
        <w:rPr>
          <w:rFonts w:eastAsia="Calibri" w:cs="FrankRuehl" w:hint="cs"/>
          <w:sz w:val="18"/>
          <w:szCs w:val="22"/>
          <w:rtl/>
        </w:rPr>
        <w:t>ן</w:t>
      </w:r>
      <w:r w:rsidRPr="00F41E78">
        <w:rPr>
          <w:rFonts w:eastAsia="Calibri" w:cs="FrankRuehl"/>
          <w:sz w:val="18"/>
          <w:szCs w:val="22"/>
          <w:rtl/>
        </w:rPr>
        <w:t xml:space="preserve"> </w:t>
      </w:r>
      <w:r w:rsidRPr="00F41E78">
        <w:rPr>
          <w:rFonts w:eastAsia="Calibri" w:cs="FrankRuehl" w:hint="cs"/>
          <w:sz w:val="18"/>
          <w:szCs w:val="22"/>
          <w:rtl/>
        </w:rPr>
        <w:t>ומפרסמת,</w:t>
      </w:r>
      <w:r w:rsidRPr="00F41E78">
        <w:rPr>
          <w:rFonts w:eastAsia="Calibri" w:cs="FrankRuehl"/>
          <w:sz w:val="18"/>
          <w:szCs w:val="22"/>
          <w:rtl/>
        </w:rPr>
        <w:t xml:space="preserve"> </w:t>
      </w:r>
      <w:r w:rsidRPr="00F41E78">
        <w:rPr>
          <w:rFonts w:eastAsia="Calibri" w:cs="FrankRuehl" w:hint="cs"/>
          <w:sz w:val="18"/>
          <w:szCs w:val="22"/>
          <w:rtl/>
        </w:rPr>
        <w:t>נוסף למדד</w:t>
      </w:r>
      <w:r w:rsidRPr="00F41E78">
        <w:rPr>
          <w:rFonts w:eastAsia="Calibri" w:cs="FrankRuehl"/>
          <w:sz w:val="18"/>
          <w:szCs w:val="22"/>
          <w:rtl/>
        </w:rPr>
        <w:t xml:space="preserve"> </w:t>
      </w:r>
      <w:r w:rsidRPr="00F41E78">
        <w:rPr>
          <w:rFonts w:eastAsia="Calibri" w:cs="FrankRuehl" w:hint="cs"/>
          <w:sz w:val="18"/>
          <w:szCs w:val="22"/>
          <w:rtl/>
        </w:rPr>
        <w:t>מחירי</w:t>
      </w:r>
      <w:r w:rsidRPr="00F41E78">
        <w:rPr>
          <w:rFonts w:eastAsia="Calibri" w:cs="FrankRuehl"/>
          <w:sz w:val="18"/>
          <w:szCs w:val="22"/>
          <w:rtl/>
        </w:rPr>
        <w:t xml:space="preserve"> </w:t>
      </w:r>
      <w:r w:rsidRPr="00F41E78">
        <w:rPr>
          <w:rFonts w:eastAsia="Calibri" w:cs="FrankRuehl" w:hint="cs"/>
          <w:sz w:val="18"/>
          <w:szCs w:val="22"/>
          <w:rtl/>
        </w:rPr>
        <w:t>הדיור</w:t>
      </w:r>
      <w:r w:rsidRPr="00F41E78">
        <w:rPr>
          <w:rFonts w:eastAsia="Calibri" w:cs="FrankRuehl"/>
          <w:sz w:val="18"/>
          <w:szCs w:val="22"/>
          <w:rtl/>
        </w:rPr>
        <w:t xml:space="preserve"> </w:t>
      </w:r>
      <w:r w:rsidRPr="00F41E78">
        <w:rPr>
          <w:rFonts w:eastAsia="Calibri" w:cs="FrankRuehl" w:hint="cs"/>
          <w:sz w:val="18"/>
          <w:szCs w:val="22"/>
          <w:rtl/>
        </w:rPr>
        <w:t>בבעלות</w:t>
      </w:r>
      <w:r w:rsidRPr="00F41E78">
        <w:rPr>
          <w:rFonts w:eastAsia="Calibri" w:cs="FrankRuehl"/>
          <w:sz w:val="18"/>
          <w:szCs w:val="22"/>
          <w:rtl/>
        </w:rPr>
        <w:t xml:space="preserve">, </w:t>
      </w:r>
      <w:r w:rsidRPr="00F41E78">
        <w:rPr>
          <w:rFonts w:eastAsia="Calibri" w:cs="FrankRuehl" w:hint="cs"/>
          <w:sz w:val="18"/>
          <w:szCs w:val="22"/>
          <w:rtl/>
        </w:rPr>
        <w:t>גם</w:t>
      </w:r>
      <w:r w:rsidRPr="00F41E78">
        <w:rPr>
          <w:rFonts w:eastAsia="Calibri" w:cs="FrankRuehl"/>
          <w:sz w:val="18"/>
          <w:szCs w:val="22"/>
          <w:rtl/>
        </w:rPr>
        <w:t xml:space="preserve"> </w:t>
      </w:r>
      <w:r w:rsidRPr="00F41E78">
        <w:rPr>
          <w:rFonts w:eastAsia="Calibri" w:cs="FrankRuehl" w:hint="cs"/>
          <w:sz w:val="18"/>
          <w:szCs w:val="22"/>
          <w:rtl/>
        </w:rPr>
        <w:t>את המחיר</w:t>
      </w:r>
      <w:r w:rsidRPr="00F41E78">
        <w:rPr>
          <w:rFonts w:eastAsia="Calibri" w:cs="FrankRuehl"/>
          <w:sz w:val="18"/>
          <w:szCs w:val="22"/>
          <w:rtl/>
        </w:rPr>
        <w:t xml:space="preserve"> </w:t>
      </w:r>
      <w:r w:rsidRPr="00F41E78">
        <w:rPr>
          <w:rFonts w:eastAsia="Calibri" w:cs="FrankRuehl" w:hint="cs"/>
          <w:sz w:val="18"/>
          <w:szCs w:val="22"/>
          <w:rtl/>
        </w:rPr>
        <w:t>הממוצע</w:t>
      </w:r>
      <w:r w:rsidRPr="00F41E78">
        <w:rPr>
          <w:rFonts w:eastAsia="Calibri" w:cs="FrankRuehl"/>
          <w:sz w:val="18"/>
          <w:szCs w:val="22"/>
          <w:rtl/>
        </w:rPr>
        <w:t xml:space="preserve"> </w:t>
      </w:r>
      <w:r w:rsidRPr="00F41E78">
        <w:rPr>
          <w:rFonts w:eastAsia="Calibri" w:cs="FrankRuehl" w:hint="cs"/>
          <w:sz w:val="18"/>
          <w:szCs w:val="22"/>
          <w:rtl/>
        </w:rPr>
        <w:t>הרבעוני</w:t>
      </w:r>
      <w:r w:rsidRPr="00F41E78">
        <w:rPr>
          <w:rFonts w:eastAsia="Calibri" w:cs="FrankRuehl"/>
          <w:sz w:val="18"/>
          <w:szCs w:val="22"/>
          <w:rtl/>
        </w:rPr>
        <w:t xml:space="preserve"> </w:t>
      </w:r>
      <w:r w:rsidRPr="00F41E78">
        <w:rPr>
          <w:rFonts w:eastAsia="Calibri" w:cs="FrankRuehl" w:hint="cs"/>
          <w:sz w:val="18"/>
          <w:szCs w:val="22"/>
          <w:rtl/>
        </w:rPr>
        <w:t>של דירות</w:t>
      </w:r>
      <w:r w:rsidRPr="00F41E78">
        <w:rPr>
          <w:rFonts w:eastAsia="Calibri" w:cs="FrankRuehl"/>
          <w:sz w:val="18"/>
          <w:szCs w:val="22"/>
          <w:rtl/>
        </w:rPr>
        <w:t xml:space="preserve"> </w:t>
      </w:r>
      <w:r w:rsidRPr="00F41E78">
        <w:rPr>
          <w:rFonts w:eastAsia="Calibri" w:cs="FrankRuehl" w:hint="cs"/>
          <w:sz w:val="18"/>
          <w:szCs w:val="22"/>
          <w:rtl/>
        </w:rPr>
        <w:t>שנמכרו</w:t>
      </w:r>
      <w:r w:rsidRPr="00F41E78">
        <w:rPr>
          <w:rFonts w:eastAsia="Calibri" w:cs="FrankRuehl"/>
          <w:sz w:val="18"/>
          <w:szCs w:val="22"/>
          <w:rtl/>
        </w:rPr>
        <w:t xml:space="preserve"> </w:t>
      </w:r>
      <w:r w:rsidRPr="00F41E78">
        <w:rPr>
          <w:rFonts w:eastAsia="Calibri" w:cs="FrankRuehl" w:hint="cs"/>
          <w:sz w:val="18"/>
          <w:szCs w:val="22"/>
          <w:rtl/>
        </w:rPr>
        <w:t>באותו</w:t>
      </w:r>
      <w:r w:rsidRPr="00F41E78">
        <w:rPr>
          <w:rFonts w:eastAsia="Calibri" w:cs="FrankRuehl"/>
          <w:sz w:val="18"/>
          <w:szCs w:val="22"/>
          <w:rtl/>
        </w:rPr>
        <w:t xml:space="preserve"> </w:t>
      </w:r>
      <w:r w:rsidRPr="00F41E78">
        <w:rPr>
          <w:rFonts w:eastAsia="Calibri" w:cs="FrankRuehl" w:hint="cs"/>
          <w:sz w:val="18"/>
          <w:szCs w:val="22"/>
          <w:rtl/>
        </w:rPr>
        <w:t>רבעון</w:t>
      </w:r>
      <w:r w:rsidRPr="00F41E78">
        <w:rPr>
          <w:rFonts w:eastAsia="Calibri" w:cs="FrankRuehl"/>
          <w:sz w:val="18"/>
          <w:szCs w:val="22"/>
          <w:rtl/>
        </w:rPr>
        <w:t xml:space="preserve"> </w:t>
      </w:r>
      <w:r w:rsidRPr="00F41E78">
        <w:rPr>
          <w:rFonts w:eastAsia="Calibri" w:cs="FrankRuehl" w:hint="cs"/>
          <w:sz w:val="18"/>
          <w:szCs w:val="22"/>
          <w:rtl/>
        </w:rPr>
        <w:t>לפי</w:t>
      </w:r>
      <w:r w:rsidRPr="00F41E78">
        <w:rPr>
          <w:rFonts w:eastAsia="Calibri" w:cs="FrankRuehl"/>
          <w:sz w:val="18"/>
          <w:szCs w:val="22"/>
          <w:rtl/>
        </w:rPr>
        <w:t xml:space="preserve"> </w:t>
      </w:r>
      <w:r w:rsidRPr="00F41E78">
        <w:rPr>
          <w:rFonts w:eastAsia="Calibri" w:cs="FrankRuehl" w:hint="cs"/>
          <w:sz w:val="18"/>
          <w:szCs w:val="22"/>
          <w:rtl/>
        </w:rPr>
        <w:t>אזור</w:t>
      </w:r>
      <w:r w:rsidRPr="00F41E78">
        <w:rPr>
          <w:rFonts w:eastAsia="Calibri" w:cs="FrankRuehl"/>
          <w:sz w:val="18"/>
          <w:szCs w:val="22"/>
          <w:rtl/>
        </w:rPr>
        <w:t xml:space="preserve"> </w:t>
      </w:r>
      <w:r w:rsidRPr="00F41E78">
        <w:rPr>
          <w:rFonts w:eastAsia="Calibri" w:cs="FrankRuehl" w:hint="cs"/>
          <w:sz w:val="18"/>
          <w:szCs w:val="22"/>
          <w:rtl/>
        </w:rPr>
        <w:t>הדירה</w:t>
      </w:r>
      <w:r w:rsidRPr="00F41E78">
        <w:rPr>
          <w:rFonts w:eastAsia="Calibri" w:cs="FrankRuehl"/>
          <w:sz w:val="18"/>
          <w:szCs w:val="22"/>
          <w:rtl/>
        </w:rPr>
        <w:t xml:space="preserve"> </w:t>
      </w:r>
      <w:r w:rsidRPr="00F41E78">
        <w:rPr>
          <w:rFonts w:eastAsia="Calibri" w:cs="FrankRuehl" w:hint="cs"/>
          <w:sz w:val="18"/>
          <w:szCs w:val="22"/>
          <w:rtl/>
        </w:rPr>
        <w:t>וגודלה</w:t>
      </w:r>
      <w:r w:rsidRPr="00F41E78">
        <w:rPr>
          <w:rFonts w:eastAsia="Calibri" w:cs="FrankRuehl"/>
          <w:sz w:val="18"/>
          <w:szCs w:val="22"/>
          <w:rtl/>
        </w:rPr>
        <w:t xml:space="preserve"> (</w:t>
      </w:r>
      <w:r w:rsidRPr="00F41E78">
        <w:rPr>
          <w:rFonts w:eastAsia="Calibri" w:cs="FrankRuehl" w:hint="cs"/>
          <w:sz w:val="18"/>
          <w:szCs w:val="22"/>
          <w:rtl/>
        </w:rPr>
        <w:t>מספר</w:t>
      </w:r>
      <w:r w:rsidRPr="00F41E78">
        <w:rPr>
          <w:rFonts w:eastAsia="Calibri" w:cs="FrankRuehl"/>
          <w:sz w:val="18"/>
          <w:szCs w:val="22"/>
          <w:rtl/>
        </w:rPr>
        <w:t xml:space="preserve"> </w:t>
      </w:r>
      <w:r w:rsidRPr="00F41E78">
        <w:rPr>
          <w:rFonts w:eastAsia="Calibri" w:cs="FrankRuehl" w:hint="cs"/>
          <w:sz w:val="18"/>
          <w:szCs w:val="22"/>
          <w:rtl/>
        </w:rPr>
        <w:t>חדריה</w:t>
      </w:r>
      <w:r w:rsidRPr="00F41E78">
        <w:rPr>
          <w:rFonts w:eastAsia="Calibri" w:cs="FrankRuehl"/>
          <w:sz w:val="18"/>
          <w:szCs w:val="22"/>
          <w:rtl/>
        </w:rPr>
        <w:t xml:space="preserve">) </w:t>
      </w:r>
      <w:r w:rsidRPr="00F41E78">
        <w:rPr>
          <w:rFonts w:eastAsia="Calibri" w:cs="FrankRuehl" w:hint="cs"/>
          <w:sz w:val="18"/>
          <w:szCs w:val="22"/>
          <w:rtl/>
        </w:rPr>
        <w:t>וכן</w:t>
      </w:r>
      <w:r w:rsidRPr="00F41E78">
        <w:rPr>
          <w:rFonts w:eastAsia="Calibri" w:cs="FrankRuehl"/>
          <w:sz w:val="18"/>
          <w:szCs w:val="22"/>
          <w:rtl/>
        </w:rPr>
        <w:t xml:space="preserve"> </w:t>
      </w:r>
      <w:r w:rsidRPr="00F41E78">
        <w:rPr>
          <w:rFonts w:eastAsia="Calibri" w:cs="FrankRuehl" w:hint="cs"/>
          <w:sz w:val="18"/>
          <w:szCs w:val="22"/>
          <w:rtl/>
        </w:rPr>
        <w:t>מחיר</w:t>
      </w:r>
      <w:r w:rsidRPr="00F41E78">
        <w:rPr>
          <w:rFonts w:eastAsia="Calibri" w:cs="FrankRuehl"/>
          <w:sz w:val="18"/>
          <w:szCs w:val="22"/>
          <w:rtl/>
        </w:rPr>
        <w:t xml:space="preserve"> </w:t>
      </w:r>
      <w:r w:rsidRPr="00F41E78">
        <w:rPr>
          <w:rFonts w:eastAsia="Calibri" w:cs="FrankRuehl" w:hint="cs"/>
          <w:sz w:val="18"/>
          <w:szCs w:val="22"/>
          <w:rtl/>
        </w:rPr>
        <w:t>ממוצע</w:t>
      </w:r>
      <w:r w:rsidRPr="00F41E78">
        <w:rPr>
          <w:rFonts w:eastAsia="Calibri" w:cs="FrankRuehl"/>
          <w:sz w:val="18"/>
          <w:szCs w:val="22"/>
          <w:rtl/>
        </w:rPr>
        <w:t xml:space="preserve"> </w:t>
      </w:r>
      <w:r w:rsidRPr="00F41E78">
        <w:rPr>
          <w:rFonts w:eastAsia="Calibri" w:cs="FrankRuehl" w:hint="cs"/>
          <w:sz w:val="18"/>
          <w:szCs w:val="22"/>
          <w:rtl/>
        </w:rPr>
        <w:t>שנתי</w:t>
      </w:r>
      <w:r w:rsidRPr="00F41E78">
        <w:rPr>
          <w:rFonts w:eastAsia="Calibri" w:cs="FrankRuehl"/>
          <w:sz w:val="18"/>
          <w:szCs w:val="22"/>
          <w:rtl/>
        </w:rPr>
        <w:t xml:space="preserve"> </w:t>
      </w:r>
      <w:r w:rsidRPr="00F41E78">
        <w:rPr>
          <w:rFonts w:eastAsia="Calibri" w:cs="FrankRuehl" w:hint="cs"/>
          <w:sz w:val="18"/>
          <w:szCs w:val="22"/>
          <w:rtl/>
        </w:rPr>
        <w:t>של</w:t>
      </w:r>
      <w:r w:rsidRPr="00F41E78">
        <w:rPr>
          <w:rFonts w:eastAsia="Calibri" w:cs="FrankRuehl"/>
          <w:sz w:val="18"/>
          <w:szCs w:val="22"/>
          <w:rtl/>
        </w:rPr>
        <w:t xml:space="preserve"> </w:t>
      </w:r>
      <w:r w:rsidRPr="00F41E78">
        <w:rPr>
          <w:rFonts w:eastAsia="Calibri" w:cs="FrankRuehl" w:hint="cs"/>
          <w:sz w:val="18"/>
          <w:szCs w:val="22"/>
          <w:rtl/>
        </w:rPr>
        <w:t>דירות</w:t>
      </w:r>
      <w:r w:rsidRPr="00F41E78">
        <w:rPr>
          <w:rFonts w:eastAsia="Calibri" w:cs="FrankRuehl"/>
          <w:sz w:val="18"/>
          <w:szCs w:val="22"/>
          <w:rtl/>
        </w:rPr>
        <w:t xml:space="preserve"> </w:t>
      </w:r>
      <w:r w:rsidRPr="00F41E78">
        <w:rPr>
          <w:rFonts w:eastAsia="Calibri" w:cs="FrankRuehl" w:hint="cs"/>
          <w:sz w:val="18"/>
          <w:szCs w:val="22"/>
          <w:rtl/>
        </w:rPr>
        <w:t>שנמכרו</w:t>
      </w:r>
      <w:r w:rsidRPr="00F41E78">
        <w:rPr>
          <w:rFonts w:eastAsia="Calibri" w:cs="FrankRuehl"/>
          <w:sz w:val="18"/>
          <w:szCs w:val="22"/>
          <w:rtl/>
        </w:rPr>
        <w:t xml:space="preserve"> </w:t>
      </w:r>
      <w:r w:rsidRPr="00F41E78">
        <w:rPr>
          <w:rFonts w:eastAsia="Calibri" w:cs="FrankRuehl" w:hint="cs"/>
          <w:sz w:val="18"/>
          <w:szCs w:val="22"/>
          <w:rtl/>
        </w:rPr>
        <w:t>באותה</w:t>
      </w:r>
      <w:r w:rsidRPr="00F41E78">
        <w:rPr>
          <w:rFonts w:eastAsia="Calibri" w:cs="FrankRuehl"/>
          <w:sz w:val="18"/>
          <w:szCs w:val="22"/>
          <w:rtl/>
        </w:rPr>
        <w:t xml:space="preserve"> </w:t>
      </w:r>
      <w:r w:rsidRPr="00F41E78">
        <w:rPr>
          <w:rFonts w:eastAsia="Calibri" w:cs="FrankRuehl" w:hint="cs"/>
          <w:sz w:val="18"/>
          <w:szCs w:val="22"/>
          <w:rtl/>
        </w:rPr>
        <w:t>שנה</w:t>
      </w:r>
      <w:r w:rsidRPr="00F41E78">
        <w:rPr>
          <w:rFonts w:eastAsia="Calibri" w:cs="FrankRuehl"/>
          <w:sz w:val="18"/>
          <w:szCs w:val="22"/>
          <w:rtl/>
        </w:rPr>
        <w:t>.</w:t>
      </w:r>
    </w:p>
    <w:p w:rsidR="00E97EDA" w:rsidRPr="00F41E78" w:rsidP="00FF2CBA">
      <w:pPr>
        <w:tabs>
          <w:tab w:val="num" w:pos="516"/>
        </w:tabs>
        <w:spacing w:after="120" w:line="230" w:lineRule="exact"/>
        <w:ind w:left="340" w:hanging="340"/>
        <w:jc w:val="both"/>
        <w:rPr>
          <w:rFonts w:eastAsia="Calibri" w:cs="FrankRuehl"/>
          <w:sz w:val="18"/>
          <w:szCs w:val="22"/>
          <w:rtl/>
        </w:rPr>
      </w:pPr>
      <w:r w:rsidRPr="00F41E78">
        <w:rPr>
          <w:rFonts w:eastAsia="Calibri" w:cs="FrankRuehl" w:hint="cs"/>
          <w:sz w:val="18"/>
          <w:szCs w:val="22"/>
          <w:rtl/>
        </w:rPr>
        <w:t>2.</w:t>
      </w:r>
      <w:r w:rsidRPr="00F41E78">
        <w:rPr>
          <w:rFonts w:eastAsia="Calibri" w:cs="FrankRuehl" w:hint="cs"/>
          <w:sz w:val="18"/>
          <w:szCs w:val="22"/>
          <w:rtl/>
        </w:rPr>
        <w:tab/>
        <w:t>משרד הבינוי מעבד את נתוני קובץ הכרמ"ן, משמיט מהם נתונים על עסקאות "חריגות" מבחינת מחיר ושטח או על עסקאות שהמידע בנוגע אליהן אינו מלא ומפרסם את השינויים במחיר הממוצע של דירה ובמחיר ממוצע של דירות חדשות ושל דירות יד שנייה. נוסף לכך, הוא מפרסם בטבלה נפרדת את השינויים במחיר הממוצע של דירה בחלוקה לפי מספר החדרים. מחיר הדירה הממוצע הרבעוני שמשרד הבינוי מחשב אחר מהמחיר הממוצע הרבעוני שהלמ"ס מפרסמת, וההבדל מקורו בין השאר בכך שחלוקת האזורים אחרת והשיטה להשמטת עסקאות "חריגות" גם היא אחרת.</w:t>
      </w:r>
    </w:p>
    <w:p w:rsidR="00E97EDA" w:rsidRPr="00F41E78" w:rsidP="00FF2CBA">
      <w:pPr>
        <w:tabs>
          <w:tab w:val="num" w:pos="516"/>
        </w:tabs>
        <w:spacing w:after="120" w:line="230" w:lineRule="exact"/>
        <w:ind w:left="340" w:hanging="340"/>
        <w:jc w:val="both"/>
        <w:rPr>
          <w:rFonts w:eastAsia="Calibri" w:cs="FrankRuehl"/>
          <w:sz w:val="18"/>
          <w:szCs w:val="22"/>
          <w:rtl/>
        </w:rPr>
      </w:pPr>
      <w:r w:rsidRPr="00F41E78">
        <w:rPr>
          <w:rFonts w:eastAsia="Calibri" w:cs="FrankRuehl" w:hint="cs"/>
          <w:sz w:val="18"/>
          <w:szCs w:val="22"/>
          <w:rtl/>
        </w:rPr>
        <w:t>3.</w:t>
      </w:r>
      <w:r w:rsidRPr="00F41E78">
        <w:rPr>
          <w:rFonts w:eastAsia="Calibri" w:cs="FrankRuehl" w:hint="cs"/>
          <w:sz w:val="18"/>
          <w:szCs w:val="22"/>
          <w:rtl/>
        </w:rPr>
        <w:tab/>
        <w:t>השמאי הממשלתי נסמך על "נתוני קובץ הכרמ"ן לאחר ניפוי של עסקאות חריגות ככל שניתן לזהותן, כגון נכסים בקומת הקרקע, או שכוללים הצמדות ותוספות מיוחדות"</w:t>
      </w:r>
      <w:r>
        <w:rPr>
          <w:rFonts w:eastAsia="Calibri" w:cs="FrankRuehl"/>
          <w:sz w:val="18"/>
          <w:szCs w:val="22"/>
          <w:vertAlign w:val="superscript"/>
          <w:rtl/>
        </w:rPr>
        <w:footnoteReference w:id="71"/>
      </w:r>
      <w:r w:rsidRPr="00F41E78">
        <w:rPr>
          <w:rFonts w:eastAsia="Calibri" w:cs="FrankRuehl" w:hint="cs"/>
          <w:sz w:val="18"/>
          <w:szCs w:val="22"/>
          <w:rtl/>
        </w:rPr>
        <w:t xml:space="preserve">. מדד השמאי </w:t>
      </w:r>
      <w:r w:rsidRPr="00F41E78">
        <w:rPr>
          <w:rFonts w:eastAsia="Calibri" w:cs="FrankRuehl" w:hint="cs"/>
          <w:sz w:val="18"/>
          <w:szCs w:val="22"/>
          <w:rtl/>
        </w:rPr>
        <w:t>מסתמך רק על דירות של ארבעה חדרים מכיוון שלדעתו דירות אלו בבנייה רוויה הן המוצר השכיח ביותר בשוק הדירות העירוני הכללי המתאפיין בשונות נמוכה יחסית, וסקירת מאות עסקאות בכל עיר מאפשרת זיהוי מספק של השינוי במחיר</w:t>
      </w:r>
      <w:r>
        <w:rPr>
          <w:rFonts w:eastAsia="Calibri" w:cs="FrankRuehl"/>
          <w:sz w:val="18"/>
          <w:szCs w:val="22"/>
          <w:vertAlign w:val="superscript"/>
          <w:rtl/>
        </w:rPr>
        <w:footnoteReference w:id="72"/>
      </w:r>
      <w:r w:rsidRPr="00F41E78">
        <w:rPr>
          <w:rFonts w:eastAsia="Calibri" w:cs="FrankRuehl" w:hint="cs"/>
          <w:sz w:val="18"/>
          <w:szCs w:val="22"/>
          <w:rtl/>
        </w:rPr>
        <w:t xml:space="preserve">. </w:t>
      </w:r>
    </w:p>
    <w:p w:rsidR="00E97EDA" w:rsidRPr="00F41E78" w:rsidP="00FF2CBA">
      <w:pPr>
        <w:spacing w:after="120" w:line="230" w:lineRule="exact"/>
        <w:ind w:left="340" w:hanging="340"/>
        <w:jc w:val="both"/>
        <w:rPr>
          <w:rFonts w:eastAsia="Calibri" w:cs="FrankRuehl"/>
          <w:sz w:val="18"/>
          <w:szCs w:val="22"/>
          <w:rtl/>
        </w:rPr>
      </w:pPr>
      <w:r w:rsidRPr="00F41E78">
        <w:rPr>
          <w:rFonts w:eastAsia="Calibri" w:cs="FrankRuehl" w:hint="cs"/>
          <w:sz w:val="18"/>
          <w:szCs w:val="22"/>
          <w:rtl/>
        </w:rPr>
        <w:t>4.</w:t>
      </w:r>
      <w:r w:rsidRPr="00F41E78">
        <w:rPr>
          <w:rFonts w:eastAsia="Calibri" w:cs="FrankRuehl" w:hint="cs"/>
          <w:sz w:val="18"/>
          <w:szCs w:val="22"/>
          <w:rtl/>
        </w:rPr>
        <w:tab/>
        <w:t>מינהל הכנסות המדינה מפרסם את השינוי במחירי הדירות החדשות בלבד בהסתמך רק על נתוני קובץ העסקאות. בנוגע לדירות שנמכרו בפרויקט מסוים, שיעור השינוי החודשי מחושב לפי שקלול של מכירות בכל שלב בפרויקט. בהמשך משוקללות כל מכירות הקבלנים והאזורים השונים לקבלת שינוי המחיר הארצי</w:t>
      </w:r>
      <w:r>
        <w:rPr>
          <w:rFonts w:eastAsia="Calibri" w:cs="FrankRuehl"/>
          <w:sz w:val="18"/>
          <w:szCs w:val="22"/>
          <w:vertAlign w:val="superscript"/>
          <w:rtl/>
        </w:rPr>
        <w:footnoteReference w:id="73"/>
      </w:r>
      <w:r w:rsidRPr="00F41E78">
        <w:rPr>
          <w:rFonts w:eastAsia="Calibri" w:cs="FrankRuehl" w:hint="cs"/>
          <w:sz w:val="18"/>
          <w:szCs w:val="22"/>
          <w:rtl/>
        </w:rPr>
        <w:t xml:space="preserve">. ההנחה שעליה מתבסס חישוב זה היא כי תמהיל הדירות הנמכר בפרויקט נתון אינו משתנה באופן ניכר מחודש לחודש, ולפיכך השינוי במחירי העסקאות מלמד על שינוי במחירי הדירות במשק. בפגישה של נציגי משרד מבקר המדינה ביוני 2013 עם הכלכלן הראשי במשרד האוצר נמסר למשרד מבקר המדינה שהשימוש בשיטה המתוארת הופסק לנוכח חסרונותיה והשינוי במחירי הדירות יימדד לאחר שתפותח מתודה חדשה מתאימה יותר. </w:t>
      </w:r>
    </w:p>
    <w:p w:rsidR="00E97EDA" w:rsidRPr="00F41E78" w:rsidP="00FF2CBA">
      <w:pPr>
        <w:spacing w:after="240" w:line="230" w:lineRule="exact"/>
        <w:ind w:left="340" w:hanging="340"/>
        <w:jc w:val="both"/>
        <w:rPr>
          <w:rFonts w:eastAsia="Calibri" w:cs="FrankRuehl"/>
          <w:sz w:val="18"/>
          <w:szCs w:val="22"/>
        </w:rPr>
      </w:pPr>
      <w:r w:rsidRPr="00F41E78">
        <w:rPr>
          <w:rFonts w:eastAsia="Calibri" w:cs="FrankRuehl" w:hint="cs"/>
          <w:sz w:val="18"/>
          <w:szCs w:val="22"/>
          <w:rtl/>
        </w:rPr>
        <w:t>5.</w:t>
      </w:r>
      <w:r w:rsidRPr="00F41E78">
        <w:rPr>
          <w:rFonts w:eastAsia="Calibri" w:cs="FrankRuehl" w:hint="cs"/>
          <w:sz w:val="18"/>
          <w:szCs w:val="22"/>
          <w:rtl/>
        </w:rPr>
        <w:tab/>
        <w:t>בנק ישראל מקים מסד נתונים משל עצמו המבוסס על כמה קבצים המתקבלים ממשרדי ממשלה שונים. נוסף על כך רכש הבנק נתונים שמקורם במודעות למכירה ולהשכרה של דירות. הבנק אומד את השינויים במחירי הדירות בהתחשב במאפייני הדירות (מדד הדוני) מתוך הסתמכות בין היתר על קובץ הכרמ"ן. כמו כן, הוא אומד את השינויים במחירי הדירות באמצעות בחינת עסקאות חוזרות לרכישת אותן דירות. בהסתמך על הצלבה בין קובץ הכרמ"ן לנתוני המודעות למכירה של דירות מתכנן הבנק ליצור מדדי "לחץ" לשוק הדיור, כמו מדידת פרק הזמן העובר ממועד הפרסום למכירה עד מועד המכירה וההפרש בין המחיר המבוקש במודעה ובין מחיר העסקה.</w:t>
      </w:r>
    </w:p>
    <w:p w:rsidR="00D22B16" w:rsidRPr="00F41E78" w:rsidP="00D22B16">
      <w:pPr>
        <w:pStyle w:val="RESHET"/>
        <w:keepLines/>
        <w:rPr>
          <w:rFonts w:eastAsia="Calibri"/>
          <w:rtl/>
        </w:rPr>
      </w:pPr>
      <w:r w:rsidRPr="00F41E78">
        <w:rPr>
          <w:rFonts w:eastAsia="Calibri" w:hint="cs"/>
          <w:rtl/>
        </w:rPr>
        <w:t>מהאמור לעיל עולה כי</w:t>
      </w:r>
      <w:r w:rsidRPr="00F41E78">
        <w:rPr>
          <w:rFonts w:eastAsia="Calibri"/>
          <w:rtl/>
        </w:rPr>
        <w:t xml:space="preserve"> </w:t>
      </w:r>
      <w:r w:rsidRPr="00F41E78">
        <w:rPr>
          <w:rFonts w:eastAsia="Calibri" w:hint="cs"/>
          <w:rtl/>
        </w:rPr>
        <w:t>משרד הבינוי</w:t>
      </w:r>
      <w:r w:rsidRPr="00F41E78">
        <w:rPr>
          <w:rFonts w:eastAsia="Calibri"/>
          <w:rtl/>
        </w:rPr>
        <w:t xml:space="preserve"> </w:t>
      </w:r>
      <w:r w:rsidRPr="00F41E78">
        <w:rPr>
          <w:rFonts w:eastAsia="Calibri" w:hint="cs"/>
          <w:rtl/>
        </w:rPr>
        <w:t>והשמאי</w:t>
      </w:r>
      <w:r w:rsidRPr="00F41E78">
        <w:rPr>
          <w:rFonts w:eastAsia="Calibri"/>
          <w:rtl/>
        </w:rPr>
        <w:t xml:space="preserve"> </w:t>
      </w:r>
      <w:r w:rsidRPr="00F41E78">
        <w:rPr>
          <w:rFonts w:eastAsia="Calibri" w:hint="cs"/>
          <w:rtl/>
        </w:rPr>
        <w:t>הממשלתי</w:t>
      </w:r>
      <w:r w:rsidRPr="00F41E78">
        <w:rPr>
          <w:rFonts w:eastAsia="Calibri"/>
          <w:rtl/>
        </w:rPr>
        <w:t xml:space="preserve"> </w:t>
      </w:r>
      <w:r w:rsidRPr="00F41E78">
        <w:rPr>
          <w:rFonts w:eastAsia="Calibri" w:hint="cs"/>
          <w:rtl/>
        </w:rPr>
        <w:t>אינם</w:t>
      </w:r>
      <w:r w:rsidRPr="00F41E78">
        <w:rPr>
          <w:rFonts w:eastAsia="Calibri"/>
          <w:rtl/>
        </w:rPr>
        <w:t xml:space="preserve"> </w:t>
      </w:r>
      <w:r w:rsidRPr="00F41E78">
        <w:rPr>
          <w:rFonts w:eastAsia="Calibri" w:hint="cs"/>
          <w:rtl/>
        </w:rPr>
        <w:t>מפרסמים</w:t>
      </w:r>
      <w:r w:rsidRPr="00F41E78">
        <w:rPr>
          <w:rFonts w:eastAsia="Calibri"/>
          <w:rtl/>
        </w:rPr>
        <w:t xml:space="preserve"> </w:t>
      </w:r>
      <w:r w:rsidRPr="00F41E78">
        <w:rPr>
          <w:rFonts w:eastAsia="Calibri" w:hint="cs"/>
          <w:rtl/>
        </w:rPr>
        <w:t>לציבור</w:t>
      </w:r>
      <w:r w:rsidRPr="00F41E78">
        <w:rPr>
          <w:rFonts w:eastAsia="Calibri"/>
          <w:rtl/>
        </w:rPr>
        <w:t xml:space="preserve"> </w:t>
      </w:r>
      <w:r w:rsidRPr="00F41E78">
        <w:rPr>
          <w:rFonts w:eastAsia="Calibri" w:hint="cs"/>
          <w:rtl/>
        </w:rPr>
        <w:t>את</w:t>
      </w:r>
      <w:r w:rsidRPr="00F41E78">
        <w:rPr>
          <w:rFonts w:eastAsia="Calibri"/>
          <w:rtl/>
        </w:rPr>
        <w:t xml:space="preserve"> </w:t>
      </w:r>
      <w:r w:rsidRPr="00F41E78">
        <w:rPr>
          <w:rFonts w:eastAsia="Calibri" w:hint="cs"/>
          <w:rtl/>
        </w:rPr>
        <w:t>אמות</w:t>
      </w:r>
      <w:r w:rsidRPr="00F41E78">
        <w:rPr>
          <w:rFonts w:eastAsia="Calibri"/>
          <w:rtl/>
        </w:rPr>
        <w:t xml:space="preserve"> </w:t>
      </w:r>
      <w:r w:rsidRPr="00F41E78">
        <w:rPr>
          <w:rFonts w:eastAsia="Calibri" w:hint="cs"/>
          <w:rtl/>
        </w:rPr>
        <w:t>המידה</w:t>
      </w:r>
      <w:r w:rsidRPr="00F41E78">
        <w:rPr>
          <w:rFonts w:eastAsia="Calibri"/>
          <w:rtl/>
        </w:rPr>
        <w:t xml:space="preserve"> </w:t>
      </w:r>
      <w:r w:rsidRPr="00F41E78">
        <w:rPr>
          <w:rFonts w:eastAsia="Calibri" w:hint="cs"/>
          <w:rtl/>
        </w:rPr>
        <w:t>המפורטות</w:t>
      </w:r>
      <w:r w:rsidRPr="00F41E78">
        <w:rPr>
          <w:rFonts w:eastAsia="Calibri"/>
          <w:rtl/>
        </w:rPr>
        <w:t xml:space="preserve"> </w:t>
      </w:r>
      <w:r w:rsidRPr="00F41E78">
        <w:rPr>
          <w:rFonts w:eastAsia="Calibri" w:hint="cs"/>
          <w:rtl/>
        </w:rPr>
        <w:t>לצורך</w:t>
      </w:r>
      <w:r w:rsidRPr="00F41E78">
        <w:rPr>
          <w:rFonts w:eastAsia="Calibri"/>
          <w:rtl/>
        </w:rPr>
        <w:t xml:space="preserve"> </w:t>
      </w:r>
      <w:r w:rsidRPr="00F41E78">
        <w:rPr>
          <w:rFonts w:eastAsia="Calibri" w:hint="cs"/>
          <w:rtl/>
        </w:rPr>
        <w:t>ניכוי</w:t>
      </w:r>
      <w:r w:rsidRPr="00F41E78">
        <w:rPr>
          <w:rFonts w:eastAsia="Calibri"/>
          <w:rtl/>
        </w:rPr>
        <w:t xml:space="preserve"> </w:t>
      </w:r>
      <w:r w:rsidRPr="00F41E78">
        <w:rPr>
          <w:rFonts w:eastAsia="Calibri" w:hint="cs"/>
          <w:rtl/>
        </w:rPr>
        <w:t>העסקאות</w:t>
      </w:r>
      <w:r w:rsidRPr="00F41E78">
        <w:rPr>
          <w:rFonts w:eastAsia="Calibri"/>
          <w:rtl/>
        </w:rPr>
        <w:t xml:space="preserve"> </w:t>
      </w:r>
      <w:r w:rsidRPr="00F41E78">
        <w:rPr>
          <w:rFonts w:eastAsia="Calibri" w:hint="cs"/>
          <w:rtl/>
        </w:rPr>
        <w:t>החריגות</w:t>
      </w:r>
      <w:r w:rsidRPr="00F41E78">
        <w:rPr>
          <w:rFonts w:eastAsia="Calibri"/>
          <w:rtl/>
        </w:rPr>
        <w:t xml:space="preserve">, </w:t>
      </w:r>
      <w:r w:rsidRPr="00F41E78">
        <w:rPr>
          <w:rFonts w:eastAsia="Calibri" w:hint="cs"/>
          <w:rtl/>
        </w:rPr>
        <w:t>באופן</w:t>
      </w:r>
      <w:r w:rsidRPr="00F41E78">
        <w:rPr>
          <w:rFonts w:eastAsia="Calibri"/>
          <w:rtl/>
        </w:rPr>
        <w:t xml:space="preserve"> </w:t>
      </w:r>
      <w:r w:rsidRPr="00F41E78">
        <w:rPr>
          <w:rFonts w:eastAsia="Calibri" w:hint="cs"/>
          <w:rtl/>
        </w:rPr>
        <w:t>שלא</w:t>
      </w:r>
      <w:r w:rsidRPr="00F41E78">
        <w:rPr>
          <w:rFonts w:eastAsia="Calibri"/>
          <w:rtl/>
        </w:rPr>
        <w:t xml:space="preserve"> </w:t>
      </w:r>
      <w:r w:rsidRPr="00F41E78">
        <w:rPr>
          <w:rFonts w:eastAsia="Calibri" w:hint="cs"/>
          <w:rtl/>
        </w:rPr>
        <w:t>ייכללו</w:t>
      </w:r>
      <w:r w:rsidRPr="00F41E78">
        <w:rPr>
          <w:rFonts w:eastAsia="Calibri"/>
          <w:rtl/>
        </w:rPr>
        <w:t xml:space="preserve"> </w:t>
      </w:r>
      <w:r w:rsidRPr="00F41E78">
        <w:rPr>
          <w:rFonts w:eastAsia="Calibri" w:hint="cs"/>
          <w:rtl/>
        </w:rPr>
        <w:t>בנתונים</w:t>
      </w:r>
      <w:r w:rsidRPr="00F41E78">
        <w:rPr>
          <w:rFonts w:eastAsia="Calibri"/>
          <w:rtl/>
        </w:rPr>
        <w:t xml:space="preserve"> </w:t>
      </w:r>
      <w:r w:rsidRPr="00F41E78">
        <w:rPr>
          <w:rFonts w:eastAsia="Calibri" w:hint="cs"/>
          <w:rtl/>
        </w:rPr>
        <w:t>המשמשים לחישובים. עוד נמצא כי השמאי הממשלתי בוחר את אותן עסקאות חריגות לא על סמך אמות מידה קבועות אלא מסתמך על ניסיונו המקצועי באיתור עסקאות כאלו. כמו כן, מינהל הכנסות המדינה אינו מפרסם לציבור טבלאות של נתונים עתיים עוקבים על מחירי הדירות, ולכן לא ניתן להשוות בין השינויים שחלו בנתונים אלו במרוצת הזמן.</w:t>
      </w:r>
    </w:p>
    <w:p w:rsidR="00D22B16" w:rsidRPr="00F41E78" w:rsidP="00D22B16">
      <w:pPr>
        <w:pStyle w:val="RESHET"/>
        <w:keepLines/>
        <w:rPr>
          <w:rFonts w:eastAsia="Calibri"/>
          <w:rtl/>
        </w:rPr>
      </w:pPr>
      <w:r w:rsidRPr="00F41E78">
        <w:rPr>
          <w:rFonts w:eastAsia="Calibri" w:hint="cs"/>
          <w:rtl/>
        </w:rPr>
        <w:t xml:space="preserve">משרד מבקר המדינה מעיר כי </w:t>
      </w:r>
      <w:r w:rsidRPr="00F41E78">
        <w:rPr>
          <w:rFonts w:hint="cs"/>
          <w:rtl/>
        </w:rPr>
        <w:t>ריבוי נתונים, שלעתים אף סותרים זה את זה, והיעדר ההסברים בעניינם מביאים לידי אי-בהירות המקשה על הממשלה ועל גופים אחרים לקבל החלטות בנושא.</w:t>
      </w:r>
    </w:p>
    <w:p w:rsidR="00D22B16" w:rsidRPr="00F41E78" w:rsidP="00D22B16">
      <w:pPr>
        <w:pStyle w:val="RESHET"/>
        <w:keepLines/>
        <w:rPr>
          <w:rFonts w:eastAsia="Calibri"/>
          <w:rtl/>
        </w:rPr>
      </w:pPr>
      <w:r w:rsidRPr="00F41E78">
        <w:rPr>
          <w:rFonts w:eastAsia="Calibri" w:hint="cs"/>
          <w:rtl/>
        </w:rPr>
        <w:t>לדעת משרד מבקר המדינה, על הלמ"ס ומשרד הבינוי לשקול לתאם</w:t>
      </w:r>
      <w:r w:rsidRPr="00F41E78">
        <w:rPr>
          <w:rFonts w:eastAsia="Calibri"/>
          <w:rtl/>
        </w:rPr>
        <w:t xml:space="preserve"> </w:t>
      </w:r>
      <w:r w:rsidRPr="00F41E78">
        <w:rPr>
          <w:rFonts w:eastAsia="Calibri" w:hint="cs"/>
          <w:rtl/>
        </w:rPr>
        <w:t>ביניהם</w:t>
      </w:r>
      <w:r w:rsidRPr="00F41E78">
        <w:rPr>
          <w:rFonts w:eastAsia="Calibri"/>
          <w:rtl/>
        </w:rPr>
        <w:t xml:space="preserve"> </w:t>
      </w:r>
      <w:r w:rsidRPr="00F41E78">
        <w:rPr>
          <w:rFonts w:eastAsia="Calibri" w:hint="cs"/>
          <w:rtl/>
        </w:rPr>
        <w:t>את</w:t>
      </w:r>
      <w:r w:rsidRPr="00F41E78">
        <w:rPr>
          <w:rFonts w:eastAsia="Calibri"/>
          <w:rtl/>
        </w:rPr>
        <w:t xml:space="preserve"> </w:t>
      </w:r>
      <w:r w:rsidRPr="00F41E78">
        <w:rPr>
          <w:rFonts w:eastAsia="Calibri" w:hint="cs"/>
          <w:rtl/>
        </w:rPr>
        <w:t>המדידה</w:t>
      </w:r>
      <w:r w:rsidRPr="00F41E78">
        <w:rPr>
          <w:rFonts w:eastAsia="Calibri"/>
          <w:rtl/>
        </w:rPr>
        <w:t xml:space="preserve"> </w:t>
      </w:r>
      <w:r w:rsidRPr="00F41E78">
        <w:rPr>
          <w:rFonts w:eastAsia="Calibri" w:hint="cs"/>
          <w:rtl/>
        </w:rPr>
        <w:t>של</w:t>
      </w:r>
      <w:r w:rsidRPr="00F41E78">
        <w:rPr>
          <w:rFonts w:eastAsia="Calibri"/>
          <w:rtl/>
        </w:rPr>
        <w:t xml:space="preserve"> </w:t>
      </w:r>
      <w:r w:rsidRPr="00F41E78">
        <w:rPr>
          <w:rFonts w:eastAsia="Calibri" w:hint="cs"/>
          <w:rtl/>
        </w:rPr>
        <w:t>מחירי</w:t>
      </w:r>
      <w:r w:rsidRPr="00F41E78">
        <w:rPr>
          <w:rFonts w:eastAsia="Calibri"/>
          <w:rtl/>
        </w:rPr>
        <w:t xml:space="preserve"> </w:t>
      </w:r>
      <w:r w:rsidRPr="00F41E78">
        <w:rPr>
          <w:rFonts w:eastAsia="Calibri" w:hint="cs"/>
          <w:rtl/>
        </w:rPr>
        <w:t>הדירות</w:t>
      </w:r>
      <w:r w:rsidRPr="00F41E78">
        <w:rPr>
          <w:rFonts w:eastAsia="Calibri"/>
          <w:rtl/>
        </w:rPr>
        <w:t xml:space="preserve"> </w:t>
      </w:r>
      <w:r w:rsidRPr="00F41E78">
        <w:rPr>
          <w:rFonts w:eastAsia="Calibri" w:hint="cs"/>
          <w:rtl/>
        </w:rPr>
        <w:t>הממוצעים,</w:t>
      </w:r>
      <w:r w:rsidRPr="00F41E78">
        <w:rPr>
          <w:rFonts w:eastAsia="Calibri"/>
          <w:rtl/>
        </w:rPr>
        <w:t xml:space="preserve"> </w:t>
      </w:r>
      <w:r w:rsidRPr="00F41E78">
        <w:rPr>
          <w:rFonts w:eastAsia="Calibri" w:hint="cs"/>
          <w:rtl/>
        </w:rPr>
        <w:t>הנעשית</w:t>
      </w:r>
      <w:r w:rsidRPr="00F41E78">
        <w:rPr>
          <w:rFonts w:eastAsia="Calibri"/>
          <w:rtl/>
        </w:rPr>
        <w:t xml:space="preserve"> </w:t>
      </w:r>
      <w:r w:rsidRPr="00F41E78">
        <w:rPr>
          <w:rFonts w:eastAsia="Calibri" w:hint="cs"/>
          <w:rtl/>
        </w:rPr>
        <w:t>כיום</w:t>
      </w:r>
      <w:r w:rsidRPr="00F41E78">
        <w:rPr>
          <w:rFonts w:eastAsia="Calibri"/>
          <w:rtl/>
        </w:rPr>
        <w:t xml:space="preserve"> </w:t>
      </w:r>
      <w:r w:rsidRPr="00F41E78">
        <w:rPr>
          <w:rFonts w:eastAsia="Calibri" w:hint="cs"/>
          <w:rtl/>
        </w:rPr>
        <w:t>בנפרד, ולהותיר</w:t>
      </w:r>
      <w:r w:rsidRPr="00F41E78">
        <w:rPr>
          <w:rFonts w:eastAsia="Calibri"/>
          <w:rtl/>
        </w:rPr>
        <w:t xml:space="preserve"> </w:t>
      </w:r>
      <w:r w:rsidRPr="00F41E78">
        <w:rPr>
          <w:rFonts w:eastAsia="Calibri" w:hint="cs"/>
          <w:rtl/>
        </w:rPr>
        <w:t>מדידה</w:t>
      </w:r>
      <w:r w:rsidRPr="00F41E78">
        <w:rPr>
          <w:rFonts w:eastAsia="Calibri"/>
          <w:rtl/>
        </w:rPr>
        <w:t xml:space="preserve"> </w:t>
      </w:r>
      <w:r w:rsidRPr="00F41E78">
        <w:rPr>
          <w:rFonts w:eastAsia="Calibri" w:hint="cs"/>
          <w:rtl/>
        </w:rPr>
        <w:t>זו</w:t>
      </w:r>
      <w:r w:rsidRPr="00F41E78">
        <w:rPr>
          <w:rFonts w:eastAsia="Calibri"/>
          <w:rtl/>
        </w:rPr>
        <w:t xml:space="preserve"> </w:t>
      </w:r>
      <w:r w:rsidRPr="00F41E78">
        <w:rPr>
          <w:rFonts w:eastAsia="Calibri" w:hint="cs"/>
          <w:rtl/>
        </w:rPr>
        <w:t>במתודולוגיה</w:t>
      </w:r>
      <w:r w:rsidRPr="00F41E78">
        <w:rPr>
          <w:rFonts w:eastAsia="Calibri"/>
          <w:rtl/>
        </w:rPr>
        <w:t xml:space="preserve"> </w:t>
      </w:r>
      <w:r w:rsidRPr="00F41E78">
        <w:rPr>
          <w:rFonts w:eastAsia="Calibri" w:hint="cs"/>
          <w:rtl/>
        </w:rPr>
        <w:t>מוסכמת</w:t>
      </w:r>
      <w:r w:rsidRPr="00F41E78">
        <w:rPr>
          <w:rFonts w:eastAsia="Calibri"/>
          <w:rtl/>
        </w:rPr>
        <w:t xml:space="preserve"> </w:t>
      </w:r>
      <w:r w:rsidRPr="00F41E78">
        <w:rPr>
          <w:rFonts w:eastAsia="Calibri" w:hint="cs"/>
          <w:rtl/>
        </w:rPr>
        <w:t>המתבססת על שיטת סינון נתונים ובחירת אזורים אחידה בגוף</w:t>
      </w:r>
      <w:r w:rsidRPr="00F41E78">
        <w:rPr>
          <w:rFonts w:eastAsia="Calibri"/>
          <w:rtl/>
        </w:rPr>
        <w:t xml:space="preserve"> </w:t>
      </w:r>
      <w:r w:rsidRPr="00F41E78">
        <w:rPr>
          <w:rFonts w:eastAsia="Calibri" w:hint="cs"/>
          <w:rtl/>
        </w:rPr>
        <w:t>ממשלתי</w:t>
      </w:r>
      <w:r w:rsidRPr="00F41E78">
        <w:rPr>
          <w:rFonts w:eastAsia="Calibri"/>
          <w:rtl/>
        </w:rPr>
        <w:t xml:space="preserve"> </w:t>
      </w:r>
      <w:r w:rsidRPr="00F41E78">
        <w:rPr>
          <w:rFonts w:eastAsia="Calibri" w:hint="cs"/>
          <w:rtl/>
        </w:rPr>
        <w:t>אחד. מתודולוגיה מוסכמת</w:t>
      </w:r>
      <w:r w:rsidRPr="00F41E78">
        <w:rPr>
          <w:rFonts w:eastAsia="Calibri"/>
          <w:rtl/>
        </w:rPr>
        <w:t xml:space="preserve"> </w:t>
      </w:r>
      <w:r w:rsidRPr="00F41E78">
        <w:rPr>
          <w:rFonts w:eastAsia="Calibri" w:hint="cs"/>
          <w:rtl/>
        </w:rPr>
        <w:t>תמנע</w:t>
      </w:r>
      <w:r w:rsidRPr="00F41E78">
        <w:rPr>
          <w:rFonts w:eastAsia="Calibri"/>
          <w:rtl/>
        </w:rPr>
        <w:t xml:space="preserve"> </w:t>
      </w:r>
      <w:r w:rsidRPr="00F41E78">
        <w:rPr>
          <w:rFonts w:eastAsia="Calibri" w:hint="cs"/>
          <w:rtl/>
        </w:rPr>
        <w:t>כפילות</w:t>
      </w:r>
      <w:r w:rsidRPr="00F41E78">
        <w:rPr>
          <w:rFonts w:eastAsia="Calibri"/>
          <w:rtl/>
        </w:rPr>
        <w:t xml:space="preserve"> </w:t>
      </w:r>
      <w:r w:rsidRPr="00F41E78">
        <w:rPr>
          <w:rFonts w:eastAsia="Calibri" w:hint="cs"/>
          <w:rtl/>
        </w:rPr>
        <w:t>בהוצאותיהם הכספיות של</w:t>
      </w:r>
      <w:r w:rsidRPr="00F41E78">
        <w:rPr>
          <w:rFonts w:eastAsia="Calibri"/>
          <w:rtl/>
        </w:rPr>
        <w:t xml:space="preserve"> </w:t>
      </w:r>
      <w:r w:rsidRPr="00F41E78">
        <w:rPr>
          <w:rFonts w:eastAsia="Calibri" w:hint="cs"/>
          <w:rtl/>
        </w:rPr>
        <w:t>הגופים</w:t>
      </w:r>
      <w:r w:rsidRPr="00F41E78">
        <w:rPr>
          <w:rFonts w:eastAsia="Calibri"/>
          <w:rtl/>
        </w:rPr>
        <w:t xml:space="preserve"> </w:t>
      </w:r>
      <w:r w:rsidRPr="00F41E78">
        <w:rPr>
          <w:rFonts w:eastAsia="Calibri" w:hint="cs"/>
          <w:rtl/>
        </w:rPr>
        <w:t>במישור</w:t>
      </w:r>
      <w:r w:rsidRPr="00F41E78">
        <w:rPr>
          <w:rFonts w:eastAsia="Calibri"/>
          <w:rtl/>
        </w:rPr>
        <w:t xml:space="preserve"> </w:t>
      </w:r>
      <w:r w:rsidRPr="00F41E78">
        <w:rPr>
          <w:rFonts w:eastAsia="Calibri" w:hint="cs"/>
          <w:rtl/>
        </w:rPr>
        <w:t>הלאומי ותביא לידי חיסכון בכספי ציבור. על הגופים המפרסמים נתונים בציבור על השינויים במחירי הדירות להרחיב את ההסברים בדבר היתרונות והחסרונות המצויים בבסיס כל שיטה ולפרט את הסיבות להפרשים בין תוצאות המדידה.</w:t>
      </w:r>
    </w:p>
    <w:p w:rsidR="00E97EDA" w:rsidRPr="00F41E78" w:rsidP="00FF2CBA">
      <w:pPr>
        <w:spacing w:before="180" w:after="120" w:line="230" w:lineRule="exact"/>
        <w:ind w:left="-1"/>
        <w:jc w:val="both"/>
        <w:rPr>
          <w:rFonts w:eastAsia="Calibri" w:cs="FrankRuehl"/>
          <w:sz w:val="18"/>
          <w:szCs w:val="22"/>
          <w:rtl/>
        </w:rPr>
      </w:pPr>
      <w:r w:rsidRPr="00F41E78">
        <w:rPr>
          <w:rFonts w:eastAsia="Calibri" w:cs="FrankRuehl" w:hint="cs"/>
          <w:sz w:val="18"/>
          <w:szCs w:val="22"/>
          <w:rtl/>
        </w:rPr>
        <w:t>ראש</w:t>
      </w:r>
      <w:r w:rsidRPr="00F41E78">
        <w:rPr>
          <w:rFonts w:eastAsia="Calibri" w:cs="FrankRuehl"/>
          <w:sz w:val="18"/>
          <w:szCs w:val="22"/>
          <w:rtl/>
        </w:rPr>
        <w:t xml:space="preserve"> </w:t>
      </w:r>
      <w:r w:rsidRPr="00F41E78">
        <w:rPr>
          <w:rFonts w:eastAsia="Calibri" w:cs="FrankRuehl" w:hint="cs"/>
          <w:sz w:val="18"/>
          <w:szCs w:val="22"/>
          <w:rtl/>
        </w:rPr>
        <w:t>המועצה</w:t>
      </w:r>
      <w:r w:rsidRPr="00F41E78">
        <w:rPr>
          <w:rFonts w:eastAsia="Calibri" w:cs="FrankRuehl"/>
          <w:sz w:val="18"/>
          <w:szCs w:val="22"/>
          <w:rtl/>
        </w:rPr>
        <w:t xml:space="preserve"> </w:t>
      </w:r>
      <w:r w:rsidRPr="00F41E78">
        <w:rPr>
          <w:rFonts w:eastAsia="Calibri" w:cs="FrankRuehl" w:hint="cs"/>
          <w:sz w:val="18"/>
          <w:szCs w:val="22"/>
          <w:rtl/>
        </w:rPr>
        <w:t>לכלכלה</w:t>
      </w:r>
      <w:r w:rsidRPr="00F41E78">
        <w:rPr>
          <w:rFonts w:eastAsia="Calibri" w:cs="FrankRuehl"/>
          <w:sz w:val="18"/>
          <w:szCs w:val="22"/>
          <w:rtl/>
        </w:rPr>
        <w:t xml:space="preserve"> </w:t>
      </w:r>
      <w:r w:rsidRPr="00F41E78">
        <w:rPr>
          <w:rFonts w:eastAsia="Calibri" w:cs="FrankRuehl" w:hint="cs"/>
          <w:sz w:val="18"/>
          <w:szCs w:val="22"/>
          <w:rtl/>
        </w:rPr>
        <w:t>מסר</w:t>
      </w:r>
      <w:r w:rsidRPr="00F41E78">
        <w:rPr>
          <w:rFonts w:eastAsia="Calibri" w:cs="FrankRuehl"/>
          <w:sz w:val="18"/>
          <w:szCs w:val="22"/>
          <w:rtl/>
        </w:rPr>
        <w:t xml:space="preserve"> </w:t>
      </w:r>
      <w:r w:rsidRPr="00F41E78">
        <w:rPr>
          <w:rFonts w:eastAsia="Calibri" w:cs="FrankRuehl" w:hint="cs"/>
          <w:sz w:val="18"/>
          <w:szCs w:val="22"/>
          <w:rtl/>
        </w:rPr>
        <w:t>בינואר</w:t>
      </w:r>
      <w:r w:rsidRPr="00F41E78">
        <w:rPr>
          <w:rFonts w:eastAsia="Calibri" w:cs="FrankRuehl"/>
          <w:sz w:val="18"/>
          <w:szCs w:val="22"/>
          <w:rtl/>
        </w:rPr>
        <w:t xml:space="preserve"> 2014 </w:t>
      </w:r>
      <w:r w:rsidRPr="00F41E78">
        <w:rPr>
          <w:rFonts w:eastAsia="Calibri" w:cs="FrankRuehl" w:hint="cs"/>
          <w:sz w:val="18"/>
          <w:szCs w:val="22"/>
          <w:rtl/>
        </w:rPr>
        <w:t>למשרד</w:t>
      </w:r>
      <w:r w:rsidRPr="00F41E78">
        <w:rPr>
          <w:rFonts w:eastAsia="Calibri" w:cs="FrankRuehl"/>
          <w:sz w:val="18"/>
          <w:szCs w:val="22"/>
          <w:rtl/>
        </w:rPr>
        <w:t xml:space="preserve"> </w:t>
      </w:r>
      <w:r w:rsidRPr="00F41E78">
        <w:rPr>
          <w:rFonts w:eastAsia="Calibri" w:cs="FrankRuehl" w:hint="cs"/>
          <w:sz w:val="18"/>
          <w:szCs w:val="22"/>
          <w:rtl/>
        </w:rPr>
        <w:t>מבקר</w:t>
      </w:r>
      <w:r w:rsidRPr="00F41E78">
        <w:rPr>
          <w:rFonts w:eastAsia="Calibri" w:cs="FrankRuehl"/>
          <w:sz w:val="18"/>
          <w:szCs w:val="22"/>
          <w:rtl/>
        </w:rPr>
        <w:t xml:space="preserve"> </w:t>
      </w:r>
      <w:r w:rsidRPr="00F41E78">
        <w:rPr>
          <w:rFonts w:eastAsia="Calibri" w:cs="FrankRuehl" w:hint="cs"/>
          <w:sz w:val="18"/>
          <w:szCs w:val="22"/>
          <w:rtl/>
        </w:rPr>
        <w:t>המדינה</w:t>
      </w:r>
      <w:r w:rsidRPr="00F41E78">
        <w:rPr>
          <w:rFonts w:eastAsia="Calibri" w:cs="FrankRuehl"/>
          <w:sz w:val="18"/>
          <w:szCs w:val="22"/>
          <w:rtl/>
        </w:rPr>
        <w:t xml:space="preserve"> (</w:t>
      </w:r>
      <w:r w:rsidRPr="00F41E78">
        <w:rPr>
          <w:rFonts w:eastAsia="Calibri" w:cs="FrankRuehl" w:hint="cs"/>
          <w:sz w:val="18"/>
          <w:szCs w:val="22"/>
          <w:rtl/>
        </w:rPr>
        <w:t>להלן</w:t>
      </w:r>
      <w:r w:rsidRPr="00F41E78">
        <w:rPr>
          <w:rFonts w:eastAsia="Calibri" w:cs="FrankRuehl"/>
          <w:sz w:val="18"/>
          <w:szCs w:val="22"/>
          <w:rtl/>
        </w:rPr>
        <w:t xml:space="preserve"> - </w:t>
      </w:r>
      <w:r w:rsidRPr="00F41E78">
        <w:rPr>
          <w:rFonts w:eastAsia="Calibri" w:cs="FrankRuehl" w:hint="cs"/>
          <w:sz w:val="18"/>
          <w:szCs w:val="22"/>
          <w:rtl/>
        </w:rPr>
        <w:t>תגובת</w:t>
      </w:r>
      <w:r w:rsidRPr="00F41E78">
        <w:rPr>
          <w:rFonts w:eastAsia="Calibri" w:cs="FrankRuehl"/>
          <w:sz w:val="18"/>
          <w:szCs w:val="22"/>
          <w:rtl/>
        </w:rPr>
        <w:t xml:space="preserve"> </w:t>
      </w:r>
      <w:r w:rsidRPr="00F41E78">
        <w:rPr>
          <w:rFonts w:eastAsia="Calibri" w:cs="FrankRuehl" w:hint="cs"/>
          <w:sz w:val="18"/>
          <w:szCs w:val="22"/>
          <w:rtl/>
        </w:rPr>
        <w:t>המועצה</w:t>
      </w:r>
      <w:r w:rsidRPr="00F41E78">
        <w:rPr>
          <w:rFonts w:eastAsia="Calibri" w:cs="FrankRuehl"/>
          <w:sz w:val="18"/>
          <w:szCs w:val="22"/>
          <w:rtl/>
        </w:rPr>
        <w:t xml:space="preserve"> </w:t>
      </w:r>
      <w:r w:rsidRPr="00F41E78">
        <w:rPr>
          <w:rFonts w:eastAsia="Calibri" w:cs="FrankRuehl" w:hint="cs"/>
          <w:sz w:val="18"/>
          <w:szCs w:val="22"/>
          <w:rtl/>
        </w:rPr>
        <w:t>לכלכלה</w:t>
      </w:r>
      <w:r w:rsidRPr="00F41E78">
        <w:rPr>
          <w:rFonts w:eastAsia="Calibri" w:cs="FrankRuehl"/>
          <w:sz w:val="18"/>
          <w:szCs w:val="22"/>
          <w:rtl/>
        </w:rPr>
        <w:t xml:space="preserve">) </w:t>
      </w:r>
      <w:r w:rsidRPr="00F41E78">
        <w:rPr>
          <w:rFonts w:eastAsia="Calibri" w:cs="FrankRuehl" w:hint="cs"/>
          <w:sz w:val="18"/>
          <w:szCs w:val="22"/>
          <w:rtl/>
        </w:rPr>
        <w:t>כי</w:t>
      </w:r>
      <w:r w:rsidRPr="00F41E78">
        <w:rPr>
          <w:rFonts w:eastAsia="Calibri" w:cs="FrankRuehl"/>
          <w:sz w:val="18"/>
          <w:szCs w:val="22"/>
          <w:rtl/>
        </w:rPr>
        <w:t xml:space="preserve"> </w:t>
      </w:r>
      <w:r w:rsidRPr="00F41E78">
        <w:rPr>
          <w:rFonts w:eastAsia="Calibri" w:cs="FrankRuehl" w:hint="cs"/>
          <w:sz w:val="18"/>
          <w:szCs w:val="22"/>
          <w:rtl/>
        </w:rPr>
        <w:t>המועצה</w:t>
      </w:r>
      <w:r w:rsidRPr="00F41E78">
        <w:rPr>
          <w:rFonts w:eastAsia="Calibri" w:cs="FrankRuehl"/>
          <w:sz w:val="18"/>
          <w:szCs w:val="22"/>
          <w:rtl/>
        </w:rPr>
        <w:t xml:space="preserve"> </w:t>
      </w:r>
      <w:r w:rsidRPr="00F41E78">
        <w:rPr>
          <w:rFonts w:eastAsia="Calibri" w:cs="FrankRuehl" w:hint="cs"/>
          <w:sz w:val="18"/>
          <w:szCs w:val="22"/>
          <w:rtl/>
        </w:rPr>
        <w:t>שמה</w:t>
      </w:r>
      <w:r w:rsidRPr="00F41E78">
        <w:rPr>
          <w:rFonts w:eastAsia="Calibri" w:cs="FrankRuehl"/>
          <w:sz w:val="18"/>
          <w:szCs w:val="22"/>
          <w:rtl/>
        </w:rPr>
        <w:t xml:space="preserve"> </w:t>
      </w:r>
      <w:r w:rsidRPr="00F41E78">
        <w:rPr>
          <w:rFonts w:eastAsia="Calibri" w:cs="FrankRuehl" w:hint="cs"/>
          <w:sz w:val="18"/>
          <w:szCs w:val="22"/>
          <w:rtl/>
        </w:rPr>
        <w:t>לה</w:t>
      </w:r>
      <w:r w:rsidRPr="00F41E78">
        <w:rPr>
          <w:rFonts w:eastAsia="Calibri" w:cs="FrankRuehl"/>
          <w:sz w:val="18"/>
          <w:szCs w:val="22"/>
          <w:rtl/>
        </w:rPr>
        <w:t xml:space="preserve"> </w:t>
      </w:r>
      <w:r w:rsidRPr="00F41E78">
        <w:rPr>
          <w:rFonts w:eastAsia="Calibri" w:cs="FrankRuehl" w:hint="cs"/>
          <w:sz w:val="18"/>
          <w:szCs w:val="22"/>
          <w:rtl/>
        </w:rPr>
        <w:t>למטרה</w:t>
      </w:r>
      <w:r w:rsidRPr="00F41E78">
        <w:rPr>
          <w:rFonts w:eastAsia="Calibri" w:cs="FrankRuehl"/>
          <w:sz w:val="18"/>
          <w:szCs w:val="22"/>
          <w:rtl/>
        </w:rPr>
        <w:t xml:space="preserve"> </w:t>
      </w:r>
      <w:r w:rsidRPr="00F41E78">
        <w:rPr>
          <w:rFonts w:eastAsia="Calibri" w:cs="FrankRuehl" w:hint="cs"/>
          <w:sz w:val="18"/>
          <w:szCs w:val="22"/>
          <w:rtl/>
        </w:rPr>
        <w:t>לטייב</w:t>
      </w:r>
      <w:r w:rsidRPr="00F41E78">
        <w:rPr>
          <w:rFonts w:eastAsia="Calibri" w:cs="FrankRuehl"/>
          <w:sz w:val="18"/>
          <w:szCs w:val="22"/>
          <w:rtl/>
        </w:rPr>
        <w:t xml:space="preserve"> </w:t>
      </w:r>
      <w:r w:rsidRPr="00F41E78">
        <w:rPr>
          <w:rFonts w:eastAsia="Calibri" w:cs="FrankRuehl" w:hint="cs"/>
          <w:sz w:val="18"/>
          <w:szCs w:val="22"/>
          <w:rtl/>
        </w:rPr>
        <w:t>את</w:t>
      </w:r>
      <w:r w:rsidRPr="00F41E78">
        <w:rPr>
          <w:rFonts w:eastAsia="Calibri" w:cs="FrankRuehl"/>
          <w:sz w:val="18"/>
          <w:szCs w:val="22"/>
          <w:rtl/>
        </w:rPr>
        <w:t xml:space="preserve"> </w:t>
      </w:r>
      <w:r w:rsidRPr="00F41E78">
        <w:rPr>
          <w:rFonts w:eastAsia="Calibri" w:cs="FrankRuehl" w:hint="cs"/>
          <w:sz w:val="18"/>
          <w:szCs w:val="22"/>
          <w:rtl/>
        </w:rPr>
        <w:t>נתוני</w:t>
      </w:r>
      <w:r w:rsidRPr="00F41E78">
        <w:rPr>
          <w:rFonts w:eastAsia="Calibri" w:cs="FrankRuehl"/>
          <w:sz w:val="18"/>
          <w:szCs w:val="22"/>
          <w:rtl/>
        </w:rPr>
        <w:t xml:space="preserve"> </w:t>
      </w:r>
      <w:r w:rsidRPr="00F41E78">
        <w:rPr>
          <w:rFonts w:eastAsia="Calibri" w:cs="FrankRuehl" w:hint="cs"/>
          <w:sz w:val="18"/>
          <w:szCs w:val="22"/>
          <w:rtl/>
        </w:rPr>
        <w:t>הנדל</w:t>
      </w:r>
      <w:r w:rsidRPr="00F41E78">
        <w:rPr>
          <w:rFonts w:eastAsia="Calibri" w:cs="FrankRuehl"/>
          <w:sz w:val="18"/>
          <w:szCs w:val="22"/>
          <w:rtl/>
        </w:rPr>
        <w:t>"</w:t>
      </w:r>
      <w:r w:rsidRPr="00F41E78">
        <w:rPr>
          <w:rFonts w:eastAsia="Calibri" w:cs="FrankRuehl" w:hint="cs"/>
          <w:sz w:val="18"/>
          <w:szCs w:val="22"/>
          <w:rtl/>
        </w:rPr>
        <w:t>ן</w:t>
      </w:r>
      <w:r w:rsidRPr="00F41E78">
        <w:rPr>
          <w:rFonts w:eastAsia="Calibri" w:cs="FrankRuehl"/>
          <w:sz w:val="18"/>
          <w:szCs w:val="22"/>
          <w:rtl/>
        </w:rPr>
        <w:t xml:space="preserve"> </w:t>
      </w:r>
      <w:r w:rsidRPr="00F41E78">
        <w:rPr>
          <w:rFonts w:eastAsia="Calibri" w:cs="FrankRuehl" w:hint="cs"/>
          <w:sz w:val="18"/>
          <w:szCs w:val="22"/>
          <w:rtl/>
        </w:rPr>
        <w:t>לשם</w:t>
      </w:r>
      <w:r w:rsidRPr="00F41E78">
        <w:rPr>
          <w:rFonts w:eastAsia="Calibri" w:cs="FrankRuehl"/>
          <w:sz w:val="18"/>
          <w:szCs w:val="22"/>
          <w:rtl/>
        </w:rPr>
        <w:t xml:space="preserve"> </w:t>
      </w:r>
      <w:r w:rsidRPr="00F41E78">
        <w:rPr>
          <w:rFonts w:eastAsia="Calibri" w:cs="FrankRuehl" w:hint="cs"/>
          <w:sz w:val="18"/>
          <w:szCs w:val="22"/>
          <w:rtl/>
        </w:rPr>
        <w:t>יצירת</w:t>
      </w:r>
      <w:r w:rsidRPr="00F41E78">
        <w:rPr>
          <w:rFonts w:eastAsia="Calibri" w:cs="FrankRuehl"/>
          <w:sz w:val="18"/>
          <w:szCs w:val="22"/>
          <w:rtl/>
        </w:rPr>
        <w:t xml:space="preserve"> </w:t>
      </w:r>
      <w:r w:rsidRPr="00F41E78">
        <w:rPr>
          <w:rFonts w:eastAsia="Calibri" w:cs="FrankRuehl" w:hint="cs"/>
          <w:sz w:val="18"/>
          <w:szCs w:val="22"/>
          <w:rtl/>
        </w:rPr>
        <w:t>מסד</w:t>
      </w:r>
      <w:r w:rsidRPr="00F41E78">
        <w:rPr>
          <w:rFonts w:eastAsia="Calibri" w:cs="FrankRuehl"/>
          <w:sz w:val="18"/>
          <w:szCs w:val="22"/>
          <w:rtl/>
        </w:rPr>
        <w:t xml:space="preserve"> </w:t>
      </w:r>
      <w:r w:rsidRPr="00F41E78">
        <w:rPr>
          <w:rFonts w:eastAsia="Calibri" w:cs="FrankRuehl" w:hint="cs"/>
          <w:sz w:val="18"/>
          <w:szCs w:val="22"/>
          <w:rtl/>
        </w:rPr>
        <w:t>נתונים</w:t>
      </w:r>
      <w:r w:rsidRPr="00F41E78">
        <w:rPr>
          <w:rFonts w:eastAsia="Calibri" w:cs="FrankRuehl"/>
          <w:sz w:val="18"/>
          <w:szCs w:val="22"/>
          <w:rtl/>
        </w:rPr>
        <w:t xml:space="preserve"> </w:t>
      </w:r>
      <w:r w:rsidRPr="00F41E78">
        <w:rPr>
          <w:rFonts w:eastAsia="Calibri" w:cs="FrankRuehl" w:hint="cs"/>
          <w:sz w:val="18"/>
          <w:szCs w:val="22"/>
          <w:rtl/>
        </w:rPr>
        <w:t>אמין</w:t>
      </w:r>
      <w:r w:rsidRPr="00F41E78">
        <w:rPr>
          <w:rFonts w:eastAsia="Calibri" w:cs="FrankRuehl"/>
          <w:sz w:val="18"/>
          <w:szCs w:val="22"/>
          <w:rtl/>
        </w:rPr>
        <w:t xml:space="preserve"> </w:t>
      </w:r>
      <w:r w:rsidRPr="00F41E78">
        <w:rPr>
          <w:rFonts w:eastAsia="Calibri" w:cs="FrankRuehl" w:hint="cs"/>
          <w:sz w:val="18"/>
          <w:szCs w:val="22"/>
          <w:rtl/>
        </w:rPr>
        <w:t>שעליו</w:t>
      </w:r>
      <w:r w:rsidRPr="00F41E78">
        <w:rPr>
          <w:rFonts w:eastAsia="Calibri" w:cs="FrankRuehl"/>
          <w:sz w:val="18"/>
          <w:szCs w:val="22"/>
          <w:rtl/>
        </w:rPr>
        <w:t xml:space="preserve"> </w:t>
      </w:r>
      <w:r w:rsidRPr="00F41E78">
        <w:rPr>
          <w:rFonts w:eastAsia="Calibri" w:cs="FrankRuehl" w:hint="cs"/>
          <w:sz w:val="18"/>
          <w:szCs w:val="22"/>
          <w:rtl/>
        </w:rPr>
        <w:t>תתבסס</w:t>
      </w:r>
      <w:r w:rsidRPr="00F41E78">
        <w:rPr>
          <w:rFonts w:eastAsia="Calibri" w:cs="FrankRuehl"/>
          <w:sz w:val="18"/>
          <w:szCs w:val="22"/>
          <w:rtl/>
        </w:rPr>
        <w:t xml:space="preserve"> </w:t>
      </w:r>
      <w:r w:rsidRPr="00F41E78">
        <w:rPr>
          <w:rFonts w:eastAsia="Calibri" w:cs="FrankRuehl" w:hint="cs"/>
          <w:sz w:val="18"/>
          <w:szCs w:val="22"/>
          <w:rtl/>
        </w:rPr>
        <w:t>המדיניות</w:t>
      </w:r>
      <w:r w:rsidRPr="00F41E78">
        <w:rPr>
          <w:rFonts w:eastAsia="Calibri" w:cs="FrankRuehl"/>
          <w:sz w:val="18"/>
          <w:szCs w:val="22"/>
          <w:rtl/>
        </w:rPr>
        <w:t xml:space="preserve"> </w:t>
      </w:r>
      <w:r w:rsidRPr="00F41E78">
        <w:rPr>
          <w:rFonts w:eastAsia="Calibri" w:cs="FrankRuehl" w:hint="cs"/>
          <w:sz w:val="18"/>
          <w:szCs w:val="22"/>
          <w:rtl/>
        </w:rPr>
        <w:t>הממשלתית</w:t>
      </w:r>
      <w:r w:rsidRPr="00F41E78">
        <w:rPr>
          <w:rFonts w:eastAsia="Calibri" w:cs="FrankRuehl"/>
          <w:sz w:val="18"/>
          <w:szCs w:val="22"/>
          <w:rtl/>
        </w:rPr>
        <w:t xml:space="preserve"> </w:t>
      </w:r>
      <w:r w:rsidRPr="00F41E78">
        <w:rPr>
          <w:rFonts w:eastAsia="Calibri" w:cs="FrankRuehl" w:hint="cs"/>
          <w:sz w:val="18"/>
          <w:szCs w:val="22"/>
          <w:rtl/>
        </w:rPr>
        <w:t>בתחום</w:t>
      </w:r>
      <w:r w:rsidRPr="00F41E78">
        <w:rPr>
          <w:rFonts w:eastAsia="Calibri" w:cs="FrankRuehl"/>
          <w:sz w:val="18"/>
          <w:szCs w:val="22"/>
          <w:rtl/>
        </w:rPr>
        <w:t xml:space="preserve"> </w:t>
      </w:r>
      <w:r w:rsidRPr="00F41E78">
        <w:rPr>
          <w:rFonts w:eastAsia="Calibri" w:cs="FrankRuehl" w:hint="cs"/>
          <w:sz w:val="18"/>
          <w:szCs w:val="22"/>
          <w:rtl/>
        </w:rPr>
        <w:t>הדיור</w:t>
      </w:r>
      <w:r w:rsidRPr="00F41E78">
        <w:rPr>
          <w:rFonts w:eastAsia="Calibri" w:cs="FrankRuehl"/>
          <w:sz w:val="18"/>
          <w:szCs w:val="22"/>
          <w:rtl/>
        </w:rPr>
        <w:t>.</w:t>
      </w:r>
      <w:r w:rsidRPr="00F41E78">
        <w:rPr>
          <w:rFonts w:eastAsia="Calibri" w:cs="FrankRuehl" w:hint="cs"/>
          <w:sz w:val="18"/>
          <w:szCs w:val="22"/>
          <w:rtl/>
        </w:rPr>
        <w:t xml:space="preserve"> </w:t>
      </w:r>
    </w:p>
    <w:p w:rsidR="00E97EDA" w:rsidRPr="00F41E78" w:rsidP="00F41E78">
      <w:pPr>
        <w:spacing w:after="120" w:line="230" w:lineRule="exact"/>
        <w:ind w:left="-1"/>
        <w:jc w:val="both"/>
        <w:rPr>
          <w:rFonts w:eastAsia="Calibri" w:cs="FrankRuehl"/>
          <w:sz w:val="18"/>
          <w:szCs w:val="22"/>
          <w:rtl/>
        </w:rPr>
      </w:pPr>
      <w:r w:rsidRPr="00F41E78">
        <w:rPr>
          <w:rFonts w:eastAsia="Calibri" w:cs="FrankRuehl" w:hint="cs"/>
          <w:sz w:val="18"/>
          <w:szCs w:val="22"/>
          <w:rtl/>
        </w:rPr>
        <w:t>מסקנת</w:t>
      </w:r>
      <w:r w:rsidRPr="00F41E78">
        <w:rPr>
          <w:rFonts w:eastAsia="Calibri" w:cs="FrankRuehl"/>
          <w:sz w:val="18"/>
          <w:szCs w:val="22"/>
          <w:rtl/>
        </w:rPr>
        <w:t xml:space="preserve"> </w:t>
      </w:r>
      <w:r w:rsidRPr="00F41E78">
        <w:rPr>
          <w:rFonts w:eastAsia="Calibri" w:cs="FrankRuehl" w:hint="cs"/>
          <w:sz w:val="18"/>
          <w:szCs w:val="22"/>
          <w:rtl/>
        </w:rPr>
        <w:t>דוח</w:t>
      </w:r>
      <w:r w:rsidRPr="00F41E78">
        <w:rPr>
          <w:rFonts w:eastAsia="Calibri" w:cs="FrankRuehl"/>
          <w:sz w:val="18"/>
          <w:szCs w:val="22"/>
          <w:rtl/>
        </w:rPr>
        <w:t xml:space="preserve"> </w:t>
      </w:r>
      <w:r w:rsidRPr="00F41E78">
        <w:rPr>
          <w:rFonts w:eastAsia="Calibri" w:cs="FrankRuehl" w:hint="cs"/>
          <w:sz w:val="18"/>
          <w:szCs w:val="22"/>
          <w:rtl/>
        </w:rPr>
        <w:t>הביניים</w:t>
      </w:r>
      <w:r w:rsidRPr="00F41E78">
        <w:rPr>
          <w:rFonts w:eastAsia="Calibri" w:cs="FrankRuehl"/>
          <w:sz w:val="18"/>
          <w:szCs w:val="22"/>
          <w:rtl/>
        </w:rPr>
        <w:t xml:space="preserve"> </w:t>
      </w:r>
      <w:r w:rsidRPr="00F41E78">
        <w:rPr>
          <w:rFonts w:eastAsia="Calibri" w:cs="FrankRuehl" w:hint="cs"/>
          <w:sz w:val="18"/>
          <w:szCs w:val="22"/>
          <w:rtl/>
        </w:rPr>
        <w:t>שפרסמה</w:t>
      </w:r>
      <w:r w:rsidRPr="00F41E78">
        <w:rPr>
          <w:rFonts w:eastAsia="Calibri" w:cs="FrankRuehl"/>
          <w:sz w:val="18"/>
          <w:szCs w:val="22"/>
          <w:rtl/>
        </w:rPr>
        <w:t xml:space="preserve"> </w:t>
      </w:r>
      <w:r w:rsidRPr="00F41E78">
        <w:rPr>
          <w:rFonts w:eastAsia="Calibri" w:cs="FrankRuehl" w:hint="cs"/>
          <w:sz w:val="18"/>
          <w:szCs w:val="22"/>
          <w:rtl/>
        </w:rPr>
        <w:t>המועצה</w:t>
      </w:r>
      <w:r w:rsidRPr="00F41E78">
        <w:rPr>
          <w:rFonts w:eastAsia="Calibri" w:cs="FrankRuehl"/>
          <w:sz w:val="18"/>
          <w:szCs w:val="22"/>
          <w:rtl/>
        </w:rPr>
        <w:t xml:space="preserve"> </w:t>
      </w:r>
      <w:r w:rsidRPr="00F41E78">
        <w:rPr>
          <w:rFonts w:eastAsia="Calibri" w:cs="FrankRuehl" w:hint="cs"/>
          <w:sz w:val="18"/>
          <w:szCs w:val="22"/>
          <w:rtl/>
        </w:rPr>
        <w:t>לכלכלה</w:t>
      </w:r>
      <w:r w:rsidRPr="00F41E78">
        <w:rPr>
          <w:rFonts w:eastAsia="Calibri" w:cs="FrankRuehl"/>
          <w:sz w:val="18"/>
          <w:szCs w:val="22"/>
          <w:rtl/>
        </w:rPr>
        <w:t xml:space="preserve"> </w:t>
      </w:r>
      <w:r w:rsidRPr="00F41E78">
        <w:rPr>
          <w:rFonts w:eastAsia="Calibri" w:cs="FrankRuehl" w:hint="cs"/>
          <w:sz w:val="18"/>
          <w:szCs w:val="22"/>
          <w:rtl/>
        </w:rPr>
        <w:t>בינואר</w:t>
      </w:r>
      <w:r w:rsidRPr="00F41E78">
        <w:rPr>
          <w:rFonts w:eastAsia="Calibri" w:cs="FrankRuehl"/>
          <w:sz w:val="18"/>
          <w:szCs w:val="22"/>
          <w:rtl/>
        </w:rPr>
        <w:t xml:space="preserve"> 2014 </w:t>
      </w:r>
      <w:r w:rsidRPr="00F41E78">
        <w:rPr>
          <w:rFonts w:eastAsia="Calibri" w:cs="FrankRuehl" w:hint="cs"/>
          <w:sz w:val="18"/>
          <w:szCs w:val="22"/>
          <w:rtl/>
        </w:rPr>
        <w:t>הייתה</w:t>
      </w:r>
      <w:r w:rsidRPr="00F41E78">
        <w:rPr>
          <w:rFonts w:eastAsia="Calibri" w:cs="FrankRuehl"/>
          <w:sz w:val="18"/>
          <w:szCs w:val="22"/>
          <w:rtl/>
        </w:rPr>
        <w:t xml:space="preserve"> </w:t>
      </w:r>
      <w:r w:rsidRPr="00F41E78">
        <w:rPr>
          <w:rFonts w:eastAsia="Calibri" w:cs="FrankRuehl" w:hint="cs"/>
          <w:sz w:val="18"/>
          <w:szCs w:val="22"/>
          <w:rtl/>
        </w:rPr>
        <w:t>כי</w:t>
      </w:r>
      <w:r w:rsidRPr="00F41E78">
        <w:rPr>
          <w:rFonts w:eastAsia="Calibri" w:cs="FrankRuehl"/>
          <w:sz w:val="18"/>
          <w:szCs w:val="22"/>
          <w:rtl/>
        </w:rPr>
        <w:t xml:space="preserve"> </w:t>
      </w:r>
      <w:r w:rsidRPr="00F41E78">
        <w:rPr>
          <w:rFonts w:eastAsia="Calibri" w:cs="FrankRuehl" w:hint="cs"/>
          <w:sz w:val="18"/>
          <w:szCs w:val="22"/>
          <w:rtl/>
        </w:rPr>
        <w:t>מבחינת</w:t>
      </w:r>
      <w:r w:rsidRPr="00F41E78">
        <w:rPr>
          <w:rFonts w:eastAsia="Calibri" w:cs="FrankRuehl"/>
          <w:sz w:val="18"/>
          <w:szCs w:val="22"/>
          <w:rtl/>
        </w:rPr>
        <w:t xml:space="preserve"> </w:t>
      </w:r>
      <w:r w:rsidRPr="00F41E78">
        <w:rPr>
          <w:rFonts w:eastAsia="Calibri" w:cs="FrankRuehl" w:hint="cs"/>
          <w:sz w:val="18"/>
          <w:szCs w:val="22"/>
          <w:rtl/>
        </w:rPr>
        <w:t>האיכות</w:t>
      </w:r>
      <w:r w:rsidRPr="00F41E78">
        <w:rPr>
          <w:rFonts w:eastAsia="Calibri" w:cs="FrankRuehl"/>
          <w:sz w:val="18"/>
          <w:szCs w:val="22"/>
          <w:rtl/>
        </w:rPr>
        <w:t xml:space="preserve"> </w:t>
      </w:r>
      <w:r w:rsidRPr="00F41E78">
        <w:rPr>
          <w:rFonts w:eastAsia="Calibri" w:cs="FrankRuehl" w:hint="cs"/>
          <w:sz w:val="18"/>
          <w:szCs w:val="22"/>
          <w:rtl/>
        </w:rPr>
        <w:t>המתודולוגית</w:t>
      </w:r>
      <w:r w:rsidRPr="00F41E78">
        <w:rPr>
          <w:rFonts w:eastAsia="Calibri" w:cs="FrankRuehl"/>
          <w:sz w:val="18"/>
          <w:szCs w:val="22"/>
          <w:rtl/>
        </w:rPr>
        <w:t xml:space="preserve"> </w:t>
      </w:r>
      <w:r w:rsidRPr="00F41E78">
        <w:rPr>
          <w:rFonts w:eastAsia="Calibri" w:cs="FrankRuehl" w:hint="cs"/>
          <w:sz w:val="18"/>
          <w:szCs w:val="22"/>
          <w:rtl/>
        </w:rPr>
        <w:t>של</w:t>
      </w:r>
      <w:r w:rsidRPr="00F41E78">
        <w:rPr>
          <w:rFonts w:eastAsia="Calibri" w:cs="FrankRuehl"/>
          <w:sz w:val="18"/>
          <w:szCs w:val="22"/>
          <w:rtl/>
        </w:rPr>
        <w:t xml:space="preserve"> </w:t>
      </w:r>
      <w:r w:rsidRPr="00F41E78">
        <w:rPr>
          <w:rFonts w:eastAsia="Calibri" w:cs="FrankRuehl" w:hint="cs"/>
          <w:sz w:val="18"/>
          <w:szCs w:val="22"/>
          <w:rtl/>
        </w:rPr>
        <w:t>בניית</w:t>
      </w:r>
      <w:r w:rsidRPr="00F41E78">
        <w:rPr>
          <w:rFonts w:eastAsia="Calibri" w:cs="FrankRuehl"/>
          <w:sz w:val="18"/>
          <w:szCs w:val="22"/>
          <w:rtl/>
        </w:rPr>
        <w:t xml:space="preserve"> </w:t>
      </w:r>
      <w:r w:rsidRPr="00F41E78">
        <w:rPr>
          <w:rFonts w:eastAsia="Calibri" w:cs="FrankRuehl" w:hint="cs"/>
          <w:sz w:val="18"/>
          <w:szCs w:val="22"/>
          <w:rtl/>
        </w:rPr>
        <w:t>המדד</w:t>
      </w:r>
      <w:r w:rsidRPr="00F41E78">
        <w:rPr>
          <w:rFonts w:eastAsia="Calibri" w:cs="FrankRuehl"/>
          <w:sz w:val="18"/>
          <w:szCs w:val="22"/>
          <w:rtl/>
        </w:rPr>
        <w:t xml:space="preserve">, </w:t>
      </w:r>
      <w:r w:rsidRPr="00F41E78">
        <w:rPr>
          <w:rFonts w:eastAsia="Calibri" w:cs="FrankRuehl" w:hint="cs"/>
          <w:sz w:val="18"/>
          <w:szCs w:val="22"/>
          <w:rtl/>
        </w:rPr>
        <w:t>המדד</w:t>
      </w:r>
      <w:r w:rsidRPr="00F41E78">
        <w:rPr>
          <w:rFonts w:eastAsia="Calibri" w:cs="FrankRuehl"/>
          <w:sz w:val="18"/>
          <w:szCs w:val="22"/>
          <w:rtl/>
        </w:rPr>
        <w:t xml:space="preserve"> </w:t>
      </w:r>
      <w:r w:rsidRPr="00F41E78">
        <w:rPr>
          <w:rFonts w:eastAsia="Calibri" w:cs="FrankRuehl" w:hint="cs"/>
          <w:sz w:val="18"/>
          <w:szCs w:val="22"/>
          <w:rtl/>
        </w:rPr>
        <w:t>המרכזי</w:t>
      </w:r>
      <w:r w:rsidRPr="00F41E78">
        <w:rPr>
          <w:rFonts w:eastAsia="Calibri" w:cs="FrankRuehl"/>
          <w:sz w:val="18"/>
          <w:szCs w:val="22"/>
          <w:rtl/>
        </w:rPr>
        <w:t xml:space="preserve"> - </w:t>
      </w:r>
      <w:r w:rsidRPr="00F41E78">
        <w:rPr>
          <w:rFonts w:eastAsia="Calibri" w:cs="FrankRuehl" w:hint="cs"/>
          <w:sz w:val="18"/>
          <w:szCs w:val="22"/>
          <w:rtl/>
        </w:rPr>
        <w:t>מדד</w:t>
      </w:r>
      <w:r w:rsidRPr="00F41E78">
        <w:rPr>
          <w:rFonts w:eastAsia="Calibri" w:cs="FrankRuehl"/>
          <w:sz w:val="18"/>
          <w:szCs w:val="22"/>
          <w:rtl/>
        </w:rPr>
        <w:t xml:space="preserve"> </w:t>
      </w:r>
      <w:r w:rsidRPr="00F41E78">
        <w:rPr>
          <w:rFonts w:eastAsia="Calibri" w:cs="FrankRuehl" w:hint="cs"/>
          <w:sz w:val="18"/>
          <w:szCs w:val="22"/>
          <w:rtl/>
        </w:rPr>
        <w:t>מחירי</w:t>
      </w:r>
      <w:r w:rsidRPr="00F41E78">
        <w:rPr>
          <w:rFonts w:eastAsia="Calibri" w:cs="FrankRuehl"/>
          <w:sz w:val="18"/>
          <w:szCs w:val="22"/>
          <w:rtl/>
        </w:rPr>
        <w:t xml:space="preserve"> </w:t>
      </w:r>
      <w:r w:rsidRPr="00F41E78">
        <w:rPr>
          <w:rFonts w:eastAsia="Calibri" w:cs="FrankRuehl" w:hint="cs"/>
          <w:sz w:val="18"/>
          <w:szCs w:val="22"/>
          <w:rtl/>
        </w:rPr>
        <w:t>הדירות</w:t>
      </w:r>
      <w:r w:rsidRPr="00F41E78">
        <w:rPr>
          <w:rFonts w:eastAsia="Calibri" w:cs="FrankRuehl"/>
          <w:sz w:val="18"/>
          <w:szCs w:val="22"/>
          <w:rtl/>
        </w:rPr>
        <w:t xml:space="preserve">, </w:t>
      </w:r>
      <w:r w:rsidRPr="00F41E78">
        <w:rPr>
          <w:rFonts w:eastAsia="Calibri" w:cs="FrankRuehl" w:hint="cs"/>
          <w:sz w:val="18"/>
          <w:szCs w:val="22"/>
          <w:rtl/>
        </w:rPr>
        <w:t>הוא</w:t>
      </w:r>
      <w:r w:rsidRPr="00F41E78">
        <w:rPr>
          <w:rFonts w:eastAsia="Calibri" w:cs="FrankRuehl"/>
          <w:sz w:val="18"/>
          <w:szCs w:val="22"/>
          <w:rtl/>
        </w:rPr>
        <w:t xml:space="preserve"> </w:t>
      </w:r>
      <w:r w:rsidRPr="00F41E78">
        <w:rPr>
          <w:rFonts w:eastAsia="Calibri" w:cs="FrankRuehl" w:hint="cs"/>
          <w:sz w:val="18"/>
          <w:szCs w:val="22"/>
          <w:rtl/>
        </w:rPr>
        <w:t>בעל</w:t>
      </w:r>
      <w:r w:rsidRPr="00F41E78">
        <w:rPr>
          <w:rFonts w:eastAsia="Calibri" w:cs="FrankRuehl"/>
          <w:sz w:val="18"/>
          <w:szCs w:val="22"/>
          <w:rtl/>
        </w:rPr>
        <w:t xml:space="preserve"> </w:t>
      </w:r>
      <w:r w:rsidRPr="00F41E78">
        <w:rPr>
          <w:rFonts w:eastAsia="Calibri" w:cs="FrankRuehl" w:hint="cs"/>
          <w:sz w:val="18"/>
          <w:szCs w:val="22"/>
          <w:rtl/>
        </w:rPr>
        <w:t>המתודולוגיה</w:t>
      </w:r>
      <w:r w:rsidRPr="00F41E78">
        <w:rPr>
          <w:rFonts w:eastAsia="Calibri" w:cs="FrankRuehl"/>
          <w:sz w:val="18"/>
          <w:szCs w:val="22"/>
          <w:rtl/>
        </w:rPr>
        <w:t xml:space="preserve"> </w:t>
      </w:r>
      <w:r w:rsidRPr="00F41E78">
        <w:rPr>
          <w:rFonts w:eastAsia="Calibri" w:cs="FrankRuehl" w:hint="cs"/>
          <w:sz w:val="18"/>
          <w:szCs w:val="22"/>
          <w:rtl/>
        </w:rPr>
        <w:t>הטובה</w:t>
      </w:r>
      <w:r w:rsidRPr="00F41E78">
        <w:rPr>
          <w:rFonts w:eastAsia="Calibri" w:cs="FrankRuehl"/>
          <w:sz w:val="18"/>
          <w:szCs w:val="22"/>
          <w:rtl/>
        </w:rPr>
        <w:t xml:space="preserve"> </w:t>
      </w:r>
      <w:r w:rsidRPr="00F41E78">
        <w:rPr>
          <w:rFonts w:eastAsia="Calibri" w:cs="FrankRuehl" w:hint="cs"/>
          <w:sz w:val="18"/>
          <w:szCs w:val="22"/>
          <w:rtl/>
        </w:rPr>
        <w:t>ביותר</w:t>
      </w:r>
      <w:r w:rsidRPr="00F41E78">
        <w:rPr>
          <w:rFonts w:eastAsia="Calibri" w:cs="FrankRuehl"/>
          <w:sz w:val="18"/>
          <w:szCs w:val="22"/>
          <w:rtl/>
        </w:rPr>
        <w:t xml:space="preserve"> </w:t>
      </w:r>
      <w:r w:rsidRPr="00F41E78">
        <w:rPr>
          <w:rFonts w:eastAsia="Calibri" w:cs="FrankRuehl" w:hint="cs"/>
          <w:sz w:val="18"/>
          <w:szCs w:val="22"/>
          <w:rtl/>
        </w:rPr>
        <w:t>להערכת</w:t>
      </w:r>
      <w:r w:rsidRPr="00F41E78">
        <w:rPr>
          <w:rFonts w:eastAsia="Calibri" w:cs="FrankRuehl"/>
          <w:sz w:val="18"/>
          <w:szCs w:val="22"/>
          <w:rtl/>
        </w:rPr>
        <w:t xml:space="preserve"> </w:t>
      </w:r>
      <w:r w:rsidRPr="00F41E78">
        <w:rPr>
          <w:rFonts w:eastAsia="Calibri" w:cs="FrankRuehl" w:hint="cs"/>
          <w:sz w:val="18"/>
          <w:szCs w:val="22"/>
          <w:rtl/>
        </w:rPr>
        <w:t>השינויים</w:t>
      </w:r>
      <w:r w:rsidRPr="00F41E78">
        <w:rPr>
          <w:rFonts w:eastAsia="Calibri" w:cs="FrankRuehl"/>
          <w:sz w:val="18"/>
          <w:szCs w:val="22"/>
          <w:rtl/>
        </w:rPr>
        <w:t xml:space="preserve"> </w:t>
      </w:r>
      <w:r w:rsidRPr="00F41E78">
        <w:rPr>
          <w:rFonts w:eastAsia="Calibri" w:cs="FrankRuehl" w:hint="cs"/>
          <w:sz w:val="18"/>
          <w:szCs w:val="22"/>
          <w:rtl/>
        </w:rPr>
        <w:t>ברמת</w:t>
      </w:r>
      <w:r w:rsidRPr="00F41E78">
        <w:rPr>
          <w:rFonts w:eastAsia="Calibri" w:cs="FrankRuehl"/>
          <w:sz w:val="18"/>
          <w:szCs w:val="22"/>
          <w:rtl/>
        </w:rPr>
        <w:t xml:space="preserve"> </w:t>
      </w:r>
      <w:r w:rsidRPr="00F41E78">
        <w:rPr>
          <w:rFonts w:eastAsia="Calibri" w:cs="FrankRuehl" w:hint="cs"/>
          <w:sz w:val="18"/>
          <w:szCs w:val="22"/>
          <w:rtl/>
        </w:rPr>
        <w:t>המחירים</w:t>
      </w:r>
      <w:r w:rsidRPr="00F41E78">
        <w:rPr>
          <w:rFonts w:eastAsia="Calibri" w:cs="FrankRuehl"/>
          <w:sz w:val="18"/>
          <w:szCs w:val="22"/>
          <w:rtl/>
        </w:rPr>
        <w:t xml:space="preserve"> </w:t>
      </w:r>
      <w:r w:rsidRPr="00F41E78">
        <w:rPr>
          <w:rFonts w:eastAsia="Calibri" w:cs="FrankRuehl" w:hint="cs"/>
          <w:sz w:val="18"/>
          <w:szCs w:val="22"/>
          <w:rtl/>
        </w:rPr>
        <w:t>של</w:t>
      </w:r>
      <w:r w:rsidRPr="00F41E78">
        <w:rPr>
          <w:rFonts w:eastAsia="Calibri" w:cs="FrankRuehl"/>
          <w:sz w:val="18"/>
          <w:szCs w:val="22"/>
          <w:rtl/>
        </w:rPr>
        <w:t xml:space="preserve"> </w:t>
      </w:r>
      <w:r w:rsidRPr="00F41E78">
        <w:rPr>
          <w:rFonts w:eastAsia="Calibri" w:cs="FrankRuehl" w:hint="cs"/>
          <w:sz w:val="18"/>
          <w:szCs w:val="22"/>
          <w:rtl/>
        </w:rPr>
        <w:t>דירות</w:t>
      </w:r>
      <w:r w:rsidRPr="00F41E78">
        <w:rPr>
          <w:rFonts w:eastAsia="Calibri" w:cs="FrankRuehl"/>
          <w:sz w:val="18"/>
          <w:szCs w:val="22"/>
          <w:rtl/>
        </w:rPr>
        <w:t xml:space="preserve"> </w:t>
      </w:r>
      <w:r w:rsidRPr="00F41E78">
        <w:rPr>
          <w:rFonts w:eastAsia="Calibri" w:cs="FrankRuehl" w:hint="cs"/>
          <w:sz w:val="18"/>
          <w:szCs w:val="22"/>
          <w:rtl/>
        </w:rPr>
        <w:t>בבעלות</w:t>
      </w:r>
      <w:r w:rsidRPr="00F41E78">
        <w:rPr>
          <w:rFonts w:eastAsia="Calibri" w:cs="FrankRuehl"/>
          <w:sz w:val="18"/>
          <w:szCs w:val="22"/>
          <w:rtl/>
        </w:rPr>
        <w:t xml:space="preserve"> </w:t>
      </w:r>
      <w:r w:rsidRPr="00F41E78">
        <w:rPr>
          <w:rFonts w:eastAsia="Calibri" w:cs="FrankRuehl" w:hint="cs"/>
          <w:sz w:val="18"/>
          <w:szCs w:val="22"/>
          <w:rtl/>
        </w:rPr>
        <w:t>בישראל</w:t>
      </w:r>
      <w:r w:rsidRPr="00F41E78">
        <w:rPr>
          <w:rFonts w:eastAsia="Calibri" w:cs="FrankRuehl"/>
          <w:sz w:val="18"/>
          <w:szCs w:val="22"/>
          <w:rtl/>
        </w:rPr>
        <w:t xml:space="preserve">. </w:t>
      </w:r>
      <w:r w:rsidRPr="00F41E78">
        <w:rPr>
          <w:rFonts w:eastAsia="Calibri" w:cs="FrankRuehl" w:hint="cs"/>
          <w:sz w:val="18"/>
          <w:szCs w:val="22"/>
          <w:rtl/>
        </w:rPr>
        <w:t>עם</w:t>
      </w:r>
      <w:r w:rsidRPr="00F41E78">
        <w:rPr>
          <w:rFonts w:eastAsia="Calibri" w:cs="FrankRuehl"/>
          <w:sz w:val="18"/>
          <w:szCs w:val="22"/>
          <w:rtl/>
        </w:rPr>
        <w:t xml:space="preserve"> </w:t>
      </w:r>
      <w:r w:rsidRPr="00F41E78">
        <w:rPr>
          <w:rFonts w:eastAsia="Calibri" w:cs="FrankRuehl" w:hint="cs"/>
          <w:sz w:val="18"/>
          <w:szCs w:val="22"/>
          <w:rtl/>
        </w:rPr>
        <w:t>זאת</w:t>
      </w:r>
      <w:r w:rsidRPr="00F41E78">
        <w:rPr>
          <w:rFonts w:eastAsia="Calibri" w:cs="FrankRuehl"/>
          <w:sz w:val="18"/>
          <w:szCs w:val="22"/>
          <w:rtl/>
        </w:rPr>
        <w:t xml:space="preserve"> </w:t>
      </w:r>
      <w:r w:rsidRPr="00F41E78">
        <w:rPr>
          <w:rFonts w:eastAsia="Calibri" w:cs="FrankRuehl" w:hint="cs"/>
          <w:sz w:val="18"/>
          <w:szCs w:val="22"/>
          <w:rtl/>
        </w:rPr>
        <w:t>הצוות</w:t>
      </w:r>
      <w:r w:rsidRPr="00F41E78">
        <w:rPr>
          <w:rFonts w:eastAsia="Calibri" w:cs="FrankRuehl"/>
          <w:sz w:val="18"/>
          <w:szCs w:val="22"/>
          <w:rtl/>
        </w:rPr>
        <w:t xml:space="preserve"> </w:t>
      </w:r>
      <w:r w:rsidRPr="00F41E78">
        <w:rPr>
          <w:rFonts w:eastAsia="Calibri" w:cs="FrankRuehl" w:hint="cs"/>
          <w:sz w:val="18"/>
          <w:szCs w:val="22"/>
          <w:rtl/>
        </w:rPr>
        <w:t>מצא</w:t>
      </w:r>
      <w:r w:rsidRPr="00F41E78">
        <w:rPr>
          <w:rFonts w:eastAsia="Calibri" w:cs="FrankRuehl"/>
          <w:sz w:val="18"/>
          <w:szCs w:val="22"/>
          <w:rtl/>
        </w:rPr>
        <w:t xml:space="preserve"> </w:t>
      </w:r>
      <w:r w:rsidRPr="00F41E78">
        <w:rPr>
          <w:rFonts w:eastAsia="Calibri" w:cs="FrankRuehl" w:hint="cs"/>
          <w:sz w:val="18"/>
          <w:szCs w:val="22"/>
          <w:rtl/>
        </w:rPr>
        <w:t>כי</w:t>
      </w:r>
      <w:r w:rsidRPr="00F41E78">
        <w:rPr>
          <w:rFonts w:eastAsia="Calibri" w:cs="FrankRuehl"/>
          <w:sz w:val="18"/>
          <w:szCs w:val="22"/>
          <w:rtl/>
        </w:rPr>
        <w:t xml:space="preserve"> </w:t>
      </w:r>
      <w:r w:rsidRPr="00F41E78">
        <w:rPr>
          <w:rFonts w:eastAsia="Calibri" w:cs="FrankRuehl" w:hint="cs"/>
          <w:sz w:val="18"/>
          <w:szCs w:val="22"/>
          <w:rtl/>
        </w:rPr>
        <w:t>נדרש</w:t>
      </w:r>
      <w:r w:rsidRPr="00F41E78">
        <w:rPr>
          <w:rFonts w:eastAsia="Calibri" w:cs="FrankRuehl"/>
          <w:sz w:val="18"/>
          <w:szCs w:val="22"/>
          <w:rtl/>
        </w:rPr>
        <w:t xml:space="preserve"> </w:t>
      </w:r>
      <w:r w:rsidRPr="00F41E78">
        <w:rPr>
          <w:rFonts w:eastAsia="Calibri" w:cs="FrankRuehl" w:hint="cs"/>
          <w:sz w:val="18"/>
          <w:szCs w:val="22"/>
          <w:rtl/>
        </w:rPr>
        <w:t>שיפור</w:t>
      </w:r>
      <w:r w:rsidRPr="00F41E78">
        <w:rPr>
          <w:rFonts w:eastAsia="Calibri" w:cs="FrankRuehl"/>
          <w:sz w:val="18"/>
          <w:szCs w:val="22"/>
          <w:rtl/>
        </w:rPr>
        <w:t xml:space="preserve"> </w:t>
      </w:r>
      <w:r w:rsidRPr="00F41E78">
        <w:rPr>
          <w:rFonts w:eastAsia="Calibri" w:cs="FrankRuehl" w:hint="cs"/>
          <w:sz w:val="18"/>
          <w:szCs w:val="22"/>
          <w:rtl/>
        </w:rPr>
        <w:t>משמעותי</w:t>
      </w:r>
      <w:r w:rsidRPr="00F41E78">
        <w:rPr>
          <w:rFonts w:eastAsia="Calibri" w:cs="FrankRuehl"/>
          <w:sz w:val="18"/>
          <w:szCs w:val="22"/>
          <w:rtl/>
        </w:rPr>
        <w:t xml:space="preserve"> </w:t>
      </w:r>
      <w:r w:rsidRPr="00F41E78">
        <w:rPr>
          <w:rFonts w:eastAsia="Calibri" w:cs="FrankRuehl" w:hint="cs"/>
          <w:sz w:val="18"/>
          <w:szCs w:val="22"/>
          <w:rtl/>
        </w:rPr>
        <w:t>בנתונים</w:t>
      </w:r>
      <w:r w:rsidRPr="00F41E78">
        <w:rPr>
          <w:rFonts w:eastAsia="Calibri" w:cs="FrankRuehl"/>
          <w:sz w:val="18"/>
          <w:szCs w:val="22"/>
          <w:rtl/>
        </w:rPr>
        <w:t xml:space="preserve"> </w:t>
      </w:r>
      <w:r w:rsidRPr="00F41E78">
        <w:rPr>
          <w:rFonts w:eastAsia="Calibri" w:cs="FrankRuehl" w:hint="cs"/>
          <w:sz w:val="18"/>
          <w:szCs w:val="22"/>
          <w:rtl/>
        </w:rPr>
        <w:t>על</w:t>
      </w:r>
      <w:r w:rsidRPr="00F41E78">
        <w:rPr>
          <w:rFonts w:eastAsia="Calibri" w:cs="FrankRuehl"/>
          <w:sz w:val="18"/>
          <w:szCs w:val="22"/>
          <w:rtl/>
        </w:rPr>
        <w:t xml:space="preserve"> </w:t>
      </w:r>
      <w:r w:rsidRPr="00F41E78">
        <w:rPr>
          <w:rFonts w:eastAsia="Calibri" w:cs="FrankRuehl" w:hint="cs"/>
          <w:sz w:val="18"/>
          <w:szCs w:val="22"/>
          <w:rtl/>
        </w:rPr>
        <w:t>הדיור</w:t>
      </w:r>
      <w:r w:rsidRPr="00F41E78">
        <w:rPr>
          <w:rFonts w:eastAsia="Calibri" w:cs="FrankRuehl"/>
          <w:sz w:val="18"/>
          <w:szCs w:val="22"/>
          <w:rtl/>
        </w:rPr>
        <w:t xml:space="preserve"> </w:t>
      </w:r>
      <w:r w:rsidRPr="00F41E78">
        <w:rPr>
          <w:rFonts w:eastAsia="Calibri" w:cs="FrankRuehl" w:hint="cs"/>
          <w:sz w:val="18"/>
          <w:szCs w:val="22"/>
          <w:rtl/>
        </w:rPr>
        <w:t>בישראל</w:t>
      </w:r>
      <w:r w:rsidRPr="00F41E78">
        <w:rPr>
          <w:rFonts w:eastAsia="Calibri" w:cs="FrankRuehl"/>
          <w:sz w:val="18"/>
          <w:szCs w:val="22"/>
          <w:rtl/>
        </w:rPr>
        <w:t xml:space="preserve"> - </w:t>
      </w:r>
      <w:r w:rsidRPr="00F41E78">
        <w:rPr>
          <w:rFonts w:eastAsia="Calibri" w:cs="FrankRuehl" w:hint="cs"/>
          <w:sz w:val="18"/>
          <w:szCs w:val="22"/>
          <w:rtl/>
        </w:rPr>
        <w:t>הן</w:t>
      </w:r>
      <w:r w:rsidRPr="00F41E78">
        <w:rPr>
          <w:rFonts w:eastAsia="Calibri" w:cs="FrankRuehl"/>
          <w:sz w:val="18"/>
          <w:szCs w:val="22"/>
          <w:rtl/>
        </w:rPr>
        <w:t xml:space="preserve"> </w:t>
      </w:r>
      <w:r w:rsidRPr="00F41E78">
        <w:rPr>
          <w:rFonts w:eastAsia="Calibri" w:cs="FrankRuehl" w:hint="cs"/>
          <w:sz w:val="18"/>
          <w:szCs w:val="22"/>
          <w:rtl/>
        </w:rPr>
        <w:t>מבחינת</w:t>
      </w:r>
      <w:r w:rsidRPr="00F41E78">
        <w:rPr>
          <w:rFonts w:eastAsia="Calibri" w:cs="FrankRuehl"/>
          <w:sz w:val="18"/>
          <w:szCs w:val="22"/>
          <w:rtl/>
        </w:rPr>
        <w:t xml:space="preserve"> </w:t>
      </w:r>
      <w:r w:rsidRPr="00F41E78">
        <w:rPr>
          <w:rFonts w:eastAsia="Calibri" w:cs="FrankRuehl" w:hint="cs"/>
          <w:sz w:val="18"/>
          <w:szCs w:val="22"/>
          <w:rtl/>
        </w:rPr>
        <w:t>אמינותם</w:t>
      </w:r>
      <w:r w:rsidRPr="00F41E78">
        <w:rPr>
          <w:rFonts w:eastAsia="Calibri" w:cs="FrankRuehl"/>
          <w:sz w:val="18"/>
          <w:szCs w:val="22"/>
          <w:rtl/>
        </w:rPr>
        <w:t xml:space="preserve"> </w:t>
      </w:r>
      <w:r w:rsidRPr="00F41E78">
        <w:rPr>
          <w:rFonts w:eastAsia="Calibri" w:cs="FrankRuehl" w:hint="cs"/>
          <w:sz w:val="18"/>
          <w:szCs w:val="22"/>
          <w:rtl/>
        </w:rPr>
        <w:t>ואיכותם</w:t>
      </w:r>
      <w:r w:rsidRPr="00F41E78">
        <w:rPr>
          <w:rFonts w:eastAsia="Calibri" w:cs="FrankRuehl"/>
          <w:sz w:val="18"/>
          <w:szCs w:val="22"/>
          <w:rtl/>
        </w:rPr>
        <w:t xml:space="preserve"> </w:t>
      </w:r>
      <w:r w:rsidRPr="00F41E78">
        <w:rPr>
          <w:rFonts w:eastAsia="Calibri" w:cs="FrankRuehl" w:hint="cs"/>
          <w:sz w:val="18"/>
          <w:szCs w:val="22"/>
          <w:rtl/>
        </w:rPr>
        <w:t>והן</w:t>
      </w:r>
      <w:r w:rsidRPr="00F41E78">
        <w:rPr>
          <w:rFonts w:eastAsia="Calibri" w:cs="FrankRuehl"/>
          <w:sz w:val="18"/>
          <w:szCs w:val="22"/>
          <w:rtl/>
        </w:rPr>
        <w:t xml:space="preserve"> </w:t>
      </w:r>
      <w:r w:rsidRPr="00F41E78">
        <w:rPr>
          <w:rFonts w:eastAsia="Calibri" w:cs="FrankRuehl" w:hint="cs"/>
          <w:sz w:val="18"/>
          <w:szCs w:val="22"/>
          <w:rtl/>
        </w:rPr>
        <w:t>מבחינת</w:t>
      </w:r>
      <w:r w:rsidRPr="00F41E78">
        <w:rPr>
          <w:rFonts w:eastAsia="Calibri" w:cs="FrankRuehl"/>
          <w:sz w:val="18"/>
          <w:szCs w:val="22"/>
          <w:rtl/>
        </w:rPr>
        <w:t xml:space="preserve"> </w:t>
      </w:r>
      <w:r w:rsidRPr="00F41E78">
        <w:rPr>
          <w:rFonts w:eastAsia="Calibri" w:cs="FrankRuehl" w:hint="cs"/>
          <w:sz w:val="18"/>
          <w:szCs w:val="22"/>
          <w:rtl/>
        </w:rPr>
        <w:t>היקפם</w:t>
      </w:r>
      <w:r w:rsidRPr="00F41E78">
        <w:rPr>
          <w:rFonts w:eastAsia="Calibri" w:cs="FrankRuehl"/>
          <w:sz w:val="18"/>
          <w:szCs w:val="22"/>
          <w:rtl/>
        </w:rPr>
        <w:t>.</w:t>
      </w:r>
      <w:r w:rsidRPr="00F41E78">
        <w:rPr>
          <w:rFonts w:eastAsia="Calibri" w:cs="FrankRuehl" w:hint="cs"/>
          <w:sz w:val="18"/>
          <w:szCs w:val="22"/>
          <w:rtl/>
        </w:rPr>
        <w:t xml:space="preserve"> </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בתשובתה של הלמ"ס נמסר כי "במידה והכיוון הוא שהלמ"ס תהיה הגורם המוסמך לחישוב מחירי הדירות, ולא מדובר בשתי מטרות שונות, להערכתנו אין צורך ב-2 פרסומים של מחירים ממוצעים ותאומים בין-משרדיים שיביאו לאותה תוצאה".</w:t>
      </w:r>
    </w:p>
    <w:p w:rsidR="00E97EDA" w:rsidRPr="00F41E78" w:rsidP="0044469D">
      <w:pPr>
        <w:spacing w:after="120" w:line="230" w:lineRule="exact"/>
        <w:jc w:val="both"/>
        <w:rPr>
          <w:rFonts w:eastAsia="Calibri" w:cs="FrankRuehl"/>
          <w:sz w:val="18"/>
          <w:szCs w:val="22"/>
          <w:rtl/>
        </w:rPr>
      </w:pPr>
      <w:r w:rsidRPr="00F41E78">
        <w:rPr>
          <w:rFonts w:eastAsia="Calibri" w:cs="FrankRuehl" w:hint="cs"/>
          <w:sz w:val="18"/>
          <w:szCs w:val="22"/>
          <w:rtl/>
        </w:rPr>
        <w:t>בתשובתו של משרד הבינוי מינואר 2014 מסר מנכ"ל המשרד כי שיטות הבדיקה מתפרסמות בד בבד עם פרסום הנתונים, לרבות המגבלות והגורמים המשפיעים על הפערים ותוצאות ניתוח הנתונים. עוד מסר כי כדי לפשט את תמונת המצב בענף הנדל"ן וכדי למנוע בלבול בקרב הציבור, בימים אלו מתנהל פורום נדל"ן, בראשותו של אג"ת ובהשתתפות כל הגורמים הרלוונטיים, כדי לקדם האחדה של הנתונים המתפרסמים ולאפשר את טיובם.</w:t>
      </w:r>
    </w:p>
    <w:p w:rsidR="00E97EDA" w:rsidRPr="00F41E78" w:rsidP="00117F67">
      <w:pPr>
        <w:spacing w:after="120" w:line="230" w:lineRule="exact"/>
        <w:jc w:val="both"/>
        <w:rPr>
          <w:rFonts w:eastAsia="Calibri" w:cs="FrankRuehl"/>
          <w:sz w:val="18"/>
          <w:szCs w:val="22"/>
          <w:rtl/>
        </w:rPr>
      </w:pPr>
      <w:r w:rsidRPr="00F41E78">
        <w:rPr>
          <w:rFonts w:eastAsia="Calibri" w:cs="FrankRuehl" w:hint="cs"/>
          <w:sz w:val="18"/>
          <w:szCs w:val="22"/>
          <w:rtl/>
        </w:rPr>
        <w:t>בתשובתו של משרד המשפטים מינואר 2014 מסר השמאי הממשלתי כי בשנת 2009, לאחר שזיהה את המחסור בנתונים והבלבול ששרר בתחום, החל משרדו באיסוף, בניתוח ובפרסום של נתונים. עוד מסר כי הוא מצפה להחלטות אופרטיביות שיקבל הצוות הבין-משרדי בהובלת משרד האוצר לביצוע אומדן אחיד ומהימן. הוא הוסיף כי את הניפוי והניכוי של עסקאות חריגות מקובץ הכרמ"ן עושים שמאי מקרקעין מוסמכים המשתמשים לצורך כך בידע ובניסיון מקצועי רב, ואין הניפוי אמור להשפיע על שיעור השתנות מחירי הדירות בין רבעון למשנהו.</w:t>
      </w:r>
    </w:p>
    <w:p w:rsidR="00E97EDA" w:rsidRPr="00F41E78" w:rsidP="00FF2CBA">
      <w:pPr>
        <w:spacing w:after="240" w:line="230" w:lineRule="exact"/>
        <w:jc w:val="both"/>
        <w:rPr>
          <w:rFonts w:eastAsia="Calibri" w:cs="FrankRuehl"/>
          <w:sz w:val="18"/>
          <w:szCs w:val="22"/>
          <w:rtl/>
        </w:rPr>
      </w:pPr>
      <w:r w:rsidRPr="00F41E78">
        <w:rPr>
          <w:rFonts w:eastAsia="Calibri" w:cs="FrankRuehl" w:hint="cs"/>
          <w:sz w:val="18"/>
          <w:szCs w:val="22"/>
          <w:rtl/>
        </w:rPr>
        <w:t>במסגרת כללי האתיקה של הלמ"ס</w:t>
      </w:r>
      <w:r>
        <w:rPr>
          <w:rFonts w:eastAsia="Calibri" w:cs="FrankRuehl"/>
          <w:sz w:val="18"/>
          <w:szCs w:val="22"/>
          <w:vertAlign w:val="superscript"/>
          <w:rtl/>
        </w:rPr>
        <w:footnoteReference w:id="74"/>
      </w:r>
      <w:r w:rsidRPr="00F41E78">
        <w:rPr>
          <w:rFonts w:eastAsia="Calibri" w:cs="FrankRuehl" w:hint="cs"/>
          <w:sz w:val="18"/>
          <w:szCs w:val="22"/>
          <w:rtl/>
        </w:rPr>
        <w:t xml:space="preserve"> נקבע כי פרסום</w:t>
      </w:r>
      <w:r w:rsidRPr="00F41E78">
        <w:rPr>
          <w:rFonts w:eastAsia="Calibri" w:cs="FrankRuehl"/>
          <w:sz w:val="18"/>
          <w:szCs w:val="22"/>
          <w:rtl/>
        </w:rPr>
        <w:t xml:space="preserve"> </w:t>
      </w:r>
      <w:r w:rsidRPr="00F41E78">
        <w:rPr>
          <w:rFonts w:eastAsia="Calibri" w:cs="FrankRuehl" w:hint="cs"/>
          <w:sz w:val="18"/>
          <w:szCs w:val="22"/>
          <w:rtl/>
        </w:rPr>
        <w:t>ממצאים</w:t>
      </w:r>
      <w:r w:rsidRPr="00F41E78">
        <w:rPr>
          <w:rFonts w:eastAsia="Calibri" w:cs="FrankRuehl"/>
          <w:sz w:val="18"/>
          <w:szCs w:val="22"/>
          <w:rtl/>
        </w:rPr>
        <w:t xml:space="preserve"> </w:t>
      </w:r>
      <w:r w:rsidRPr="00F41E78">
        <w:rPr>
          <w:rFonts w:eastAsia="Calibri" w:cs="FrankRuehl" w:hint="cs"/>
          <w:sz w:val="18"/>
          <w:szCs w:val="22"/>
          <w:rtl/>
        </w:rPr>
        <w:t>סטטיסטיים</w:t>
      </w:r>
      <w:r w:rsidRPr="00F41E78">
        <w:rPr>
          <w:rFonts w:eastAsia="Calibri" w:cs="FrankRuehl"/>
          <w:sz w:val="18"/>
          <w:szCs w:val="22"/>
          <w:rtl/>
        </w:rPr>
        <w:t xml:space="preserve"> </w:t>
      </w:r>
      <w:r w:rsidRPr="00F41E78">
        <w:rPr>
          <w:rFonts w:eastAsia="Calibri" w:cs="FrankRuehl" w:hint="cs"/>
          <w:sz w:val="18"/>
          <w:szCs w:val="22"/>
          <w:rtl/>
        </w:rPr>
        <w:t>בציבור</w:t>
      </w:r>
      <w:r w:rsidRPr="00F41E78">
        <w:rPr>
          <w:rFonts w:eastAsia="Calibri" w:cs="FrankRuehl"/>
          <w:sz w:val="18"/>
          <w:szCs w:val="22"/>
          <w:rtl/>
        </w:rPr>
        <w:t xml:space="preserve"> </w:t>
      </w:r>
      <w:r w:rsidRPr="00F41E78">
        <w:rPr>
          <w:rFonts w:eastAsia="Calibri" w:cs="FrankRuehl" w:hint="cs"/>
          <w:sz w:val="18"/>
          <w:szCs w:val="22"/>
          <w:rtl/>
        </w:rPr>
        <w:t>תלווה</w:t>
      </w:r>
      <w:r w:rsidRPr="00F41E78">
        <w:rPr>
          <w:rFonts w:eastAsia="Calibri" w:cs="FrankRuehl"/>
          <w:sz w:val="18"/>
          <w:szCs w:val="22"/>
          <w:rtl/>
        </w:rPr>
        <w:t xml:space="preserve"> </w:t>
      </w:r>
      <w:r w:rsidRPr="00F41E78">
        <w:rPr>
          <w:rFonts w:eastAsia="Calibri" w:cs="FrankRuehl" w:hint="cs"/>
          <w:sz w:val="18"/>
          <w:szCs w:val="22"/>
          <w:rtl/>
        </w:rPr>
        <w:t>בהסברים</w:t>
      </w:r>
      <w:r w:rsidRPr="00F41E78">
        <w:rPr>
          <w:rFonts w:eastAsia="Calibri" w:cs="FrankRuehl"/>
          <w:sz w:val="18"/>
          <w:szCs w:val="22"/>
          <w:rtl/>
        </w:rPr>
        <w:t xml:space="preserve"> </w:t>
      </w:r>
      <w:r w:rsidRPr="00F41E78">
        <w:rPr>
          <w:rFonts w:eastAsia="Calibri" w:cs="FrankRuehl" w:hint="cs"/>
          <w:sz w:val="18"/>
          <w:szCs w:val="22"/>
          <w:rtl/>
        </w:rPr>
        <w:t>הדרושים</w:t>
      </w:r>
      <w:r w:rsidRPr="00F41E78">
        <w:rPr>
          <w:rFonts w:eastAsia="Calibri" w:cs="FrankRuehl"/>
          <w:sz w:val="18"/>
          <w:szCs w:val="22"/>
          <w:rtl/>
        </w:rPr>
        <w:t xml:space="preserve"> </w:t>
      </w:r>
      <w:r w:rsidRPr="00F41E78">
        <w:rPr>
          <w:rFonts w:eastAsia="Calibri" w:cs="FrankRuehl" w:hint="cs"/>
          <w:sz w:val="18"/>
          <w:szCs w:val="22"/>
          <w:rtl/>
        </w:rPr>
        <w:t>כדי</w:t>
      </w:r>
      <w:r w:rsidRPr="00F41E78">
        <w:rPr>
          <w:rFonts w:eastAsia="Calibri" w:cs="FrankRuehl"/>
          <w:sz w:val="18"/>
          <w:szCs w:val="22"/>
          <w:rtl/>
        </w:rPr>
        <w:t xml:space="preserve"> </w:t>
      </w:r>
      <w:r w:rsidRPr="00F41E78">
        <w:rPr>
          <w:rFonts w:eastAsia="Calibri" w:cs="FrankRuehl" w:hint="cs"/>
          <w:sz w:val="18"/>
          <w:szCs w:val="22"/>
          <w:rtl/>
        </w:rPr>
        <w:t>לאפשר</w:t>
      </w:r>
      <w:r w:rsidRPr="00F41E78">
        <w:rPr>
          <w:rFonts w:eastAsia="Calibri" w:cs="FrankRuehl"/>
          <w:sz w:val="18"/>
          <w:szCs w:val="22"/>
          <w:rtl/>
        </w:rPr>
        <w:t xml:space="preserve"> </w:t>
      </w:r>
      <w:r w:rsidRPr="00F41E78">
        <w:rPr>
          <w:rFonts w:eastAsia="Calibri" w:cs="FrankRuehl" w:hint="cs"/>
          <w:sz w:val="18"/>
          <w:szCs w:val="22"/>
          <w:rtl/>
        </w:rPr>
        <w:t>לציבור</w:t>
      </w:r>
      <w:r w:rsidRPr="00F41E78">
        <w:rPr>
          <w:rFonts w:eastAsia="Calibri" w:cs="FrankRuehl"/>
          <w:sz w:val="18"/>
          <w:szCs w:val="22"/>
          <w:rtl/>
        </w:rPr>
        <w:t xml:space="preserve"> </w:t>
      </w:r>
      <w:r w:rsidRPr="00F41E78">
        <w:rPr>
          <w:rFonts w:eastAsia="Calibri" w:cs="FrankRuehl" w:hint="cs"/>
          <w:sz w:val="18"/>
          <w:szCs w:val="22"/>
          <w:rtl/>
        </w:rPr>
        <w:t>להעריך נכון</w:t>
      </w:r>
      <w:r w:rsidRPr="00F41E78">
        <w:rPr>
          <w:rFonts w:eastAsia="Calibri" w:cs="FrankRuehl"/>
          <w:sz w:val="18"/>
          <w:szCs w:val="22"/>
          <w:rtl/>
        </w:rPr>
        <w:t xml:space="preserve"> </w:t>
      </w:r>
      <w:r w:rsidRPr="00F41E78">
        <w:rPr>
          <w:rFonts w:eastAsia="Calibri" w:cs="FrankRuehl" w:hint="cs"/>
          <w:sz w:val="18"/>
          <w:szCs w:val="22"/>
          <w:rtl/>
        </w:rPr>
        <w:t>את</w:t>
      </w:r>
      <w:r w:rsidRPr="00F41E78">
        <w:rPr>
          <w:rFonts w:eastAsia="Calibri" w:cs="FrankRuehl"/>
          <w:sz w:val="18"/>
          <w:szCs w:val="22"/>
          <w:rtl/>
        </w:rPr>
        <w:t xml:space="preserve"> </w:t>
      </w:r>
      <w:r w:rsidRPr="00F41E78">
        <w:rPr>
          <w:rFonts w:eastAsia="Calibri" w:cs="FrankRuehl" w:hint="cs"/>
          <w:sz w:val="18"/>
          <w:szCs w:val="22"/>
          <w:rtl/>
        </w:rPr>
        <w:t>מהימנותם</w:t>
      </w:r>
      <w:r w:rsidRPr="00F41E78">
        <w:rPr>
          <w:rFonts w:eastAsia="Calibri" w:cs="FrankRuehl"/>
          <w:sz w:val="18"/>
          <w:szCs w:val="22"/>
          <w:rtl/>
        </w:rPr>
        <w:t xml:space="preserve">. </w:t>
      </w:r>
      <w:r w:rsidRPr="00F41E78">
        <w:rPr>
          <w:rFonts w:eastAsia="Calibri" w:cs="FrankRuehl" w:hint="cs"/>
          <w:sz w:val="18"/>
          <w:szCs w:val="22"/>
          <w:rtl/>
        </w:rPr>
        <w:t>כמו</w:t>
      </w:r>
      <w:r w:rsidRPr="00F41E78">
        <w:rPr>
          <w:rFonts w:eastAsia="Calibri" w:cs="FrankRuehl"/>
          <w:sz w:val="18"/>
          <w:szCs w:val="22"/>
          <w:rtl/>
        </w:rPr>
        <w:t xml:space="preserve"> </w:t>
      </w:r>
      <w:r w:rsidRPr="00F41E78">
        <w:rPr>
          <w:rFonts w:eastAsia="Calibri" w:cs="FrankRuehl" w:hint="cs"/>
          <w:sz w:val="18"/>
          <w:szCs w:val="22"/>
          <w:rtl/>
        </w:rPr>
        <w:t>כן,</w:t>
      </w:r>
      <w:r w:rsidRPr="00F41E78">
        <w:rPr>
          <w:rFonts w:eastAsia="Calibri" w:cs="FrankRuehl"/>
          <w:sz w:val="18"/>
          <w:szCs w:val="22"/>
          <w:rtl/>
        </w:rPr>
        <w:t xml:space="preserve"> </w:t>
      </w:r>
      <w:r w:rsidRPr="00F41E78">
        <w:rPr>
          <w:rFonts w:eastAsia="Calibri" w:cs="FrankRuehl" w:hint="cs"/>
          <w:sz w:val="18"/>
          <w:szCs w:val="22"/>
          <w:rtl/>
        </w:rPr>
        <w:t>נקבע כי הלשכה תציין בפרסום</w:t>
      </w:r>
      <w:r w:rsidRPr="00F41E78">
        <w:rPr>
          <w:rFonts w:eastAsia="Calibri" w:cs="FrankRuehl"/>
          <w:sz w:val="18"/>
          <w:szCs w:val="22"/>
          <w:rtl/>
        </w:rPr>
        <w:t xml:space="preserve"> </w:t>
      </w:r>
      <w:r w:rsidRPr="00F41E78">
        <w:rPr>
          <w:rFonts w:eastAsia="Calibri" w:cs="FrankRuehl" w:hint="cs"/>
          <w:sz w:val="18"/>
          <w:szCs w:val="22"/>
          <w:rtl/>
        </w:rPr>
        <w:t>אם</w:t>
      </w:r>
      <w:r w:rsidRPr="00F41E78">
        <w:rPr>
          <w:rFonts w:eastAsia="Calibri" w:cs="FrankRuehl"/>
          <w:sz w:val="18"/>
          <w:szCs w:val="22"/>
          <w:rtl/>
        </w:rPr>
        <w:t xml:space="preserve"> </w:t>
      </w:r>
      <w:r w:rsidRPr="00F41E78">
        <w:rPr>
          <w:rFonts w:eastAsia="Calibri" w:cs="FrankRuehl" w:hint="cs"/>
          <w:sz w:val="18"/>
          <w:szCs w:val="22"/>
          <w:rtl/>
        </w:rPr>
        <w:t>מדובר</w:t>
      </w:r>
      <w:r w:rsidRPr="00F41E78">
        <w:rPr>
          <w:rFonts w:eastAsia="Calibri" w:cs="FrankRuehl"/>
          <w:sz w:val="18"/>
          <w:szCs w:val="22"/>
          <w:rtl/>
        </w:rPr>
        <w:t xml:space="preserve"> </w:t>
      </w:r>
      <w:r w:rsidRPr="00F41E78">
        <w:rPr>
          <w:rFonts w:eastAsia="Calibri" w:cs="FrankRuehl" w:hint="cs"/>
          <w:sz w:val="18"/>
          <w:szCs w:val="22"/>
          <w:rtl/>
        </w:rPr>
        <w:t>בממצאים</w:t>
      </w:r>
      <w:r w:rsidRPr="00F41E78">
        <w:rPr>
          <w:rFonts w:eastAsia="Calibri" w:cs="FrankRuehl"/>
          <w:sz w:val="18"/>
          <w:szCs w:val="22"/>
          <w:rtl/>
        </w:rPr>
        <w:t xml:space="preserve"> </w:t>
      </w:r>
      <w:r w:rsidRPr="00F41E78">
        <w:rPr>
          <w:rFonts w:eastAsia="Calibri" w:cs="FrankRuehl" w:hint="cs"/>
          <w:sz w:val="18"/>
          <w:szCs w:val="22"/>
          <w:rtl/>
        </w:rPr>
        <w:t>ישירים</w:t>
      </w:r>
      <w:r w:rsidRPr="00F41E78">
        <w:rPr>
          <w:rFonts w:eastAsia="Calibri" w:cs="FrankRuehl"/>
          <w:sz w:val="18"/>
          <w:szCs w:val="22"/>
          <w:rtl/>
        </w:rPr>
        <w:t xml:space="preserve">, </w:t>
      </w:r>
      <w:r w:rsidRPr="00F41E78">
        <w:rPr>
          <w:rFonts w:eastAsia="Calibri" w:cs="FrankRuehl" w:hint="cs"/>
          <w:sz w:val="18"/>
          <w:szCs w:val="22"/>
          <w:rtl/>
        </w:rPr>
        <w:t>בפירוש</w:t>
      </w:r>
      <w:r w:rsidRPr="00F41E78">
        <w:rPr>
          <w:rFonts w:eastAsia="Calibri" w:cs="FrankRuehl"/>
          <w:sz w:val="18"/>
          <w:szCs w:val="22"/>
          <w:rtl/>
        </w:rPr>
        <w:t xml:space="preserve"> </w:t>
      </w:r>
      <w:r w:rsidRPr="00F41E78">
        <w:rPr>
          <w:rFonts w:eastAsia="Calibri" w:cs="FrankRuehl" w:hint="cs"/>
          <w:sz w:val="18"/>
          <w:szCs w:val="22"/>
          <w:rtl/>
        </w:rPr>
        <w:t>של</w:t>
      </w:r>
      <w:r w:rsidRPr="00F41E78">
        <w:rPr>
          <w:rFonts w:eastAsia="Calibri" w:cs="FrankRuehl"/>
          <w:sz w:val="18"/>
          <w:szCs w:val="22"/>
          <w:rtl/>
        </w:rPr>
        <w:t xml:space="preserve"> </w:t>
      </w:r>
      <w:r w:rsidRPr="00F41E78">
        <w:rPr>
          <w:rFonts w:eastAsia="Calibri" w:cs="FrankRuehl" w:hint="cs"/>
          <w:sz w:val="18"/>
          <w:szCs w:val="22"/>
          <w:rtl/>
        </w:rPr>
        <w:t>ממצאים</w:t>
      </w:r>
      <w:r w:rsidRPr="00F41E78">
        <w:rPr>
          <w:rFonts w:eastAsia="Calibri" w:cs="FrankRuehl"/>
          <w:sz w:val="18"/>
          <w:szCs w:val="22"/>
          <w:rtl/>
        </w:rPr>
        <w:t xml:space="preserve"> </w:t>
      </w:r>
      <w:r w:rsidRPr="00F41E78">
        <w:rPr>
          <w:rFonts w:eastAsia="Calibri" w:cs="FrankRuehl" w:hint="cs"/>
          <w:sz w:val="18"/>
          <w:szCs w:val="22"/>
          <w:rtl/>
        </w:rPr>
        <w:t>או</w:t>
      </w:r>
      <w:r w:rsidRPr="00F41E78">
        <w:rPr>
          <w:rFonts w:eastAsia="Calibri" w:cs="FrankRuehl"/>
          <w:sz w:val="18"/>
          <w:szCs w:val="22"/>
          <w:rtl/>
        </w:rPr>
        <w:t xml:space="preserve"> </w:t>
      </w:r>
      <w:r w:rsidRPr="00F41E78">
        <w:rPr>
          <w:rFonts w:eastAsia="Calibri" w:cs="FrankRuehl" w:hint="cs"/>
          <w:sz w:val="18"/>
          <w:szCs w:val="22"/>
          <w:rtl/>
        </w:rPr>
        <w:t>בתחזיות</w:t>
      </w:r>
      <w:r w:rsidRPr="00F41E78">
        <w:rPr>
          <w:rFonts w:eastAsia="Calibri" w:cs="FrankRuehl"/>
          <w:sz w:val="18"/>
          <w:szCs w:val="22"/>
          <w:rtl/>
        </w:rPr>
        <w:t xml:space="preserve"> </w:t>
      </w:r>
      <w:r w:rsidRPr="00F41E78">
        <w:rPr>
          <w:rFonts w:eastAsia="Calibri" w:cs="FrankRuehl" w:hint="cs"/>
          <w:sz w:val="18"/>
          <w:szCs w:val="22"/>
          <w:rtl/>
        </w:rPr>
        <w:t>המבוססות</w:t>
      </w:r>
      <w:r w:rsidRPr="00F41E78">
        <w:rPr>
          <w:rFonts w:eastAsia="Calibri" w:cs="FrankRuehl"/>
          <w:sz w:val="18"/>
          <w:szCs w:val="22"/>
          <w:rtl/>
        </w:rPr>
        <w:t xml:space="preserve"> </w:t>
      </w:r>
      <w:r w:rsidRPr="00F41E78">
        <w:rPr>
          <w:rFonts w:eastAsia="Calibri" w:cs="FrankRuehl" w:hint="cs"/>
          <w:sz w:val="18"/>
          <w:szCs w:val="22"/>
          <w:rtl/>
        </w:rPr>
        <w:t>עליהם</w:t>
      </w:r>
      <w:r w:rsidRPr="00F41E78">
        <w:rPr>
          <w:rFonts w:eastAsia="Calibri" w:cs="FrankRuehl"/>
          <w:sz w:val="18"/>
          <w:szCs w:val="22"/>
          <w:rtl/>
        </w:rPr>
        <w:t>.</w:t>
      </w:r>
    </w:p>
    <w:p w:rsidR="00D22B16" w:rsidP="00D22B16">
      <w:pPr>
        <w:pStyle w:val="RESHET"/>
        <w:keepLines/>
        <w:rPr>
          <w:rFonts w:ascii="Calibri" w:hAnsi="Calibri"/>
          <w:sz w:val="26"/>
          <w:szCs w:val="26"/>
          <w:rtl/>
        </w:rPr>
      </w:pPr>
      <w:r w:rsidRPr="00F41E78">
        <w:rPr>
          <w:rFonts w:eastAsia="Calibri" w:hint="cs"/>
          <w:rtl/>
        </w:rPr>
        <w:t>לדעת משרד מבקר המדינה, ראוי שמשרדי ממשלה וגופים אחרים המפרסמים ממצאים סטטיסטיים בתחום הדיור יציינו בצידם גם את כל</w:t>
      </w:r>
      <w:r w:rsidRPr="00F41E78">
        <w:rPr>
          <w:rFonts w:eastAsia="Calibri"/>
          <w:rtl/>
        </w:rPr>
        <w:t xml:space="preserve"> </w:t>
      </w:r>
      <w:r w:rsidRPr="00F41E78">
        <w:rPr>
          <w:rFonts w:eastAsia="Calibri" w:hint="cs"/>
          <w:rtl/>
        </w:rPr>
        <w:t>המרכיבים</w:t>
      </w:r>
      <w:r w:rsidRPr="00F41E78">
        <w:rPr>
          <w:rFonts w:eastAsia="Calibri"/>
          <w:rtl/>
        </w:rPr>
        <w:t xml:space="preserve"> </w:t>
      </w:r>
      <w:r w:rsidRPr="00F41E78">
        <w:rPr>
          <w:rFonts w:eastAsia="Calibri" w:hint="cs"/>
          <w:rtl/>
        </w:rPr>
        <w:t>הרלוונטיים</w:t>
      </w:r>
      <w:r w:rsidRPr="00F41E78">
        <w:rPr>
          <w:rFonts w:eastAsia="Calibri"/>
          <w:rtl/>
        </w:rPr>
        <w:t xml:space="preserve"> </w:t>
      </w:r>
      <w:r w:rsidRPr="00F41E78">
        <w:rPr>
          <w:rFonts w:eastAsia="Calibri" w:hint="cs"/>
          <w:rtl/>
        </w:rPr>
        <w:t>להבנת</w:t>
      </w:r>
      <w:r w:rsidRPr="00F41E78">
        <w:rPr>
          <w:rFonts w:eastAsia="Calibri"/>
          <w:rtl/>
        </w:rPr>
        <w:t xml:space="preserve"> </w:t>
      </w:r>
      <w:r w:rsidRPr="00F41E78">
        <w:rPr>
          <w:rFonts w:eastAsia="Calibri" w:hint="cs"/>
          <w:rtl/>
        </w:rPr>
        <w:t>הפעולות</w:t>
      </w:r>
      <w:r w:rsidRPr="00F41E78">
        <w:rPr>
          <w:rFonts w:eastAsia="Calibri"/>
          <w:rtl/>
        </w:rPr>
        <w:t xml:space="preserve"> </w:t>
      </w:r>
      <w:r w:rsidRPr="00F41E78">
        <w:rPr>
          <w:rFonts w:eastAsia="Calibri" w:hint="cs"/>
          <w:rtl/>
        </w:rPr>
        <w:t>הסטטיסטיות</w:t>
      </w:r>
      <w:r w:rsidRPr="00F41E78">
        <w:rPr>
          <w:rFonts w:eastAsia="Calibri"/>
          <w:rtl/>
        </w:rPr>
        <w:t xml:space="preserve">, </w:t>
      </w:r>
      <w:r w:rsidRPr="00F41E78">
        <w:rPr>
          <w:rFonts w:eastAsia="Calibri" w:hint="cs"/>
          <w:rtl/>
        </w:rPr>
        <w:t>כמו ההגדרות</w:t>
      </w:r>
      <w:r w:rsidRPr="00F41E78">
        <w:rPr>
          <w:rFonts w:eastAsia="Calibri"/>
          <w:rtl/>
        </w:rPr>
        <w:t xml:space="preserve">, </w:t>
      </w:r>
      <w:r w:rsidRPr="00F41E78">
        <w:rPr>
          <w:rFonts w:eastAsia="Calibri" w:hint="cs"/>
          <w:rtl/>
        </w:rPr>
        <w:t>הנתונים,</w:t>
      </w:r>
      <w:r w:rsidRPr="00F41E78">
        <w:rPr>
          <w:rFonts w:eastAsia="Calibri"/>
          <w:rtl/>
        </w:rPr>
        <w:t xml:space="preserve"> </w:t>
      </w:r>
      <w:r w:rsidRPr="00F41E78">
        <w:rPr>
          <w:rFonts w:eastAsia="Calibri" w:hint="cs"/>
          <w:rtl/>
        </w:rPr>
        <w:t>השיטות</w:t>
      </w:r>
      <w:r w:rsidRPr="00F41E78">
        <w:rPr>
          <w:rFonts w:eastAsia="Calibri"/>
          <w:rtl/>
        </w:rPr>
        <w:t xml:space="preserve"> </w:t>
      </w:r>
      <w:r w:rsidRPr="00F41E78">
        <w:rPr>
          <w:rFonts w:eastAsia="Calibri" w:hint="cs"/>
          <w:rtl/>
        </w:rPr>
        <w:t>הסטטיסטיות שבהן הם</w:t>
      </w:r>
      <w:r w:rsidRPr="00F41E78">
        <w:rPr>
          <w:rFonts w:eastAsia="Calibri"/>
          <w:rtl/>
        </w:rPr>
        <w:t xml:space="preserve"> </w:t>
      </w:r>
      <w:r w:rsidRPr="00F41E78">
        <w:rPr>
          <w:rFonts w:eastAsia="Calibri" w:hint="cs"/>
          <w:rtl/>
        </w:rPr>
        <w:t>משתמשים</w:t>
      </w:r>
      <w:r w:rsidRPr="00F41E78">
        <w:rPr>
          <w:rFonts w:eastAsia="Calibri"/>
          <w:rtl/>
        </w:rPr>
        <w:t xml:space="preserve"> </w:t>
      </w:r>
      <w:r w:rsidRPr="00F41E78">
        <w:rPr>
          <w:rFonts w:eastAsia="Calibri" w:hint="cs"/>
          <w:rtl/>
        </w:rPr>
        <w:t>ואמות</w:t>
      </w:r>
      <w:r w:rsidRPr="00F41E78">
        <w:rPr>
          <w:rFonts w:eastAsia="Calibri"/>
          <w:rtl/>
        </w:rPr>
        <w:t xml:space="preserve"> </w:t>
      </w:r>
      <w:r w:rsidRPr="00F41E78">
        <w:rPr>
          <w:rFonts w:eastAsia="Calibri" w:hint="cs"/>
          <w:rtl/>
        </w:rPr>
        <w:t>המידה</w:t>
      </w:r>
      <w:r w:rsidRPr="00F41E78">
        <w:rPr>
          <w:rFonts w:eastAsia="Calibri"/>
          <w:rtl/>
        </w:rPr>
        <w:t xml:space="preserve"> </w:t>
      </w:r>
      <w:r w:rsidRPr="00F41E78">
        <w:rPr>
          <w:rFonts w:eastAsia="Calibri" w:hint="cs"/>
          <w:rtl/>
        </w:rPr>
        <w:t>המפורטות</w:t>
      </w:r>
      <w:r w:rsidRPr="00F41E78">
        <w:rPr>
          <w:rFonts w:eastAsia="Calibri"/>
          <w:rtl/>
        </w:rPr>
        <w:t xml:space="preserve"> </w:t>
      </w:r>
      <w:r w:rsidRPr="00F41E78">
        <w:rPr>
          <w:rFonts w:eastAsia="Calibri" w:hint="cs"/>
          <w:rtl/>
        </w:rPr>
        <w:t>לצורך</w:t>
      </w:r>
      <w:r w:rsidRPr="00F41E78">
        <w:rPr>
          <w:rFonts w:eastAsia="Calibri"/>
          <w:rtl/>
        </w:rPr>
        <w:t xml:space="preserve"> </w:t>
      </w:r>
      <w:r w:rsidRPr="00F41E78">
        <w:rPr>
          <w:rFonts w:eastAsia="Calibri" w:hint="cs"/>
          <w:rtl/>
        </w:rPr>
        <w:t>ניכוי</w:t>
      </w:r>
      <w:r w:rsidRPr="00F41E78">
        <w:rPr>
          <w:rFonts w:eastAsia="Calibri"/>
          <w:rtl/>
        </w:rPr>
        <w:t xml:space="preserve"> </w:t>
      </w:r>
      <w:r w:rsidRPr="00F41E78">
        <w:rPr>
          <w:rFonts w:eastAsia="Calibri" w:hint="cs"/>
          <w:rtl/>
        </w:rPr>
        <w:t>העסקאות</w:t>
      </w:r>
      <w:r w:rsidRPr="00F41E78">
        <w:rPr>
          <w:rFonts w:eastAsia="Calibri"/>
          <w:rtl/>
        </w:rPr>
        <w:t xml:space="preserve"> </w:t>
      </w:r>
      <w:r w:rsidRPr="00F41E78">
        <w:rPr>
          <w:rFonts w:eastAsia="Calibri" w:hint="cs"/>
          <w:rtl/>
        </w:rPr>
        <w:t xml:space="preserve">החריגות. </w:t>
      </w:r>
      <w:r w:rsidRPr="000849B8">
        <w:rPr>
          <w:rFonts w:eastAsia="Calibri" w:hint="cs"/>
          <w:rtl/>
        </w:rPr>
        <w:t>זאת, בדומה מהנדרש מהלמ"ס.</w:t>
      </w:r>
    </w:p>
    <w:p w:rsidR="008D3837" w:rsidRPr="00FF2CBA" w:rsidP="00FF2CBA">
      <w:pPr>
        <w:spacing w:after="120" w:line="230" w:lineRule="exact"/>
        <w:ind w:left="12"/>
        <w:jc w:val="both"/>
        <w:rPr>
          <w:rFonts w:eastAsia="Calibri" w:cs="FrankRuehl"/>
          <w:sz w:val="18"/>
          <w:szCs w:val="22"/>
          <w:rtl/>
        </w:rPr>
      </w:pPr>
    </w:p>
    <w:p w:rsidR="00E97EDA" w:rsidRPr="00E97EDA" w:rsidP="008D3837">
      <w:pPr>
        <w:pStyle w:val="KOT5"/>
        <w:rPr>
          <w:rtl/>
        </w:rPr>
      </w:pPr>
      <w:r w:rsidRPr="00E97EDA">
        <w:rPr>
          <w:rFonts w:hint="cs"/>
          <w:rtl/>
        </w:rPr>
        <w:t>האחדת בסיס מידע לנתוני מקרקעין ופיתוח מדדים חדשים לצורך קבלת החלטות</w:t>
      </w:r>
    </w:p>
    <w:p w:rsidR="00E97EDA" w:rsidRPr="00E719A9" w:rsidP="008D3837">
      <w:pPr>
        <w:pStyle w:val="KOT6"/>
        <w:rPr>
          <w:rFonts w:eastAsia="Calibri"/>
          <w:rtl/>
        </w:rPr>
      </w:pPr>
      <w:r w:rsidRPr="00E719A9">
        <w:rPr>
          <w:rFonts w:eastAsia="Calibri"/>
          <w:rtl/>
        </w:rPr>
        <w:t>האחדת בסיס רישום המידע</w:t>
      </w:r>
    </w:p>
    <w:p w:rsidR="00FA6646" w:rsidRPr="00FA6646" w:rsidP="00FF2CBA">
      <w:pPr>
        <w:spacing w:after="240" w:line="230" w:lineRule="exact"/>
        <w:ind w:left="12"/>
        <w:jc w:val="both"/>
        <w:rPr>
          <w:rFonts w:eastAsia="Calibri" w:cs="FrankRuehl"/>
          <w:sz w:val="20"/>
          <w:szCs w:val="22"/>
          <w:rtl/>
        </w:rPr>
      </w:pPr>
      <w:r w:rsidRPr="00F41E78">
        <w:rPr>
          <w:rFonts w:eastAsia="Calibri" w:cs="FrankRuehl" w:hint="cs"/>
          <w:sz w:val="18"/>
          <w:szCs w:val="22"/>
          <w:rtl/>
        </w:rPr>
        <w:t xml:space="preserve">לאיחוד של נתוני מקרקעין המנוהלים במוקדי ידע שונים ונפרדים עשויה להיות תועלת רבה, משום שיש בו כדי להגביר את האפקטיביות של הנתונים ואת מיהמנות המידע. ואמנם בעולם יש מערכות </w:t>
      </w:r>
      <w:r w:rsidRPr="00F41E78">
        <w:rPr>
          <w:rFonts w:eastAsia="Calibri" w:cs="FrankRuehl" w:hint="cs"/>
          <w:sz w:val="18"/>
          <w:szCs w:val="22"/>
          <w:rtl/>
        </w:rPr>
        <w:t>המיועדות לאגירה של נתוני מקרקעין מסוגים שונים וממקורות שונים ולהפצה מקוונת שלהם לממשלות ואף לאזרחים</w:t>
      </w:r>
      <w:r>
        <w:rPr>
          <w:rFonts w:ascii="FrankRuehl" w:eastAsia="Calibri" w:hAnsi="FrankRuehl" w:cs="FrankRuehl"/>
          <w:szCs w:val="20"/>
          <w:vertAlign w:val="superscript"/>
        </w:rPr>
        <w:footnoteReference w:id="75"/>
      </w:r>
      <w:r w:rsidRPr="00FA6646">
        <w:rPr>
          <w:rFonts w:eastAsia="Calibri" w:cs="FrankRuehl" w:hint="cs"/>
          <w:sz w:val="20"/>
          <w:szCs w:val="22"/>
          <w:rtl/>
        </w:rPr>
        <w:t>.</w:t>
      </w:r>
    </w:p>
    <w:p w:rsidR="00D22B16" w:rsidRPr="00F41E78" w:rsidP="00D22B16">
      <w:pPr>
        <w:pStyle w:val="RESHET"/>
        <w:keepLines/>
        <w:rPr>
          <w:rFonts w:eastAsia="Calibri"/>
          <w:rtl/>
        </w:rPr>
      </w:pPr>
      <w:r w:rsidRPr="00F41E78">
        <w:rPr>
          <w:rFonts w:eastAsia="Calibri" w:hint="cs"/>
          <w:rtl/>
        </w:rPr>
        <w:t>כאמור, נמצא כי במשרדי</w:t>
      </w:r>
      <w:r w:rsidRPr="00F41E78">
        <w:rPr>
          <w:rFonts w:eastAsia="Calibri"/>
          <w:rtl/>
        </w:rPr>
        <w:t xml:space="preserve"> </w:t>
      </w:r>
      <w:r w:rsidRPr="00F41E78">
        <w:rPr>
          <w:rFonts w:eastAsia="Calibri" w:hint="cs"/>
          <w:rtl/>
        </w:rPr>
        <w:t>ממשלה</w:t>
      </w:r>
      <w:r w:rsidRPr="00F41E78">
        <w:rPr>
          <w:rFonts w:eastAsia="Calibri"/>
          <w:rtl/>
        </w:rPr>
        <w:t xml:space="preserve"> </w:t>
      </w:r>
      <w:r w:rsidRPr="00F41E78">
        <w:rPr>
          <w:rFonts w:eastAsia="Calibri" w:hint="cs"/>
          <w:rtl/>
        </w:rPr>
        <w:t>ובגופים</w:t>
      </w:r>
      <w:r w:rsidRPr="00F41E78">
        <w:rPr>
          <w:rFonts w:eastAsia="Calibri"/>
          <w:rtl/>
        </w:rPr>
        <w:t xml:space="preserve"> </w:t>
      </w:r>
      <w:r w:rsidRPr="00F41E78">
        <w:rPr>
          <w:rFonts w:eastAsia="Calibri" w:hint="cs"/>
          <w:rtl/>
        </w:rPr>
        <w:t>שונים קיים מידע רב ערך בנושא המקרקעין, גם בתחומים שאין בהם משום חשש לפגיעה בפרטיות,</w:t>
      </w:r>
      <w:r w:rsidRPr="00F41E78">
        <w:rPr>
          <w:rFonts w:eastAsia="Calibri" w:hint="cs"/>
          <w:rtl/>
        </w:rPr>
        <w:t xml:space="preserve"> </w:t>
      </w:r>
      <w:r w:rsidRPr="00F41E78">
        <w:rPr>
          <w:rFonts w:eastAsia="Calibri" w:hint="cs"/>
          <w:rtl/>
        </w:rPr>
        <w:t xml:space="preserve">המוחזק באופן מפוצל ולא שלם ומנוהל באמצעות כמה מערכות שונות </w:t>
      </w:r>
      <w:r w:rsidRPr="00F41E78">
        <w:rPr>
          <w:rFonts w:eastAsia="Calibri"/>
          <w:rtl/>
        </w:rPr>
        <w:t>(</w:t>
      </w:r>
      <w:r w:rsidRPr="00F41E78">
        <w:rPr>
          <w:rFonts w:eastAsia="Calibri" w:hint="cs"/>
          <w:rtl/>
        </w:rPr>
        <w:t>"איי</w:t>
      </w:r>
      <w:r w:rsidRPr="00F41E78">
        <w:rPr>
          <w:rFonts w:eastAsia="Calibri"/>
          <w:rtl/>
        </w:rPr>
        <w:t xml:space="preserve"> </w:t>
      </w:r>
      <w:r w:rsidRPr="00F41E78">
        <w:rPr>
          <w:rFonts w:eastAsia="Calibri" w:hint="cs"/>
          <w:rtl/>
        </w:rPr>
        <w:t>מידע"</w:t>
      </w:r>
      <w:r w:rsidRPr="00F41E78">
        <w:rPr>
          <w:rFonts w:eastAsia="Calibri"/>
          <w:rtl/>
        </w:rPr>
        <w:t>)</w:t>
      </w:r>
      <w:r w:rsidRPr="00F41E78">
        <w:rPr>
          <w:rFonts w:eastAsia="Calibri" w:hint="cs"/>
          <w:rtl/>
        </w:rPr>
        <w:t xml:space="preserve"> ללא כל קישור ביניהן. נוסף על כך, </w:t>
      </w:r>
      <w:r w:rsidRPr="00F41E78">
        <w:rPr>
          <w:rFonts w:eastAsia="Calibri"/>
          <w:rtl/>
        </w:rPr>
        <w:t xml:space="preserve">אין מנגנון המאפשר שפה משותפת בין משרדי הממשלה </w:t>
      </w:r>
      <w:r w:rsidRPr="00F41E78">
        <w:rPr>
          <w:rFonts w:eastAsia="Calibri" w:hint="cs"/>
          <w:rtl/>
        </w:rPr>
        <w:t xml:space="preserve">המחזיקים במידע, </w:t>
      </w:r>
      <w:r w:rsidRPr="00F41E78">
        <w:rPr>
          <w:rFonts w:eastAsia="Calibri"/>
          <w:rtl/>
        </w:rPr>
        <w:t>לכן קשה להצליב נתונים ולאמת מידע.</w:t>
      </w:r>
      <w:r w:rsidRPr="00F41E78">
        <w:rPr>
          <w:rFonts w:eastAsia="Calibri" w:hint="cs"/>
          <w:rtl/>
        </w:rPr>
        <w:t xml:space="preserve"> עוד</w:t>
      </w:r>
      <w:r w:rsidRPr="00F41E78">
        <w:rPr>
          <w:rFonts w:eastAsia="Calibri"/>
          <w:rtl/>
        </w:rPr>
        <w:t xml:space="preserve"> </w:t>
      </w:r>
      <w:r w:rsidRPr="00F41E78">
        <w:rPr>
          <w:rFonts w:eastAsia="Calibri" w:hint="cs"/>
          <w:rtl/>
        </w:rPr>
        <w:t>נמצא</w:t>
      </w:r>
      <w:r w:rsidRPr="00F41E78">
        <w:rPr>
          <w:rFonts w:eastAsia="Calibri"/>
          <w:rtl/>
        </w:rPr>
        <w:t xml:space="preserve"> </w:t>
      </w:r>
      <w:r w:rsidRPr="00F41E78">
        <w:rPr>
          <w:rFonts w:eastAsia="Calibri" w:hint="cs"/>
          <w:rtl/>
        </w:rPr>
        <w:t>שלעתים</w:t>
      </w:r>
      <w:r w:rsidRPr="00F41E78">
        <w:rPr>
          <w:rFonts w:eastAsia="Calibri"/>
          <w:rtl/>
        </w:rPr>
        <w:t xml:space="preserve"> </w:t>
      </w:r>
      <w:r w:rsidRPr="00F41E78">
        <w:rPr>
          <w:rFonts w:eastAsia="Calibri" w:hint="cs"/>
          <w:rtl/>
        </w:rPr>
        <w:t xml:space="preserve">אופן רישומם ושמירתם של נתוני המקרקעין אינו מאפשר לסווגם ולמיינם לפי אזור גאוגרפי </w:t>
      </w:r>
      <w:r w:rsidRPr="00F41E78">
        <w:rPr>
          <w:rFonts w:eastAsia="Calibri"/>
          <w:rtl/>
        </w:rPr>
        <w:t>(</w:t>
      </w:r>
      <w:r w:rsidRPr="00F41E78">
        <w:rPr>
          <w:rFonts w:eastAsia="Calibri" w:hint="cs"/>
          <w:rtl/>
        </w:rPr>
        <w:t>המידע</w:t>
      </w:r>
      <w:r w:rsidRPr="00F41E78">
        <w:rPr>
          <w:rFonts w:eastAsia="Calibri"/>
          <w:rtl/>
        </w:rPr>
        <w:t xml:space="preserve"> </w:t>
      </w:r>
      <w:r w:rsidRPr="00F41E78">
        <w:rPr>
          <w:rFonts w:eastAsia="Calibri" w:hint="cs"/>
          <w:rtl/>
        </w:rPr>
        <w:t>אינו</w:t>
      </w:r>
      <w:r w:rsidRPr="00F41E78">
        <w:rPr>
          <w:rFonts w:eastAsia="Calibri"/>
          <w:rtl/>
        </w:rPr>
        <w:t xml:space="preserve"> </w:t>
      </w:r>
      <w:r w:rsidRPr="00F41E78">
        <w:rPr>
          <w:rFonts w:eastAsia="Calibri" w:hint="cs"/>
          <w:rtl/>
        </w:rPr>
        <w:t>מעוגן</w:t>
      </w:r>
      <w:r w:rsidRPr="00F41E78">
        <w:rPr>
          <w:rFonts w:eastAsia="Calibri"/>
          <w:rtl/>
        </w:rPr>
        <w:t xml:space="preserve"> </w:t>
      </w:r>
      <w:r w:rsidRPr="00F41E78">
        <w:rPr>
          <w:rFonts w:eastAsia="Calibri" w:hint="cs"/>
          <w:rtl/>
        </w:rPr>
        <w:t>גאוגרפית</w:t>
      </w:r>
      <w:r w:rsidRPr="00F41E78">
        <w:rPr>
          <w:rFonts w:eastAsia="Calibri"/>
          <w:rtl/>
        </w:rPr>
        <w:t xml:space="preserve"> </w:t>
      </w:r>
      <w:r w:rsidRPr="00F41E78">
        <w:rPr>
          <w:rFonts w:eastAsia="Calibri" w:hint="cs"/>
          <w:rtl/>
        </w:rPr>
        <w:t>ולכן</w:t>
      </w:r>
      <w:r w:rsidRPr="00F41E78">
        <w:rPr>
          <w:rFonts w:eastAsia="Calibri"/>
          <w:rtl/>
        </w:rPr>
        <w:t xml:space="preserve"> </w:t>
      </w:r>
      <w:r w:rsidRPr="00F41E78">
        <w:rPr>
          <w:rFonts w:eastAsia="Calibri" w:hint="cs"/>
          <w:rtl/>
        </w:rPr>
        <w:t>לא</w:t>
      </w:r>
      <w:r w:rsidRPr="00F41E78">
        <w:rPr>
          <w:rFonts w:eastAsia="Calibri"/>
          <w:rtl/>
        </w:rPr>
        <w:t xml:space="preserve"> </w:t>
      </w:r>
      <w:r w:rsidRPr="00F41E78">
        <w:rPr>
          <w:rFonts w:eastAsia="Calibri" w:hint="cs"/>
          <w:rtl/>
        </w:rPr>
        <w:t>ניתן</w:t>
      </w:r>
      <w:r w:rsidRPr="00F41E78">
        <w:rPr>
          <w:rFonts w:eastAsia="Calibri"/>
          <w:rtl/>
        </w:rPr>
        <w:t xml:space="preserve"> </w:t>
      </w:r>
      <w:r w:rsidRPr="00F41E78">
        <w:rPr>
          <w:rFonts w:eastAsia="Calibri" w:hint="cs"/>
          <w:rtl/>
        </w:rPr>
        <w:t>לבצע</w:t>
      </w:r>
      <w:r w:rsidRPr="00F41E78">
        <w:rPr>
          <w:rFonts w:eastAsia="Calibri"/>
          <w:rtl/>
        </w:rPr>
        <w:t xml:space="preserve"> </w:t>
      </w:r>
      <w:r w:rsidRPr="00F41E78">
        <w:rPr>
          <w:rFonts w:eastAsia="Calibri" w:hint="cs"/>
          <w:rtl/>
        </w:rPr>
        <w:t>טיוב</w:t>
      </w:r>
      <w:r w:rsidRPr="00F41E78">
        <w:rPr>
          <w:rFonts w:eastAsia="Calibri"/>
          <w:rtl/>
        </w:rPr>
        <w:t xml:space="preserve"> </w:t>
      </w:r>
      <w:r w:rsidRPr="00F41E78">
        <w:rPr>
          <w:rFonts w:eastAsia="Calibri" w:hint="cs"/>
          <w:rtl/>
        </w:rPr>
        <w:t>מרחבי</w:t>
      </w:r>
      <w:r w:rsidRPr="00F41E78">
        <w:rPr>
          <w:rFonts w:eastAsia="Calibri"/>
          <w:rtl/>
        </w:rPr>
        <w:t>)</w:t>
      </w:r>
      <w:r w:rsidRPr="00F41E78">
        <w:rPr>
          <w:rFonts w:eastAsia="Calibri" w:hint="cs"/>
          <w:rtl/>
        </w:rPr>
        <w:t xml:space="preserve">. כמו כן, </w:t>
      </w:r>
      <w:r w:rsidRPr="00F41E78">
        <w:rPr>
          <w:rFonts w:eastAsia="Calibri"/>
          <w:rtl/>
        </w:rPr>
        <w:t>אין מערכת המאפשרת לממשלה לקבל מידע רב-מערכתי מתואם (אלפא-נומרי</w:t>
      </w:r>
      <w:r>
        <w:rPr>
          <w:rFonts w:eastAsia="Calibri"/>
          <w:vertAlign w:val="superscript"/>
          <w:rtl/>
        </w:rPr>
        <w:footnoteReference w:id="76"/>
      </w:r>
      <w:r w:rsidRPr="00F41E78">
        <w:rPr>
          <w:rFonts w:eastAsia="Calibri"/>
          <w:rtl/>
        </w:rPr>
        <w:t xml:space="preserve"> וגאוגרפי) </w:t>
      </w:r>
      <w:r w:rsidRPr="00F41E78">
        <w:rPr>
          <w:rFonts w:eastAsia="Calibri" w:hint="cs"/>
          <w:rtl/>
        </w:rPr>
        <w:t>על</w:t>
      </w:r>
      <w:r w:rsidRPr="00F41E78">
        <w:rPr>
          <w:rFonts w:eastAsia="Calibri"/>
          <w:rtl/>
        </w:rPr>
        <w:t xml:space="preserve"> המקרקעין במשק ולבצע תשאול וניתוח </w:t>
      </w:r>
      <w:r w:rsidRPr="00F41E78">
        <w:rPr>
          <w:rFonts w:eastAsia="Calibri" w:hint="cs"/>
          <w:rtl/>
        </w:rPr>
        <w:t>בחתכים שונים לצורך קבלת החלטות.</w:t>
      </w:r>
    </w:p>
    <w:p w:rsidR="00E97EDA" w:rsidRPr="00F41E78" w:rsidP="00FF2CBA">
      <w:pPr>
        <w:spacing w:before="180" w:after="120" w:line="230" w:lineRule="exact"/>
        <w:ind w:left="12"/>
        <w:jc w:val="both"/>
        <w:rPr>
          <w:rFonts w:eastAsia="Calibri" w:cs="FrankRuehl"/>
          <w:b/>
          <w:bCs/>
          <w:sz w:val="18"/>
          <w:szCs w:val="22"/>
          <w:rtl/>
        </w:rPr>
      </w:pPr>
      <w:r w:rsidRPr="00F41E78">
        <w:rPr>
          <w:rFonts w:cs="FrankRuehl" w:hint="cs"/>
          <w:sz w:val="18"/>
          <w:szCs w:val="22"/>
          <w:rtl/>
          <w:lang w:eastAsia="he-IL"/>
        </w:rPr>
        <w:t xml:space="preserve">בפברואר 2012 החל צוות בהובלת אג"ת לבצע פרויקט שכותרתו "ענן נתוני נדל"ן" לצורך איחוד בסיס רישום המידע. </w:t>
      </w:r>
      <w:r w:rsidRPr="00F41E78">
        <w:rPr>
          <w:rFonts w:cs="FrankRuehl" w:hint="eastAsia"/>
          <w:sz w:val="18"/>
          <w:szCs w:val="22"/>
          <w:rtl/>
          <w:lang w:eastAsia="he-IL"/>
        </w:rPr>
        <w:t>הצוות</w:t>
      </w:r>
      <w:r w:rsidRPr="00F41E78">
        <w:rPr>
          <w:rFonts w:cs="FrankRuehl"/>
          <w:sz w:val="18"/>
          <w:szCs w:val="22"/>
          <w:rtl/>
          <w:lang w:eastAsia="he-IL"/>
        </w:rPr>
        <w:t xml:space="preserve"> מצא כי מיון הנתונים על המקרקעין וקישורם בשיטה אלפא-נומרית שתאפשר </w:t>
      </w:r>
      <w:r w:rsidRPr="00F41E78">
        <w:rPr>
          <w:rFonts w:cs="FrankRuehl" w:hint="eastAsia"/>
          <w:sz w:val="18"/>
          <w:szCs w:val="22"/>
          <w:rtl/>
          <w:lang w:eastAsia="he-IL"/>
        </w:rPr>
        <w:t>לסווגם</w:t>
      </w:r>
      <w:r w:rsidRPr="00F41E78">
        <w:rPr>
          <w:rFonts w:cs="FrankRuehl"/>
          <w:sz w:val="18"/>
          <w:szCs w:val="22"/>
          <w:rtl/>
          <w:lang w:eastAsia="he-IL"/>
        </w:rPr>
        <w:t xml:space="preserve"> </w:t>
      </w:r>
      <w:r w:rsidRPr="00F41E78">
        <w:rPr>
          <w:rFonts w:cs="FrankRuehl" w:hint="eastAsia"/>
          <w:sz w:val="18"/>
          <w:szCs w:val="22"/>
          <w:rtl/>
          <w:lang w:eastAsia="he-IL"/>
        </w:rPr>
        <w:t>לפי</w:t>
      </w:r>
      <w:r w:rsidRPr="00F41E78">
        <w:rPr>
          <w:rFonts w:cs="FrankRuehl"/>
          <w:sz w:val="18"/>
          <w:szCs w:val="22"/>
          <w:rtl/>
          <w:lang w:eastAsia="he-IL"/>
        </w:rPr>
        <w:t xml:space="preserve"> שיטה מרחבית אחידה היא הבסיס ליצירת מפתח אחיד </w:t>
      </w:r>
      <w:r w:rsidRPr="00F41E78">
        <w:rPr>
          <w:rFonts w:cs="FrankRuehl" w:hint="eastAsia"/>
          <w:sz w:val="18"/>
          <w:szCs w:val="22"/>
          <w:rtl/>
          <w:lang w:eastAsia="he-IL"/>
        </w:rPr>
        <w:t>שלפיו</w:t>
      </w:r>
      <w:r w:rsidRPr="00F41E78">
        <w:rPr>
          <w:rFonts w:cs="FrankRuehl"/>
          <w:sz w:val="18"/>
          <w:szCs w:val="22"/>
          <w:rtl/>
          <w:lang w:eastAsia="he-IL"/>
        </w:rPr>
        <w:t xml:space="preserve"> </w:t>
      </w:r>
      <w:r w:rsidRPr="00F41E78">
        <w:rPr>
          <w:rFonts w:cs="FrankRuehl" w:hint="eastAsia"/>
          <w:sz w:val="18"/>
          <w:szCs w:val="22"/>
          <w:rtl/>
          <w:lang w:eastAsia="he-IL"/>
        </w:rPr>
        <w:t>יעוגן</w:t>
      </w:r>
      <w:r w:rsidRPr="00F41E78">
        <w:rPr>
          <w:rFonts w:cs="FrankRuehl"/>
          <w:sz w:val="18"/>
          <w:szCs w:val="22"/>
          <w:rtl/>
          <w:lang w:eastAsia="he-IL"/>
        </w:rPr>
        <w:t xml:space="preserve"> </w:t>
      </w:r>
      <w:r w:rsidRPr="00F41E78">
        <w:rPr>
          <w:rFonts w:cs="FrankRuehl" w:hint="eastAsia"/>
          <w:sz w:val="18"/>
          <w:szCs w:val="22"/>
          <w:rtl/>
          <w:lang w:eastAsia="he-IL"/>
        </w:rPr>
        <w:t>המידע</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כל</w:t>
      </w:r>
      <w:r w:rsidRPr="00F41E78">
        <w:rPr>
          <w:rFonts w:cs="FrankRuehl"/>
          <w:sz w:val="18"/>
          <w:szCs w:val="22"/>
          <w:rtl/>
          <w:lang w:eastAsia="he-IL"/>
        </w:rPr>
        <w:t xml:space="preserve"> </w:t>
      </w:r>
      <w:r w:rsidRPr="00F41E78">
        <w:rPr>
          <w:rFonts w:cs="FrankRuehl" w:hint="eastAsia"/>
          <w:sz w:val="18"/>
          <w:szCs w:val="22"/>
          <w:rtl/>
          <w:lang w:eastAsia="he-IL"/>
        </w:rPr>
        <w:t>משרד</w:t>
      </w:r>
      <w:r w:rsidRPr="00F41E78">
        <w:rPr>
          <w:rFonts w:cs="FrankRuehl"/>
          <w:sz w:val="18"/>
          <w:szCs w:val="22"/>
          <w:rtl/>
          <w:lang w:eastAsia="he-IL"/>
        </w:rPr>
        <w:t xml:space="preserve"> </w:t>
      </w:r>
      <w:r w:rsidRPr="00F41E78">
        <w:rPr>
          <w:rFonts w:cs="FrankRuehl" w:hint="eastAsia"/>
          <w:sz w:val="18"/>
          <w:szCs w:val="22"/>
          <w:rtl/>
          <w:lang w:eastAsia="he-IL"/>
        </w:rPr>
        <w:t>גאוגרפית</w:t>
      </w:r>
      <w:r w:rsidRPr="00F41E78">
        <w:rPr>
          <w:rFonts w:cs="FrankRuehl" w:hint="cs"/>
          <w:sz w:val="18"/>
          <w:szCs w:val="22"/>
          <w:rtl/>
          <w:lang w:eastAsia="he-IL"/>
        </w:rPr>
        <w:t xml:space="preserve">. בסיום הפרויקט יתאפשר לכל משרד לדלות מהמאגרים מידע על המקרקעין בכלל ועל הדירות בפרט על פי מאפיינים גאוגרפיים, שיהיה בר הצלבה עם הנתונים שבידי שאר משרדי הממשלה. נמצא כי במועד סיום הביקורת הפרויקט עדיין נמצא בשלב ראשוני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עיגון</w:t>
      </w:r>
      <w:r w:rsidRPr="00F41E78">
        <w:rPr>
          <w:rFonts w:cs="FrankRuehl"/>
          <w:sz w:val="18"/>
          <w:szCs w:val="22"/>
          <w:rtl/>
          <w:lang w:eastAsia="he-IL"/>
        </w:rPr>
        <w:t xml:space="preserve"> </w:t>
      </w:r>
      <w:r w:rsidRPr="00F41E78">
        <w:rPr>
          <w:rFonts w:cs="FrankRuehl" w:hint="eastAsia"/>
          <w:sz w:val="18"/>
          <w:szCs w:val="22"/>
          <w:rtl/>
          <w:lang w:eastAsia="he-IL"/>
        </w:rPr>
        <w:t>המידע</w:t>
      </w:r>
      <w:r w:rsidRPr="00F41E78">
        <w:rPr>
          <w:rFonts w:cs="FrankRuehl"/>
          <w:sz w:val="18"/>
          <w:szCs w:val="22"/>
          <w:rtl/>
          <w:lang w:eastAsia="he-IL"/>
        </w:rPr>
        <w:t xml:space="preserve"> </w:t>
      </w:r>
      <w:r w:rsidRPr="00F41E78">
        <w:rPr>
          <w:rFonts w:cs="FrankRuehl" w:hint="eastAsia"/>
          <w:sz w:val="18"/>
          <w:szCs w:val="22"/>
          <w:rtl/>
          <w:lang w:eastAsia="he-IL"/>
        </w:rPr>
        <w:t>לפי</w:t>
      </w:r>
      <w:r w:rsidRPr="00F41E78">
        <w:rPr>
          <w:rFonts w:cs="FrankRuehl"/>
          <w:sz w:val="18"/>
          <w:szCs w:val="22"/>
          <w:rtl/>
          <w:lang w:eastAsia="he-IL"/>
        </w:rPr>
        <w:t xml:space="preserve"> </w:t>
      </w:r>
      <w:r w:rsidRPr="00F41E78">
        <w:rPr>
          <w:rFonts w:cs="FrankRuehl" w:hint="eastAsia"/>
          <w:sz w:val="18"/>
          <w:szCs w:val="22"/>
          <w:rtl/>
          <w:lang w:eastAsia="he-IL"/>
        </w:rPr>
        <w:t>בסיס</w:t>
      </w:r>
      <w:r w:rsidRPr="00F41E78">
        <w:rPr>
          <w:rFonts w:cs="FrankRuehl"/>
          <w:sz w:val="18"/>
          <w:szCs w:val="22"/>
          <w:rtl/>
          <w:lang w:eastAsia="he-IL"/>
        </w:rPr>
        <w:t xml:space="preserve"> </w:t>
      </w:r>
      <w:r w:rsidRPr="00F41E78">
        <w:rPr>
          <w:rFonts w:cs="FrankRuehl" w:hint="eastAsia"/>
          <w:sz w:val="18"/>
          <w:szCs w:val="22"/>
          <w:rtl/>
          <w:lang w:eastAsia="he-IL"/>
        </w:rPr>
        <w:t>גאוגרפי</w:t>
      </w:r>
      <w:r w:rsidRPr="00F41E78">
        <w:rPr>
          <w:rFonts w:eastAsia="Calibri" w:cs="FrankRuehl" w:hint="cs"/>
          <w:sz w:val="18"/>
          <w:szCs w:val="22"/>
          <w:rtl/>
        </w:rPr>
        <w:t>.</w:t>
      </w:r>
    </w:p>
    <w:p w:rsidR="00E97EDA" w:rsidRPr="00F41E78" w:rsidP="00FF2CBA">
      <w:pPr>
        <w:spacing w:after="240" w:line="230" w:lineRule="exact"/>
        <w:ind w:left="12"/>
        <w:jc w:val="both"/>
        <w:rPr>
          <w:rFonts w:eastAsia="Calibri" w:cs="FrankRuehl"/>
          <w:sz w:val="18"/>
          <w:szCs w:val="22"/>
          <w:rtl/>
        </w:rPr>
      </w:pPr>
      <w:r w:rsidRPr="00F41E78">
        <w:rPr>
          <w:rFonts w:eastAsia="Calibri" w:cs="FrankRuehl" w:hint="cs"/>
          <w:sz w:val="18"/>
          <w:szCs w:val="22"/>
          <w:rtl/>
        </w:rPr>
        <w:t>בתשובת המועצה הלאומית לכלכלה נמסר כי בעקבות העבודה הנעשית בתחום ובהמשך להמלצות משרד מבקר המדינה ניתן יהיה לייצר בסיס נתונים מקיף ואמין בתחום הדיור.</w:t>
      </w:r>
    </w:p>
    <w:p w:rsidR="00D22B16" w:rsidRPr="00F41E78" w:rsidP="00D22B16">
      <w:pPr>
        <w:pStyle w:val="RESHET"/>
        <w:keepLines/>
        <w:rPr>
          <w:rFonts w:eastAsia="Calibri"/>
          <w:rtl/>
        </w:rPr>
      </w:pPr>
      <w:r w:rsidRPr="00F41E78">
        <w:rPr>
          <w:rFonts w:eastAsia="Calibri" w:hint="cs"/>
          <w:rtl/>
        </w:rPr>
        <w:t>לדעת משרד מבקר המדינה, ישנה חשיבות רבה לפרויקט הנועד להקמת מערכת המאפשרת שליפה מתואמת של נתוני מקרקעין שונים שיהוו מעין "תעודת זהות" לכל יחידת קרקע ודירה (מתוך התחשבות במגבלות הקבועות בחוק ובתקנות הגנת הפרטיות</w:t>
      </w:r>
      <w:r>
        <w:rPr>
          <w:rFonts w:eastAsia="Calibri"/>
          <w:vertAlign w:val="superscript"/>
          <w:rtl/>
        </w:rPr>
        <w:footnoteReference w:id="77"/>
      </w:r>
      <w:r w:rsidRPr="00F41E78">
        <w:rPr>
          <w:rFonts w:eastAsia="Calibri" w:hint="cs"/>
          <w:rtl/>
        </w:rPr>
        <w:t>).</w:t>
      </w:r>
    </w:p>
    <w:p w:rsidR="00E97EDA" w:rsidRPr="00FF2CBA" w:rsidP="00F41E78">
      <w:pPr>
        <w:spacing w:after="120" w:line="230" w:lineRule="exact"/>
        <w:jc w:val="both"/>
        <w:rPr>
          <w:rFonts w:eastAsia="Calibri" w:cs="FrankRuehl"/>
          <w:sz w:val="18"/>
          <w:szCs w:val="22"/>
          <w:rtl/>
        </w:rPr>
      </w:pPr>
    </w:p>
    <w:p w:rsidR="00E97EDA" w:rsidRPr="00E719A9" w:rsidP="008D3837">
      <w:pPr>
        <w:pStyle w:val="KOT6"/>
        <w:rPr>
          <w:rFonts w:eastAsia="Calibri"/>
          <w:rtl/>
        </w:rPr>
      </w:pPr>
      <w:r w:rsidRPr="00E719A9">
        <w:rPr>
          <w:rFonts w:eastAsia="Calibri" w:hint="cs"/>
          <w:rtl/>
        </w:rPr>
        <w:t>פיתוח</w:t>
      </w:r>
      <w:r w:rsidRPr="00E719A9">
        <w:rPr>
          <w:rFonts w:eastAsia="Calibri"/>
          <w:rtl/>
        </w:rPr>
        <w:t xml:space="preserve"> </w:t>
      </w:r>
      <w:r w:rsidRPr="00E719A9">
        <w:rPr>
          <w:rFonts w:eastAsia="Calibri" w:hint="cs"/>
          <w:rtl/>
        </w:rPr>
        <w:t>מדדים</w:t>
      </w:r>
      <w:r w:rsidRPr="00E719A9">
        <w:rPr>
          <w:rFonts w:eastAsia="Calibri"/>
          <w:rtl/>
        </w:rPr>
        <w:t xml:space="preserve"> </w:t>
      </w:r>
      <w:r w:rsidRPr="00E719A9">
        <w:rPr>
          <w:rFonts w:eastAsia="Calibri" w:hint="cs"/>
          <w:rtl/>
        </w:rPr>
        <w:t>חדשים</w:t>
      </w:r>
    </w:p>
    <w:p w:rsidR="00E97EDA" w:rsidRPr="00F41E78" w:rsidP="00FF2CBA">
      <w:pPr>
        <w:spacing w:after="240" w:line="230" w:lineRule="exact"/>
        <w:jc w:val="both"/>
        <w:rPr>
          <w:rFonts w:eastAsia="Calibri" w:cs="FrankRuehl"/>
          <w:sz w:val="18"/>
          <w:szCs w:val="22"/>
          <w:rtl/>
        </w:rPr>
      </w:pPr>
      <w:r w:rsidRPr="00F41E78">
        <w:rPr>
          <w:rFonts w:eastAsia="Calibri" w:cs="FrankRuehl" w:hint="cs"/>
          <w:sz w:val="18"/>
          <w:szCs w:val="22"/>
          <w:rtl/>
        </w:rPr>
        <w:t>כאמור, צוות המועצה לכלכלה עסק בהכנה ובשיפור של מתודות ומדדים לצורך קבלת החלטות. בדוח הביניים של המועצה לכלכלה צוין כי הצוות ממליץ על הפקה עתית של כמה מדדים נוספים ועל ביצועם של כמה שיפורים במדדים קיימים. הצוות המליץ בין היתר כי מדד מחירי הדירות שבבעלות לפי הלמ"ס, שהוא בעל ערכים נומינליים, יפורסם גם במתכונת של מדד ריאלי בניכוי מדד המחירים לצרכן ללא דיור. כמו כן, יש לפרסמו במתכונת נוספת שתחול רק על דירות חדשות.</w:t>
      </w:r>
    </w:p>
    <w:p w:rsidR="00D22B16" w:rsidRPr="00F41E78" w:rsidP="00FF1578">
      <w:pPr>
        <w:pStyle w:val="RESHET"/>
        <w:keepLines/>
        <w:rPr>
          <w:rFonts w:eastAsia="Calibri"/>
          <w:rtl/>
        </w:rPr>
      </w:pPr>
      <w:r w:rsidRPr="00F41E78">
        <w:rPr>
          <w:rFonts w:eastAsia="Calibri" w:hint="cs"/>
          <w:rtl/>
        </w:rPr>
        <w:t>משרד מבקר המדינה מעיר כי על ועדת ההיגוי לדון בהקדם בהמלצות המועצה לכלכלה, ובכלל זה בהפקתם</w:t>
      </w:r>
      <w:r w:rsidRPr="00F41E78">
        <w:rPr>
          <w:rFonts w:eastAsia="Calibri"/>
          <w:rtl/>
        </w:rPr>
        <w:t xml:space="preserve"> </w:t>
      </w:r>
      <w:r w:rsidRPr="00F41E78">
        <w:rPr>
          <w:rFonts w:eastAsia="Calibri" w:hint="cs"/>
          <w:rtl/>
        </w:rPr>
        <w:t>העתית</w:t>
      </w:r>
      <w:r w:rsidRPr="00F41E78">
        <w:rPr>
          <w:rFonts w:eastAsia="Calibri"/>
          <w:rtl/>
        </w:rPr>
        <w:t xml:space="preserve"> </w:t>
      </w:r>
      <w:r w:rsidRPr="00F41E78">
        <w:rPr>
          <w:rFonts w:eastAsia="Calibri" w:hint="cs"/>
          <w:rtl/>
        </w:rPr>
        <w:t>של</w:t>
      </w:r>
      <w:r w:rsidRPr="00F41E78">
        <w:rPr>
          <w:rFonts w:eastAsia="Calibri"/>
          <w:rtl/>
        </w:rPr>
        <w:t xml:space="preserve"> </w:t>
      </w:r>
      <w:r w:rsidRPr="00F41E78">
        <w:rPr>
          <w:rFonts w:eastAsia="Calibri" w:hint="cs"/>
          <w:rtl/>
        </w:rPr>
        <w:t>מדדים</w:t>
      </w:r>
      <w:r w:rsidRPr="00F41E78">
        <w:rPr>
          <w:rFonts w:eastAsia="Calibri"/>
          <w:rtl/>
        </w:rPr>
        <w:t xml:space="preserve"> </w:t>
      </w:r>
      <w:r w:rsidRPr="00F41E78">
        <w:rPr>
          <w:rFonts w:eastAsia="Calibri" w:hint="cs"/>
          <w:rtl/>
        </w:rPr>
        <w:t xml:space="preserve">נוספים אלו ובבחירת </w:t>
      </w:r>
      <w:r w:rsidR="00FF1578">
        <w:rPr>
          <w:rFonts w:eastAsia="Calibri" w:hint="cs"/>
          <w:rtl/>
        </w:rPr>
        <w:t>הגוף</w:t>
      </w:r>
      <w:r w:rsidRPr="00F41E78">
        <w:rPr>
          <w:rFonts w:eastAsia="Calibri" w:hint="cs"/>
          <w:rtl/>
        </w:rPr>
        <w:t xml:space="preserve"> הממשלתי שיפרסם מידע זה. כמה מהמדדים המומלצים, כמו מדד המחיר הריאלי של דירות בבעלות, ניתנים להפקה באופן מידי.</w:t>
      </w:r>
    </w:p>
    <w:p w:rsidR="008D3837" w:rsidRPr="00FF2CBA" w:rsidP="00F41E78">
      <w:pPr>
        <w:spacing w:after="120" w:line="230" w:lineRule="exact"/>
        <w:jc w:val="both"/>
        <w:rPr>
          <w:rFonts w:eastAsia="Calibri" w:cs="FrankRuehl"/>
          <w:sz w:val="18"/>
          <w:szCs w:val="22"/>
          <w:rtl/>
        </w:rPr>
      </w:pPr>
    </w:p>
    <w:p w:rsidR="00E97EDA" w:rsidRPr="00E719A9" w:rsidP="008D3837">
      <w:pPr>
        <w:pStyle w:val="KOT5"/>
        <w:rPr>
          <w:rFonts w:eastAsia="Calibri"/>
          <w:rtl/>
        </w:rPr>
      </w:pPr>
      <w:r w:rsidRPr="00E719A9">
        <w:rPr>
          <w:rFonts w:eastAsia="Calibri" w:hint="cs"/>
          <w:rtl/>
        </w:rPr>
        <w:t>הסכמי שיתוף פעולה בין הלמ"ס ובין משרדי הממשלה ומוסדות המדינה</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 xml:space="preserve">הביקורת העלתה כי במדינות שונות לשכות מרכזיות לסטטיסטיקה נוהגות לחתום על מזכרי הבנות או הסכמי שיתוף פעולה עם משרדי ממשלה ומוסדות שונים באותה מדינה. הסכם פורמלי בין שני גופים כאמור מאפשר להגדיר באופן מסודר ומוסכם דברים אלו: תחומי אחריות וחלוקת העבודה הסטטיסטית הרלוונטית, מושגים סטטיסטיים אחידים ומי יפרסם את התוצאות. </w:t>
      </w:r>
    </w:p>
    <w:p w:rsidR="00E97EDA" w:rsidRPr="00E719A9" w:rsidP="00103F02">
      <w:pPr>
        <w:spacing w:after="240" w:line="230" w:lineRule="exact"/>
        <w:jc w:val="both"/>
        <w:rPr>
          <w:rFonts w:eastAsia="Calibri" w:cs="Times New Roman"/>
          <w:rtl/>
        </w:rPr>
      </w:pPr>
      <w:r w:rsidRPr="00F41E78">
        <w:rPr>
          <w:rFonts w:eastAsia="Calibri" w:cs="FrankRuehl" w:hint="cs"/>
          <w:sz w:val="18"/>
          <w:szCs w:val="22"/>
          <w:rtl/>
        </w:rPr>
        <w:t>במרץ 2006 הכין צוות הערכה מטעם קרן המטבע הבין-לאומית דוח (</w:t>
      </w:r>
      <w:r w:rsidRPr="00F41E78">
        <w:rPr>
          <w:rFonts w:eastAsia="Calibri" w:cs="FrankRuehl"/>
          <w:sz w:val="18"/>
          <w:szCs w:val="22"/>
        </w:rPr>
        <w:t>ROSC - Report on the</w:t>
      </w:r>
      <w:r w:rsidR="00103F02">
        <w:rPr>
          <w:rFonts w:eastAsia="Calibri" w:cs="FrankRuehl"/>
          <w:sz w:val="18"/>
          <w:szCs w:val="22"/>
        </w:rPr>
        <w:br/>
      </w:r>
      <w:r w:rsidRPr="00F41E78">
        <w:rPr>
          <w:rFonts w:eastAsia="Calibri" w:cs="FrankRuehl"/>
          <w:sz w:val="18"/>
          <w:szCs w:val="22"/>
        </w:rPr>
        <w:t>Observance of Standarts and Codes</w:t>
      </w:r>
      <w:r w:rsidRPr="00F41E78">
        <w:rPr>
          <w:rFonts w:eastAsia="Calibri" w:cs="FrankRuehl" w:hint="cs"/>
          <w:sz w:val="18"/>
          <w:szCs w:val="22"/>
          <w:rtl/>
        </w:rPr>
        <w:t>)</w:t>
      </w:r>
      <w:r>
        <w:rPr>
          <w:rFonts w:eastAsia="Calibri" w:cs="FrankRuehl"/>
          <w:sz w:val="18"/>
          <w:szCs w:val="22"/>
          <w:vertAlign w:val="superscript"/>
          <w:rtl/>
        </w:rPr>
        <w:footnoteReference w:id="78"/>
      </w:r>
      <w:r w:rsidRPr="00F41E78">
        <w:rPr>
          <w:rFonts w:eastAsia="Calibri" w:cs="FrankRuehl" w:hint="cs"/>
          <w:sz w:val="18"/>
          <w:szCs w:val="22"/>
          <w:rtl/>
        </w:rPr>
        <w:t xml:space="preserve"> שבחן בישראל בין היתר את הפעולות הנוגעות לחישובים סטטיסטיים שונים בלמ"ס,</w:t>
      </w:r>
      <w:r w:rsidR="00FD6744">
        <w:rPr>
          <w:rFonts w:eastAsia="Calibri" w:cs="FrankRuehl" w:hint="cs"/>
          <w:sz w:val="18"/>
          <w:szCs w:val="22"/>
          <w:rtl/>
        </w:rPr>
        <w:t xml:space="preserve"> </w:t>
      </w:r>
      <w:r w:rsidRPr="00F41E78">
        <w:rPr>
          <w:rFonts w:eastAsia="Calibri" w:cs="FrankRuehl" w:hint="cs"/>
          <w:sz w:val="18"/>
          <w:szCs w:val="22"/>
          <w:rtl/>
        </w:rPr>
        <w:t xml:space="preserve">בבנק ישראל ובמשרד האוצר. הצוות האמור המליץ בין היתר למסד קבוצות עבודה המשותפות לגורמים השונים כדי לשפר באמצעות שיתופי פעולה את התהליכים הסטטיסטיים בישראל. </w:t>
      </w:r>
    </w:p>
    <w:p w:rsidR="00D22B16" w:rsidRPr="00F41E78" w:rsidP="00D22B16">
      <w:pPr>
        <w:pStyle w:val="RESHET"/>
        <w:keepLines/>
        <w:rPr>
          <w:rFonts w:eastAsia="Calibri"/>
          <w:rtl/>
        </w:rPr>
      </w:pPr>
      <w:r w:rsidRPr="00F41E78">
        <w:rPr>
          <w:rFonts w:eastAsia="Calibri" w:hint="cs"/>
          <w:rtl/>
        </w:rPr>
        <w:t>נמצא שהלמ"ס חתמה על מזכר הבנות עם בנק ישראל כבר בשנת 2008, אך לא פנתה למשרדי ממשלה רלוונטיים נוספים, כמו מינהל הכנסות המדינה ורשות המסים במשרד האוצר ומשרד הבינוי, לצורך חתימה על מזכרי הבנות והסכמי שיתוף פעולה.</w:t>
      </w:r>
    </w:p>
    <w:p w:rsidR="008D3837" w:rsidRPr="00F41E78" w:rsidP="00F41E78">
      <w:pPr>
        <w:spacing w:after="120" w:line="230" w:lineRule="exact"/>
        <w:jc w:val="both"/>
        <w:rPr>
          <w:rFonts w:eastAsia="Calibri" w:cs="FrankRuehl"/>
          <w:b/>
          <w:bCs/>
          <w:sz w:val="18"/>
          <w:szCs w:val="22"/>
          <w:rtl/>
        </w:rPr>
      </w:pPr>
    </w:p>
    <w:p w:rsidR="00E97EDA" w:rsidRPr="00E719A9" w:rsidP="008D3837">
      <w:pPr>
        <w:pStyle w:val="KOT5"/>
        <w:rPr>
          <w:rFonts w:eastAsia="Calibri"/>
          <w:rtl/>
        </w:rPr>
      </w:pPr>
      <w:r w:rsidRPr="00E719A9">
        <w:rPr>
          <w:rFonts w:eastAsia="Calibri" w:hint="cs"/>
          <w:rtl/>
        </w:rPr>
        <w:t>זמינות נתונים בענף הנדל"ן לציבור</w:t>
      </w:r>
    </w:p>
    <w:p w:rsidR="00E97EDA" w:rsidRPr="00F41E78" w:rsidP="00E35E24">
      <w:pPr>
        <w:spacing w:after="120" w:line="230" w:lineRule="exact"/>
        <w:jc w:val="both"/>
        <w:rPr>
          <w:rFonts w:eastAsia="Calibri" w:cs="FrankRuehl"/>
          <w:sz w:val="18"/>
          <w:szCs w:val="22"/>
          <w:rtl/>
        </w:rPr>
      </w:pPr>
      <w:r w:rsidRPr="00F41E78">
        <w:rPr>
          <w:rFonts w:eastAsia="Calibri" w:cs="FrankRuehl" w:hint="cs"/>
          <w:sz w:val="18"/>
          <w:szCs w:val="22"/>
          <w:rtl/>
        </w:rPr>
        <w:t>אחד התנאים ההכרחיים לקיומו של שוק תחרותי ומשוכלל בכל ענף כלכלי הוא קיום מידע זמין ונגיש המאפשר לפעילים בשוק לפעול באופן רציונלי ומתוך מזעור גורמי אי-הוודאות. בהיעדר מידע מהותי בענף מסוים נגרם בדרך כלל "כשל שוק" הבא לידי ביטוי בייצור בלתי יעיל ובצריכה ובהקצאה בלתי יעיל</w:t>
      </w:r>
      <w:r w:rsidR="00E35E24">
        <w:rPr>
          <w:rFonts w:eastAsia="Calibri" w:cs="FrankRuehl" w:hint="cs"/>
          <w:sz w:val="18"/>
          <w:szCs w:val="22"/>
          <w:rtl/>
        </w:rPr>
        <w:t>ות</w:t>
      </w:r>
      <w:r w:rsidRPr="00F41E78">
        <w:rPr>
          <w:rFonts w:eastAsia="Calibri" w:cs="FrankRuehl" w:hint="cs"/>
          <w:sz w:val="18"/>
          <w:szCs w:val="22"/>
          <w:rtl/>
        </w:rPr>
        <w:t xml:space="preserve"> של גורמי ייצור, וכפועל יוצא התועלת שכלל הציבור מהענף מפיק קטֵנה. </w:t>
      </w:r>
    </w:p>
    <w:p w:rsidR="00E97EDA" w:rsidRPr="00F41E78" w:rsidP="00F41E78">
      <w:pPr>
        <w:spacing w:after="120" w:line="230" w:lineRule="exact"/>
        <w:jc w:val="both"/>
        <w:rPr>
          <w:rFonts w:eastAsia="Calibri" w:cs="FrankRuehl"/>
          <w:sz w:val="18"/>
          <w:szCs w:val="22"/>
          <w:rtl/>
        </w:rPr>
      </w:pPr>
      <w:r w:rsidRPr="00F41E78">
        <w:rPr>
          <w:rFonts w:eastAsia="Calibri" w:cs="FrankRuehl" w:hint="cs"/>
          <w:sz w:val="18"/>
          <w:szCs w:val="22"/>
          <w:rtl/>
        </w:rPr>
        <w:t xml:space="preserve">בספטמבר 2009 פרסם </w:t>
      </w:r>
      <w:r w:rsidRPr="00F41E78">
        <w:rPr>
          <w:rFonts w:eastAsia="Calibri" w:cs="FrankRuehl"/>
          <w:sz w:val="18"/>
          <w:szCs w:val="22"/>
          <w:rtl/>
        </w:rPr>
        <w:t xml:space="preserve">השמאי הממשלתי </w:t>
      </w:r>
      <w:r w:rsidRPr="00F41E78">
        <w:rPr>
          <w:rFonts w:eastAsia="Calibri" w:cs="FrankRuehl" w:hint="cs"/>
          <w:sz w:val="18"/>
          <w:szCs w:val="22"/>
          <w:rtl/>
        </w:rPr>
        <w:t>מסמך</w:t>
      </w:r>
      <w:r>
        <w:rPr>
          <w:rFonts w:eastAsia="Calibri" w:cs="FrankRuehl"/>
          <w:sz w:val="18"/>
          <w:szCs w:val="22"/>
          <w:vertAlign w:val="superscript"/>
          <w:rtl/>
        </w:rPr>
        <w:footnoteReference w:id="79"/>
      </w:r>
      <w:r w:rsidRPr="00F41E78">
        <w:rPr>
          <w:rFonts w:eastAsia="Calibri" w:cs="FrankRuehl" w:hint="cs"/>
          <w:sz w:val="18"/>
          <w:szCs w:val="22"/>
          <w:rtl/>
        </w:rPr>
        <w:t xml:space="preserve"> </w:t>
      </w:r>
      <w:r w:rsidRPr="00F41E78">
        <w:rPr>
          <w:rFonts w:eastAsia="Calibri" w:cs="FrankRuehl"/>
          <w:sz w:val="18"/>
          <w:szCs w:val="22"/>
          <w:rtl/>
        </w:rPr>
        <w:t>שפ</w:t>
      </w:r>
      <w:r w:rsidRPr="00F41E78">
        <w:rPr>
          <w:rFonts w:eastAsia="Calibri" w:cs="FrankRuehl" w:hint="cs"/>
          <w:sz w:val="18"/>
          <w:szCs w:val="22"/>
          <w:rtl/>
        </w:rPr>
        <w:t>י</w:t>
      </w:r>
      <w:r w:rsidRPr="00F41E78">
        <w:rPr>
          <w:rFonts w:eastAsia="Calibri" w:cs="FrankRuehl"/>
          <w:sz w:val="18"/>
          <w:szCs w:val="22"/>
          <w:rtl/>
        </w:rPr>
        <w:t xml:space="preserve">רט את הנזק שנגרם למשק </w:t>
      </w:r>
      <w:r w:rsidRPr="00F41E78">
        <w:rPr>
          <w:rFonts w:eastAsia="Calibri" w:cs="FrankRuehl" w:hint="cs"/>
          <w:sz w:val="18"/>
          <w:szCs w:val="22"/>
          <w:rtl/>
        </w:rPr>
        <w:t xml:space="preserve">עקב היווצרותם של חסמי מידע בענף הנדל"ן; לציבור לא ניתנה כל זכות </w:t>
      </w:r>
      <w:r w:rsidRPr="00F41E78">
        <w:rPr>
          <w:rFonts w:eastAsia="Calibri" w:cs="FrankRuehl"/>
          <w:sz w:val="18"/>
          <w:szCs w:val="22"/>
          <w:rtl/>
        </w:rPr>
        <w:t xml:space="preserve">עיון </w:t>
      </w:r>
      <w:r w:rsidRPr="00F41E78">
        <w:rPr>
          <w:rFonts w:eastAsia="Calibri" w:cs="FrankRuehl" w:hint="cs"/>
          <w:sz w:val="18"/>
          <w:szCs w:val="22"/>
          <w:rtl/>
        </w:rPr>
        <w:t>במידע השמור במערכת הממשלתית או שלעתים היה המידע נגיש רק למעטים</w:t>
      </w:r>
      <w:r w:rsidRPr="00F41E78">
        <w:rPr>
          <w:rFonts w:eastAsia="Calibri" w:cs="FrankRuehl"/>
          <w:sz w:val="18"/>
          <w:szCs w:val="22"/>
          <w:rtl/>
        </w:rPr>
        <w:t xml:space="preserve">. </w:t>
      </w:r>
      <w:r w:rsidRPr="00F41E78">
        <w:rPr>
          <w:rFonts w:eastAsia="Calibri" w:cs="FrankRuehl" w:hint="cs"/>
          <w:sz w:val="18"/>
          <w:szCs w:val="22"/>
          <w:rtl/>
        </w:rPr>
        <w:t>במסמך</w:t>
      </w:r>
      <w:r w:rsidRPr="00F41E78">
        <w:rPr>
          <w:rFonts w:eastAsia="Calibri" w:cs="FrankRuehl"/>
          <w:sz w:val="18"/>
          <w:szCs w:val="22"/>
          <w:rtl/>
        </w:rPr>
        <w:t xml:space="preserve"> נקבע</w:t>
      </w:r>
      <w:r w:rsidRPr="00F41E78">
        <w:rPr>
          <w:rFonts w:eastAsia="Calibri" w:cs="FrankRuehl" w:hint="cs"/>
          <w:sz w:val="18"/>
          <w:szCs w:val="22"/>
          <w:rtl/>
        </w:rPr>
        <w:t xml:space="preserve"> כי לאי-מתן המידע ל</w:t>
      </w:r>
      <w:r w:rsidRPr="00F41E78">
        <w:rPr>
          <w:rFonts w:eastAsia="Calibri" w:cs="FrankRuehl"/>
          <w:sz w:val="18"/>
          <w:szCs w:val="22"/>
          <w:rtl/>
        </w:rPr>
        <w:t xml:space="preserve">ציבור </w:t>
      </w:r>
      <w:r w:rsidRPr="00F41E78">
        <w:rPr>
          <w:rFonts w:eastAsia="Calibri" w:cs="FrankRuehl" w:hint="cs"/>
          <w:sz w:val="18"/>
          <w:szCs w:val="22"/>
          <w:rtl/>
        </w:rPr>
        <w:t xml:space="preserve">היו כמה </w:t>
      </w:r>
      <w:r w:rsidRPr="00F41E78">
        <w:rPr>
          <w:rFonts w:eastAsia="Calibri" w:cs="FrankRuehl"/>
          <w:sz w:val="18"/>
          <w:szCs w:val="22"/>
          <w:rtl/>
        </w:rPr>
        <w:t>השפעות שליליות על המשק</w:t>
      </w:r>
      <w:r w:rsidRPr="00F41E78">
        <w:rPr>
          <w:rFonts w:eastAsia="Calibri" w:cs="FrankRuehl" w:hint="cs"/>
          <w:sz w:val="18"/>
          <w:szCs w:val="22"/>
          <w:rtl/>
        </w:rPr>
        <w:t>,</w:t>
      </w:r>
      <w:r w:rsidRPr="00F41E78">
        <w:rPr>
          <w:rFonts w:eastAsia="Calibri" w:cs="FrankRuehl"/>
          <w:sz w:val="18"/>
          <w:szCs w:val="22"/>
          <w:rtl/>
        </w:rPr>
        <w:t xml:space="preserve"> ובהן פגיעה באמינות הדיווח של נישומים לרשות המסים</w:t>
      </w:r>
      <w:r w:rsidRPr="00F41E78">
        <w:rPr>
          <w:rFonts w:eastAsia="Calibri" w:cs="FrankRuehl" w:hint="cs"/>
          <w:sz w:val="18"/>
          <w:szCs w:val="22"/>
          <w:rtl/>
        </w:rPr>
        <w:t>,</w:t>
      </w:r>
      <w:r w:rsidRPr="00F41E78">
        <w:rPr>
          <w:rFonts w:eastAsia="Calibri" w:cs="FrankRuehl"/>
          <w:sz w:val="18"/>
          <w:szCs w:val="22"/>
          <w:rtl/>
        </w:rPr>
        <w:t xml:space="preserve"> פגיעה ביעילות השוק</w:t>
      </w:r>
      <w:r w:rsidRPr="00F41E78">
        <w:rPr>
          <w:rFonts w:eastAsia="Calibri" w:cs="FrankRuehl" w:hint="cs"/>
          <w:sz w:val="18"/>
          <w:szCs w:val="22"/>
          <w:rtl/>
        </w:rPr>
        <w:t>,</w:t>
      </w:r>
      <w:r w:rsidRPr="00F41E78">
        <w:rPr>
          <w:rFonts w:eastAsia="Calibri" w:cs="FrankRuehl"/>
          <w:sz w:val="18"/>
          <w:szCs w:val="22"/>
          <w:rtl/>
        </w:rPr>
        <w:t xml:space="preserve"> אפשרות להפצת מידע מטעה על ידי בעלי עניין בשוק</w:t>
      </w:r>
      <w:r w:rsidRPr="00F41E78">
        <w:rPr>
          <w:rFonts w:eastAsia="Calibri" w:cs="FrankRuehl" w:hint="cs"/>
          <w:sz w:val="18"/>
          <w:szCs w:val="22"/>
          <w:rtl/>
        </w:rPr>
        <w:t>,</w:t>
      </w:r>
      <w:r w:rsidRPr="00F41E78">
        <w:rPr>
          <w:rFonts w:eastAsia="Calibri" w:cs="FrankRuehl"/>
          <w:sz w:val="18"/>
          <w:szCs w:val="22"/>
          <w:rtl/>
        </w:rPr>
        <w:t xml:space="preserve"> עידוד פעילות עסקנים ("מאכערים")</w:t>
      </w:r>
      <w:r w:rsidRPr="00F41E78">
        <w:rPr>
          <w:rFonts w:eastAsia="Calibri" w:cs="FrankRuehl" w:hint="cs"/>
          <w:sz w:val="18"/>
          <w:szCs w:val="22"/>
          <w:rtl/>
        </w:rPr>
        <w:t>,</w:t>
      </w:r>
      <w:r w:rsidRPr="00F41E78">
        <w:rPr>
          <w:rFonts w:eastAsia="Calibri" w:cs="FrankRuehl"/>
          <w:sz w:val="18"/>
          <w:szCs w:val="22"/>
          <w:rtl/>
        </w:rPr>
        <w:t xml:space="preserve"> הגדלת </w:t>
      </w:r>
      <w:r w:rsidRPr="00F41E78">
        <w:rPr>
          <w:rFonts w:eastAsia="Calibri" w:cs="FrankRuehl" w:hint="cs"/>
          <w:sz w:val="18"/>
          <w:szCs w:val="22"/>
          <w:rtl/>
        </w:rPr>
        <w:t>ה</w:t>
      </w:r>
      <w:r w:rsidRPr="00F41E78">
        <w:rPr>
          <w:rFonts w:eastAsia="Calibri" w:cs="FrankRuehl"/>
          <w:sz w:val="18"/>
          <w:szCs w:val="22"/>
          <w:rtl/>
        </w:rPr>
        <w:t xml:space="preserve">סיכון לתרגילי </w:t>
      </w:r>
      <w:r w:rsidR="007C6AAD">
        <w:rPr>
          <w:rFonts w:eastAsia="Calibri" w:cs="FrankRuehl" w:hint="cs"/>
          <w:sz w:val="18"/>
          <w:szCs w:val="22"/>
          <w:rtl/>
        </w:rPr>
        <w:t>"</w:t>
      </w:r>
      <w:r w:rsidRPr="00F41E78">
        <w:rPr>
          <w:rFonts w:eastAsia="Calibri" w:cs="FrankRuehl"/>
          <w:sz w:val="18"/>
          <w:szCs w:val="22"/>
          <w:rtl/>
        </w:rPr>
        <w:t>עוקץ</w:t>
      </w:r>
      <w:r w:rsidR="007C6AAD">
        <w:rPr>
          <w:rFonts w:eastAsia="Calibri" w:cs="FrankRuehl" w:hint="cs"/>
          <w:sz w:val="18"/>
          <w:szCs w:val="22"/>
          <w:rtl/>
        </w:rPr>
        <w:t>"</w:t>
      </w:r>
      <w:r w:rsidRPr="00F41E78">
        <w:rPr>
          <w:rFonts w:eastAsia="Calibri" w:cs="FrankRuehl"/>
          <w:sz w:val="18"/>
          <w:szCs w:val="22"/>
          <w:rtl/>
        </w:rPr>
        <w:t xml:space="preserve"> בעסקאות מקרקעין</w:t>
      </w:r>
      <w:r w:rsidRPr="00F41E78">
        <w:rPr>
          <w:rFonts w:eastAsia="Calibri" w:cs="FrankRuehl" w:hint="cs"/>
          <w:sz w:val="18"/>
          <w:szCs w:val="22"/>
          <w:rtl/>
        </w:rPr>
        <w:t>,</w:t>
      </w:r>
      <w:r w:rsidRPr="00F41E78">
        <w:rPr>
          <w:rFonts w:eastAsia="Calibri" w:cs="FrankRuehl"/>
          <w:sz w:val="18"/>
          <w:szCs w:val="22"/>
          <w:rtl/>
        </w:rPr>
        <w:t xml:space="preserve"> </w:t>
      </w:r>
      <w:r w:rsidRPr="00F41E78">
        <w:rPr>
          <w:rFonts w:eastAsia="Calibri" w:cs="FrankRuehl" w:hint="cs"/>
          <w:sz w:val="18"/>
          <w:szCs w:val="22"/>
          <w:rtl/>
        </w:rPr>
        <w:t>התמשכות יתרה של</w:t>
      </w:r>
      <w:r w:rsidRPr="00F41E78">
        <w:rPr>
          <w:rFonts w:eastAsia="Calibri" w:cs="FrankRuehl"/>
          <w:sz w:val="18"/>
          <w:szCs w:val="22"/>
          <w:rtl/>
        </w:rPr>
        <w:t xml:space="preserve"> הליכי ערר ובוררות</w:t>
      </w:r>
      <w:r w:rsidRPr="00F41E78">
        <w:rPr>
          <w:rFonts w:eastAsia="Calibri" w:cs="FrankRuehl" w:hint="cs"/>
          <w:sz w:val="18"/>
          <w:szCs w:val="22"/>
          <w:rtl/>
        </w:rPr>
        <w:t xml:space="preserve"> במיסוי מקרקעין,</w:t>
      </w:r>
      <w:r w:rsidRPr="00F41E78">
        <w:rPr>
          <w:rFonts w:eastAsia="Calibri" w:cs="FrankRuehl"/>
          <w:sz w:val="18"/>
          <w:szCs w:val="22"/>
          <w:rtl/>
        </w:rPr>
        <w:t xml:space="preserve"> פגיעה באיכות שומות מקרקעין ופגיעה בהכנסות </w:t>
      </w:r>
      <w:r w:rsidRPr="00F41E78">
        <w:rPr>
          <w:rFonts w:eastAsia="Calibri" w:cs="FrankRuehl" w:hint="cs"/>
          <w:sz w:val="18"/>
          <w:szCs w:val="22"/>
          <w:rtl/>
        </w:rPr>
        <w:t>המדינה ממסים</w:t>
      </w:r>
      <w:r w:rsidRPr="00F41E78">
        <w:rPr>
          <w:rFonts w:eastAsia="Calibri" w:cs="FrankRuehl"/>
          <w:sz w:val="18"/>
          <w:szCs w:val="22"/>
          <w:rtl/>
        </w:rPr>
        <w:t>.</w:t>
      </w:r>
    </w:p>
    <w:p w:rsidR="00E97EDA" w:rsidRPr="00F41E78" w:rsidP="00320E25">
      <w:pPr>
        <w:spacing w:after="120" w:line="224" w:lineRule="exact"/>
        <w:jc w:val="both"/>
        <w:rPr>
          <w:rFonts w:eastAsia="Calibri" w:cs="FrankRuehl"/>
          <w:sz w:val="18"/>
          <w:szCs w:val="22"/>
          <w:rtl/>
        </w:rPr>
      </w:pPr>
      <w:r w:rsidRPr="00F41E78">
        <w:rPr>
          <w:rFonts w:eastAsia="Calibri" w:cs="FrankRuehl"/>
          <w:sz w:val="18"/>
          <w:szCs w:val="22"/>
          <w:rtl/>
        </w:rPr>
        <w:t xml:space="preserve">לאחר פרסום </w:t>
      </w:r>
      <w:r w:rsidRPr="00F41E78">
        <w:rPr>
          <w:rFonts w:eastAsia="Calibri" w:cs="FrankRuehl" w:hint="cs"/>
          <w:sz w:val="18"/>
          <w:szCs w:val="22"/>
          <w:rtl/>
        </w:rPr>
        <w:t>המסמך</w:t>
      </w:r>
      <w:r w:rsidRPr="00F41E78">
        <w:rPr>
          <w:rFonts w:eastAsia="Calibri" w:cs="FrankRuehl"/>
          <w:sz w:val="18"/>
          <w:szCs w:val="22"/>
          <w:rtl/>
        </w:rPr>
        <w:t xml:space="preserve"> הוגשה נגד המדינה עתירה</w:t>
      </w:r>
      <w:r>
        <w:rPr>
          <w:rFonts w:eastAsia="Calibri" w:cs="FrankRuehl"/>
          <w:sz w:val="18"/>
          <w:szCs w:val="22"/>
          <w:vertAlign w:val="superscript"/>
          <w:rtl/>
        </w:rPr>
        <w:footnoteReference w:id="80"/>
      </w:r>
      <w:r w:rsidRPr="00F41E78">
        <w:rPr>
          <w:rFonts w:eastAsia="Calibri" w:cs="FrankRuehl"/>
          <w:sz w:val="18"/>
          <w:szCs w:val="22"/>
          <w:rtl/>
        </w:rPr>
        <w:t xml:space="preserve"> </w:t>
      </w:r>
      <w:r w:rsidRPr="00F41E78">
        <w:rPr>
          <w:rFonts w:eastAsia="Calibri" w:cs="FrankRuehl" w:hint="cs"/>
          <w:sz w:val="18"/>
          <w:szCs w:val="22"/>
          <w:rtl/>
        </w:rPr>
        <w:t>להנגשת המידע שבמאגר הכרמ"ן</w:t>
      </w:r>
      <w:r w:rsidRPr="00F41E78">
        <w:rPr>
          <w:rFonts w:eastAsia="Calibri" w:cs="FrankRuehl"/>
          <w:sz w:val="18"/>
          <w:szCs w:val="22"/>
          <w:rtl/>
        </w:rPr>
        <w:t xml:space="preserve"> </w:t>
      </w:r>
      <w:r w:rsidRPr="00F41E78">
        <w:rPr>
          <w:rFonts w:eastAsia="Calibri" w:cs="FrankRuehl" w:hint="cs"/>
          <w:sz w:val="18"/>
          <w:szCs w:val="22"/>
          <w:rtl/>
        </w:rPr>
        <w:t>לציבור ולקביעת עלות סבירה לצפיה בנתוניו</w:t>
      </w:r>
      <w:r w:rsidRPr="00F41E78">
        <w:rPr>
          <w:rFonts w:eastAsia="Calibri" w:cs="FrankRuehl"/>
          <w:sz w:val="18"/>
          <w:szCs w:val="22"/>
          <w:rtl/>
        </w:rPr>
        <w:t xml:space="preserve">. בעתירה </w:t>
      </w:r>
      <w:r w:rsidRPr="00F41E78">
        <w:rPr>
          <w:rFonts w:eastAsia="Calibri" w:cs="FrankRuehl" w:hint="cs"/>
          <w:sz w:val="18"/>
          <w:szCs w:val="22"/>
          <w:rtl/>
        </w:rPr>
        <w:t>הועלו טענות הנוגעות ל</w:t>
      </w:r>
      <w:r w:rsidRPr="00F41E78">
        <w:rPr>
          <w:rFonts w:eastAsia="Calibri" w:cs="FrankRuehl"/>
          <w:sz w:val="18"/>
          <w:szCs w:val="22"/>
          <w:rtl/>
        </w:rPr>
        <w:t xml:space="preserve">נזק </w:t>
      </w:r>
      <w:r w:rsidRPr="00F41E78">
        <w:rPr>
          <w:rFonts w:eastAsia="Calibri" w:cs="FrankRuehl" w:hint="cs"/>
          <w:sz w:val="18"/>
          <w:szCs w:val="22"/>
          <w:rtl/>
        </w:rPr>
        <w:t>ה</w:t>
      </w:r>
      <w:r w:rsidRPr="00F41E78">
        <w:rPr>
          <w:rFonts w:eastAsia="Calibri" w:cs="FrankRuehl"/>
          <w:sz w:val="18"/>
          <w:szCs w:val="22"/>
          <w:rtl/>
        </w:rPr>
        <w:t xml:space="preserve">נגרם למשק </w:t>
      </w:r>
      <w:r w:rsidRPr="00F41E78">
        <w:rPr>
          <w:rFonts w:eastAsia="Calibri" w:cs="FrankRuehl" w:hint="cs"/>
          <w:sz w:val="18"/>
          <w:szCs w:val="22"/>
          <w:rtl/>
        </w:rPr>
        <w:t xml:space="preserve">בשל </w:t>
      </w:r>
      <w:r w:rsidRPr="009F1012">
        <w:rPr>
          <w:rFonts w:eastAsia="Calibri" w:cs="FrankRuehl"/>
          <w:spacing w:val="-2"/>
          <w:sz w:val="18"/>
          <w:szCs w:val="22"/>
          <w:rtl/>
        </w:rPr>
        <w:t>ה</w:t>
      </w:r>
      <w:r w:rsidRPr="009F1012">
        <w:rPr>
          <w:rFonts w:eastAsia="Calibri" w:cs="FrankRuehl" w:hint="cs"/>
          <w:spacing w:val="-2"/>
          <w:sz w:val="18"/>
          <w:szCs w:val="22"/>
          <w:rtl/>
        </w:rPr>
        <w:t>י</w:t>
      </w:r>
      <w:r w:rsidRPr="009F1012">
        <w:rPr>
          <w:rFonts w:eastAsia="Calibri" w:cs="FrankRuehl"/>
          <w:spacing w:val="-2"/>
          <w:sz w:val="18"/>
          <w:szCs w:val="22"/>
          <w:rtl/>
        </w:rPr>
        <w:t>עדר מידע</w:t>
      </w:r>
      <w:r w:rsidRPr="009F1012">
        <w:rPr>
          <w:rFonts w:eastAsia="Calibri" w:cs="FrankRuehl" w:hint="cs"/>
          <w:spacing w:val="-2"/>
          <w:sz w:val="18"/>
          <w:szCs w:val="22"/>
          <w:rtl/>
        </w:rPr>
        <w:t xml:space="preserve"> לציבור</w:t>
      </w:r>
      <w:r w:rsidRPr="009F1012">
        <w:rPr>
          <w:rFonts w:eastAsia="Calibri" w:cs="FrankRuehl"/>
          <w:spacing w:val="-2"/>
          <w:sz w:val="18"/>
          <w:szCs w:val="22"/>
          <w:rtl/>
        </w:rPr>
        <w:t xml:space="preserve"> </w:t>
      </w:r>
      <w:r w:rsidRPr="009F1012">
        <w:rPr>
          <w:rFonts w:eastAsia="Calibri" w:cs="FrankRuehl" w:hint="cs"/>
          <w:spacing w:val="-2"/>
          <w:sz w:val="18"/>
          <w:szCs w:val="22"/>
          <w:rtl/>
        </w:rPr>
        <w:t>ול</w:t>
      </w:r>
      <w:r w:rsidRPr="009F1012">
        <w:rPr>
          <w:rFonts w:eastAsia="Calibri" w:cs="FrankRuehl"/>
          <w:spacing w:val="-2"/>
          <w:sz w:val="18"/>
          <w:szCs w:val="22"/>
          <w:rtl/>
        </w:rPr>
        <w:t>קושי לבצע מחקר אקדמי בתחום כלכלת נדל"ן ללא מסד הנתונים הממשלתי</w:t>
      </w:r>
      <w:r w:rsidRPr="009F1012">
        <w:rPr>
          <w:rFonts w:eastAsia="Calibri" w:cs="FrankRuehl" w:hint="cs"/>
          <w:spacing w:val="-2"/>
          <w:sz w:val="18"/>
          <w:szCs w:val="22"/>
          <w:rtl/>
        </w:rPr>
        <w:t xml:space="preserve">. העתירה נסמכה </w:t>
      </w:r>
      <w:r w:rsidRPr="009F1012">
        <w:rPr>
          <w:rFonts w:eastAsia="Calibri" w:cs="FrankRuehl"/>
          <w:spacing w:val="-2"/>
          <w:sz w:val="18"/>
          <w:szCs w:val="22"/>
          <w:rtl/>
        </w:rPr>
        <w:t xml:space="preserve">בין היתר על </w:t>
      </w:r>
      <w:r w:rsidRPr="009F1012">
        <w:rPr>
          <w:rFonts w:eastAsia="Calibri" w:cs="FrankRuehl" w:hint="cs"/>
          <w:spacing w:val="-2"/>
          <w:sz w:val="18"/>
          <w:szCs w:val="22"/>
          <w:rtl/>
        </w:rPr>
        <w:t>מסמך</w:t>
      </w:r>
      <w:r w:rsidRPr="009F1012">
        <w:rPr>
          <w:rFonts w:eastAsia="Calibri" w:cs="FrankRuehl"/>
          <w:spacing w:val="-2"/>
          <w:sz w:val="18"/>
          <w:szCs w:val="22"/>
          <w:rtl/>
        </w:rPr>
        <w:t xml:space="preserve"> השמאי הממשלתי‏. במהלך ההליך המשפטי </w:t>
      </w:r>
      <w:r w:rsidRPr="009F1012">
        <w:rPr>
          <w:rFonts w:eastAsia="Calibri" w:cs="FrankRuehl" w:hint="cs"/>
          <w:spacing w:val="-2"/>
          <w:sz w:val="18"/>
          <w:szCs w:val="22"/>
          <w:rtl/>
        </w:rPr>
        <w:t>ובטרם</w:t>
      </w:r>
      <w:r w:rsidRPr="009F1012">
        <w:rPr>
          <w:rFonts w:eastAsia="Calibri" w:cs="FrankRuehl"/>
          <w:spacing w:val="-2"/>
          <w:sz w:val="18"/>
          <w:szCs w:val="22"/>
          <w:rtl/>
        </w:rPr>
        <w:t xml:space="preserve"> ניתן</w:t>
      </w:r>
      <w:r w:rsidRPr="00F41E78">
        <w:rPr>
          <w:rFonts w:eastAsia="Calibri" w:cs="FrankRuehl"/>
          <w:sz w:val="18"/>
          <w:szCs w:val="22"/>
          <w:rtl/>
        </w:rPr>
        <w:t xml:space="preserve"> פסק דין הודיעה רשות המסים כי תפתח את מערכת</w:t>
      </w:r>
      <w:r w:rsidRPr="00F41E78">
        <w:rPr>
          <w:rFonts w:eastAsia="Calibri" w:cs="FrankRuehl" w:hint="cs"/>
          <w:sz w:val="18"/>
          <w:szCs w:val="22"/>
          <w:rtl/>
        </w:rPr>
        <w:t xml:space="preserve"> ה</w:t>
      </w:r>
      <w:r w:rsidRPr="00F41E78">
        <w:rPr>
          <w:rFonts w:eastAsia="Calibri" w:cs="FrankRuehl"/>
          <w:sz w:val="18"/>
          <w:szCs w:val="22"/>
          <w:rtl/>
        </w:rPr>
        <w:t>כרמ"ן</w:t>
      </w:r>
      <w:r w:rsidRPr="00F41E78">
        <w:rPr>
          <w:rFonts w:eastAsia="Calibri" w:cs="FrankRuehl" w:hint="cs"/>
          <w:sz w:val="18"/>
          <w:szCs w:val="22"/>
          <w:rtl/>
        </w:rPr>
        <w:t xml:space="preserve"> </w:t>
      </w:r>
      <w:r w:rsidRPr="00F41E78">
        <w:rPr>
          <w:rFonts w:eastAsia="Calibri" w:cs="FrankRuehl"/>
          <w:sz w:val="18"/>
          <w:szCs w:val="22"/>
          <w:rtl/>
        </w:rPr>
        <w:t xml:space="preserve">לעיון הציבור לאחר תקופת התארגנות. </w:t>
      </w:r>
      <w:r w:rsidRPr="00F41E78">
        <w:rPr>
          <w:rFonts w:eastAsia="Calibri" w:cs="FrankRuehl" w:hint="cs"/>
          <w:sz w:val="18"/>
          <w:szCs w:val="22"/>
          <w:rtl/>
        </w:rPr>
        <w:t xml:space="preserve">בעקבות זאת, בפברואר 2010 ניתן פסק דין המוחק את העתירה, לאחר שרשות המסים התחייבה לספק לעותרים את מבוקשם. </w:t>
      </w:r>
      <w:r w:rsidRPr="00F41E78">
        <w:rPr>
          <w:rFonts w:eastAsia="Calibri" w:cs="FrankRuehl"/>
          <w:sz w:val="18"/>
          <w:szCs w:val="22"/>
          <w:rtl/>
        </w:rPr>
        <w:t>במאי 2010</w:t>
      </w:r>
      <w:r w:rsidRPr="00F41E78">
        <w:rPr>
          <w:rFonts w:eastAsia="Calibri" w:cs="FrankRuehl" w:hint="cs"/>
          <w:sz w:val="18"/>
          <w:szCs w:val="22"/>
          <w:rtl/>
        </w:rPr>
        <w:t xml:space="preserve"> </w:t>
      </w:r>
      <w:r w:rsidRPr="00F41E78">
        <w:rPr>
          <w:rFonts w:eastAsia="Calibri" w:cs="FrankRuehl"/>
          <w:sz w:val="18"/>
          <w:szCs w:val="22"/>
          <w:rtl/>
        </w:rPr>
        <w:t>נפתחה המערכת לעיון הציבור באמצעות האינטרנט</w:t>
      </w:r>
      <w:r w:rsidRPr="00F41E78">
        <w:rPr>
          <w:rFonts w:eastAsia="Calibri" w:cs="FrankRuehl" w:hint="cs"/>
          <w:sz w:val="18"/>
          <w:szCs w:val="22"/>
          <w:rtl/>
        </w:rPr>
        <w:t xml:space="preserve">. </w:t>
      </w:r>
    </w:p>
    <w:p w:rsidR="00E97EDA" w:rsidRPr="00E719A9" w:rsidP="00320E25">
      <w:pPr>
        <w:spacing w:after="240" w:line="224" w:lineRule="exact"/>
        <w:jc w:val="both"/>
        <w:rPr>
          <w:rFonts w:ascii="Calibri" w:eastAsia="Calibri" w:hAnsi="Calibri"/>
          <w:rtl/>
        </w:rPr>
      </w:pPr>
      <w:r w:rsidRPr="00F41E78">
        <w:rPr>
          <w:rFonts w:eastAsia="Calibri" w:cs="FrankRuehl" w:hint="cs"/>
          <w:sz w:val="18"/>
          <w:szCs w:val="22"/>
          <w:rtl/>
        </w:rPr>
        <w:t>נמצא כי אף שרשות המסים נתנה לציבור גישה למערכת ללא עלות כספית, ואף שגלומה תועלת רבה למשק מהשימוש במערכת המידע, שאילתה אינה מופקת אם מספר העסקאות הנכלל בה גדול מ-150 (להלן - מגבלת נתונים)</w:t>
      </w:r>
      <w:r>
        <w:rPr>
          <w:rStyle w:val="FootnoteReference0"/>
          <w:rFonts w:ascii="FrankRuehl" w:eastAsia="Calibri" w:hAnsi="FrankRuehl" w:cs="FrankRuehl"/>
          <w:sz w:val="22"/>
          <w:szCs w:val="22"/>
          <w:rtl/>
        </w:rPr>
        <w:footnoteReference w:id="81"/>
      </w:r>
      <w:r w:rsidRPr="00E719A9">
        <w:rPr>
          <w:rFonts w:ascii="Calibri" w:eastAsia="Calibri" w:hAnsi="Calibri" w:hint="cs"/>
          <w:rtl/>
        </w:rPr>
        <w:t>.</w:t>
      </w:r>
      <w:r>
        <w:rPr>
          <w:rFonts w:ascii="Calibri" w:eastAsia="Calibri" w:hAnsi="Calibri" w:hint="cs"/>
          <w:rtl/>
        </w:rPr>
        <w:t xml:space="preserve"> </w:t>
      </w:r>
    </w:p>
    <w:p w:rsidR="00D22B16" w:rsidRPr="00F41E78" w:rsidP="00320E25">
      <w:pPr>
        <w:pStyle w:val="RESHET"/>
        <w:keepLines/>
        <w:spacing w:line="224" w:lineRule="exact"/>
        <w:rPr>
          <w:rFonts w:eastAsia="Calibri"/>
          <w:rtl/>
        </w:rPr>
      </w:pPr>
      <w:r w:rsidRPr="00F41E78">
        <w:rPr>
          <w:rFonts w:eastAsia="Calibri" w:hint="cs"/>
          <w:rtl/>
        </w:rPr>
        <w:t>נמצא כי מגבלת הנתונים מקשה מאוד את השימוש במערכת עד כי לעתים לא ניתן לקבל את רשימת העסקאות אלא לאחר צמצום השאילתה לטווח זמנים קצר. הקושי בהפקת הנתונים מגיע עד לידי מצב שבו השימוש בתוכנה אינו יעיל משום שרוכש דירה פוטנציאלי ברוב המקרים מבקש מידע על מגמות השינוי שחל במחירי הדירות בשכונה או במספר רחובות על פני תקופה מסוימת. כמו כן, המגבלה אינה מאפשרת לבצע מחקר המחייב ביסוס על נתונים רבים הנוגעים למחירי דירות באזורים שונים ובתקופות שונות. זאת ועוד, לפי נציגי רשות המסים, חוקרים וגופים שונים מסתייעים בחברות מחו"ל כדי להתגבר על מגבלת הנתונים שיצרה הרשות ולדלות מידע מהמאגר באמצעות פיצול השאילתות לפי גושים, חלקות ותאריכים.</w:t>
      </w:r>
    </w:p>
    <w:p w:rsidR="00D22B16" w:rsidRPr="00F41E78" w:rsidP="00320E25">
      <w:pPr>
        <w:pStyle w:val="RESHET"/>
        <w:keepLines/>
        <w:spacing w:line="224" w:lineRule="exact"/>
        <w:rPr>
          <w:rFonts w:eastAsia="Calibri"/>
          <w:rtl/>
        </w:rPr>
      </w:pPr>
      <w:r w:rsidRPr="00F41E78">
        <w:rPr>
          <w:rFonts w:eastAsia="Calibri" w:hint="cs"/>
          <w:rtl/>
        </w:rPr>
        <w:t xml:space="preserve">לדעת משרד מבקר המדינה, הגברת הנגישות של הנתונים לעיון הציבור מאפשרת תחרות משוכללת יותר בשוק הדיור המפחיתה את הצורך במתווכים ומגבירה את היעילות הכלכלית במשק. לפיכך, על רשות המסים ומשרד האוצר לשקול, במסגרת דיון בוועדת ההיגוי, אם עדיין נחוץ להגביל את הפקת המידע מקובץ הכרמ"ן. </w:t>
      </w:r>
    </w:p>
    <w:p w:rsidR="00E97EDA" w:rsidRPr="00F41E78" w:rsidP="00320E25">
      <w:pPr>
        <w:spacing w:before="180" w:after="120" w:line="224" w:lineRule="exact"/>
        <w:jc w:val="both"/>
        <w:rPr>
          <w:rFonts w:eastAsia="Calibri" w:cs="FrankRuehl"/>
          <w:sz w:val="18"/>
          <w:szCs w:val="22"/>
          <w:rtl/>
        </w:rPr>
      </w:pPr>
      <w:r w:rsidRPr="00F41E78">
        <w:rPr>
          <w:rFonts w:eastAsia="Calibri" w:cs="FrankRuehl" w:hint="cs"/>
          <w:sz w:val="18"/>
          <w:szCs w:val="22"/>
          <w:rtl/>
        </w:rPr>
        <w:t>רשות</w:t>
      </w:r>
      <w:r w:rsidRPr="00F41E78">
        <w:rPr>
          <w:rFonts w:eastAsia="Calibri" w:cs="FrankRuehl"/>
          <w:sz w:val="18"/>
          <w:szCs w:val="22"/>
          <w:rtl/>
        </w:rPr>
        <w:t xml:space="preserve"> </w:t>
      </w:r>
      <w:r w:rsidRPr="00F41E78">
        <w:rPr>
          <w:rFonts w:eastAsia="Calibri" w:cs="FrankRuehl" w:hint="cs"/>
          <w:sz w:val="18"/>
          <w:szCs w:val="22"/>
          <w:rtl/>
        </w:rPr>
        <w:t>המסים מסרה בתשובתה כי בכוונתה לפרסם באינטרנט את מאגר המידע של קובץ הכרמ"ן בשלמותו באופן שיאפשר לגופים מסחריים ומחקריים נגישות לכלל העסקאות.</w:t>
      </w:r>
    </w:p>
    <w:p w:rsidR="009F1012" w:rsidP="00836B1E">
      <w:pPr>
        <w:spacing w:line="230" w:lineRule="exact"/>
        <w:jc w:val="both"/>
        <w:rPr>
          <w:rFonts w:cs="FrankRuehl"/>
          <w:sz w:val="22"/>
          <w:szCs w:val="22"/>
          <w:rtl/>
        </w:rPr>
      </w:pPr>
    </w:p>
    <w:p w:rsidR="009F1012" w:rsidP="009F1012">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9F1012" w:rsidP="00836B1E">
      <w:pPr>
        <w:spacing w:line="230" w:lineRule="exact"/>
        <w:jc w:val="both"/>
        <w:rPr>
          <w:rFonts w:cs="FrankRuehl"/>
          <w:sz w:val="22"/>
          <w:szCs w:val="22"/>
          <w:rtl/>
        </w:rPr>
      </w:pPr>
    </w:p>
    <w:p w:rsidR="00D22B16" w:rsidRPr="00F41E78" w:rsidP="00320E25">
      <w:pPr>
        <w:pStyle w:val="RESHET"/>
        <w:keepLines/>
        <w:spacing w:line="224" w:lineRule="exact"/>
        <w:rPr>
          <w:rFonts w:eastAsia="Calibri"/>
          <w:rtl/>
        </w:rPr>
      </w:pPr>
      <w:r w:rsidRPr="00F41E78">
        <w:rPr>
          <w:rFonts w:eastAsia="Calibri" w:hint="cs"/>
          <w:rtl/>
        </w:rPr>
        <w:t>נתונים איכותיים, עדכניים וזמינים הם הבסיס שמקבלי ההחלטות צריכים להסתמך עליו בבואם לקבל החלטות בתחום הדיור שלהן חשיבות במישור הלאומי. הממצאים שהועלו בשער</w:t>
      </w:r>
      <w:r w:rsidRPr="00F41E78">
        <w:rPr>
          <w:rFonts w:eastAsia="Calibri"/>
          <w:rtl/>
        </w:rPr>
        <w:t xml:space="preserve"> </w:t>
      </w:r>
      <w:r w:rsidRPr="00F41E78">
        <w:rPr>
          <w:rFonts w:eastAsia="Calibri" w:hint="cs"/>
          <w:rtl/>
        </w:rPr>
        <w:t xml:space="preserve">זה מלמדים כי הנתונים בתחום מחירי הדיור המשמשים את הרשויות השונות הינם באיכות נמוכה ואף יש סתירות בין פרסומי הגורמים השונים שנסמכים על נתונים שונים. לכן נבצר מהממשלה לקבל מידע מערכתי עדכני ומדויק על משק הדיור. </w:t>
      </w:r>
    </w:p>
    <w:p w:rsidR="00D22B16" w:rsidP="00320E25">
      <w:pPr>
        <w:pStyle w:val="RESHET"/>
        <w:keepLines/>
        <w:spacing w:line="224" w:lineRule="exact"/>
        <w:rPr>
          <w:rFonts w:ascii="Calibri" w:eastAsia="Calibri" w:hAnsi="Calibri" w:cs="Arial"/>
          <w:sz w:val="22"/>
          <w:rtl/>
        </w:rPr>
      </w:pPr>
      <w:r w:rsidRPr="00F41E78">
        <w:rPr>
          <w:rFonts w:eastAsia="Calibri" w:hint="cs"/>
          <w:rtl/>
        </w:rPr>
        <w:t xml:space="preserve">לדעת משרד מבקר המדינה, על </w:t>
      </w:r>
      <w:r>
        <w:rPr>
          <w:rFonts w:eastAsia="Calibri" w:hint="cs"/>
          <w:rtl/>
        </w:rPr>
        <w:t>משרדי הבינוי</w:t>
      </w:r>
      <w:r w:rsidRPr="00F41E78">
        <w:rPr>
          <w:rFonts w:eastAsia="Calibri" w:hint="cs"/>
          <w:rtl/>
        </w:rPr>
        <w:t xml:space="preserve"> והאוצר, רשות המסים והלמ"ס לפעול ביחד ובהקדם להקמת תשתית נתונים זמינה, מוסכמת ואיכותית שתאפשר להציג בפני מקבלי ההחלטות והציבור נתונים מהימנים על שוק הדיור כדי לתמוך במציאת פתרונות מתאימים להתמודדות עם משבר הדיור</w:t>
      </w:r>
      <w:r w:rsidRPr="00E719A9">
        <w:rPr>
          <w:rFonts w:ascii="Calibri" w:eastAsia="Calibri" w:hAnsi="Calibri" w:hint="cs"/>
          <w:sz w:val="22"/>
          <w:rtl/>
        </w:rPr>
        <w:t>.</w:t>
      </w:r>
    </w:p>
    <w:p w:rsidR="00836B1E" w:rsidRPr="00836B1E" w:rsidP="00836B1E">
      <w:pPr>
        <w:spacing w:line="180" w:lineRule="exact"/>
        <w:jc w:val="both"/>
        <w:rPr>
          <w:rFonts w:cs="FrankRuehl"/>
          <w:sz w:val="16"/>
          <w:szCs w:val="16"/>
          <w:rtl/>
        </w:rPr>
      </w:pPr>
    </w:p>
    <w:p w:rsidR="009F1012" w:rsidP="00D5796D">
      <w:pPr>
        <w:keepNext/>
        <w:keepLines/>
        <w:jc w:val="center"/>
        <w:outlineLvl w:val="0"/>
        <w:rPr>
          <w:bCs/>
          <w:szCs w:val="36"/>
          <w:u w:val="single"/>
          <w:rtl/>
        </w:rPr>
        <w:sectPr w:rsidSect="00417CBF">
          <w:footnotePr>
            <w:numRestart w:val="eachSect"/>
          </w:footnotePr>
          <w:pgSz w:w="11906" w:h="16838" w:code="9"/>
          <w:pgMar w:top="1758" w:right="2552" w:bottom="4253" w:left="2552" w:header="1247" w:footer="1134" w:gutter="0"/>
          <w:cols w:space="720"/>
          <w:rtlGutter/>
        </w:sectPr>
      </w:pPr>
    </w:p>
    <w:p w:rsidR="009F1012" w:rsidP="009F1012">
      <w:pPr>
        <w:spacing w:after="120" w:line="230" w:lineRule="exact"/>
        <w:jc w:val="center"/>
        <w:rPr>
          <w:rtl/>
        </w:rPr>
      </w:pPr>
    </w:p>
    <w:p w:rsidR="009F1012" w:rsidP="009F1012">
      <w:pPr>
        <w:spacing w:after="120" w:line="230" w:lineRule="exact"/>
        <w:jc w:val="center"/>
      </w:pPr>
    </w:p>
    <w:p w:rsidR="009F1012" w:rsidP="009F1012">
      <w:pPr>
        <w:spacing w:after="120" w:line="230" w:lineRule="exact"/>
        <w:jc w:val="center"/>
        <w:rPr>
          <w:rtl/>
        </w:rPr>
      </w:pPr>
    </w:p>
    <w:p w:rsidR="009F1012" w:rsidP="009F1012">
      <w:pPr>
        <w:spacing w:after="120" w:line="230" w:lineRule="exact"/>
        <w:jc w:val="center"/>
      </w:pPr>
    </w:p>
    <w:p w:rsidR="009F1012" w:rsidP="009F1012">
      <w:pPr>
        <w:spacing w:after="120" w:line="230" w:lineRule="exact"/>
        <w:jc w:val="center"/>
      </w:pPr>
    </w:p>
    <w:p w:rsidR="009F1012" w:rsidP="009F1012">
      <w:pPr>
        <w:spacing w:after="120" w:line="230" w:lineRule="exact"/>
        <w:jc w:val="center"/>
      </w:pPr>
    </w:p>
    <w:p w:rsidR="009F1012" w:rsidP="009F1012">
      <w:pPr>
        <w:spacing w:after="120" w:line="230" w:lineRule="exact"/>
        <w:jc w:val="center"/>
        <w:rPr>
          <w:rtl/>
        </w:rPr>
      </w:pPr>
    </w:p>
    <w:p w:rsidR="009F1012" w:rsidP="009F1012">
      <w:pPr>
        <w:spacing w:after="120" w:line="230" w:lineRule="exact"/>
        <w:jc w:val="center"/>
        <w:rPr>
          <w:rtl/>
        </w:rPr>
      </w:pPr>
    </w:p>
    <w:p w:rsidR="009F1012" w:rsidP="00F4484B">
      <w:pPr>
        <w:pStyle w:val="KOT1"/>
        <w:tabs>
          <w:tab w:val="right" w:leader="dot" w:pos="6237"/>
          <w:tab w:val="left" w:pos="6350"/>
        </w:tabs>
        <w:spacing w:after="120"/>
        <w:outlineLvl w:val="0"/>
        <w:rPr>
          <w:b w:val="0"/>
          <w:bCs w:val="0"/>
          <w:sz w:val="32"/>
          <w:szCs w:val="32"/>
          <w:rtl/>
        </w:rPr>
      </w:pPr>
      <w:r>
        <w:rPr>
          <w:rFonts w:hint="cs"/>
          <w:b w:val="0"/>
          <w:bCs w:val="0"/>
          <w:sz w:val="32"/>
          <w:szCs w:val="32"/>
          <w:rtl/>
        </w:rPr>
        <w:t>שער</w:t>
      </w:r>
      <w:r>
        <w:rPr>
          <w:b w:val="0"/>
          <w:bCs w:val="0"/>
          <w:sz w:val="32"/>
          <w:szCs w:val="32"/>
          <w:rtl/>
        </w:rPr>
        <w:t xml:space="preserve"> </w:t>
      </w:r>
      <w:r>
        <w:rPr>
          <w:rFonts w:hint="cs"/>
          <w:b w:val="0"/>
          <w:bCs w:val="0"/>
          <w:sz w:val="32"/>
          <w:szCs w:val="32"/>
          <w:rtl/>
        </w:rPr>
        <w:t>שני</w:t>
      </w:r>
      <w:r w:rsidR="00F4484B">
        <w:rPr>
          <w:b w:val="0"/>
          <w:bCs w:val="0"/>
          <w:sz w:val="32"/>
          <w:szCs w:val="32"/>
          <w:rtl/>
        </w:rPr>
        <w:br/>
      </w:r>
      <w:r w:rsidRPr="00F4484B" w:rsidR="00F4484B">
        <w:rPr>
          <w:rFonts w:hint="cs"/>
          <w:sz w:val="40"/>
          <w:szCs w:val="40"/>
          <w:rtl/>
        </w:rPr>
        <w:t>התוויית</w:t>
      </w:r>
      <w:r w:rsidRPr="00F4484B" w:rsidR="00F4484B">
        <w:rPr>
          <w:sz w:val="40"/>
          <w:szCs w:val="40"/>
          <w:rtl/>
        </w:rPr>
        <w:t xml:space="preserve"> </w:t>
      </w:r>
      <w:r w:rsidRPr="00F4484B" w:rsidR="00F4484B">
        <w:rPr>
          <w:rFonts w:hint="cs"/>
          <w:sz w:val="40"/>
          <w:szCs w:val="40"/>
          <w:rtl/>
        </w:rPr>
        <w:t>מדיניות</w:t>
      </w:r>
      <w:r w:rsidRPr="00F4484B" w:rsidR="00F4484B">
        <w:rPr>
          <w:sz w:val="40"/>
          <w:szCs w:val="40"/>
          <w:rtl/>
        </w:rPr>
        <w:t xml:space="preserve"> </w:t>
      </w:r>
      <w:r w:rsidRPr="00F4484B" w:rsidR="00F4484B">
        <w:rPr>
          <w:rFonts w:hint="cs"/>
          <w:sz w:val="40"/>
          <w:szCs w:val="40"/>
          <w:rtl/>
        </w:rPr>
        <w:t>הממשלה</w:t>
      </w:r>
      <w:r w:rsidRPr="00F4484B" w:rsidR="00F4484B">
        <w:rPr>
          <w:sz w:val="40"/>
          <w:szCs w:val="40"/>
          <w:rtl/>
        </w:rPr>
        <w:t xml:space="preserve"> </w:t>
      </w:r>
      <w:r w:rsidRPr="00F4484B" w:rsidR="00F4484B">
        <w:rPr>
          <w:rFonts w:hint="cs"/>
          <w:sz w:val="40"/>
          <w:szCs w:val="40"/>
          <w:rtl/>
        </w:rPr>
        <w:t>והתמודדותה</w:t>
      </w:r>
      <w:r w:rsidRPr="00F4484B" w:rsidR="00F4484B">
        <w:rPr>
          <w:sz w:val="40"/>
          <w:szCs w:val="40"/>
          <w:rtl/>
        </w:rPr>
        <w:t xml:space="preserve"> </w:t>
      </w:r>
      <w:r w:rsidRPr="00F4484B" w:rsidR="00F4484B">
        <w:rPr>
          <w:rFonts w:hint="cs"/>
          <w:sz w:val="40"/>
          <w:szCs w:val="40"/>
          <w:rtl/>
        </w:rPr>
        <w:br/>
        <w:t>עם</w:t>
      </w:r>
      <w:r w:rsidRPr="00F4484B" w:rsidR="00F4484B">
        <w:rPr>
          <w:sz w:val="40"/>
          <w:szCs w:val="40"/>
          <w:rtl/>
        </w:rPr>
        <w:t xml:space="preserve"> </w:t>
      </w:r>
      <w:r w:rsidRPr="00F4484B" w:rsidR="00F4484B">
        <w:rPr>
          <w:rFonts w:hint="cs"/>
          <w:sz w:val="40"/>
          <w:szCs w:val="40"/>
          <w:rtl/>
        </w:rPr>
        <w:t>משבר</w:t>
      </w:r>
      <w:r w:rsidRPr="00F4484B" w:rsidR="00F4484B">
        <w:rPr>
          <w:sz w:val="40"/>
          <w:szCs w:val="40"/>
          <w:rtl/>
        </w:rPr>
        <w:t xml:space="preserve"> </w:t>
      </w:r>
      <w:r w:rsidRPr="00F4484B" w:rsidR="00F4484B">
        <w:rPr>
          <w:rFonts w:hint="cs"/>
          <w:sz w:val="40"/>
          <w:szCs w:val="40"/>
          <w:rtl/>
        </w:rPr>
        <w:t>הדיור</w:t>
      </w:r>
    </w:p>
    <w:p w:rsidR="00FE4222" w:rsidRPr="009F1012" w:rsidP="009F1012">
      <w:pPr>
        <w:tabs>
          <w:tab w:val="right" w:leader="dot" w:pos="6237"/>
          <w:tab w:val="left" w:pos="6350"/>
        </w:tabs>
        <w:spacing w:after="120" w:line="240" w:lineRule="atLeast"/>
        <w:jc w:val="center"/>
        <w:rPr>
          <w:b/>
          <w:bCs/>
          <w:sz w:val="40"/>
          <w:szCs w:val="40"/>
          <w:rtl/>
        </w:rPr>
      </w:pPr>
    </w:p>
    <w:p w:rsidR="00E97EDA" w:rsidP="00F41E78">
      <w:pPr>
        <w:spacing w:after="120" w:line="230" w:lineRule="exact"/>
        <w:jc w:val="both"/>
        <w:rPr>
          <w:rFonts w:cs="FrankRuehl"/>
          <w:sz w:val="18"/>
          <w:szCs w:val="22"/>
          <w:lang w:eastAsia="he-IL"/>
        </w:rPr>
      </w:pPr>
    </w:p>
    <w:p w:rsidR="009F1012" w:rsidP="00F41E78">
      <w:pPr>
        <w:spacing w:after="120" w:line="230" w:lineRule="exact"/>
        <w:jc w:val="both"/>
        <w:rPr>
          <w:rFonts w:cs="FrankRuehl"/>
          <w:sz w:val="18"/>
          <w:szCs w:val="22"/>
          <w:rtl/>
          <w:lang w:eastAsia="he-IL"/>
        </w:rPr>
        <w:sectPr w:rsidSect="009F1012">
          <w:footnotePr>
            <w:numRestart w:val="eachSect"/>
          </w:footnotePr>
          <w:pgSz w:w="11906" w:h="16838" w:code="9"/>
          <w:pgMar w:top="1758" w:right="2552" w:bottom="4253" w:left="2552" w:header="1247" w:footer="1134" w:gutter="0"/>
          <w:cols w:space="720"/>
          <w:titlePg/>
          <w:rtlGutter/>
        </w:sectPr>
      </w:pPr>
    </w:p>
    <w:p w:rsidR="009F1012" w:rsidRPr="00F41E78" w:rsidP="00F41E78">
      <w:pPr>
        <w:spacing w:after="120" w:line="230" w:lineRule="exact"/>
        <w:jc w:val="both"/>
        <w:rPr>
          <w:rFonts w:cs="FrankRuehl"/>
          <w:sz w:val="18"/>
          <w:szCs w:val="22"/>
          <w:rtl/>
          <w:lang w:eastAsia="he-IL"/>
        </w:rPr>
      </w:pPr>
    </w:p>
    <w:p w:rsidR="009F1012" w:rsidP="008D3837">
      <w:pPr>
        <w:pStyle w:val="KOT4"/>
        <w:rPr>
          <w:rtl/>
          <w:lang w:eastAsia="he-IL"/>
        </w:rPr>
        <w:sectPr w:rsidSect="009F1012">
          <w:footnotePr>
            <w:numRestart w:val="eachSect"/>
          </w:footnotePr>
          <w:pgSz w:w="11906" w:h="16838" w:code="9"/>
          <w:pgMar w:top="1758" w:right="2552" w:bottom="4253" w:left="2552" w:header="1247" w:footer="1134" w:gutter="0"/>
          <w:cols w:space="720"/>
          <w:titlePg/>
          <w:rtlGutter/>
        </w:sectPr>
      </w:pPr>
    </w:p>
    <w:p w:rsidR="00E97EDA" w:rsidRPr="00243E7C" w:rsidP="00836B1E">
      <w:pPr>
        <w:pStyle w:val="KOT2"/>
        <w:outlineLvl w:val="0"/>
        <w:rPr>
          <w:rtl/>
        </w:rPr>
      </w:pPr>
      <w:r w:rsidRPr="00836B1E">
        <w:rPr>
          <w:rFonts w:hint="cs"/>
          <w:b w:val="0"/>
          <w:bCs w:val="0"/>
          <w:sz w:val="28"/>
          <w:szCs w:val="28"/>
          <w:rtl/>
        </w:rPr>
        <w:t>פרק ראשון</w:t>
      </w:r>
      <w:r w:rsidRPr="00836B1E">
        <w:rPr>
          <w:b w:val="0"/>
          <w:bCs w:val="0"/>
          <w:sz w:val="28"/>
          <w:szCs w:val="28"/>
          <w:rtl/>
        </w:rPr>
        <w:br/>
      </w:r>
      <w:r>
        <w:rPr>
          <w:rFonts w:hint="cs"/>
          <w:rtl/>
        </w:rPr>
        <w:t>מדיניות הדיור הממשלתית</w:t>
      </w:r>
      <w:r w:rsidRPr="00243E7C">
        <w:rPr>
          <w:rFonts w:hint="cs"/>
          <w:rtl/>
        </w:rPr>
        <w:t xml:space="preserve"> </w:t>
      </w:r>
    </w:p>
    <w:p w:rsidR="00836B1E" w:rsidP="00836B1E">
      <w:pPr>
        <w:pStyle w:val="KOT4"/>
        <w:rPr>
          <w:rFonts w:cs="FrankRuehl"/>
          <w:sz w:val="18"/>
          <w:szCs w:val="22"/>
          <w:rtl/>
        </w:rPr>
      </w:pPr>
      <w:r w:rsidRPr="00243E7C">
        <w:rPr>
          <w:rFonts w:hint="cs"/>
          <w:rtl/>
        </w:rPr>
        <w:t>מעורבות המדינה בשוק הדיור</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rPr>
        <w:t>היקף ההיצע של יחידות הדיור ביחס לביקוש להן הוא מרכיב מהותי המשליך על מחירי הדיור. מהנתונים המוצגים בדוח ועדת טרכטנברג, בניירות המטה של משרדי ממשלה הרלוונטיים ובמסמכים של המוסדות הנוגעים בדבר, לרבות מהנתונים המתפרסמים מטעם ראש הממשלה</w:t>
      </w:r>
      <w:r>
        <w:rPr>
          <w:rFonts w:cs="FrankRuehl"/>
          <w:sz w:val="18"/>
          <w:szCs w:val="22"/>
          <w:vertAlign w:val="superscript"/>
          <w:rtl/>
        </w:rPr>
        <w:footnoteReference w:id="82"/>
      </w:r>
      <w:r w:rsidRPr="00F41E78">
        <w:rPr>
          <w:rFonts w:cs="FrankRuehl" w:hint="cs"/>
          <w:sz w:val="18"/>
          <w:szCs w:val="22"/>
          <w:rtl/>
        </w:rPr>
        <w:t xml:space="preserve">, עולה כי בכל אחת מהשנים 2009-1999 היה מספר הדירות שנבנו קטן מהנדרש לפי צורכי השוק. עקב כך נוצר מחסור מצטבר של עשרות אלפי דירות. הסיבות העיקריות להיצע המצומצם של דירות מתמקדות בשני מישורים: האחד הוא המישור התכנוני-האסטרטגי - התוויית מדיניות הדיור הממשלתית, כמפורט בשער זה, והאחר הוא מישור היישומי-האופרטיבי - הפעלת שרשרת הייצור של יח"ד להוצאת מדיניות הדיור הממשלתית מהכוח אל הפועל, כמפורט בשערים השלישי והרביעי. </w:t>
      </w:r>
    </w:p>
    <w:p w:rsidR="00E97EDA" w:rsidRPr="00F41E78" w:rsidP="007347C2">
      <w:pPr>
        <w:spacing w:after="240" w:line="230" w:lineRule="exact"/>
        <w:jc w:val="both"/>
        <w:rPr>
          <w:rFonts w:cs="FrankRuehl"/>
          <w:sz w:val="18"/>
          <w:szCs w:val="22"/>
          <w:rtl/>
          <w:lang w:eastAsia="he-IL"/>
        </w:rPr>
      </w:pPr>
      <w:r w:rsidRPr="00F41E78">
        <w:rPr>
          <w:rFonts w:cs="FrankRuehl" w:hint="cs"/>
          <w:sz w:val="18"/>
          <w:szCs w:val="22"/>
          <w:rtl/>
          <w:lang w:eastAsia="he-IL"/>
        </w:rPr>
        <w:t>בתשובתו ממאי 2014 ציין מנכ"ל משרד ראש הממשלה כי "הממשלה ה-32 שינתה את מדיניות הממשלה הקודמת, וגיבשה מדיניות שעיקרה הגדלת ההיצע באזורי הביקוש והרחבת אזורי הביקוש. מדיניות זו מיושמת - כך למשל בשנת 2013 אושר תכנון של למעלה מ-70,000 יח"ד, שווקו למעלה מ-37,000 יח"ד ונערכו למעלה מ-30,000 עסקאות במקרקעי ישראל".</w:t>
      </w:r>
    </w:p>
    <w:p w:rsidR="00D22B16" w:rsidRPr="00F41E78" w:rsidP="00D22B16">
      <w:pPr>
        <w:pStyle w:val="RESHET"/>
        <w:keepLines/>
        <w:rPr>
          <w:rtl/>
        </w:rPr>
      </w:pPr>
      <w:r w:rsidRPr="00F41E78">
        <w:rPr>
          <w:rFonts w:hint="cs"/>
          <w:rtl/>
        </w:rPr>
        <w:t xml:space="preserve">אשר לתשובתו של מנכ"ל משרד ראש הממשלה, יצוין כי לרוב הפעולות שהוזכרו בה ונגעו להגדלת היצע הדירות צפויה להיות השפעה על שוק הדיור בעיקר בטווח הבינוני-הארוך. על פי נתוני משרד הבינוי לשנת 2013, לא זו בלבד שהמחסור החמור בדירות היה שריר וקיים, אלא הוא אף גדל לכדי 115,000 יח"ד בשנה זו. </w:t>
      </w:r>
    </w:p>
    <w:p w:rsidR="008D3837" w:rsidRPr="00F41E78" w:rsidP="00F41E78">
      <w:pPr>
        <w:spacing w:after="120" w:line="230" w:lineRule="exact"/>
        <w:jc w:val="both"/>
        <w:rPr>
          <w:rFonts w:cs="FrankRuehl"/>
          <w:sz w:val="18"/>
          <w:szCs w:val="22"/>
          <w:rtl/>
          <w:lang w:eastAsia="he-IL"/>
        </w:rPr>
      </w:pPr>
    </w:p>
    <w:p w:rsidR="00E97EDA" w:rsidRPr="00E97EDA" w:rsidP="008D3837">
      <w:pPr>
        <w:pStyle w:val="KOT5"/>
        <w:rPr>
          <w:rtl/>
          <w:lang w:eastAsia="he-IL"/>
        </w:rPr>
      </w:pPr>
      <w:r w:rsidRPr="00E97EDA">
        <w:rPr>
          <w:rFonts w:hint="cs"/>
          <w:rtl/>
          <w:lang w:eastAsia="he-IL"/>
        </w:rPr>
        <w:t xml:space="preserve">דרכי ההשפעה של המדינה על שוק הדיור </w:t>
      </w:r>
    </w:p>
    <w:p w:rsidR="00E97EDA" w:rsidRPr="00F41E78" w:rsidP="007347C2">
      <w:pPr>
        <w:spacing w:after="240" w:line="230" w:lineRule="exact"/>
        <w:jc w:val="both"/>
        <w:rPr>
          <w:rFonts w:cs="FrankRuehl"/>
          <w:sz w:val="18"/>
          <w:szCs w:val="22"/>
          <w:rtl/>
          <w:lang w:eastAsia="he-IL"/>
        </w:rPr>
      </w:pPr>
      <w:r w:rsidRPr="00F41E78">
        <w:rPr>
          <w:rFonts w:cs="FrankRuehl"/>
          <w:sz w:val="18"/>
          <w:szCs w:val="22"/>
          <w:rtl/>
          <w:lang w:eastAsia="he-IL"/>
        </w:rPr>
        <w:t>יכולתה של המדינה ומוסדותיה להשפיע על שוק הדיור בישראל הייתה ונשארה מכרעת, בעיקר משום שבידיה נמצאים כלים ומשאבים רבי עצמה ורחבי היקף אשר להם השפעה ניכרת על רמת הביקוש וההיצע בשוק הדיור. ביניהם ניתן למנות את השליטה על מירב הקרקעות, סמכויות רגולציה בתחום הכלכלי, מעורבות בתהליכי תכנון ושליטה על פיתוח תשתיות לאומיות הנדרשות לפיתוח שכונות מגורים.</w:t>
      </w:r>
    </w:p>
    <w:p w:rsidR="00D22B16" w:rsidRPr="00F41E78" w:rsidP="00D22B16">
      <w:pPr>
        <w:pStyle w:val="RESHET"/>
        <w:keepLines/>
        <w:rPr>
          <w:rtl/>
        </w:rPr>
      </w:pPr>
      <w:r w:rsidRPr="00F41E78">
        <w:rPr>
          <w:rtl/>
        </w:rPr>
        <w:t xml:space="preserve">לצורך מיצוי הכלים והמשאבים האלו, משרדי הממשלה ומוסדות המדינה נדרשים לפעול באופן מתואם ומתוך ראייה מערכתית וארוכת טווח של שוק הדיור, על בסיס מדיניות דיור ממשלתית שתכליתה לקבוע את אופן ההתערבות הממשלתית בשוק הדיור ואת היקפה כדי להשיג את היעדים שהממשלה קבעה. </w:t>
      </w:r>
    </w:p>
    <w:p w:rsidR="008D3837" w:rsidRPr="00F41E78" w:rsidP="00F41E78">
      <w:pPr>
        <w:spacing w:after="120" w:line="230" w:lineRule="exact"/>
        <w:jc w:val="both"/>
        <w:rPr>
          <w:rFonts w:cs="FrankRuehl"/>
          <w:b/>
          <w:bCs/>
          <w:sz w:val="18"/>
          <w:szCs w:val="22"/>
          <w:rtl/>
          <w:lang w:eastAsia="he-IL"/>
        </w:rPr>
      </w:pPr>
    </w:p>
    <w:p w:rsidR="00E97EDA" w:rsidRPr="00E97EDA" w:rsidP="008D3837">
      <w:pPr>
        <w:pStyle w:val="KOT5"/>
        <w:rPr>
          <w:lang w:eastAsia="he-IL"/>
        </w:rPr>
      </w:pPr>
      <w:r w:rsidRPr="00E97EDA">
        <w:rPr>
          <w:rFonts w:hint="cs"/>
          <w:rtl/>
          <w:lang w:eastAsia="he-IL"/>
        </w:rPr>
        <w:t>סמכות הממשלה ואחריותה להתוויית מדיניות הדיור הלאומית וליישומה</w:t>
      </w:r>
    </w:p>
    <w:p w:rsidR="00E97EDA" w:rsidRPr="00F41E78" w:rsidP="00F41E78">
      <w:pPr>
        <w:spacing w:after="120" w:line="230" w:lineRule="exact"/>
        <w:jc w:val="both"/>
        <w:rPr>
          <w:rFonts w:cs="FrankRuehl"/>
          <w:sz w:val="18"/>
          <w:szCs w:val="22"/>
          <w:rtl/>
          <w:lang w:eastAsia="he-IL"/>
        </w:rPr>
      </w:pPr>
      <w:r w:rsidRPr="00F41E78">
        <w:rPr>
          <w:rFonts w:cs="FrankRuehl" w:hint="eastAsia"/>
          <w:sz w:val="18"/>
          <w:szCs w:val="22"/>
          <w:rtl/>
          <w:lang w:eastAsia="he-IL"/>
        </w:rPr>
        <w:t>חוק</w:t>
      </w:r>
      <w:r w:rsidRPr="00F41E78">
        <w:rPr>
          <w:rFonts w:cs="FrankRuehl"/>
          <w:sz w:val="18"/>
          <w:szCs w:val="22"/>
          <w:rtl/>
          <w:lang w:eastAsia="he-IL"/>
        </w:rPr>
        <w:t xml:space="preserve"> </w:t>
      </w:r>
      <w:r w:rsidRPr="00F41E78">
        <w:rPr>
          <w:rFonts w:cs="FrankRuehl" w:hint="eastAsia"/>
          <w:sz w:val="18"/>
          <w:szCs w:val="22"/>
          <w:rtl/>
          <w:lang w:eastAsia="he-IL"/>
        </w:rPr>
        <w:t>יסוד</w:t>
      </w:r>
      <w:r w:rsidRPr="00F41E78">
        <w:rPr>
          <w:rFonts w:cs="FrankRuehl"/>
          <w:sz w:val="18"/>
          <w:szCs w:val="22"/>
          <w:rtl/>
          <w:lang w:eastAsia="he-IL"/>
        </w:rPr>
        <w:t>:</w:t>
      </w:r>
      <w:r w:rsidRPr="00F41E78">
        <w:rPr>
          <w:rFonts w:cs="FrankRuehl" w:hint="cs"/>
          <w:sz w:val="18"/>
          <w:szCs w:val="22"/>
          <w:rtl/>
          <w:lang w:eastAsia="he-IL"/>
        </w:rPr>
        <w:t xml:space="preserve"> הממשלה, התשס"א-2001 (להלן - חוק יסוד הממשלה), קובע כי "הממשלה היא הרשות המבצעת של המדינה"; על כן, מסמכותה ומחובתה לקבל החלטות למימוש אחריותה כרשות המבצעת של המדינה, ובכלל זה החלטות לעניין התוויית מדיניות ממשלתית בתחום הדיור ויישומה.</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עקב ריבוי סמכויותיה של הממשלה, וכדי להקל על המינהל הציבורי, מאפשר החוק לממשלה לאצול את סמכויותיה לגורמים אחרים. לפי סעיף 33(א) לחוק יסוד הממשלה, הממשלה רשאית ככלל לאצול לאחד השרים את הסמכות הנתונה לה</w:t>
      </w:r>
      <w:r>
        <w:rPr>
          <w:rFonts w:cs="FrankRuehl"/>
          <w:sz w:val="18"/>
          <w:szCs w:val="22"/>
          <w:vertAlign w:val="superscript"/>
          <w:rtl/>
          <w:lang w:eastAsia="he-IL"/>
        </w:rPr>
        <w:footnoteReference w:id="83"/>
      </w:r>
      <w:r w:rsidRPr="00F41E78">
        <w:rPr>
          <w:rFonts w:cs="FrankRuehl" w:hint="cs"/>
          <w:sz w:val="18"/>
          <w:szCs w:val="22"/>
          <w:rtl/>
          <w:lang w:eastAsia="he-IL"/>
        </w:rPr>
        <w:t>. אם הממשלה הסמיכה את השר, גם הוא רשאי לאצול את הסמכות לעובד ציבור, למעט סמכות להתקין תקנות בנות פועל תחיקתי, וכל זאת אם אין כוונה אחרת משתמעת מן החוק. הלכה פסוקה היא כי רשות מוסמכת שהאצילה את סמכותה לרשות אחרת לא איבדה את סמכותה והיא עדיין רשאית להפעילה</w:t>
      </w:r>
      <w:r>
        <w:rPr>
          <w:rFonts w:cs="FrankRuehl"/>
          <w:sz w:val="18"/>
          <w:szCs w:val="22"/>
          <w:vertAlign w:val="superscript"/>
          <w:rtl/>
          <w:lang w:eastAsia="he-IL"/>
        </w:rPr>
        <w:footnoteReference w:id="84"/>
      </w:r>
      <w:r w:rsidRPr="00F41E78">
        <w:rPr>
          <w:rFonts w:cs="FrankRuehl" w:hint="cs"/>
          <w:sz w:val="18"/>
          <w:szCs w:val="22"/>
          <w:rtl/>
          <w:lang w:eastAsia="he-IL"/>
        </w:rPr>
        <w:t xml:space="preserve">. </w:t>
      </w:r>
    </w:p>
    <w:p w:rsidR="00E97EDA" w:rsidRPr="00F41E78" w:rsidP="00F41E78">
      <w:pPr>
        <w:spacing w:after="120" w:line="230" w:lineRule="exact"/>
        <w:jc w:val="both"/>
        <w:outlineLvl w:val="4"/>
        <w:rPr>
          <w:rFonts w:cs="FrankRuehl"/>
          <w:sz w:val="18"/>
          <w:szCs w:val="22"/>
          <w:rtl/>
          <w:lang w:eastAsia="he-IL"/>
        </w:rPr>
      </w:pPr>
      <w:r w:rsidRPr="00F41E78">
        <w:rPr>
          <w:rFonts w:cs="FrankRuehl" w:hint="cs"/>
          <w:sz w:val="18"/>
          <w:szCs w:val="22"/>
          <w:rtl/>
          <w:lang w:eastAsia="he-IL"/>
        </w:rPr>
        <w:t>חוק יסוד הממשלה קובע כי "הממשלה אחראית בפני הכנסת אחריות משותפת; שר אחראי בפני ראש הממשלה לתפקידים שעליהם ממונה השר"; בהתאם לכך ציין מבקר המדינה</w:t>
      </w:r>
      <w:r>
        <w:rPr>
          <w:rFonts w:cs="FrankRuehl"/>
          <w:sz w:val="18"/>
          <w:szCs w:val="22"/>
          <w:vertAlign w:val="superscript"/>
          <w:rtl/>
          <w:lang w:eastAsia="he-IL"/>
        </w:rPr>
        <w:footnoteReference w:id="85"/>
      </w:r>
      <w:r w:rsidRPr="00F41E78">
        <w:rPr>
          <w:rFonts w:cs="FrankRuehl" w:hint="cs"/>
          <w:sz w:val="18"/>
          <w:szCs w:val="22"/>
          <w:rtl/>
          <w:lang w:eastAsia="he-IL"/>
        </w:rPr>
        <w:t xml:space="preserve"> כי "הממשלה נושאת באחריות משותפת כלפי הרשות המחוקקת, ואילו לכל שר אחריות מיניסטריאלית לענייני משרדו כלפי ראש הממשלה. דהיינו, ביצוע החלטות הממשלה מונח לפתחם של שרים והם אחראים לביצוען". יוצא אפוא כי משקבעה הממשלה את המדיניות, על השרים ליישמה וכל שר בתחום משרדו.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בשנים 2012-2005 כיהנו כמה ממשלות בישראל; הממשלה ה-30 בראשותו של מר אריאל שרון ז"ל, הממשלה ה-31 בראשותו של מר אהוד אולמרט והממשלה ה-32 בראשותו של מר בנימין נתניהו. ממשלות אלו לא החליטו לאצול את סמכויותיהן בעניין התוויית מדיניות הדיור הלאומית לאחד השרים או לוועדות השרים, והסמכות והאחריות לקביעתה נותרו בידיהן.</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הממשלה הנוכחית, הממשלה ה-33 בראשותו של מר בנימין נתניהו המכהנת ממרץ 2013, עסקה בצורך בקביעת מדיניות דיור לאומית והחליטה בעת הביקורת, באפריל 2013 (בהחלטה מס' 23), למנות ועדת שרים לענייני דיור (להלן - קבינט הדיור) בראשותו של שר האוצר מר יאיר לפיד, על פי מדיניות הממשלה שכיוונה להורדת מחירי הדיור. על פי ההחלטה, הממשלה תאצול לקבינט הדיור את סמכויותיה בעניין יישום מדיניות הממשלה האמורה. בהחלטה נקבעו סמכויות קבינט הדיור ואלו הן: התוויית מדיניות ממשלתית בתחום הדיור; אישור וקידום של רפורמות ושינויים מבניים לייעול מדיניות הממשלה בתחום המקרקעין, התכנון והבנייה למגורים, ומעקב אחר יישום ההחלטות; קידום פרויקטים בתחום הבנייה למגורים, בין היתר לדיור להשכרה לטווח ארוך, וקידום פרויקטים של התחדשות עירונית ושל פינוי-בינוי. בהחלטת ממשלה מס' 367 מיוני 2013 שכותרתה "תכנית הדיור הממשלתית", הוטל על שר השיכון </w:t>
      </w:r>
      <w:r w:rsidRPr="00F41E78">
        <w:rPr>
          <w:rFonts w:cs="FrankRuehl"/>
          <w:b/>
          <w:bCs/>
          <w:sz w:val="18"/>
          <w:szCs w:val="22"/>
          <w:rtl/>
          <w:lang w:eastAsia="he-IL"/>
        </w:rPr>
        <w:t xml:space="preserve">"להוביל </w:t>
      </w:r>
      <w:r w:rsidRPr="00F41E78">
        <w:rPr>
          <w:rFonts w:cs="FrankRuehl" w:hint="eastAsia"/>
          <w:b/>
          <w:bCs/>
          <w:sz w:val="18"/>
          <w:szCs w:val="22"/>
          <w:rtl/>
          <w:lang w:eastAsia="he-IL"/>
        </w:rPr>
        <w:t>גיבוש</w:t>
      </w:r>
      <w:r w:rsidRPr="00F41E78">
        <w:rPr>
          <w:rFonts w:cs="FrankRuehl"/>
          <w:b/>
          <w:bCs/>
          <w:sz w:val="18"/>
          <w:szCs w:val="22"/>
          <w:rtl/>
          <w:lang w:eastAsia="he-IL"/>
        </w:rPr>
        <w:t xml:space="preserve"> </w:t>
      </w:r>
      <w:r w:rsidRPr="00F41E78">
        <w:rPr>
          <w:rFonts w:cs="FrankRuehl" w:hint="eastAsia"/>
          <w:b/>
          <w:bCs/>
          <w:sz w:val="18"/>
          <w:szCs w:val="22"/>
          <w:rtl/>
          <w:lang w:eastAsia="he-IL"/>
        </w:rPr>
        <w:t>מדיניות</w:t>
      </w:r>
      <w:r w:rsidRPr="00F41E78">
        <w:rPr>
          <w:rFonts w:cs="FrankRuehl"/>
          <w:b/>
          <w:bCs/>
          <w:sz w:val="18"/>
          <w:szCs w:val="22"/>
          <w:rtl/>
          <w:lang w:eastAsia="he-IL"/>
        </w:rPr>
        <w:t xml:space="preserve"> </w:t>
      </w:r>
      <w:r w:rsidRPr="00F41E78">
        <w:rPr>
          <w:rFonts w:cs="FrankRuehl" w:hint="eastAsia"/>
          <w:b/>
          <w:bCs/>
          <w:sz w:val="18"/>
          <w:szCs w:val="22"/>
          <w:rtl/>
          <w:lang w:eastAsia="he-IL"/>
        </w:rPr>
        <w:t>דיור</w:t>
      </w:r>
      <w:r w:rsidRPr="00F41E78">
        <w:rPr>
          <w:rFonts w:cs="FrankRuehl"/>
          <w:b/>
          <w:bCs/>
          <w:sz w:val="18"/>
          <w:szCs w:val="22"/>
          <w:rtl/>
          <w:lang w:eastAsia="he-IL"/>
        </w:rPr>
        <w:t xml:space="preserve"> </w:t>
      </w:r>
      <w:r w:rsidRPr="00F41E78">
        <w:rPr>
          <w:rFonts w:cs="FrankRuehl" w:hint="eastAsia"/>
          <w:b/>
          <w:bCs/>
          <w:sz w:val="18"/>
          <w:szCs w:val="22"/>
          <w:rtl/>
          <w:lang w:eastAsia="he-IL"/>
        </w:rPr>
        <w:t>ארוכת</w:t>
      </w:r>
      <w:r w:rsidRPr="00F41E78">
        <w:rPr>
          <w:rFonts w:cs="FrankRuehl"/>
          <w:b/>
          <w:bCs/>
          <w:sz w:val="18"/>
          <w:szCs w:val="22"/>
          <w:rtl/>
          <w:lang w:eastAsia="he-IL"/>
        </w:rPr>
        <w:t xml:space="preserve"> </w:t>
      </w:r>
      <w:r w:rsidRPr="00F41E78">
        <w:rPr>
          <w:rFonts w:cs="FrankRuehl" w:hint="eastAsia"/>
          <w:b/>
          <w:bCs/>
          <w:sz w:val="18"/>
          <w:szCs w:val="22"/>
          <w:rtl/>
          <w:lang w:eastAsia="he-IL"/>
        </w:rPr>
        <w:t>טווח</w:t>
      </w:r>
      <w:r w:rsidRPr="00F41E78">
        <w:rPr>
          <w:rFonts w:cs="FrankRuehl" w:hint="cs"/>
          <w:sz w:val="18"/>
          <w:szCs w:val="22"/>
          <w:rtl/>
          <w:lang w:eastAsia="he-IL"/>
        </w:rPr>
        <w:t xml:space="preserve">" (ההדגשה אינה במקור). </w:t>
      </w:r>
    </w:p>
    <w:p w:rsidR="008D3837" w:rsidRPr="00F41E78" w:rsidP="00F41E78">
      <w:pPr>
        <w:spacing w:after="120" w:line="230" w:lineRule="exact"/>
        <w:jc w:val="both"/>
        <w:rPr>
          <w:rFonts w:cs="FrankRuehl"/>
          <w:sz w:val="18"/>
          <w:szCs w:val="22"/>
          <w:rtl/>
          <w:lang w:eastAsia="he-IL"/>
        </w:rPr>
      </w:pPr>
    </w:p>
    <w:p w:rsidR="00E97EDA" w:rsidRPr="00582A43" w:rsidP="008D3837">
      <w:pPr>
        <w:pStyle w:val="KOT5"/>
        <w:rPr>
          <w:rtl/>
          <w:lang w:eastAsia="he-IL"/>
        </w:rPr>
      </w:pPr>
      <w:r w:rsidRPr="00582A43">
        <w:rPr>
          <w:rFonts w:hint="cs"/>
          <w:rtl/>
          <w:lang w:eastAsia="he-IL"/>
        </w:rPr>
        <w:t>בחינת סדרי התוויית מדיניות הדיור הלאומית בשנים 2012-2005</w:t>
      </w:r>
    </w:p>
    <w:p w:rsidR="00E97EDA" w:rsidRPr="00582A43" w:rsidP="00312735">
      <w:pPr>
        <w:spacing w:after="120" w:line="230" w:lineRule="exact"/>
        <w:jc w:val="both"/>
        <w:rPr>
          <w:rFonts w:cs="FrankRuehl"/>
          <w:sz w:val="18"/>
          <w:szCs w:val="22"/>
          <w:rtl/>
          <w:lang w:eastAsia="he-IL"/>
        </w:rPr>
      </w:pPr>
      <w:r w:rsidRPr="00582A43">
        <w:rPr>
          <w:rFonts w:cs="FrankRuehl" w:hint="cs"/>
          <w:sz w:val="18"/>
          <w:szCs w:val="22"/>
          <w:rtl/>
          <w:lang w:eastAsia="he-IL"/>
        </w:rPr>
        <w:t>בביקורת נבדקו סדרי התוויית מדיניות הדיור הממשלתית בשנים 2012-2005</w:t>
      </w:r>
      <w:r>
        <w:rPr>
          <w:rFonts w:cs="FrankRuehl"/>
          <w:sz w:val="18"/>
          <w:szCs w:val="22"/>
          <w:vertAlign w:val="superscript"/>
          <w:rtl/>
        </w:rPr>
        <w:footnoteReference w:id="86"/>
      </w:r>
      <w:r w:rsidRPr="00582A43">
        <w:rPr>
          <w:rFonts w:cs="FrankRuehl" w:hint="cs"/>
          <w:sz w:val="18"/>
          <w:szCs w:val="22"/>
          <w:rtl/>
          <w:lang w:eastAsia="he-IL"/>
        </w:rPr>
        <w:t xml:space="preserve"> בראייה מערכתית כוללת וארוכת טווח של שוק הדיור. השנים האמורות נחלקות לשלוש תקופות: </w:t>
      </w:r>
      <w:r w:rsidRPr="00582A43" w:rsidR="00836B1E">
        <w:rPr>
          <w:rFonts w:cs="FrankRuehl"/>
          <w:sz w:val="18"/>
          <w:szCs w:val="22"/>
          <w:rtl/>
          <w:lang w:eastAsia="he-IL"/>
        </w:rPr>
        <w:br/>
      </w:r>
      <w:r w:rsidRPr="00582A43">
        <w:rPr>
          <w:rFonts w:cs="FrankRuehl" w:hint="cs"/>
          <w:sz w:val="18"/>
          <w:szCs w:val="22"/>
          <w:rtl/>
          <w:lang w:eastAsia="he-IL"/>
        </w:rPr>
        <w:t xml:space="preserve">2007-2005 - השנים שקדמו למשבר הדיור, 2010-2008 - השנים שבהן פרץ המשבר והתעצם; </w:t>
      </w:r>
      <w:r w:rsidRPr="00582A43" w:rsidR="00836B1E">
        <w:rPr>
          <w:rFonts w:cs="FrankRuehl"/>
          <w:sz w:val="18"/>
          <w:szCs w:val="22"/>
          <w:rtl/>
          <w:lang w:eastAsia="he-IL"/>
        </w:rPr>
        <w:br/>
      </w:r>
      <w:r w:rsidRPr="00582A43">
        <w:rPr>
          <w:rFonts w:cs="FrankRuehl" w:hint="cs"/>
          <w:sz w:val="18"/>
          <w:szCs w:val="22"/>
          <w:rtl/>
          <w:lang w:eastAsia="he-IL"/>
        </w:rPr>
        <w:t xml:space="preserve">ו-2012-2011 - השנים שבהן מחירי הדיור נותרו גבוהים ואף המשיכו לעלות, אך באופן מתון יותר. עוד נבחנו בביקורת סדרי ההיערכות של הממשלה, כרשות מבצעת של המדינה, להתמודדות עם משבר הדיור ומידת האפקטיביות של מדיניות הדיור הממשלתית שהופעלה באותן השנים. </w:t>
      </w:r>
    </w:p>
    <w:p w:rsidR="008D3837" w:rsidRPr="00F41E78" w:rsidP="00F41E78">
      <w:pPr>
        <w:spacing w:after="120" w:line="230" w:lineRule="exact"/>
        <w:jc w:val="both"/>
        <w:rPr>
          <w:rFonts w:cs="FrankRuehl"/>
          <w:sz w:val="18"/>
          <w:szCs w:val="22"/>
          <w:rtl/>
          <w:lang w:eastAsia="he-IL"/>
        </w:rPr>
      </w:pPr>
    </w:p>
    <w:p w:rsidR="008D3837" w:rsidRPr="00F41E78" w:rsidP="00F41E78">
      <w:pPr>
        <w:spacing w:after="120" w:line="230" w:lineRule="exact"/>
        <w:jc w:val="both"/>
        <w:rPr>
          <w:rFonts w:cs="FrankRuehl"/>
          <w:sz w:val="18"/>
          <w:szCs w:val="22"/>
          <w:rtl/>
          <w:lang w:eastAsia="he-IL"/>
        </w:rPr>
      </w:pPr>
    </w:p>
    <w:p w:rsidR="00E97EDA" w:rsidRPr="00243E7C" w:rsidP="008D3837">
      <w:pPr>
        <w:pStyle w:val="KOT4"/>
        <w:rPr>
          <w:rtl/>
          <w:lang w:eastAsia="he-IL"/>
        </w:rPr>
      </w:pPr>
      <w:r w:rsidRPr="00243E7C">
        <w:rPr>
          <w:rFonts w:hint="cs"/>
          <w:rtl/>
          <w:lang w:eastAsia="he-IL"/>
        </w:rPr>
        <w:t>מדיניות הדיור הממשלתית ותוצאותיה לפני פרוץ משבר הדיור ובמהלכו</w:t>
      </w:r>
      <w:r>
        <w:rPr>
          <w:rFonts w:hint="cs"/>
          <w:rtl/>
          <w:lang w:eastAsia="he-IL"/>
        </w:rPr>
        <w:t xml:space="preserve">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מדיניות הדיור הממשלתית באה לידי ביטוי בהחלטות ממשלה, במסמכי מדיניות ובתכניות שהממשלה מפעילה; למשל, תכניות מתאר ארציות, רפורמות בשוק הדיור ותכניות דיור ממשלתיות (להלן - פעולות להתוויית מדיניות). בשנים 2012-2005 קיבלו ממשלות ישראל ה-30, ה-31 וה-32 שכיהנו בשנים אלו החלטות עקרוניות בתחום מדיניות הדיור הלאומית, ובהן ההחלטה לתת תוקף לתמ"א 35, ההחלטה ליישם שלוש תכניות דיור וההחלטה לגבש שתי רפורמות מקיפות </w:t>
      </w:r>
      <w:r w:rsidRPr="00F41E78">
        <w:rPr>
          <w:rFonts w:cs="FrankRuehl"/>
          <w:sz w:val="18"/>
          <w:szCs w:val="22"/>
          <w:rtl/>
          <w:lang w:eastAsia="he-IL"/>
        </w:rPr>
        <w:t>-</w:t>
      </w:r>
      <w:r w:rsidRPr="00F41E78">
        <w:rPr>
          <w:rFonts w:cs="FrankRuehl" w:hint="cs"/>
          <w:sz w:val="18"/>
          <w:szCs w:val="22"/>
          <w:rtl/>
          <w:lang w:eastAsia="he-IL"/>
        </w:rPr>
        <w:t xml:space="preserve"> האחת במינהל מקרקעי ישראל והאחרת בחוק התכנון והבנייה. </w:t>
      </w:r>
    </w:p>
    <w:p w:rsidR="00E97EDA" w:rsidRPr="00F41E78" w:rsidP="00F41E78">
      <w:pPr>
        <w:spacing w:after="120" w:line="230" w:lineRule="exact"/>
        <w:jc w:val="both"/>
        <w:rPr>
          <w:rFonts w:cs="FrankRuehl"/>
          <w:sz w:val="18"/>
          <w:szCs w:val="22"/>
          <w:rtl/>
        </w:rPr>
      </w:pPr>
      <w:r w:rsidRPr="00F41E78">
        <w:rPr>
          <w:rFonts w:cs="FrankRuehl" w:hint="cs"/>
          <w:sz w:val="18"/>
          <w:szCs w:val="22"/>
          <w:rtl/>
        </w:rPr>
        <w:t xml:space="preserve">בעקבות פגישה שהתקיימה בין מנכ"ל משרד ראש הממשלה לנציגי הביקורת באוקטובר 2013 בנושא התוויית מדיניות הדיור הממשלתית, ציין המנכ"ל במכתבו מנובמבר 2013 למשרד מבקר המדינה כי "הממשלה הקודמת [ה-32] הייתה ערה והממשלה הנוכחית [ה-33] עודנה ערה למצוקת הדיור ולהאמרת המחירים בשנים האחרונות. הממשלות התוו מדיניות סדורה להתמודדות עם מצוקה זו, גיבשו כלים מתאימים לטיפול בה, עקבו אחר יישומם ווידאו ביצועם... הממשלות ה-32 וה-33 הבינו כי הדרך העיקרית לשינוי שוק הדיור טמונה בפיזור אוכלוסין - בהרחבת 'אזורי הביקוש' - במעבר אוכלוסיות להתגורר באזורי הפריפריה, בהם עלויות הקרקע נמוכים יותר. עם זאת, בשונה מקודמתה, הממשלה ה-32 שינתה את סדרי העדיפות והפכה את מדיניות הממשלה שקדמה לה על פיה: הפסקת התכנון והשיווק במרכז הארץ, עליה החליטה הממשלה ה-31 </w:t>
      </w:r>
      <w:r w:rsidRPr="00F41E78">
        <w:rPr>
          <w:rFonts w:cs="FrankRuehl" w:hint="eastAsia"/>
          <w:sz w:val="18"/>
          <w:szCs w:val="22"/>
          <w:rtl/>
        </w:rPr>
        <w:t>בוטלה</w:t>
      </w:r>
      <w:r w:rsidRPr="00F41E78">
        <w:rPr>
          <w:rFonts w:cs="FrankRuehl" w:hint="cs"/>
          <w:sz w:val="18"/>
          <w:szCs w:val="22"/>
          <w:rtl/>
        </w:rPr>
        <w:t xml:space="preserve"> על ידי הממשלה ה-32.</w:t>
      </w:r>
      <w:r w:rsidRPr="00F41E78">
        <w:rPr>
          <w:rFonts w:cs="FrankRuehl"/>
          <w:sz w:val="18"/>
          <w:szCs w:val="22"/>
          <w:vertAlign w:val="superscript"/>
          <w:rtl/>
        </w:rPr>
        <w:t xml:space="preserve"> </w:t>
      </w:r>
      <w:r w:rsidRPr="00F41E78">
        <w:rPr>
          <w:rFonts w:cs="FrankRuehl" w:hint="cs"/>
          <w:sz w:val="18"/>
          <w:szCs w:val="22"/>
          <w:rtl/>
        </w:rPr>
        <w:t>בהמשך לביטול מדיניות הממשלה ה-31, בהובלת ראש הממשלה הציבה הממשלה ה-32 במרכז מדיניותה שני שינויי מגמה: אחד, הרחבת ההיצע באזורי הביקוש; השני פיזור אוכלוסין באמצעות השקעה מאסיבית בפריפריה לשם הפיכתה לאטרקטיבית ובכך למעשה הרחבה של אזורי הביקוש. שינויים אלו, מעצם טבעם, נדרש זמן לממשם. בד בבד, הממשלה נקטה גם בשורת פעולות בעלות השפעה ממתנת לטווח הקצר והבינוני, במיוחד לאור הריבית הנמוכה שממשיכה לשרור במשק ובעולם".</w:t>
      </w:r>
    </w:p>
    <w:p w:rsidR="008D3837" w:rsidRPr="00F41E78" w:rsidP="00F41E78">
      <w:pPr>
        <w:spacing w:after="120" w:line="230" w:lineRule="exact"/>
        <w:jc w:val="both"/>
        <w:rPr>
          <w:rFonts w:cs="FrankRuehl"/>
          <w:sz w:val="18"/>
          <w:szCs w:val="22"/>
          <w:rtl/>
        </w:rPr>
      </w:pPr>
    </w:p>
    <w:p w:rsidR="00E97EDA" w:rsidRPr="00E97EDA" w:rsidP="008D3837">
      <w:pPr>
        <w:pStyle w:val="KOT5"/>
        <w:rPr>
          <w:rtl/>
          <w:lang w:eastAsia="he-IL"/>
        </w:rPr>
      </w:pPr>
      <w:r w:rsidRPr="00E97EDA">
        <w:rPr>
          <w:rFonts w:hint="cs"/>
          <w:rtl/>
          <w:lang w:eastAsia="he-IL"/>
        </w:rPr>
        <w:t xml:space="preserve">מדיניות הדיור בשנים 2007-2005 לפני פרוץ משבר הדיור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השנים 2007-2005 קדמו למשבר בשוקי ההון בעולם, שניצניו במשבר הסאבפריים שהחל בשנת 2007 בארה"ב. המשבר הלך והעמיק ובשנת 2008 הפך למשבר כלכלי עולמי. בד בבד עם המשבר העולמי, משנת 2008 עלו מחירי הדיור בישראל באופן חד ביותר, והם המשיכו לעלות, באופן מתון יותר, גם במועד הביקורת.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במשך שנים אלו קיבלו ממשלות ישראל ה-30 וה-31 החלטות עקרוניות בתחומי מדיניות הדיור. להלן עיקר ההחלטות:</w:t>
      </w:r>
    </w:p>
    <w:p w:rsidR="00E97EDA" w:rsidRPr="00F41E78" w:rsidP="007347C2">
      <w:pPr>
        <w:spacing w:after="240" w:line="230" w:lineRule="exact"/>
        <w:jc w:val="both"/>
        <w:rPr>
          <w:rFonts w:cs="FrankRuehl"/>
          <w:sz w:val="18"/>
          <w:szCs w:val="22"/>
          <w:rtl/>
          <w:lang w:eastAsia="he-IL"/>
        </w:rPr>
      </w:pPr>
      <w:r w:rsidRPr="00F41E78">
        <w:rPr>
          <w:rFonts w:cs="FrankRuehl" w:hint="eastAsia"/>
          <w:bCs/>
          <w:spacing w:val="40"/>
          <w:sz w:val="18"/>
          <w:szCs w:val="22"/>
          <w:rtl/>
        </w:rPr>
        <w:t>ביצוע</w:t>
      </w:r>
      <w:r w:rsidRPr="00F41E78">
        <w:rPr>
          <w:rFonts w:cs="FrankRuehl"/>
          <w:bCs/>
          <w:spacing w:val="40"/>
          <w:sz w:val="18"/>
          <w:szCs w:val="22"/>
          <w:rtl/>
        </w:rPr>
        <w:t xml:space="preserve"> </w:t>
      </w:r>
      <w:r w:rsidRPr="00F41E78">
        <w:rPr>
          <w:rFonts w:cs="FrankRuehl" w:hint="eastAsia"/>
          <w:bCs/>
          <w:spacing w:val="40"/>
          <w:sz w:val="18"/>
          <w:szCs w:val="22"/>
          <w:rtl/>
        </w:rPr>
        <w:t>רפורמה</w:t>
      </w:r>
      <w:r w:rsidRPr="00F41E78">
        <w:rPr>
          <w:rFonts w:cs="FrankRuehl"/>
          <w:bCs/>
          <w:spacing w:val="40"/>
          <w:sz w:val="18"/>
          <w:szCs w:val="22"/>
          <w:rtl/>
        </w:rPr>
        <w:t xml:space="preserve"> </w:t>
      </w:r>
      <w:r w:rsidRPr="00F41E78">
        <w:rPr>
          <w:rFonts w:cs="FrankRuehl" w:hint="eastAsia"/>
          <w:bCs/>
          <w:spacing w:val="40"/>
          <w:sz w:val="18"/>
          <w:szCs w:val="22"/>
          <w:rtl/>
        </w:rPr>
        <w:t>ב</w:t>
      </w:r>
      <w:r w:rsidRPr="00F41E78">
        <w:rPr>
          <w:rFonts w:cs="FrankRuehl" w:hint="cs"/>
          <w:bCs/>
          <w:spacing w:val="40"/>
          <w:sz w:val="18"/>
          <w:szCs w:val="22"/>
          <w:rtl/>
        </w:rPr>
        <w:t xml:space="preserve">מינהל </w:t>
      </w:r>
      <w:r w:rsidRPr="00F41E78">
        <w:rPr>
          <w:rFonts w:cs="FrankRuehl" w:hint="eastAsia"/>
          <w:bCs/>
          <w:spacing w:val="40"/>
          <w:sz w:val="18"/>
          <w:szCs w:val="22"/>
          <w:rtl/>
        </w:rPr>
        <w:t>מקרקעי</w:t>
      </w:r>
      <w:r w:rsidRPr="00F41E78">
        <w:rPr>
          <w:rFonts w:cs="FrankRuehl"/>
          <w:bCs/>
          <w:spacing w:val="40"/>
          <w:sz w:val="18"/>
          <w:szCs w:val="22"/>
          <w:rtl/>
        </w:rPr>
        <w:t xml:space="preserve"> </w:t>
      </w:r>
      <w:r w:rsidRPr="00F41E78">
        <w:rPr>
          <w:rFonts w:cs="FrankRuehl" w:hint="eastAsia"/>
          <w:bCs/>
          <w:spacing w:val="40"/>
          <w:sz w:val="18"/>
          <w:szCs w:val="22"/>
          <w:rtl/>
        </w:rPr>
        <w:t>ישראל</w:t>
      </w:r>
      <w:r w:rsidRPr="00F41E78">
        <w:rPr>
          <w:rFonts w:cs="FrankRuehl"/>
          <w:bCs/>
          <w:spacing w:val="40"/>
          <w:sz w:val="18"/>
          <w:szCs w:val="22"/>
          <w:rtl/>
        </w:rPr>
        <w:t>:</w:t>
      </w:r>
      <w:r w:rsidRPr="00F41E78">
        <w:rPr>
          <w:rFonts w:cs="FrankRuehl" w:hint="cs"/>
          <w:sz w:val="18"/>
          <w:szCs w:val="22"/>
          <w:rtl/>
          <w:lang w:eastAsia="he-IL"/>
        </w:rPr>
        <w:t xml:space="preserve"> בהחלטה מס' 3759 מיוני 2005 בנושא הרפורמה במינהל מקרקעי ישראל</w:t>
      </w:r>
      <w:r>
        <w:rPr>
          <w:rFonts w:cs="FrankRuehl"/>
          <w:sz w:val="18"/>
          <w:szCs w:val="22"/>
          <w:vertAlign w:val="superscript"/>
          <w:rtl/>
          <w:lang w:eastAsia="he-IL"/>
        </w:rPr>
        <w:footnoteReference w:id="87"/>
      </w:r>
      <w:r w:rsidRPr="00F41E78">
        <w:rPr>
          <w:rFonts w:cs="FrankRuehl" w:hint="cs"/>
          <w:sz w:val="18"/>
          <w:szCs w:val="22"/>
          <w:rtl/>
          <w:lang w:eastAsia="he-IL"/>
        </w:rPr>
        <w:t xml:space="preserve"> אימצה הממשלה ה-30 את עקרונות ועדת גדיש</w:t>
      </w:r>
      <w:r>
        <w:rPr>
          <w:rFonts w:cs="FrankRuehl"/>
          <w:sz w:val="18"/>
          <w:szCs w:val="22"/>
          <w:vertAlign w:val="superscript"/>
          <w:rtl/>
          <w:lang w:eastAsia="he-IL"/>
        </w:rPr>
        <w:footnoteReference w:id="88"/>
      </w:r>
      <w:r w:rsidRPr="00F41E78">
        <w:rPr>
          <w:rFonts w:cs="FrankRuehl" w:hint="cs"/>
          <w:sz w:val="18"/>
          <w:szCs w:val="22"/>
          <w:rtl/>
          <w:lang w:eastAsia="he-IL"/>
        </w:rPr>
        <w:t xml:space="preserve"> (להלן - הרפורמה במינהל מקרקעי ישראל) והטילה על משרדי הממשלה הנוגעים בדבר לפעול ליישומם בין היתר בנושאים אלו: מניעת החיכוך בין מינהל מקרקעי ישראל ובין החוכרים הן בנוגע לקרקע למגורים הן בנוגע לקרקע לתעסוקה; חלוקה מחדש של האחריות לתכנון מתארי; שיפור מנגנוני הפיתוח והשיווק של מקרקעי ישראל; הגברת השקיפות ופישוט מדיניות המקרקעין ותהליכי המינהל; ושינוי המבנה הארגוני במינהל מקרקעי ישראל.</w:t>
      </w:r>
    </w:p>
    <w:p w:rsidR="00D22B16" w:rsidRPr="00F41E78" w:rsidP="00D22B16">
      <w:pPr>
        <w:pStyle w:val="RESHET"/>
        <w:keepLines/>
        <w:rPr>
          <w:rtl/>
        </w:rPr>
      </w:pPr>
      <w:r w:rsidRPr="00F41E78">
        <w:rPr>
          <w:rFonts w:hint="cs"/>
          <w:rtl/>
        </w:rPr>
        <w:t>ביצוע החלטת הממשלה בדבר הרפורמה במינהל מקרקעי ישראל התעכב, ורק כעבור כארבע שנים, בשנת 2009, שבה ונדרשה הממשלה לעניין הרפורמה.</w:t>
      </w:r>
    </w:p>
    <w:p w:rsidR="00E97EDA" w:rsidRPr="00F41E78" w:rsidP="007347C2">
      <w:pPr>
        <w:spacing w:before="180" w:after="240" w:line="230" w:lineRule="exact"/>
        <w:jc w:val="both"/>
        <w:rPr>
          <w:rFonts w:cs="FrankRuehl"/>
          <w:sz w:val="18"/>
          <w:szCs w:val="22"/>
          <w:rtl/>
          <w:lang w:eastAsia="he-IL"/>
        </w:rPr>
      </w:pPr>
      <w:r w:rsidRPr="00F41E78">
        <w:rPr>
          <w:rFonts w:cs="FrankRuehl" w:hint="cs"/>
          <w:bCs/>
          <w:spacing w:val="40"/>
          <w:sz w:val="18"/>
          <w:szCs w:val="22"/>
          <w:rtl/>
          <w:lang w:eastAsia="he-IL"/>
        </w:rPr>
        <w:t>קיצור וייעול של הליכי התכנון ותהליכי הבנייה:</w:t>
      </w:r>
      <w:r w:rsidRPr="00F41E78">
        <w:rPr>
          <w:rFonts w:cs="FrankRuehl" w:hint="cs"/>
          <w:sz w:val="18"/>
          <w:szCs w:val="22"/>
          <w:rtl/>
          <w:lang w:eastAsia="he-IL"/>
        </w:rPr>
        <w:t xml:space="preserve"> בהחלטת ממשלה מס' 4103 מאוגוסט 2005 נקבע כי הליכי התכנון ותהליכי הבנייה ייועלו ויקוצרו, בעיקר באמצעות פעולות אלו: ביצוע תיקונים בחוק התכנון והבנייה כדי להרחיב את סמכויות הוועדות המקומיות ולחזק את מעמדן המקצועי, הקמת מנגנוני בדיקת היתכנות מוקדמת של התכניות במוסדות התכנון והקמת ועדות משנה בוועדות המחוזיות שנועדו לטפל באופן מואץ בפרויקטים שעניינם פינוי-בינוי וחיזוק מבנים בפני רעידות אדמה. </w:t>
      </w:r>
    </w:p>
    <w:p w:rsidR="00D22B16" w:rsidRPr="00F41E78" w:rsidP="00D22B16">
      <w:pPr>
        <w:pStyle w:val="RESHET"/>
        <w:keepLines/>
        <w:rPr>
          <w:rtl/>
        </w:rPr>
      </w:pPr>
      <w:r w:rsidRPr="00F41E78">
        <w:rPr>
          <w:rFonts w:hint="cs"/>
          <w:rtl/>
        </w:rPr>
        <w:t xml:space="preserve">לפי הנתונים המעודכנים למועד סיום הביקורת, מאחר שהרפורמה לא יושמה, החלטה זו לא תרמה תרומה ניכרת לקיצור ולייעול של הליכי התכנון ושל תהליכי רישוי הבנייה. גם בשנים שלאחר קבלת ההחלטה האמורה עדיין היו הליכי התכנון ותהליכי רישוי הבנייה ממושכים, ופרק הזמן הממוצע שנדרש לאישור תכניות למגורים היה כחמש שנים וחצי. </w:t>
      </w:r>
    </w:p>
    <w:p w:rsidR="007347C2" w:rsidRPr="007347C2" w:rsidP="00F41E78">
      <w:pPr>
        <w:spacing w:after="120" w:line="230" w:lineRule="exact"/>
        <w:jc w:val="both"/>
        <w:rPr>
          <w:rFonts w:cs="FrankRuehl"/>
          <w:sz w:val="18"/>
          <w:szCs w:val="22"/>
          <w:rtl/>
          <w:lang w:eastAsia="he-IL"/>
        </w:rPr>
      </w:pPr>
    </w:p>
    <w:p w:rsidR="00E97EDA" w:rsidRPr="00F41E78" w:rsidP="00F41E78">
      <w:pPr>
        <w:spacing w:after="120" w:line="230" w:lineRule="exact"/>
        <w:jc w:val="both"/>
        <w:rPr>
          <w:rFonts w:cs="FrankRuehl"/>
          <w:bCs/>
          <w:spacing w:val="40"/>
          <w:sz w:val="18"/>
          <w:szCs w:val="22"/>
          <w:rtl/>
          <w:lang w:eastAsia="he-IL"/>
        </w:rPr>
      </w:pPr>
      <w:r w:rsidRPr="00F41E78">
        <w:rPr>
          <w:rFonts w:cs="FrankRuehl" w:hint="cs"/>
          <w:bCs/>
          <w:spacing w:val="40"/>
          <w:sz w:val="18"/>
          <w:szCs w:val="22"/>
          <w:rtl/>
          <w:lang w:eastAsia="he-IL"/>
        </w:rPr>
        <w:t>פעולות הממשלה ה-30 לחיזוק הפריפריה ולפיזור אוכלוסין</w:t>
      </w:r>
      <w:r w:rsidRPr="00F41E78">
        <w:rPr>
          <w:rFonts w:cs="FrankRuehl" w:hint="cs"/>
          <w:sz w:val="18"/>
          <w:szCs w:val="22"/>
          <w:rtl/>
          <w:lang w:eastAsia="he-IL"/>
        </w:rPr>
        <w:t xml:space="preserve"> </w:t>
      </w:r>
      <w:r w:rsidRPr="00F41E78">
        <w:rPr>
          <w:rFonts w:cs="FrankRuehl" w:hint="eastAsia"/>
          <w:bCs/>
          <w:spacing w:val="40"/>
          <w:sz w:val="18"/>
          <w:szCs w:val="22"/>
          <w:rtl/>
          <w:lang w:eastAsia="he-IL"/>
        </w:rPr>
        <w:t>בשנים</w:t>
      </w:r>
      <w:r w:rsidRPr="00F41E78">
        <w:rPr>
          <w:rFonts w:cs="FrankRuehl"/>
          <w:bCs/>
          <w:spacing w:val="40"/>
          <w:sz w:val="18"/>
          <w:szCs w:val="22"/>
          <w:rtl/>
          <w:lang w:eastAsia="he-IL"/>
        </w:rPr>
        <w:t xml:space="preserve"> </w:t>
      </w:r>
      <w:r w:rsidRPr="00F41E78">
        <w:rPr>
          <w:rFonts w:cs="FrankRuehl" w:hint="cs"/>
          <w:bCs/>
          <w:spacing w:val="40"/>
          <w:sz w:val="18"/>
          <w:szCs w:val="22"/>
          <w:rtl/>
          <w:lang w:eastAsia="he-IL"/>
        </w:rPr>
        <w:t>2007-2005</w:t>
      </w:r>
      <w:r w:rsidRPr="00F41E78">
        <w:rPr>
          <w:rFonts w:cs="FrankRuehl"/>
          <w:bCs/>
          <w:spacing w:val="40"/>
          <w:sz w:val="18"/>
          <w:szCs w:val="22"/>
          <w:rtl/>
          <w:lang w:eastAsia="he-IL"/>
        </w:rPr>
        <w:t xml:space="preserve">: </w:t>
      </w:r>
    </w:p>
    <w:p w:rsidR="00E97EDA" w:rsidRPr="00F41E78" w:rsidP="007347C2">
      <w:pPr>
        <w:spacing w:after="120" w:line="230" w:lineRule="exact"/>
        <w:ind w:left="340" w:hanging="340"/>
        <w:jc w:val="both"/>
        <w:rPr>
          <w:rFonts w:cs="FrankRuehl"/>
          <w:sz w:val="18"/>
          <w:szCs w:val="22"/>
          <w:rtl/>
          <w:lang w:eastAsia="he-IL"/>
        </w:rPr>
      </w:pPr>
      <w:r w:rsidRPr="00745AB9">
        <w:rPr>
          <w:rFonts w:cs="FrankRuehl" w:hint="cs"/>
          <w:sz w:val="18"/>
          <w:szCs w:val="22"/>
          <w:rtl/>
          <w:lang w:eastAsia="he-IL"/>
        </w:rPr>
        <w:t>1.</w:t>
      </w:r>
      <w:r w:rsidRPr="00745AB9">
        <w:rPr>
          <w:rFonts w:cs="FrankRuehl" w:hint="cs"/>
          <w:sz w:val="18"/>
          <w:szCs w:val="22"/>
          <w:rtl/>
          <w:lang w:eastAsia="he-IL"/>
        </w:rPr>
        <w:tab/>
      </w:r>
      <w:r w:rsidRPr="00F41E78">
        <w:rPr>
          <w:rFonts w:cs="FrankRuehl"/>
          <w:spacing w:val="40"/>
          <w:sz w:val="18"/>
          <w:szCs w:val="22"/>
          <w:rtl/>
          <w:lang w:eastAsia="he-IL"/>
        </w:rPr>
        <w:t xml:space="preserve">תכנית לאומית אסטרטגית לפיתוח הנגב: </w:t>
      </w:r>
      <w:r w:rsidRPr="00F41E78">
        <w:rPr>
          <w:rFonts w:cs="FrankRuehl" w:hint="cs"/>
          <w:sz w:val="18"/>
          <w:szCs w:val="22"/>
          <w:rtl/>
          <w:lang w:eastAsia="he-IL"/>
        </w:rPr>
        <w:t xml:space="preserve">בהחלטת ממשלה מס' 4415 מנובמבר 2005 של הממשלה ה-30 נקבע, בין היתר, כי תיושם תכנית לאומית אסטרטגית לפיתוח הנגב לשנים 2015-2006 המכוונת להשיג יעדים אלו: הגדלת האוכלוסייה באזור שהתכנית חלה עליו מ-535,000 נפש (לפי נתונים לשנת 2003) ל-900,000 נפש; הגדלת מספר המועסקים בקרב תושבי הנגב מכ-164,000 (לפי נתוני שנת 2003) לכ-300,000; צמצום הפער בין ההכנסה הממוצעת לנפש במשק ובין ההכנסה בנגב מ-10.7% (לפי נתוני שנת 2001) </w:t>
      </w:r>
      <w:r w:rsidR="00D501CA">
        <w:rPr>
          <w:rFonts w:cs="FrankRuehl"/>
          <w:sz w:val="18"/>
          <w:szCs w:val="22"/>
          <w:lang w:eastAsia="he-IL"/>
        </w:rPr>
        <w:br/>
      </w:r>
      <w:r w:rsidRPr="00F41E78">
        <w:rPr>
          <w:rFonts w:cs="FrankRuehl" w:hint="cs"/>
          <w:sz w:val="18"/>
          <w:szCs w:val="22"/>
          <w:rtl/>
          <w:lang w:eastAsia="he-IL"/>
        </w:rPr>
        <w:t>ל-4.2%.</w:t>
      </w:r>
    </w:p>
    <w:p w:rsidR="00E97EDA" w:rsidRPr="00F41E78" w:rsidP="003D6B99">
      <w:pPr>
        <w:spacing w:after="120" w:line="230" w:lineRule="exact"/>
        <w:ind w:left="340" w:hanging="340"/>
        <w:jc w:val="both"/>
        <w:rPr>
          <w:rFonts w:cs="FrankRuehl"/>
          <w:sz w:val="18"/>
          <w:szCs w:val="22"/>
          <w:rtl/>
          <w:lang w:eastAsia="he-IL"/>
        </w:rPr>
      </w:pPr>
      <w:r>
        <w:rPr>
          <w:rFonts w:cs="FrankRuehl"/>
          <w:sz w:val="18"/>
          <w:szCs w:val="22"/>
          <w:rtl/>
          <w:lang w:eastAsia="he-IL"/>
        </w:rPr>
        <w:tab/>
      </w:r>
      <w:r w:rsidRPr="00F41E78">
        <w:rPr>
          <w:rFonts w:cs="FrankRuehl" w:hint="cs"/>
          <w:sz w:val="18"/>
          <w:szCs w:val="22"/>
          <w:rtl/>
          <w:lang w:eastAsia="he-IL"/>
        </w:rPr>
        <w:t xml:space="preserve">בתשובתו מאפריל 2014 ציין השר לפיתוח הנגב והגליל ח"כ סילבן שלום: "החלטת ממשלה זו שתקציבה נקבע ל-17 מיליארד ש"ח, כללה פרויקטים רבים בתחומי התיישבות והדיור בנגב. למרות שההחלטה לא התקבלה בתקופת כהונתי (החלה ב-2009), ברצוני לציין </w:t>
      </w:r>
      <w:r w:rsidRPr="00F41E78">
        <w:rPr>
          <w:rFonts w:cs="FrankRuehl" w:hint="cs"/>
          <w:sz w:val="18"/>
          <w:szCs w:val="22"/>
          <w:rtl/>
          <w:lang w:eastAsia="he-IL"/>
        </w:rPr>
        <w:t xml:space="preserve">שהחלטה זו לא יצאה לפועל. ההחלטה בוטלה, הלכה למעשה, לאור מלחמת לבנון השנייה. תקציבי המדינה הופנו לטובת שיקום נזקי המלחמה וחזרה לשגרת החיים. ייתכן, כי במידה וההחלטה הייתה מיושמת במלואה, מצב הדיור בנגב כיום, היה שונה". </w:t>
      </w:r>
    </w:p>
    <w:p w:rsidR="00E97EDA" w:rsidRPr="00F41E78" w:rsidP="007347C2">
      <w:pPr>
        <w:spacing w:after="120" w:line="230" w:lineRule="exact"/>
        <w:ind w:left="340" w:hanging="340"/>
        <w:jc w:val="both"/>
        <w:rPr>
          <w:rFonts w:cs="FrankRuehl"/>
          <w:sz w:val="18"/>
          <w:szCs w:val="22"/>
          <w:rtl/>
          <w:lang w:eastAsia="he-IL"/>
        </w:rPr>
      </w:pPr>
      <w:r>
        <w:rPr>
          <w:rFonts w:cs="FrankRuehl" w:hint="cs"/>
          <w:sz w:val="18"/>
          <w:szCs w:val="22"/>
          <w:rtl/>
          <w:lang w:eastAsia="he-IL"/>
        </w:rPr>
        <w:tab/>
      </w:r>
      <w:r w:rsidRPr="00F41E78">
        <w:rPr>
          <w:rFonts w:cs="FrankRuehl"/>
          <w:sz w:val="18"/>
          <w:szCs w:val="22"/>
          <w:rtl/>
          <w:lang w:eastAsia="he-IL"/>
        </w:rPr>
        <w:t xml:space="preserve">בתשובתו דיווח מנכ"ל משרד ראש הממשלה כי </w:t>
      </w:r>
      <w:r w:rsidRPr="00F41E78">
        <w:rPr>
          <w:rFonts w:cs="FrankRuehl" w:hint="cs"/>
          <w:sz w:val="18"/>
          <w:szCs w:val="22"/>
          <w:rtl/>
          <w:lang w:eastAsia="he-IL"/>
        </w:rPr>
        <w:t>"</w:t>
      </w:r>
      <w:r w:rsidRPr="00F41E78">
        <w:rPr>
          <w:rFonts w:cs="FrankRuehl"/>
          <w:sz w:val="18"/>
          <w:szCs w:val="22"/>
          <w:rtl/>
          <w:lang w:eastAsia="he-IL"/>
        </w:rPr>
        <w:t>ההחלטה האמורה התקבלה בימי הממשלה ה-30. הממשלות שבאו אחריה קיבלו סדרת החלטות עוקבות אשר הביאו למימוש החלטה זו".</w:t>
      </w:r>
    </w:p>
    <w:p w:rsidR="00E97EDA" w:rsidRPr="00F41E78" w:rsidP="00FE7E7B">
      <w:pPr>
        <w:spacing w:after="120" w:line="230" w:lineRule="exact"/>
        <w:ind w:left="340" w:hanging="340"/>
        <w:jc w:val="both"/>
        <w:outlineLvl w:val="5"/>
        <w:rPr>
          <w:rFonts w:cs="FrankRuehl"/>
          <w:spacing w:val="40"/>
          <w:sz w:val="18"/>
          <w:szCs w:val="22"/>
          <w:rtl/>
        </w:rPr>
      </w:pPr>
      <w:r w:rsidRPr="00745AB9">
        <w:rPr>
          <w:rFonts w:cs="FrankRuehl" w:hint="cs"/>
          <w:sz w:val="18"/>
          <w:szCs w:val="22"/>
          <w:rtl/>
        </w:rPr>
        <w:t>2.</w:t>
      </w:r>
      <w:r w:rsidRPr="00745AB9">
        <w:rPr>
          <w:rFonts w:cs="FrankRuehl" w:hint="cs"/>
          <w:sz w:val="18"/>
          <w:szCs w:val="22"/>
          <w:rtl/>
        </w:rPr>
        <w:tab/>
      </w:r>
      <w:r w:rsidRPr="00F41E78">
        <w:rPr>
          <w:rFonts w:cs="FrankRuehl" w:hint="eastAsia"/>
          <w:spacing w:val="40"/>
          <w:sz w:val="18"/>
          <w:szCs w:val="22"/>
          <w:rtl/>
        </w:rPr>
        <w:t>מחקרים</w:t>
      </w:r>
      <w:r w:rsidRPr="00F41E78">
        <w:rPr>
          <w:rFonts w:cs="FrankRuehl"/>
          <w:spacing w:val="40"/>
          <w:sz w:val="18"/>
          <w:szCs w:val="22"/>
          <w:rtl/>
        </w:rPr>
        <w:t xml:space="preserve"> </w:t>
      </w:r>
      <w:r w:rsidRPr="00F41E78">
        <w:rPr>
          <w:rFonts w:cs="FrankRuehl" w:hint="eastAsia"/>
          <w:spacing w:val="40"/>
          <w:sz w:val="18"/>
          <w:szCs w:val="22"/>
          <w:rtl/>
        </w:rPr>
        <w:t>של</w:t>
      </w:r>
      <w:r w:rsidRPr="00F41E78">
        <w:rPr>
          <w:rFonts w:cs="FrankRuehl"/>
          <w:spacing w:val="40"/>
          <w:sz w:val="18"/>
          <w:szCs w:val="22"/>
          <w:rtl/>
        </w:rPr>
        <w:t xml:space="preserve"> </w:t>
      </w:r>
      <w:r w:rsidRPr="00F41E78">
        <w:rPr>
          <w:rFonts w:cs="FrankRuehl" w:hint="eastAsia"/>
          <w:spacing w:val="40"/>
          <w:sz w:val="18"/>
          <w:szCs w:val="22"/>
          <w:rtl/>
        </w:rPr>
        <w:t>משרד הבינוי</w:t>
      </w:r>
      <w:r w:rsidRPr="00F41E78">
        <w:rPr>
          <w:rFonts w:cs="FrankRuehl"/>
          <w:spacing w:val="40"/>
          <w:sz w:val="18"/>
          <w:szCs w:val="22"/>
          <w:rtl/>
        </w:rPr>
        <w:t xml:space="preserve"> </w:t>
      </w:r>
      <w:r w:rsidRPr="00F41E78">
        <w:rPr>
          <w:rFonts w:cs="FrankRuehl" w:hint="eastAsia"/>
          <w:spacing w:val="40"/>
          <w:sz w:val="18"/>
          <w:szCs w:val="22"/>
          <w:rtl/>
        </w:rPr>
        <w:t>בנוגע</w:t>
      </w:r>
      <w:r w:rsidRPr="00F41E78">
        <w:rPr>
          <w:rFonts w:cs="FrankRuehl"/>
          <w:spacing w:val="40"/>
          <w:sz w:val="18"/>
          <w:szCs w:val="22"/>
          <w:rtl/>
        </w:rPr>
        <w:t xml:space="preserve"> </w:t>
      </w:r>
      <w:r w:rsidRPr="00F41E78">
        <w:rPr>
          <w:rFonts w:cs="FrankRuehl" w:hint="eastAsia"/>
          <w:spacing w:val="40"/>
          <w:sz w:val="18"/>
          <w:szCs w:val="22"/>
          <w:rtl/>
        </w:rPr>
        <w:t>לפיתוח</w:t>
      </w:r>
      <w:r w:rsidRPr="00F41E78">
        <w:rPr>
          <w:rFonts w:cs="FrankRuehl"/>
          <w:spacing w:val="40"/>
          <w:sz w:val="18"/>
          <w:szCs w:val="22"/>
          <w:rtl/>
        </w:rPr>
        <w:t xml:space="preserve"> </w:t>
      </w:r>
      <w:r w:rsidRPr="00F41E78">
        <w:rPr>
          <w:rFonts w:cs="FrankRuehl" w:hint="eastAsia"/>
          <w:spacing w:val="40"/>
          <w:sz w:val="18"/>
          <w:szCs w:val="22"/>
          <w:rtl/>
        </w:rPr>
        <w:t>הפריפריה</w:t>
      </w:r>
      <w:r w:rsidRPr="00F41E78">
        <w:rPr>
          <w:rFonts w:cs="FrankRuehl"/>
          <w:spacing w:val="40"/>
          <w:sz w:val="18"/>
          <w:szCs w:val="22"/>
          <w:rtl/>
        </w:rPr>
        <w:t>:</w:t>
      </w:r>
      <w:r w:rsidRPr="00F41E78">
        <w:rPr>
          <w:rFonts w:cs="FrankRuehl" w:hint="cs"/>
          <w:spacing w:val="40"/>
          <w:sz w:val="18"/>
          <w:szCs w:val="22"/>
          <w:rtl/>
        </w:rPr>
        <w:t xml:space="preserve"> </w:t>
      </w:r>
      <w:r w:rsidRPr="00F41E78">
        <w:rPr>
          <w:rFonts w:cs="FrankRuehl" w:hint="cs"/>
          <w:sz w:val="18"/>
          <w:szCs w:val="22"/>
          <w:rtl/>
          <w:lang w:eastAsia="he-IL"/>
        </w:rPr>
        <w:t>כבר</w:t>
      </w:r>
      <w:r w:rsidRPr="00F41E78">
        <w:rPr>
          <w:rFonts w:cs="FrankRuehl"/>
          <w:sz w:val="18"/>
          <w:szCs w:val="22"/>
          <w:rtl/>
          <w:lang w:eastAsia="he-IL"/>
        </w:rPr>
        <w:t xml:space="preserve"> </w:t>
      </w:r>
      <w:r w:rsidRPr="00F41E78">
        <w:rPr>
          <w:rFonts w:cs="FrankRuehl" w:hint="eastAsia"/>
          <w:sz w:val="18"/>
          <w:szCs w:val="22"/>
          <w:rtl/>
          <w:lang w:eastAsia="he-IL"/>
        </w:rPr>
        <w:t>ב</w:t>
      </w:r>
      <w:r w:rsidRPr="00F41E78">
        <w:rPr>
          <w:rFonts w:cs="FrankRuehl" w:hint="cs"/>
          <w:sz w:val="18"/>
          <w:szCs w:val="22"/>
          <w:rtl/>
          <w:lang w:eastAsia="he-IL"/>
        </w:rPr>
        <w:t>שנת</w:t>
      </w:r>
      <w:r w:rsidRPr="00F41E78">
        <w:rPr>
          <w:rFonts w:cs="FrankRuehl"/>
          <w:sz w:val="18"/>
          <w:szCs w:val="22"/>
          <w:rtl/>
          <w:lang w:eastAsia="he-IL"/>
        </w:rPr>
        <w:t xml:space="preserve"> 2006 </w:t>
      </w:r>
      <w:r w:rsidRPr="00F41E78">
        <w:rPr>
          <w:rFonts w:cs="FrankRuehl" w:hint="eastAsia"/>
          <w:sz w:val="18"/>
          <w:szCs w:val="22"/>
          <w:rtl/>
          <w:lang w:eastAsia="he-IL"/>
        </w:rPr>
        <w:t>ביקש</w:t>
      </w:r>
      <w:r w:rsidRPr="00F41E78">
        <w:rPr>
          <w:rFonts w:cs="FrankRuehl"/>
          <w:sz w:val="18"/>
          <w:szCs w:val="22"/>
          <w:rtl/>
          <w:lang w:eastAsia="he-IL"/>
        </w:rPr>
        <w:t xml:space="preserve"> </w:t>
      </w:r>
      <w:r w:rsidRPr="00F41E78">
        <w:rPr>
          <w:rFonts w:cs="FrankRuehl" w:hint="eastAsia"/>
          <w:sz w:val="18"/>
          <w:szCs w:val="22"/>
          <w:rtl/>
          <w:lang w:eastAsia="he-IL"/>
        </w:rPr>
        <w:t>משרד הבינוי</w:t>
      </w:r>
      <w:r w:rsidRPr="00F41E78">
        <w:rPr>
          <w:rFonts w:cs="FrankRuehl"/>
          <w:sz w:val="18"/>
          <w:szCs w:val="22"/>
          <w:rtl/>
          <w:lang w:eastAsia="he-IL"/>
        </w:rPr>
        <w:t xml:space="preserve"> </w:t>
      </w:r>
      <w:r w:rsidRPr="00F41E78">
        <w:rPr>
          <w:rFonts w:cs="FrankRuehl" w:hint="eastAsia"/>
          <w:sz w:val="18"/>
          <w:szCs w:val="22"/>
          <w:rtl/>
          <w:lang w:eastAsia="he-IL"/>
        </w:rPr>
        <w:t>לבחון</w:t>
      </w:r>
      <w:r w:rsidRPr="00F41E78">
        <w:rPr>
          <w:rFonts w:cs="FrankRuehl"/>
          <w:sz w:val="18"/>
          <w:szCs w:val="22"/>
          <w:rtl/>
          <w:lang w:eastAsia="he-IL"/>
        </w:rPr>
        <w:t xml:space="preserve"> </w:t>
      </w:r>
      <w:r w:rsidRPr="00F41E78">
        <w:rPr>
          <w:rFonts w:cs="FrankRuehl" w:hint="eastAsia"/>
          <w:sz w:val="18"/>
          <w:szCs w:val="22"/>
          <w:rtl/>
          <w:lang w:eastAsia="he-IL"/>
        </w:rPr>
        <w:t>את</w:t>
      </w:r>
      <w:r w:rsidRPr="00F41E78">
        <w:rPr>
          <w:rFonts w:cs="FrankRuehl"/>
          <w:sz w:val="18"/>
          <w:szCs w:val="22"/>
          <w:rtl/>
          <w:lang w:eastAsia="he-IL"/>
        </w:rPr>
        <w:t xml:space="preserve"> </w:t>
      </w:r>
      <w:r w:rsidRPr="00F41E78">
        <w:rPr>
          <w:rFonts w:cs="FrankRuehl" w:hint="eastAsia"/>
          <w:sz w:val="18"/>
          <w:szCs w:val="22"/>
          <w:rtl/>
          <w:lang w:eastAsia="he-IL"/>
        </w:rPr>
        <w:t>הדרכים</w:t>
      </w:r>
      <w:r w:rsidRPr="00F41E78">
        <w:rPr>
          <w:rFonts w:cs="FrankRuehl"/>
          <w:sz w:val="18"/>
          <w:szCs w:val="22"/>
          <w:rtl/>
          <w:lang w:eastAsia="he-IL"/>
        </w:rPr>
        <w:t xml:space="preserve"> </w:t>
      </w:r>
      <w:r w:rsidRPr="00F41E78">
        <w:rPr>
          <w:rFonts w:cs="FrankRuehl" w:hint="eastAsia"/>
          <w:sz w:val="18"/>
          <w:szCs w:val="22"/>
          <w:rtl/>
          <w:lang w:eastAsia="he-IL"/>
        </w:rPr>
        <w:t>לחיזוק</w:t>
      </w:r>
      <w:r w:rsidRPr="00F41E78">
        <w:rPr>
          <w:rFonts w:cs="FrankRuehl"/>
          <w:sz w:val="18"/>
          <w:szCs w:val="22"/>
          <w:rtl/>
          <w:lang w:eastAsia="he-IL"/>
        </w:rPr>
        <w:t xml:space="preserve"> </w:t>
      </w:r>
      <w:r w:rsidRPr="00F41E78">
        <w:rPr>
          <w:rFonts w:cs="FrankRuehl" w:hint="eastAsia"/>
          <w:sz w:val="18"/>
          <w:szCs w:val="22"/>
          <w:rtl/>
          <w:lang w:eastAsia="he-IL"/>
        </w:rPr>
        <w:t>הפריפריה</w:t>
      </w:r>
      <w:r w:rsidRPr="00F41E78">
        <w:rPr>
          <w:rFonts w:cs="FrankRuehl"/>
          <w:sz w:val="18"/>
          <w:szCs w:val="22"/>
          <w:rtl/>
          <w:lang w:eastAsia="he-IL"/>
        </w:rPr>
        <w:t xml:space="preserve"> </w:t>
      </w:r>
      <w:r w:rsidRPr="00F41E78">
        <w:rPr>
          <w:rFonts w:cs="FrankRuehl" w:hint="eastAsia"/>
          <w:sz w:val="18"/>
          <w:szCs w:val="22"/>
          <w:rtl/>
          <w:lang w:eastAsia="he-IL"/>
        </w:rPr>
        <w:t>ואת</w:t>
      </w:r>
      <w:r w:rsidRPr="00F41E78">
        <w:rPr>
          <w:rFonts w:cs="FrankRuehl"/>
          <w:sz w:val="18"/>
          <w:szCs w:val="22"/>
          <w:rtl/>
          <w:lang w:eastAsia="he-IL"/>
        </w:rPr>
        <w:t xml:space="preserve"> </w:t>
      </w:r>
      <w:r w:rsidRPr="00F41E78">
        <w:rPr>
          <w:rFonts w:cs="FrankRuehl" w:hint="eastAsia"/>
          <w:sz w:val="18"/>
          <w:szCs w:val="22"/>
          <w:rtl/>
          <w:lang w:eastAsia="he-IL"/>
        </w:rPr>
        <w:t>יעילות</w:t>
      </w:r>
      <w:r w:rsidRPr="00F41E78">
        <w:rPr>
          <w:rFonts w:cs="FrankRuehl"/>
          <w:sz w:val="18"/>
          <w:szCs w:val="22"/>
          <w:rtl/>
          <w:lang w:eastAsia="he-IL"/>
        </w:rPr>
        <w:t xml:space="preserve"> </w:t>
      </w:r>
      <w:r w:rsidRPr="00F41E78">
        <w:rPr>
          <w:rFonts w:cs="FrankRuehl" w:hint="eastAsia"/>
          <w:sz w:val="18"/>
          <w:szCs w:val="22"/>
          <w:rtl/>
          <w:lang w:eastAsia="he-IL"/>
        </w:rPr>
        <w:t>הכלים</w:t>
      </w:r>
      <w:r w:rsidRPr="00F41E78">
        <w:rPr>
          <w:rFonts w:cs="FrankRuehl"/>
          <w:sz w:val="18"/>
          <w:szCs w:val="22"/>
          <w:rtl/>
          <w:lang w:eastAsia="he-IL"/>
        </w:rPr>
        <w:t xml:space="preserve"> </w:t>
      </w:r>
      <w:r w:rsidRPr="00F41E78">
        <w:rPr>
          <w:rFonts w:cs="FrankRuehl" w:hint="eastAsia"/>
          <w:sz w:val="18"/>
          <w:szCs w:val="22"/>
          <w:rtl/>
          <w:lang w:eastAsia="he-IL"/>
        </w:rPr>
        <w:t>שהממשלה הפעילה</w:t>
      </w:r>
      <w:r w:rsidRPr="00F41E78">
        <w:rPr>
          <w:rFonts w:cs="FrankRuehl"/>
          <w:sz w:val="18"/>
          <w:szCs w:val="22"/>
          <w:rtl/>
          <w:lang w:eastAsia="he-IL"/>
        </w:rPr>
        <w:t xml:space="preserve"> </w:t>
      </w:r>
      <w:r w:rsidRPr="00F41E78">
        <w:rPr>
          <w:rFonts w:cs="FrankRuehl" w:hint="eastAsia"/>
          <w:sz w:val="18"/>
          <w:szCs w:val="22"/>
          <w:rtl/>
          <w:lang w:eastAsia="he-IL"/>
        </w:rPr>
        <w:t>למטרה</w:t>
      </w:r>
      <w:r w:rsidRPr="00F41E78">
        <w:rPr>
          <w:rFonts w:cs="FrankRuehl"/>
          <w:sz w:val="18"/>
          <w:szCs w:val="22"/>
          <w:rtl/>
          <w:lang w:eastAsia="he-IL"/>
        </w:rPr>
        <w:t xml:space="preserve"> </w:t>
      </w:r>
      <w:r w:rsidRPr="00F41E78">
        <w:rPr>
          <w:rFonts w:cs="FrankRuehl" w:hint="eastAsia"/>
          <w:sz w:val="18"/>
          <w:szCs w:val="22"/>
          <w:rtl/>
          <w:lang w:eastAsia="he-IL"/>
        </w:rPr>
        <w:t>זו</w:t>
      </w:r>
      <w:r w:rsidRPr="00F41E78">
        <w:rPr>
          <w:rFonts w:cs="FrankRuehl"/>
          <w:sz w:val="18"/>
          <w:szCs w:val="22"/>
          <w:rtl/>
          <w:lang w:eastAsia="he-IL"/>
        </w:rPr>
        <w:t xml:space="preserve">. </w:t>
      </w:r>
      <w:r w:rsidRPr="00F41E78">
        <w:rPr>
          <w:rFonts w:cs="FrankRuehl" w:hint="eastAsia"/>
          <w:sz w:val="18"/>
          <w:szCs w:val="22"/>
          <w:rtl/>
          <w:lang w:eastAsia="he-IL"/>
        </w:rPr>
        <w:t>לשם</w:t>
      </w:r>
      <w:r w:rsidRPr="00F41E78">
        <w:rPr>
          <w:rFonts w:cs="FrankRuehl"/>
          <w:sz w:val="18"/>
          <w:szCs w:val="22"/>
          <w:rtl/>
          <w:lang w:eastAsia="he-IL"/>
        </w:rPr>
        <w:t xml:space="preserve"> </w:t>
      </w:r>
      <w:r w:rsidRPr="00F41E78">
        <w:rPr>
          <w:rFonts w:cs="FrankRuehl" w:hint="eastAsia"/>
          <w:sz w:val="18"/>
          <w:szCs w:val="22"/>
          <w:rtl/>
          <w:lang w:eastAsia="he-IL"/>
        </w:rPr>
        <w:t>כך</w:t>
      </w:r>
      <w:r w:rsidRPr="00F41E78">
        <w:rPr>
          <w:rFonts w:cs="FrankRuehl"/>
          <w:sz w:val="18"/>
          <w:szCs w:val="22"/>
          <w:rtl/>
          <w:lang w:eastAsia="he-IL"/>
        </w:rPr>
        <w:t xml:space="preserve"> </w:t>
      </w:r>
      <w:r w:rsidRPr="00F41E78">
        <w:rPr>
          <w:rFonts w:cs="FrankRuehl" w:hint="eastAsia"/>
          <w:sz w:val="18"/>
          <w:szCs w:val="22"/>
          <w:rtl/>
          <w:lang w:eastAsia="he-IL"/>
        </w:rPr>
        <w:t>הזמין</w:t>
      </w:r>
      <w:r w:rsidRPr="00F41E78">
        <w:rPr>
          <w:rFonts w:cs="FrankRuehl" w:hint="cs"/>
          <w:sz w:val="18"/>
          <w:szCs w:val="22"/>
          <w:rtl/>
          <w:lang w:eastAsia="he-IL"/>
        </w:rPr>
        <w:t xml:space="preserve"> </w:t>
      </w:r>
      <w:r w:rsidRPr="00582A43">
        <w:rPr>
          <w:rFonts w:cs="FrankRuehl" w:hint="cs"/>
          <w:sz w:val="18"/>
          <w:szCs w:val="22"/>
          <w:rtl/>
          <w:lang w:eastAsia="he-IL"/>
        </w:rPr>
        <w:t>משרד הבינוי</w:t>
      </w:r>
      <w:r w:rsidRPr="00582A43">
        <w:rPr>
          <w:rFonts w:cs="FrankRuehl"/>
          <w:sz w:val="18"/>
          <w:szCs w:val="22"/>
          <w:rtl/>
          <w:lang w:eastAsia="he-IL"/>
        </w:rPr>
        <w:t xml:space="preserve"> </w:t>
      </w:r>
      <w:r w:rsidRPr="00582A43">
        <w:rPr>
          <w:rFonts w:cs="FrankRuehl" w:hint="eastAsia"/>
          <w:sz w:val="18"/>
          <w:szCs w:val="22"/>
          <w:rtl/>
          <w:lang w:eastAsia="he-IL"/>
        </w:rPr>
        <w:t xml:space="preserve">מחקר </w:t>
      </w:r>
      <w:r w:rsidRPr="00582A43">
        <w:rPr>
          <w:rFonts w:cs="FrankRuehl" w:hint="cs"/>
          <w:sz w:val="18"/>
          <w:szCs w:val="22"/>
          <w:rtl/>
          <w:lang w:eastAsia="he-IL"/>
        </w:rPr>
        <w:t>מ</w:t>
      </w:r>
      <w:r w:rsidRPr="00582A43">
        <w:rPr>
          <w:rFonts w:cs="FrankRuehl" w:hint="eastAsia"/>
          <w:sz w:val="18"/>
          <w:szCs w:val="22"/>
          <w:rtl/>
          <w:lang w:eastAsia="he-IL"/>
        </w:rPr>
        <w:t>חברה</w:t>
      </w:r>
      <w:r w:rsidRPr="00582A43">
        <w:rPr>
          <w:rFonts w:cs="FrankRuehl"/>
          <w:sz w:val="18"/>
          <w:szCs w:val="22"/>
          <w:rtl/>
          <w:lang w:eastAsia="he-IL"/>
        </w:rPr>
        <w:t xml:space="preserve"> </w:t>
      </w:r>
      <w:r w:rsidRPr="00582A43">
        <w:rPr>
          <w:rFonts w:cs="FrankRuehl" w:hint="eastAsia"/>
          <w:sz w:val="18"/>
          <w:szCs w:val="22"/>
          <w:rtl/>
          <w:lang w:eastAsia="he-IL"/>
        </w:rPr>
        <w:t>חיצונית</w:t>
      </w:r>
      <w:r w:rsidRPr="00582A43">
        <w:rPr>
          <w:rFonts w:cs="FrankRuehl"/>
          <w:sz w:val="18"/>
          <w:szCs w:val="22"/>
          <w:rtl/>
          <w:lang w:eastAsia="he-IL"/>
        </w:rPr>
        <w:t xml:space="preserve">, </w:t>
      </w:r>
      <w:r w:rsidRPr="00582A43">
        <w:rPr>
          <w:rFonts w:cs="FrankRuehl" w:hint="cs"/>
          <w:sz w:val="18"/>
          <w:szCs w:val="22"/>
          <w:rtl/>
          <w:lang w:eastAsia="he-IL"/>
        </w:rPr>
        <w:t>בליווי</w:t>
      </w:r>
      <w:r w:rsidRPr="00582A43">
        <w:rPr>
          <w:rFonts w:cs="FrankRuehl"/>
          <w:sz w:val="18"/>
          <w:szCs w:val="22"/>
          <w:rtl/>
          <w:lang w:eastAsia="he-IL"/>
        </w:rPr>
        <w:t xml:space="preserve"> </w:t>
      </w:r>
      <w:r w:rsidRPr="00582A43">
        <w:rPr>
          <w:rFonts w:cs="FrankRuehl" w:hint="eastAsia"/>
          <w:sz w:val="18"/>
          <w:szCs w:val="22"/>
          <w:rtl/>
          <w:lang w:eastAsia="he-IL"/>
        </w:rPr>
        <w:t>ועדת</w:t>
      </w:r>
      <w:r w:rsidRPr="00F41E78">
        <w:rPr>
          <w:rFonts w:cs="FrankRuehl"/>
          <w:sz w:val="18"/>
          <w:szCs w:val="22"/>
          <w:rtl/>
          <w:lang w:eastAsia="he-IL"/>
        </w:rPr>
        <w:t xml:space="preserve"> </w:t>
      </w:r>
      <w:r w:rsidRPr="00F41E78">
        <w:rPr>
          <w:rFonts w:cs="FrankRuehl" w:hint="eastAsia"/>
          <w:sz w:val="18"/>
          <w:szCs w:val="22"/>
          <w:rtl/>
          <w:lang w:eastAsia="he-IL"/>
        </w:rPr>
        <w:t>היגוי</w:t>
      </w:r>
      <w:r w:rsidRPr="00F41E78">
        <w:rPr>
          <w:rFonts w:cs="FrankRuehl"/>
          <w:sz w:val="18"/>
          <w:szCs w:val="22"/>
          <w:rtl/>
          <w:lang w:eastAsia="he-IL"/>
        </w:rPr>
        <w:t xml:space="preserve"> </w:t>
      </w:r>
      <w:r w:rsidRPr="00F41E78">
        <w:rPr>
          <w:rFonts w:cs="FrankRuehl" w:hint="eastAsia"/>
          <w:sz w:val="18"/>
          <w:szCs w:val="22"/>
          <w:rtl/>
          <w:lang w:eastAsia="he-IL"/>
        </w:rPr>
        <w:t>בין</w:t>
      </w:r>
      <w:r w:rsidRPr="00F41E78">
        <w:rPr>
          <w:rFonts w:cs="FrankRuehl" w:hint="cs"/>
          <w:sz w:val="18"/>
          <w:szCs w:val="22"/>
          <w:rtl/>
          <w:lang w:eastAsia="he-IL"/>
        </w:rPr>
        <w:t>-</w:t>
      </w:r>
      <w:r w:rsidRPr="00F41E78">
        <w:rPr>
          <w:rFonts w:cs="FrankRuehl" w:hint="eastAsia"/>
          <w:sz w:val="18"/>
          <w:szCs w:val="22"/>
          <w:rtl/>
          <w:lang w:eastAsia="he-IL"/>
        </w:rPr>
        <w:t>משרדית</w:t>
      </w:r>
      <w:r w:rsidRPr="00F41E78">
        <w:rPr>
          <w:rFonts w:cs="FrankRuehl" w:hint="cs"/>
          <w:sz w:val="18"/>
          <w:szCs w:val="22"/>
          <w:rtl/>
          <w:lang w:eastAsia="he-IL"/>
        </w:rPr>
        <w:t>. בדוח המסכם</w:t>
      </w:r>
      <w:r w:rsidRPr="00F41E78">
        <w:rPr>
          <w:rFonts w:cs="FrankRuehl"/>
          <w:sz w:val="18"/>
          <w:szCs w:val="22"/>
          <w:rtl/>
          <w:lang w:eastAsia="he-IL"/>
        </w:rPr>
        <w:t xml:space="preserve"> </w:t>
      </w:r>
      <w:r w:rsidRPr="00F41E78">
        <w:rPr>
          <w:rFonts w:cs="FrankRuehl" w:hint="eastAsia"/>
          <w:sz w:val="18"/>
          <w:szCs w:val="22"/>
          <w:rtl/>
          <w:lang w:eastAsia="he-IL"/>
        </w:rPr>
        <w:t>צוין</w:t>
      </w:r>
      <w:r w:rsidRPr="00F41E78">
        <w:rPr>
          <w:rFonts w:cs="FrankRuehl"/>
          <w:sz w:val="18"/>
          <w:szCs w:val="22"/>
          <w:rtl/>
          <w:lang w:eastAsia="he-IL"/>
        </w:rPr>
        <w:t xml:space="preserve"> </w:t>
      </w:r>
      <w:r w:rsidRPr="00F41E78">
        <w:rPr>
          <w:rFonts w:cs="FrankRuehl" w:hint="eastAsia"/>
          <w:sz w:val="18"/>
          <w:szCs w:val="22"/>
          <w:rtl/>
          <w:lang w:eastAsia="he-IL"/>
        </w:rPr>
        <w:t>בין</w:t>
      </w:r>
      <w:r w:rsidRPr="00F41E78">
        <w:rPr>
          <w:rFonts w:cs="FrankRuehl"/>
          <w:sz w:val="18"/>
          <w:szCs w:val="22"/>
          <w:rtl/>
          <w:lang w:eastAsia="he-IL"/>
        </w:rPr>
        <w:t xml:space="preserve"> </w:t>
      </w:r>
      <w:r w:rsidRPr="00F41E78">
        <w:rPr>
          <w:rFonts w:cs="FrankRuehl" w:hint="eastAsia"/>
          <w:sz w:val="18"/>
          <w:szCs w:val="22"/>
          <w:rtl/>
          <w:lang w:eastAsia="he-IL"/>
        </w:rPr>
        <w:t>השאר</w:t>
      </w:r>
      <w:r w:rsidRPr="00F41E78">
        <w:rPr>
          <w:rFonts w:cs="FrankRuehl" w:hint="cs"/>
          <w:sz w:val="18"/>
          <w:szCs w:val="22"/>
          <w:rtl/>
          <w:lang w:eastAsia="he-IL"/>
        </w:rPr>
        <w:t xml:space="preserve"> כי </w:t>
      </w:r>
      <w:r w:rsidRPr="00F41E78">
        <w:rPr>
          <w:rFonts w:cs="FrankRuehl"/>
          <w:sz w:val="18"/>
          <w:szCs w:val="22"/>
          <w:rtl/>
          <w:lang w:eastAsia="he-IL"/>
        </w:rPr>
        <w:t>גורמים מרכזיים שבכוחם לעודד הגירה ממרכז הארץ לפריפריה</w:t>
      </w:r>
      <w:r w:rsidR="00836B1E">
        <w:rPr>
          <w:rFonts w:cs="FrankRuehl" w:hint="cs"/>
          <w:sz w:val="18"/>
          <w:szCs w:val="22"/>
          <w:rtl/>
          <w:lang w:eastAsia="he-IL"/>
        </w:rPr>
        <w:t xml:space="preserve"> הם</w:t>
      </w:r>
      <w:r w:rsidRPr="00F41E78">
        <w:rPr>
          <w:rFonts w:cs="FrankRuehl" w:hint="cs"/>
          <w:sz w:val="18"/>
          <w:szCs w:val="22"/>
          <w:rtl/>
          <w:lang w:eastAsia="he-IL"/>
        </w:rPr>
        <w:t xml:space="preserve"> </w:t>
      </w:r>
      <w:r w:rsidRPr="00F41E78">
        <w:rPr>
          <w:rFonts w:cs="FrankRuehl"/>
          <w:sz w:val="18"/>
          <w:szCs w:val="22"/>
          <w:rtl/>
          <w:lang w:eastAsia="he-IL"/>
        </w:rPr>
        <w:t>תעסוקה</w:t>
      </w:r>
      <w:r w:rsidRPr="00F41E78">
        <w:rPr>
          <w:rFonts w:cs="FrankRuehl" w:hint="cs"/>
          <w:sz w:val="18"/>
          <w:szCs w:val="22"/>
          <w:rtl/>
          <w:lang w:eastAsia="he-IL"/>
        </w:rPr>
        <w:t xml:space="preserve"> בכלל</w:t>
      </w:r>
      <w:r w:rsidRPr="00F41E78">
        <w:rPr>
          <w:rFonts w:cs="FrankRuehl"/>
          <w:sz w:val="18"/>
          <w:szCs w:val="22"/>
          <w:rtl/>
          <w:lang w:eastAsia="he-IL"/>
        </w:rPr>
        <w:t xml:space="preserve"> ותעסוקה איכותית בשכר גבוה בפרט</w:t>
      </w:r>
      <w:r w:rsidRPr="00F41E78">
        <w:rPr>
          <w:rFonts w:cs="FrankRuehl" w:hint="cs"/>
          <w:sz w:val="18"/>
          <w:szCs w:val="22"/>
          <w:rtl/>
          <w:lang w:eastAsia="he-IL"/>
        </w:rPr>
        <w:t>,</w:t>
      </w:r>
      <w:r w:rsidRPr="00F41E78">
        <w:rPr>
          <w:rFonts w:cs="FrankRuehl"/>
          <w:sz w:val="18"/>
          <w:szCs w:val="22"/>
          <w:rtl/>
          <w:lang w:eastAsia="he-IL"/>
        </w:rPr>
        <w:t xml:space="preserve"> היצע </w:t>
      </w:r>
      <w:r w:rsidRPr="00F41E78">
        <w:rPr>
          <w:rFonts w:cs="FrankRuehl" w:hint="cs"/>
          <w:sz w:val="18"/>
          <w:szCs w:val="22"/>
          <w:rtl/>
          <w:lang w:eastAsia="he-IL"/>
        </w:rPr>
        <w:t>ד</w:t>
      </w:r>
      <w:r w:rsidRPr="00F41E78">
        <w:rPr>
          <w:rFonts w:cs="FrankRuehl"/>
          <w:sz w:val="18"/>
          <w:szCs w:val="22"/>
          <w:rtl/>
          <w:lang w:eastAsia="he-IL"/>
        </w:rPr>
        <w:t>יור איכותי במחיר סביר והפעלת תחבורה מסילתית</w:t>
      </w:r>
      <w:r w:rsidR="00836B1E">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 xml:space="preserve">עוד צוין כי </w:t>
      </w:r>
      <w:r w:rsidRPr="00F41E78">
        <w:rPr>
          <w:rFonts w:cs="FrankRuehl" w:hint="eastAsia"/>
          <w:sz w:val="18"/>
          <w:szCs w:val="22"/>
          <w:rtl/>
          <w:lang w:eastAsia="he-IL"/>
        </w:rPr>
        <w:t>הממשלה</w:t>
      </w:r>
      <w:r w:rsidRPr="00F41E78">
        <w:rPr>
          <w:rFonts w:cs="FrankRuehl" w:hint="cs"/>
          <w:sz w:val="18"/>
          <w:szCs w:val="22"/>
          <w:rtl/>
          <w:lang w:eastAsia="he-IL"/>
        </w:rPr>
        <w:t xml:space="preserve"> לא השתמשה</w:t>
      </w:r>
      <w:r w:rsidRPr="00F41E78">
        <w:rPr>
          <w:rFonts w:cs="FrankRuehl"/>
          <w:sz w:val="18"/>
          <w:szCs w:val="22"/>
          <w:rtl/>
          <w:lang w:eastAsia="he-IL"/>
        </w:rPr>
        <w:t xml:space="preserve"> </w:t>
      </w:r>
      <w:r w:rsidRPr="00F41E78">
        <w:rPr>
          <w:rFonts w:cs="FrankRuehl" w:hint="cs"/>
          <w:sz w:val="18"/>
          <w:szCs w:val="22"/>
          <w:rtl/>
          <w:lang w:eastAsia="he-IL"/>
        </w:rPr>
        <w:t>ב</w:t>
      </w:r>
      <w:r w:rsidRPr="00F41E78">
        <w:rPr>
          <w:rFonts w:cs="FrankRuehl" w:hint="eastAsia"/>
          <w:sz w:val="18"/>
          <w:szCs w:val="22"/>
          <w:rtl/>
          <w:lang w:eastAsia="he-IL"/>
        </w:rPr>
        <w:t>כלים</w:t>
      </w:r>
      <w:r w:rsidRPr="00F41E78">
        <w:rPr>
          <w:rFonts w:cs="FrankRuehl"/>
          <w:sz w:val="18"/>
          <w:szCs w:val="22"/>
          <w:rtl/>
          <w:lang w:eastAsia="he-IL"/>
        </w:rPr>
        <w:t xml:space="preserve"> </w:t>
      </w:r>
      <w:r w:rsidRPr="00F41E78">
        <w:rPr>
          <w:rFonts w:cs="FrankRuehl" w:hint="eastAsia"/>
          <w:sz w:val="18"/>
          <w:szCs w:val="22"/>
          <w:rtl/>
          <w:lang w:eastAsia="he-IL"/>
        </w:rPr>
        <w:t>ו</w:t>
      </w:r>
      <w:r w:rsidRPr="00F41E78">
        <w:rPr>
          <w:rFonts w:cs="FrankRuehl" w:hint="cs"/>
          <w:sz w:val="18"/>
          <w:szCs w:val="22"/>
          <w:rtl/>
          <w:lang w:eastAsia="he-IL"/>
        </w:rPr>
        <w:t>ב</w:t>
      </w:r>
      <w:r w:rsidRPr="00F41E78">
        <w:rPr>
          <w:rFonts w:cs="FrankRuehl" w:hint="eastAsia"/>
          <w:sz w:val="18"/>
          <w:szCs w:val="22"/>
          <w:rtl/>
          <w:lang w:eastAsia="he-IL"/>
        </w:rPr>
        <w:t>משאבים</w:t>
      </w:r>
      <w:r w:rsidRPr="00F41E78">
        <w:rPr>
          <w:rFonts w:cs="FrankRuehl"/>
          <w:sz w:val="18"/>
          <w:szCs w:val="22"/>
          <w:rtl/>
          <w:lang w:eastAsia="he-IL"/>
        </w:rPr>
        <w:t xml:space="preserve"> </w:t>
      </w:r>
      <w:r w:rsidRPr="00F41E78">
        <w:rPr>
          <w:rFonts w:cs="FrankRuehl" w:hint="cs"/>
          <w:sz w:val="18"/>
          <w:szCs w:val="22"/>
          <w:rtl/>
          <w:lang w:eastAsia="he-IL"/>
        </w:rPr>
        <w:t xml:space="preserve">שבידיה </w:t>
      </w:r>
      <w:r w:rsidRPr="00F41E78">
        <w:rPr>
          <w:rFonts w:cs="FrankRuehl" w:hint="eastAsia"/>
          <w:sz w:val="18"/>
          <w:szCs w:val="22"/>
          <w:rtl/>
          <w:lang w:eastAsia="he-IL"/>
        </w:rPr>
        <w:t>שביכולתם</w:t>
      </w:r>
      <w:r w:rsidRPr="00F41E78">
        <w:rPr>
          <w:rFonts w:cs="FrankRuehl"/>
          <w:sz w:val="18"/>
          <w:szCs w:val="22"/>
          <w:rtl/>
          <w:lang w:eastAsia="he-IL"/>
        </w:rPr>
        <w:t xml:space="preserve"> </w:t>
      </w:r>
      <w:r w:rsidRPr="00F41E78">
        <w:rPr>
          <w:rFonts w:cs="FrankRuehl" w:hint="eastAsia"/>
          <w:sz w:val="18"/>
          <w:szCs w:val="22"/>
          <w:rtl/>
          <w:lang w:eastAsia="he-IL"/>
        </w:rPr>
        <w:t>לווסת</w:t>
      </w:r>
      <w:r w:rsidRPr="00F41E78">
        <w:rPr>
          <w:rFonts w:cs="FrankRuehl"/>
          <w:sz w:val="18"/>
          <w:szCs w:val="22"/>
          <w:rtl/>
          <w:lang w:eastAsia="he-IL"/>
        </w:rPr>
        <w:t xml:space="preserve"> </w:t>
      </w:r>
      <w:r w:rsidRPr="00F41E78">
        <w:rPr>
          <w:rFonts w:cs="FrankRuehl" w:hint="eastAsia"/>
          <w:sz w:val="18"/>
          <w:szCs w:val="22"/>
          <w:rtl/>
          <w:lang w:eastAsia="he-IL"/>
        </w:rPr>
        <w:t>את</w:t>
      </w:r>
      <w:r w:rsidRPr="00F41E78">
        <w:rPr>
          <w:rFonts w:cs="FrankRuehl"/>
          <w:sz w:val="18"/>
          <w:szCs w:val="22"/>
          <w:rtl/>
          <w:lang w:eastAsia="he-IL"/>
        </w:rPr>
        <w:t xml:space="preserve"> </w:t>
      </w:r>
      <w:r w:rsidRPr="00F41E78">
        <w:rPr>
          <w:rFonts w:cs="FrankRuehl" w:hint="eastAsia"/>
          <w:sz w:val="18"/>
          <w:szCs w:val="22"/>
          <w:rtl/>
          <w:lang w:eastAsia="he-IL"/>
        </w:rPr>
        <w:t>פיזור</w:t>
      </w:r>
      <w:r w:rsidRPr="00F41E78">
        <w:rPr>
          <w:rFonts w:cs="FrankRuehl"/>
          <w:sz w:val="18"/>
          <w:szCs w:val="22"/>
          <w:rtl/>
          <w:lang w:eastAsia="he-IL"/>
        </w:rPr>
        <w:t xml:space="preserve"> </w:t>
      </w:r>
      <w:r w:rsidRPr="00F41E78">
        <w:rPr>
          <w:rFonts w:cs="FrankRuehl" w:hint="eastAsia"/>
          <w:sz w:val="18"/>
          <w:szCs w:val="22"/>
          <w:rtl/>
          <w:lang w:eastAsia="he-IL"/>
        </w:rPr>
        <w:t>האוכלוסין</w:t>
      </w:r>
      <w:r w:rsidRPr="00F41E78">
        <w:rPr>
          <w:rFonts w:cs="FrankRuehl"/>
          <w:sz w:val="18"/>
          <w:szCs w:val="22"/>
          <w:rtl/>
          <w:lang w:eastAsia="he-IL"/>
        </w:rPr>
        <w:t xml:space="preserve"> </w:t>
      </w:r>
      <w:r w:rsidRPr="00F41E78">
        <w:rPr>
          <w:rFonts w:cs="FrankRuehl" w:hint="eastAsia"/>
          <w:sz w:val="18"/>
          <w:szCs w:val="22"/>
          <w:rtl/>
          <w:lang w:eastAsia="he-IL"/>
        </w:rPr>
        <w:t>בין</w:t>
      </w:r>
      <w:r w:rsidRPr="00F41E78">
        <w:rPr>
          <w:rFonts w:cs="FrankRuehl"/>
          <w:sz w:val="18"/>
          <w:szCs w:val="22"/>
          <w:rtl/>
          <w:lang w:eastAsia="he-IL"/>
        </w:rPr>
        <w:t xml:space="preserve"> </w:t>
      </w:r>
      <w:r w:rsidRPr="00F41E78">
        <w:rPr>
          <w:rFonts w:cs="FrankRuehl" w:hint="eastAsia"/>
          <w:sz w:val="18"/>
          <w:szCs w:val="22"/>
          <w:rtl/>
          <w:lang w:eastAsia="he-IL"/>
        </w:rPr>
        <w:t>המרכז</w:t>
      </w:r>
      <w:r w:rsidRPr="00F41E78">
        <w:rPr>
          <w:rFonts w:cs="FrankRuehl"/>
          <w:sz w:val="18"/>
          <w:szCs w:val="22"/>
          <w:rtl/>
          <w:lang w:eastAsia="he-IL"/>
        </w:rPr>
        <w:t xml:space="preserve"> </w:t>
      </w:r>
      <w:r w:rsidRPr="00F41E78">
        <w:rPr>
          <w:rFonts w:cs="FrankRuehl" w:hint="eastAsia"/>
          <w:sz w:val="18"/>
          <w:szCs w:val="22"/>
          <w:rtl/>
          <w:lang w:eastAsia="he-IL"/>
        </w:rPr>
        <w:t>לפריפריה</w:t>
      </w:r>
      <w:r w:rsidRPr="00F41E78">
        <w:rPr>
          <w:rFonts w:cs="FrankRuehl" w:hint="cs"/>
          <w:sz w:val="18"/>
          <w:szCs w:val="22"/>
          <w:rtl/>
          <w:lang w:eastAsia="he-IL"/>
        </w:rPr>
        <w:t>; לכן, שיעור הגידול ב</w:t>
      </w:r>
      <w:r w:rsidRPr="00F41E78">
        <w:rPr>
          <w:rFonts w:cs="FrankRuehl" w:hint="eastAsia"/>
          <w:sz w:val="18"/>
          <w:szCs w:val="22"/>
          <w:rtl/>
          <w:lang w:eastAsia="he-IL"/>
        </w:rPr>
        <w:t>אוכלוסייה</w:t>
      </w:r>
      <w:r w:rsidRPr="00F41E78">
        <w:rPr>
          <w:rFonts w:cs="FrankRuehl"/>
          <w:sz w:val="18"/>
          <w:szCs w:val="22"/>
          <w:rtl/>
          <w:lang w:eastAsia="he-IL"/>
        </w:rPr>
        <w:t xml:space="preserve"> </w:t>
      </w:r>
      <w:r w:rsidRPr="00F41E78">
        <w:rPr>
          <w:rFonts w:cs="FrankRuehl" w:hint="eastAsia"/>
          <w:sz w:val="18"/>
          <w:szCs w:val="22"/>
          <w:rtl/>
          <w:lang w:eastAsia="he-IL"/>
        </w:rPr>
        <w:t>בפריפריה</w:t>
      </w:r>
      <w:r w:rsidRPr="00F41E78">
        <w:rPr>
          <w:rFonts w:cs="FrankRuehl"/>
          <w:sz w:val="18"/>
          <w:szCs w:val="22"/>
          <w:rtl/>
          <w:lang w:eastAsia="he-IL"/>
        </w:rPr>
        <w:t xml:space="preserve"> </w:t>
      </w:r>
      <w:r w:rsidRPr="00F41E78">
        <w:rPr>
          <w:rFonts w:cs="FrankRuehl" w:hint="cs"/>
          <w:sz w:val="18"/>
          <w:szCs w:val="22"/>
          <w:rtl/>
          <w:lang w:eastAsia="he-IL"/>
        </w:rPr>
        <w:t xml:space="preserve">אינו עולה על שיעור הגידול </w:t>
      </w:r>
      <w:r w:rsidRPr="00F41E78">
        <w:rPr>
          <w:rFonts w:cs="FrankRuehl" w:hint="eastAsia"/>
          <w:sz w:val="18"/>
          <w:szCs w:val="22"/>
          <w:rtl/>
          <w:lang w:eastAsia="he-IL"/>
        </w:rPr>
        <w:t>הארצי</w:t>
      </w:r>
      <w:r w:rsidRPr="00F41E78">
        <w:rPr>
          <w:rFonts w:cs="FrankRuehl" w:hint="cs"/>
          <w:sz w:val="18"/>
          <w:szCs w:val="22"/>
          <w:rtl/>
          <w:lang w:eastAsia="he-IL"/>
        </w:rPr>
        <w:t xml:space="preserve"> </w:t>
      </w:r>
      <w:r w:rsidRPr="00F41E78">
        <w:rPr>
          <w:rFonts w:cs="FrankRuehl" w:hint="eastAsia"/>
          <w:sz w:val="18"/>
          <w:szCs w:val="22"/>
          <w:rtl/>
          <w:lang w:eastAsia="he-IL"/>
        </w:rPr>
        <w:t>הממוצע</w:t>
      </w:r>
      <w:r w:rsidRPr="00F41E78">
        <w:rPr>
          <w:rFonts w:cs="FrankRuehl"/>
          <w:sz w:val="18"/>
          <w:szCs w:val="22"/>
          <w:rtl/>
          <w:lang w:eastAsia="he-IL"/>
        </w:rPr>
        <w:t xml:space="preserve">. </w:t>
      </w:r>
    </w:p>
    <w:p w:rsidR="00E97EDA" w:rsidRPr="00F41E78" w:rsidP="007347C2">
      <w:pPr>
        <w:spacing w:after="240" w:line="230" w:lineRule="exact"/>
        <w:ind w:left="340" w:hanging="340"/>
        <w:jc w:val="both"/>
        <w:rPr>
          <w:rFonts w:cs="FrankRuehl"/>
          <w:b/>
          <w:bCs/>
          <w:sz w:val="18"/>
          <w:szCs w:val="22"/>
          <w:rtl/>
          <w:lang w:eastAsia="he-IL"/>
        </w:rPr>
      </w:pPr>
      <w:r>
        <w:rPr>
          <w:rFonts w:cs="FrankRuehl" w:hint="cs"/>
          <w:sz w:val="18"/>
          <w:szCs w:val="22"/>
          <w:rtl/>
          <w:lang w:eastAsia="he-IL"/>
        </w:rPr>
        <w:tab/>
      </w:r>
      <w:r w:rsidRPr="00F41E78">
        <w:rPr>
          <w:rFonts w:cs="FrankRuehl"/>
          <w:sz w:val="18"/>
          <w:szCs w:val="22"/>
          <w:rtl/>
          <w:lang w:eastAsia="he-IL"/>
        </w:rPr>
        <w:t>באוגוסט 2007 הושלם מחקר המשך שעסק ב"פיתוח מודל ליישום המלצות המחקר בנושא כלים לעידוד התיישבות באזורי עדיפות לאומית"</w:t>
      </w:r>
      <w:r w:rsidRPr="00F41E78">
        <w:rPr>
          <w:rFonts w:cs="FrankRuehl" w:hint="cs"/>
          <w:sz w:val="18"/>
          <w:szCs w:val="22"/>
          <w:rtl/>
          <w:lang w:eastAsia="he-IL"/>
        </w:rPr>
        <w:t>. המודל נבדק לגבי הערים</w:t>
      </w:r>
      <w:r w:rsidRPr="00F41E78">
        <w:rPr>
          <w:rFonts w:cs="FrankRuehl"/>
          <w:sz w:val="18"/>
          <w:szCs w:val="22"/>
          <w:rtl/>
          <w:lang w:eastAsia="he-IL"/>
        </w:rPr>
        <w:t xml:space="preserve"> טבריה, קריית שמונה, דימונה ובאר שבע שבה</w:t>
      </w:r>
      <w:r w:rsidRPr="00F41E78">
        <w:rPr>
          <w:rFonts w:cs="FrankRuehl" w:hint="cs"/>
          <w:sz w:val="18"/>
          <w:szCs w:val="22"/>
          <w:rtl/>
          <w:lang w:eastAsia="he-IL"/>
        </w:rPr>
        <w:t>ן</w:t>
      </w:r>
      <w:r w:rsidRPr="00F41E78">
        <w:rPr>
          <w:rFonts w:cs="FrankRuehl"/>
          <w:sz w:val="18"/>
          <w:szCs w:val="22"/>
          <w:rtl/>
          <w:lang w:eastAsia="he-IL"/>
        </w:rPr>
        <w:t xml:space="preserve"> היו קרקעות </w:t>
      </w:r>
      <w:r w:rsidRPr="00F41E78">
        <w:rPr>
          <w:rFonts w:cs="FrankRuehl" w:hint="cs"/>
          <w:sz w:val="18"/>
          <w:szCs w:val="22"/>
          <w:rtl/>
          <w:lang w:eastAsia="he-IL"/>
        </w:rPr>
        <w:t xml:space="preserve">זמינות </w:t>
      </w:r>
      <w:r w:rsidRPr="00F41E78">
        <w:rPr>
          <w:rFonts w:cs="FrankRuehl"/>
          <w:sz w:val="18"/>
          <w:szCs w:val="22"/>
          <w:rtl/>
          <w:lang w:eastAsia="he-IL"/>
        </w:rPr>
        <w:t xml:space="preserve">למגורים </w:t>
      </w:r>
      <w:r w:rsidRPr="00F41E78">
        <w:rPr>
          <w:rFonts w:cs="FrankRuehl" w:hint="cs"/>
          <w:sz w:val="18"/>
          <w:szCs w:val="22"/>
          <w:rtl/>
          <w:lang w:eastAsia="he-IL"/>
        </w:rPr>
        <w:t>אך לא היה להן</w:t>
      </w:r>
      <w:r w:rsidRPr="00F41E78">
        <w:rPr>
          <w:rFonts w:cs="FrankRuehl"/>
          <w:sz w:val="18"/>
          <w:szCs w:val="22"/>
          <w:rtl/>
          <w:lang w:eastAsia="he-IL"/>
        </w:rPr>
        <w:t xml:space="preserve"> </w:t>
      </w:r>
      <w:r w:rsidRPr="00F41E78">
        <w:rPr>
          <w:rFonts w:cs="FrankRuehl" w:hint="cs"/>
          <w:sz w:val="18"/>
          <w:szCs w:val="22"/>
          <w:rtl/>
          <w:lang w:eastAsia="he-IL"/>
        </w:rPr>
        <w:t xml:space="preserve">כל </w:t>
      </w:r>
      <w:r w:rsidRPr="00F41E78">
        <w:rPr>
          <w:rFonts w:cs="FrankRuehl"/>
          <w:sz w:val="18"/>
          <w:szCs w:val="22"/>
          <w:rtl/>
          <w:lang w:eastAsia="he-IL"/>
        </w:rPr>
        <w:t xml:space="preserve">ביקוש. </w:t>
      </w:r>
      <w:r w:rsidRPr="00F41E78">
        <w:rPr>
          <w:rFonts w:cs="FrankRuehl" w:hint="eastAsia"/>
          <w:sz w:val="18"/>
          <w:szCs w:val="22"/>
          <w:rtl/>
        </w:rPr>
        <w:t>ממצאי</w:t>
      </w:r>
      <w:r w:rsidRPr="00F41E78">
        <w:rPr>
          <w:rFonts w:cs="FrankRuehl"/>
          <w:sz w:val="18"/>
          <w:szCs w:val="22"/>
          <w:rtl/>
        </w:rPr>
        <w:t xml:space="preserve"> מחקר ההמשך לימדו על הסיבות להיעדר הביקוש באות</w:t>
      </w:r>
      <w:r w:rsidRPr="00F41E78">
        <w:rPr>
          <w:rFonts w:cs="FrankRuehl" w:hint="cs"/>
          <w:sz w:val="18"/>
          <w:szCs w:val="22"/>
          <w:rtl/>
        </w:rPr>
        <w:t>ן</w:t>
      </w:r>
      <w:r w:rsidRPr="00F41E78">
        <w:rPr>
          <w:rFonts w:cs="FrankRuehl"/>
          <w:sz w:val="18"/>
          <w:szCs w:val="22"/>
          <w:rtl/>
        </w:rPr>
        <w:t xml:space="preserve"> </w:t>
      </w:r>
      <w:r w:rsidRPr="00F41E78">
        <w:rPr>
          <w:rFonts w:cs="FrankRuehl" w:hint="cs"/>
          <w:sz w:val="18"/>
          <w:szCs w:val="22"/>
          <w:rtl/>
        </w:rPr>
        <w:t>ערים והומלץ</w:t>
      </w:r>
      <w:r w:rsidRPr="00F41E78">
        <w:rPr>
          <w:rFonts w:cs="FrankRuehl"/>
          <w:sz w:val="18"/>
          <w:szCs w:val="22"/>
          <w:rtl/>
        </w:rPr>
        <w:t xml:space="preserve"> </w:t>
      </w:r>
      <w:r w:rsidRPr="00F41E78">
        <w:rPr>
          <w:rFonts w:cs="FrankRuehl" w:hint="cs"/>
          <w:sz w:val="18"/>
          <w:szCs w:val="22"/>
          <w:rtl/>
        </w:rPr>
        <w:t>על</w:t>
      </w:r>
      <w:r w:rsidRPr="00F41E78">
        <w:rPr>
          <w:rFonts w:cs="FrankRuehl"/>
          <w:sz w:val="18"/>
          <w:szCs w:val="22"/>
          <w:rtl/>
        </w:rPr>
        <w:t xml:space="preserve"> "סל כלים" ייחודיים</w:t>
      </w:r>
      <w:r w:rsidRPr="00F41E78">
        <w:rPr>
          <w:rFonts w:cs="FrankRuehl" w:hint="cs"/>
          <w:sz w:val="18"/>
          <w:szCs w:val="22"/>
          <w:rtl/>
        </w:rPr>
        <w:t xml:space="preserve"> שבכוחם להעלות את הביקוש למגורים בערים אלה, ובהם: </w:t>
      </w:r>
      <w:r w:rsidRPr="00F41E78">
        <w:rPr>
          <w:rFonts w:cs="FrankRuehl" w:hint="eastAsia"/>
          <w:sz w:val="18"/>
          <w:szCs w:val="22"/>
          <w:rtl/>
          <w:lang w:eastAsia="he-IL"/>
        </w:rPr>
        <w:t>פיתוח</w:t>
      </w:r>
      <w:r w:rsidRPr="00F41E78">
        <w:rPr>
          <w:rFonts w:cs="FrankRuehl"/>
          <w:sz w:val="18"/>
          <w:szCs w:val="22"/>
          <w:rtl/>
          <w:lang w:eastAsia="he-IL"/>
        </w:rPr>
        <w:t xml:space="preserve"> </w:t>
      </w:r>
      <w:r w:rsidRPr="00F41E78">
        <w:rPr>
          <w:rFonts w:cs="FrankRuehl" w:hint="eastAsia"/>
          <w:sz w:val="18"/>
          <w:szCs w:val="22"/>
          <w:rtl/>
          <w:lang w:eastAsia="he-IL"/>
        </w:rPr>
        <w:t>תיירותי</w:t>
      </w:r>
      <w:r w:rsidRPr="00F41E78">
        <w:rPr>
          <w:rFonts w:cs="FrankRuehl" w:hint="cs"/>
          <w:sz w:val="18"/>
          <w:szCs w:val="22"/>
          <w:rtl/>
          <w:lang w:eastAsia="he-IL"/>
        </w:rPr>
        <w:t xml:space="preserve"> ו</w:t>
      </w:r>
      <w:r w:rsidRPr="00F41E78">
        <w:rPr>
          <w:rFonts w:cs="FrankRuehl" w:hint="eastAsia"/>
          <w:sz w:val="18"/>
          <w:szCs w:val="22"/>
          <w:rtl/>
          <w:lang w:eastAsia="he-IL"/>
        </w:rPr>
        <w:t>תעשייתי</w:t>
      </w:r>
      <w:r w:rsidRPr="00F41E78">
        <w:rPr>
          <w:rFonts w:cs="FrankRuehl"/>
          <w:sz w:val="18"/>
          <w:szCs w:val="22"/>
          <w:rtl/>
          <w:lang w:eastAsia="he-IL"/>
        </w:rPr>
        <w:t xml:space="preserve">, </w:t>
      </w:r>
      <w:r w:rsidRPr="00F41E78">
        <w:rPr>
          <w:rFonts w:cs="FrankRuehl" w:hint="cs"/>
          <w:sz w:val="18"/>
          <w:szCs w:val="22"/>
          <w:rtl/>
          <w:lang w:eastAsia="he-IL"/>
        </w:rPr>
        <w:t>הקמת</w:t>
      </w:r>
      <w:r w:rsidRPr="00F41E78">
        <w:rPr>
          <w:rFonts w:cs="FrankRuehl"/>
          <w:sz w:val="18"/>
          <w:szCs w:val="22"/>
          <w:rtl/>
          <w:lang w:eastAsia="he-IL"/>
        </w:rPr>
        <w:t xml:space="preserve"> </w:t>
      </w:r>
      <w:r w:rsidRPr="00F41E78">
        <w:rPr>
          <w:rFonts w:cs="FrankRuehl" w:hint="cs"/>
          <w:sz w:val="18"/>
          <w:szCs w:val="22"/>
          <w:rtl/>
          <w:lang w:eastAsia="he-IL"/>
        </w:rPr>
        <w:t>מוסדות ל</w:t>
      </w:r>
      <w:r w:rsidRPr="00F41E78">
        <w:rPr>
          <w:rFonts w:cs="FrankRuehl" w:hint="eastAsia"/>
          <w:sz w:val="18"/>
          <w:szCs w:val="22"/>
          <w:rtl/>
          <w:lang w:eastAsia="he-IL"/>
        </w:rPr>
        <w:t>השכלה</w:t>
      </w:r>
      <w:r w:rsidRPr="00F41E78">
        <w:rPr>
          <w:rFonts w:cs="FrankRuehl"/>
          <w:sz w:val="18"/>
          <w:szCs w:val="22"/>
          <w:rtl/>
          <w:lang w:eastAsia="he-IL"/>
        </w:rPr>
        <w:t xml:space="preserve"> </w:t>
      </w:r>
      <w:r w:rsidRPr="00F41E78">
        <w:rPr>
          <w:rFonts w:cs="FrankRuehl" w:hint="eastAsia"/>
          <w:sz w:val="18"/>
          <w:szCs w:val="22"/>
          <w:rtl/>
          <w:lang w:eastAsia="he-IL"/>
        </w:rPr>
        <w:t>גבוהה</w:t>
      </w:r>
      <w:r w:rsidRPr="00F41E78">
        <w:rPr>
          <w:rFonts w:cs="FrankRuehl"/>
          <w:sz w:val="18"/>
          <w:szCs w:val="22"/>
          <w:rtl/>
          <w:lang w:eastAsia="he-IL"/>
        </w:rPr>
        <w:t xml:space="preserve"> </w:t>
      </w:r>
      <w:r w:rsidRPr="00F41E78">
        <w:rPr>
          <w:rFonts w:cs="FrankRuehl" w:hint="eastAsia"/>
          <w:sz w:val="18"/>
          <w:szCs w:val="22"/>
          <w:rtl/>
          <w:lang w:eastAsia="he-IL"/>
        </w:rPr>
        <w:t>ועידוד</w:t>
      </w:r>
      <w:r w:rsidRPr="00F41E78">
        <w:rPr>
          <w:rFonts w:cs="FrankRuehl"/>
          <w:sz w:val="18"/>
          <w:szCs w:val="22"/>
          <w:rtl/>
          <w:lang w:eastAsia="he-IL"/>
        </w:rPr>
        <w:t xml:space="preserve"> </w:t>
      </w:r>
      <w:r w:rsidRPr="00F41E78">
        <w:rPr>
          <w:rFonts w:cs="FrankRuehl" w:hint="eastAsia"/>
          <w:sz w:val="18"/>
          <w:szCs w:val="22"/>
          <w:rtl/>
          <w:lang w:eastAsia="he-IL"/>
        </w:rPr>
        <w:t>יזמות</w:t>
      </w:r>
      <w:r w:rsidRPr="00F41E78">
        <w:rPr>
          <w:rFonts w:cs="FrankRuehl"/>
          <w:sz w:val="18"/>
          <w:szCs w:val="22"/>
          <w:rtl/>
          <w:lang w:eastAsia="he-IL"/>
        </w:rPr>
        <w:t xml:space="preserve"> </w:t>
      </w:r>
      <w:r w:rsidRPr="00F41E78">
        <w:rPr>
          <w:rFonts w:cs="FrankRuehl" w:hint="eastAsia"/>
          <w:sz w:val="18"/>
          <w:szCs w:val="22"/>
          <w:rtl/>
          <w:lang w:eastAsia="he-IL"/>
        </w:rPr>
        <w:t>ועסקים</w:t>
      </w:r>
      <w:r w:rsidRPr="00F41E78">
        <w:rPr>
          <w:rFonts w:cs="FrankRuehl"/>
          <w:sz w:val="18"/>
          <w:szCs w:val="22"/>
          <w:rtl/>
          <w:lang w:eastAsia="he-IL"/>
        </w:rPr>
        <w:t xml:space="preserve"> </w:t>
      </w:r>
      <w:r w:rsidRPr="00F41E78">
        <w:rPr>
          <w:rFonts w:cs="FrankRuehl" w:hint="eastAsia"/>
          <w:sz w:val="18"/>
          <w:szCs w:val="22"/>
          <w:rtl/>
          <w:lang w:eastAsia="he-IL"/>
        </w:rPr>
        <w:t>קטנים</w:t>
      </w:r>
      <w:r w:rsidRPr="00F41E78">
        <w:rPr>
          <w:rFonts w:cs="FrankRuehl" w:hint="cs"/>
          <w:sz w:val="18"/>
          <w:szCs w:val="22"/>
          <w:rtl/>
          <w:lang w:eastAsia="he-IL"/>
        </w:rPr>
        <w:t>,</w:t>
      </w:r>
      <w:r w:rsidRPr="00F41E78">
        <w:rPr>
          <w:rFonts w:cs="FrankRuehl"/>
          <w:sz w:val="18"/>
          <w:szCs w:val="22"/>
          <w:rtl/>
        </w:rPr>
        <w:t xml:space="preserve"> </w:t>
      </w:r>
      <w:r w:rsidRPr="00F41E78">
        <w:rPr>
          <w:rFonts w:cs="FrankRuehl" w:hint="cs"/>
          <w:sz w:val="18"/>
          <w:szCs w:val="22"/>
          <w:rtl/>
          <w:lang w:eastAsia="he-IL"/>
        </w:rPr>
        <w:t>פיתוח</w:t>
      </w:r>
      <w:r w:rsidRPr="00F41E78">
        <w:rPr>
          <w:rFonts w:cs="FrankRuehl"/>
          <w:sz w:val="18"/>
          <w:szCs w:val="22"/>
          <w:rtl/>
          <w:lang w:eastAsia="he-IL"/>
        </w:rPr>
        <w:t xml:space="preserve"> </w:t>
      </w:r>
      <w:r w:rsidRPr="00F41E78">
        <w:rPr>
          <w:rFonts w:cs="FrankRuehl" w:hint="eastAsia"/>
          <w:sz w:val="18"/>
          <w:szCs w:val="22"/>
          <w:rtl/>
          <w:lang w:eastAsia="he-IL"/>
        </w:rPr>
        <w:t>בתחום</w:t>
      </w:r>
      <w:r w:rsidRPr="00F41E78">
        <w:rPr>
          <w:rFonts w:cs="FrankRuehl"/>
          <w:sz w:val="18"/>
          <w:szCs w:val="22"/>
          <w:rtl/>
          <w:lang w:eastAsia="he-IL"/>
        </w:rPr>
        <w:t xml:space="preserve"> </w:t>
      </w:r>
      <w:r w:rsidRPr="00F41E78">
        <w:rPr>
          <w:rFonts w:cs="FrankRuehl" w:hint="eastAsia"/>
          <w:sz w:val="18"/>
          <w:szCs w:val="22"/>
          <w:rtl/>
          <w:lang w:eastAsia="he-IL"/>
        </w:rPr>
        <w:t>התחבורה</w:t>
      </w:r>
      <w:r w:rsidRPr="00F41E78">
        <w:rPr>
          <w:rFonts w:cs="FrankRuehl"/>
          <w:sz w:val="18"/>
          <w:szCs w:val="22"/>
          <w:rtl/>
          <w:lang w:eastAsia="he-IL"/>
        </w:rPr>
        <w:t xml:space="preserve"> </w:t>
      </w:r>
      <w:r w:rsidRPr="00F41E78">
        <w:rPr>
          <w:rFonts w:cs="FrankRuehl" w:hint="eastAsia"/>
          <w:sz w:val="18"/>
          <w:szCs w:val="22"/>
          <w:rtl/>
          <w:lang w:eastAsia="he-IL"/>
        </w:rPr>
        <w:t>וההתחדשות</w:t>
      </w:r>
      <w:r w:rsidRPr="00F41E78">
        <w:rPr>
          <w:rFonts w:cs="FrankRuehl"/>
          <w:sz w:val="18"/>
          <w:szCs w:val="22"/>
          <w:rtl/>
          <w:lang w:eastAsia="he-IL"/>
        </w:rPr>
        <w:t xml:space="preserve"> </w:t>
      </w:r>
      <w:r w:rsidRPr="00F41E78">
        <w:rPr>
          <w:rFonts w:cs="FrankRuehl" w:hint="eastAsia"/>
          <w:sz w:val="18"/>
          <w:szCs w:val="22"/>
          <w:rtl/>
          <w:lang w:eastAsia="he-IL"/>
        </w:rPr>
        <w:t>העירונית</w:t>
      </w:r>
      <w:r w:rsidRPr="00F41E78">
        <w:rPr>
          <w:rFonts w:cs="FrankRuehl"/>
          <w:sz w:val="18"/>
          <w:szCs w:val="22"/>
          <w:rtl/>
          <w:lang w:eastAsia="he-IL"/>
        </w:rPr>
        <w:t>.</w:t>
      </w:r>
      <w:r w:rsidRPr="00F41E78">
        <w:rPr>
          <w:rFonts w:cs="FrankRuehl"/>
          <w:b/>
          <w:bCs/>
          <w:sz w:val="18"/>
          <w:szCs w:val="22"/>
          <w:rtl/>
          <w:lang w:eastAsia="he-IL"/>
        </w:rPr>
        <w:t xml:space="preserve"> </w:t>
      </w:r>
    </w:p>
    <w:p w:rsidR="00D22B16" w:rsidRPr="00F41E78" w:rsidP="00D22B16">
      <w:pPr>
        <w:pStyle w:val="RESHET"/>
        <w:keepLines/>
        <w:ind w:left="567"/>
        <w:rPr>
          <w:rtl/>
        </w:rPr>
      </w:pPr>
      <w:r w:rsidRPr="00F41E78">
        <w:rPr>
          <w:rFonts w:hint="eastAsia"/>
          <w:rtl/>
        </w:rPr>
        <w:t>הביקורת</w:t>
      </w:r>
      <w:r w:rsidRPr="00F41E78">
        <w:rPr>
          <w:rtl/>
        </w:rPr>
        <w:t xml:space="preserve"> </w:t>
      </w:r>
      <w:r w:rsidRPr="00F41E78">
        <w:rPr>
          <w:rFonts w:hint="cs"/>
          <w:rtl/>
        </w:rPr>
        <w:t xml:space="preserve">מעירה </w:t>
      </w:r>
      <w:r w:rsidRPr="00F41E78">
        <w:rPr>
          <w:rtl/>
        </w:rPr>
        <w:t xml:space="preserve">כי </w:t>
      </w:r>
      <w:r w:rsidRPr="00F41E78">
        <w:rPr>
          <w:rFonts w:hint="cs"/>
          <w:rtl/>
        </w:rPr>
        <w:t xml:space="preserve">לא נמצאו </w:t>
      </w:r>
      <w:r w:rsidRPr="00F41E78">
        <w:rPr>
          <w:rtl/>
        </w:rPr>
        <w:t>ב</w:t>
      </w:r>
      <w:r w:rsidRPr="00F41E78">
        <w:rPr>
          <w:rFonts w:hint="cs"/>
          <w:rtl/>
        </w:rPr>
        <w:t xml:space="preserve">ידי </w:t>
      </w:r>
      <w:r w:rsidRPr="00F41E78">
        <w:rPr>
          <w:rtl/>
        </w:rPr>
        <w:t xml:space="preserve">משרד הבינוי </w:t>
      </w:r>
      <w:r w:rsidRPr="00F41E78">
        <w:rPr>
          <w:rFonts w:hint="cs"/>
          <w:rtl/>
        </w:rPr>
        <w:t>מסמכים שאפשר ללמוד מהם</w:t>
      </w:r>
      <w:r w:rsidRPr="00F41E78">
        <w:rPr>
          <w:rtl/>
        </w:rPr>
        <w:t xml:space="preserve"> </w:t>
      </w:r>
      <w:r w:rsidRPr="00F41E78">
        <w:rPr>
          <w:rFonts w:hint="cs"/>
          <w:rtl/>
        </w:rPr>
        <w:t xml:space="preserve">כי </w:t>
      </w:r>
      <w:r w:rsidRPr="00F41E78">
        <w:rPr>
          <w:rFonts w:hint="eastAsia"/>
          <w:rtl/>
        </w:rPr>
        <w:t>ממצאי</w:t>
      </w:r>
      <w:r w:rsidRPr="00F41E78">
        <w:rPr>
          <w:rtl/>
        </w:rPr>
        <w:t xml:space="preserve"> </w:t>
      </w:r>
      <w:r w:rsidRPr="00F41E78">
        <w:rPr>
          <w:rFonts w:hint="eastAsia"/>
          <w:rtl/>
        </w:rPr>
        <w:t>המחקרים</w:t>
      </w:r>
      <w:r w:rsidRPr="00F41E78">
        <w:rPr>
          <w:rtl/>
        </w:rPr>
        <w:t xml:space="preserve"> </w:t>
      </w:r>
      <w:r w:rsidRPr="00F41E78">
        <w:rPr>
          <w:rFonts w:hint="eastAsia"/>
          <w:rtl/>
        </w:rPr>
        <w:t>והמלצותיהם</w:t>
      </w:r>
      <w:r w:rsidRPr="00F41E78">
        <w:rPr>
          <w:rtl/>
        </w:rPr>
        <w:t xml:space="preserve"> </w:t>
      </w:r>
      <w:r w:rsidRPr="00F41E78">
        <w:rPr>
          <w:rFonts w:hint="cs"/>
          <w:rtl/>
        </w:rPr>
        <w:t>נדונו</w:t>
      </w:r>
      <w:r w:rsidRPr="00F41E78">
        <w:rPr>
          <w:rtl/>
        </w:rPr>
        <w:t xml:space="preserve"> </w:t>
      </w:r>
      <w:r w:rsidRPr="00F41E78">
        <w:rPr>
          <w:rFonts w:hint="cs"/>
          <w:rtl/>
        </w:rPr>
        <w:t>ו</w:t>
      </w:r>
      <w:r w:rsidRPr="00F41E78">
        <w:rPr>
          <w:rFonts w:hint="eastAsia"/>
          <w:rtl/>
        </w:rPr>
        <w:t>נקבעו</w:t>
      </w:r>
      <w:r w:rsidRPr="00F41E78">
        <w:rPr>
          <w:rtl/>
        </w:rPr>
        <w:t xml:space="preserve"> </w:t>
      </w:r>
      <w:r w:rsidRPr="00F41E78">
        <w:rPr>
          <w:rFonts w:hint="eastAsia"/>
          <w:rtl/>
        </w:rPr>
        <w:t>פעולות</w:t>
      </w:r>
      <w:r w:rsidRPr="00F41E78">
        <w:rPr>
          <w:rtl/>
        </w:rPr>
        <w:t xml:space="preserve"> </w:t>
      </w:r>
      <w:r w:rsidRPr="00F41E78">
        <w:rPr>
          <w:rFonts w:hint="cs"/>
          <w:rtl/>
        </w:rPr>
        <w:t>ליישומן</w:t>
      </w:r>
      <w:r w:rsidRPr="00F41E78">
        <w:rPr>
          <w:rtl/>
        </w:rPr>
        <w:t xml:space="preserve">. </w:t>
      </w:r>
    </w:p>
    <w:p w:rsidR="00E97EDA" w:rsidRPr="00F41E78" w:rsidP="007347C2">
      <w:pPr>
        <w:spacing w:after="120" w:line="230" w:lineRule="exact"/>
        <w:ind w:left="340" w:hanging="340"/>
        <w:jc w:val="both"/>
        <w:rPr>
          <w:rFonts w:cs="FrankRuehl"/>
          <w:sz w:val="18"/>
          <w:szCs w:val="22"/>
          <w:rtl/>
          <w:lang w:eastAsia="he-IL"/>
        </w:rPr>
      </w:pPr>
      <w:r w:rsidRPr="00745AB9">
        <w:rPr>
          <w:rFonts w:cs="FrankRuehl" w:hint="cs"/>
          <w:sz w:val="18"/>
          <w:szCs w:val="22"/>
          <w:rtl/>
          <w:lang w:eastAsia="he-IL"/>
        </w:rPr>
        <w:t>3.</w:t>
      </w:r>
      <w:r w:rsidRPr="00745AB9">
        <w:rPr>
          <w:rFonts w:cs="FrankRuehl" w:hint="cs"/>
          <w:sz w:val="18"/>
          <w:szCs w:val="22"/>
          <w:rtl/>
          <w:lang w:eastAsia="he-IL"/>
        </w:rPr>
        <w:tab/>
      </w:r>
      <w:r w:rsidRPr="00F41E78">
        <w:rPr>
          <w:rFonts w:cs="FrankRuehl"/>
          <w:spacing w:val="40"/>
          <w:sz w:val="18"/>
          <w:szCs w:val="22"/>
          <w:rtl/>
          <w:lang w:eastAsia="he-IL"/>
        </w:rPr>
        <w:t xml:space="preserve">העברת מחנות צה"ל לנגב: </w:t>
      </w:r>
      <w:r w:rsidRPr="00F41E78">
        <w:rPr>
          <w:rFonts w:cs="FrankRuehl" w:hint="cs"/>
          <w:sz w:val="18"/>
          <w:szCs w:val="22"/>
          <w:rtl/>
          <w:lang w:eastAsia="he-IL"/>
        </w:rPr>
        <w:t>ביולי 2007 התקבלה החלטה מס' 1529 של הממשלה ה-31, ולפיה "כחלק מחזון פיתוח הנגב, בהתאם למדיניות הממשלה להעברת משאבים ממשלתיים לצורך הגדלת היקף ההשקעות האיכותיות בנגב... [הוחלט] להטיל על משרד הביטחון וצה"ל להקים אגד מחנות הדרכה באתר צומת הנגב". ממשלות ישראל המשיכו לעסוק בנושא פיתוח הנגב, לרבות נושא העברת מחנות צה"ל לנגב, גם בשנים הבאות, כמפורט בהמשך.</w:t>
      </w:r>
    </w:p>
    <w:p w:rsidR="00E97EDA" w:rsidRPr="00F41E78" w:rsidP="00F41E78">
      <w:pPr>
        <w:spacing w:after="120" w:line="230" w:lineRule="exact"/>
        <w:jc w:val="both"/>
        <w:rPr>
          <w:rFonts w:cs="FrankRuehl"/>
          <w:sz w:val="18"/>
          <w:szCs w:val="22"/>
          <w:rtl/>
        </w:rPr>
      </w:pPr>
      <w:r w:rsidRPr="00F41E78">
        <w:rPr>
          <w:rFonts w:cs="FrankRuehl" w:hint="eastAsia"/>
          <w:b/>
          <w:bCs/>
          <w:spacing w:val="40"/>
          <w:sz w:val="18"/>
          <w:szCs w:val="22"/>
          <w:rtl/>
        </w:rPr>
        <w:t>מתן</w:t>
      </w:r>
      <w:r w:rsidRPr="00F41E78">
        <w:rPr>
          <w:rFonts w:cs="FrankRuehl"/>
          <w:b/>
          <w:bCs/>
          <w:spacing w:val="40"/>
          <w:sz w:val="18"/>
          <w:szCs w:val="22"/>
          <w:rtl/>
        </w:rPr>
        <w:t xml:space="preserve"> תוקף </w:t>
      </w:r>
      <w:r w:rsidRPr="00F41E78">
        <w:rPr>
          <w:rFonts w:cs="FrankRuehl" w:hint="eastAsia"/>
          <w:b/>
          <w:bCs/>
          <w:spacing w:val="40"/>
          <w:sz w:val="18"/>
          <w:szCs w:val="22"/>
          <w:rtl/>
        </w:rPr>
        <w:t>לתמ</w:t>
      </w:r>
      <w:r w:rsidRPr="00F41E78">
        <w:rPr>
          <w:rFonts w:cs="FrankRuehl"/>
          <w:b/>
          <w:bCs/>
          <w:spacing w:val="40"/>
          <w:sz w:val="18"/>
          <w:szCs w:val="22"/>
          <w:rtl/>
        </w:rPr>
        <w:t>"א 35</w:t>
      </w:r>
      <w:r w:rsidRPr="00F41E78">
        <w:rPr>
          <w:rFonts w:cs="FrankRuehl"/>
          <w:b/>
          <w:bCs/>
          <w:spacing w:val="40"/>
          <w:sz w:val="18"/>
          <w:szCs w:val="22"/>
          <w:rtl/>
          <w:lang w:eastAsia="he-IL"/>
        </w:rPr>
        <w:t>:</w:t>
      </w:r>
      <w:r w:rsidRPr="00F41E78">
        <w:rPr>
          <w:rFonts w:cs="FrankRuehl" w:hint="cs"/>
          <w:bCs/>
          <w:spacing w:val="40"/>
          <w:sz w:val="18"/>
          <w:szCs w:val="22"/>
          <w:rtl/>
          <w:lang w:eastAsia="he-IL"/>
        </w:rPr>
        <w:t xml:space="preserve"> </w:t>
      </w:r>
      <w:r w:rsidRPr="00F41E78">
        <w:rPr>
          <w:rFonts w:cs="FrankRuehl" w:hint="cs"/>
          <w:sz w:val="18"/>
          <w:szCs w:val="22"/>
          <w:rtl/>
        </w:rPr>
        <w:t>אחד ההיבטים כבדי משקל במדיניות הדיור הממשלתית הוא הקביעה היכן תתגורר האוכלוסייה ומה יהיה מספר התושבים בכל חבל ארץ ובכל יישוב. פריסת אוכלוסין מאוזנת על פני חבלי הארץ השונים באמצעות תכנון מתארי ארצי היא כלי מהותי המוקנה למדינה, וביכולתו להשפיע על היקפי הביקוש וההיצע בשוק הדיור, ובעקבות כך גם על מחירי הדיור</w:t>
      </w:r>
      <w:r w:rsidRPr="00F41E78">
        <w:rPr>
          <w:rFonts w:cs="FrankRuehl" w:hint="cs"/>
          <w:sz w:val="18"/>
          <w:szCs w:val="22"/>
          <w:rtl/>
          <w:lang w:eastAsia="he-IL"/>
        </w:rPr>
        <w:t xml:space="preserve">. </w:t>
      </w:r>
      <w:r w:rsidRPr="00F41E78">
        <w:rPr>
          <w:rFonts w:cs="FrankRuehl" w:hint="cs"/>
          <w:sz w:val="18"/>
          <w:szCs w:val="22"/>
          <w:rtl/>
        </w:rPr>
        <w:t xml:space="preserve">בהתאם לכך, חוק התכנון והבנייה קובע כי בתכנית מתאר ארצית תיקבע </w:t>
      </w:r>
      <w:r w:rsidRPr="00F41E78">
        <w:rPr>
          <w:rFonts w:cs="FrankRuehl" w:hint="cs"/>
          <w:sz w:val="18"/>
          <w:szCs w:val="22"/>
          <w:rtl/>
          <w:lang w:eastAsia="he-IL"/>
        </w:rPr>
        <w:t>"תחזית התמורות בחלוקת האוכלוסייה במדינה ושלבי פיתוחה ועיתוים הרצוי, גודלם החזוי של ישובים, מיקומם וגודלם של ישובים חדשים ומקומם של ישובים, סוגיהם וגודלם".</w:t>
      </w:r>
      <w:r w:rsidRPr="00F41E78">
        <w:rPr>
          <w:rFonts w:cs="FrankRuehl" w:hint="cs"/>
          <w:sz w:val="18"/>
          <w:szCs w:val="22"/>
          <w:rtl/>
        </w:rPr>
        <w:t xml:space="preserve"> </w:t>
      </w:r>
    </w:p>
    <w:p w:rsidR="00E97EDA" w:rsidRPr="00F41E78" w:rsidP="007347C2">
      <w:pPr>
        <w:spacing w:after="240" w:line="230" w:lineRule="exact"/>
        <w:jc w:val="both"/>
        <w:rPr>
          <w:rFonts w:cs="FrankRuehl"/>
          <w:sz w:val="18"/>
          <w:szCs w:val="22"/>
          <w:rtl/>
          <w:lang w:eastAsia="he-IL"/>
        </w:rPr>
      </w:pPr>
      <w:r w:rsidRPr="00F41E78">
        <w:rPr>
          <w:rFonts w:cs="FrankRuehl" w:hint="cs"/>
          <w:sz w:val="18"/>
          <w:szCs w:val="22"/>
          <w:rtl/>
          <w:lang w:eastAsia="he-IL"/>
        </w:rPr>
        <w:t xml:space="preserve">בהחלטת ממשלה מס' 4467 שקיבלה הממשלה ה-30 בנובמבר 2005 נקבע כי יינתן תוקף לתמ"א 35. בין היתר נקבע כי "משרדי הממשלה וגופי הסמך שלה יפעלו, ככל הניתן להטמעת אמצעי המדיניות המצורפים לתמ"א בפעולותיהם וידווחו לממשלה מדי שנה על יישומם". תמ"א 35 נחלקת לשניים - חלקה הראשון אינו סטטוטורי אלא הוא מנחה ומסביר את "עיקרי התכנית ואמצעי מדיניות" (להלן - עיקרי התכנית). לחלק האחר תוקף סטטוטורי מחייב שעיקרו "מסמכי התכנית - הוראות ותשריטים" (להלן - הוראות תמ"א 35). הפרק על עיקרי התכנית עוסק בנושאים הנוגעים </w:t>
      </w:r>
      <w:r w:rsidRPr="00F41E78">
        <w:rPr>
          <w:rFonts w:cs="FrankRuehl" w:hint="cs"/>
          <w:sz w:val="18"/>
          <w:szCs w:val="22"/>
          <w:rtl/>
          <w:lang w:eastAsia="he-IL"/>
        </w:rPr>
        <w:t>למדיניות הדיור הלאומית ובהם הפריסה הגאוגרפית המתוכננת של אוכלוסיית ישראל על פי יעדי התכנית, הביקושים לשטחי מגורים ולעתודות קרקע לפיתוח יישובי, יעדי המלאי התכנוני, תכנון יחידות דיור בר השגה ופיתוח אזורי תעסוקה ותשתיות תומכות מגורים. על פי תמ"א 35, מטרתה</w:t>
      </w:r>
      <w:r w:rsidRPr="00F41E78">
        <w:rPr>
          <w:rFonts w:cs="FrankRuehl"/>
          <w:sz w:val="18"/>
          <w:szCs w:val="22"/>
          <w:rtl/>
          <w:lang w:eastAsia="he-IL"/>
        </w:rPr>
        <w:t xml:space="preserve"> </w:t>
      </w:r>
      <w:r w:rsidRPr="00F41E78">
        <w:rPr>
          <w:rFonts w:cs="FrankRuehl" w:hint="cs"/>
          <w:sz w:val="18"/>
          <w:szCs w:val="22"/>
          <w:rtl/>
          <w:lang w:eastAsia="he-IL"/>
        </w:rPr>
        <w:t xml:space="preserve">לספק </w:t>
      </w:r>
      <w:r w:rsidRPr="00F41E78">
        <w:rPr>
          <w:rFonts w:cs="FrankRuehl" w:hint="eastAsia"/>
          <w:sz w:val="18"/>
          <w:szCs w:val="22"/>
          <w:rtl/>
          <w:lang w:eastAsia="he-IL"/>
        </w:rPr>
        <w:t>תנאים</w:t>
      </w:r>
      <w:r w:rsidRPr="00F41E78">
        <w:rPr>
          <w:rFonts w:cs="FrankRuehl"/>
          <w:sz w:val="18"/>
          <w:szCs w:val="22"/>
          <w:rtl/>
          <w:lang w:eastAsia="he-IL"/>
        </w:rPr>
        <w:t xml:space="preserve"> </w:t>
      </w:r>
      <w:r w:rsidRPr="00F41E78">
        <w:rPr>
          <w:rFonts w:cs="FrankRuehl" w:hint="eastAsia"/>
          <w:sz w:val="18"/>
          <w:szCs w:val="22"/>
          <w:rtl/>
          <w:lang w:eastAsia="he-IL"/>
        </w:rPr>
        <w:t>לבנייה</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כ</w:t>
      </w:r>
      <w:r w:rsidRPr="00F41E78">
        <w:rPr>
          <w:rFonts w:cs="FrankRuehl"/>
          <w:sz w:val="18"/>
          <w:szCs w:val="22"/>
          <w:rtl/>
          <w:lang w:eastAsia="he-IL"/>
        </w:rPr>
        <w:t xml:space="preserve">-45,000 </w:t>
      </w:r>
      <w:r w:rsidRPr="00F41E78">
        <w:rPr>
          <w:rFonts w:cs="FrankRuehl" w:hint="cs"/>
          <w:sz w:val="18"/>
          <w:szCs w:val="22"/>
          <w:rtl/>
          <w:lang w:eastAsia="he-IL"/>
        </w:rPr>
        <w:t>יח"ד</w:t>
      </w:r>
      <w:r w:rsidRPr="00F41E78">
        <w:rPr>
          <w:rFonts w:cs="FrankRuehl"/>
          <w:sz w:val="18"/>
          <w:szCs w:val="22"/>
          <w:rtl/>
          <w:lang w:eastAsia="he-IL"/>
        </w:rPr>
        <w:t xml:space="preserve"> </w:t>
      </w:r>
      <w:r w:rsidRPr="00F41E78">
        <w:rPr>
          <w:rFonts w:cs="FrankRuehl" w:hint="eastAsia"/>
          <w:sz w:val="18"/>
          <w:szCs w:val="22"/>
          <w:rtl/>
          <w:lang w:eastAsia="he-IL"/>
        </w:rPr>
        <w:t>מדי</w:t>
      </w:r>
      <w:r w:rsidRPr="00F41E78">
        <w:rPr>
          <w:rFonts w:cs="FrankRuehl"/>
          <w:sz w:val="18"/>
          <w:szCs w:val="22"/>
          <w:rtl/>
          <w:lang w:eastAsia="he-IL"/>
        </w:rPr>
        <w:t xml:space="preserve"> </w:t>
      </w:r>
      <w:r w:rsidRPr="00F41E78">
        <w:rPr>
          <w:rFonts w:cs="FrankRuehl" w:hint="eastAsia"/>
          <w:sz w:val="18"/>
          <w:szCs w:val="22"/>
          <w:rtl/>
          <w:lang w:eastAsia="he-IL"/>
        </w:rPr>
        <w:t>שנה</w:t>
      </w:r>
      <w:r w:rsidRPr="00F41E78">
        <w:rPr>
          <w:rFonts w:cs="FrankRuehl" w:hint="cs"/>
          <w:sz w:val="18"/>
          <w:szCs w:val="22"/>
          <w:rtl/>
          <w:lang w:eastAsia="he-IL"/>
        </w:rPr>
        <w:t xml:space="preserve">. </w:t>
      </w:r>
    </w:p>
    <w:p w:rsidR="00D22B16" w:rsidRPr="00F41E78" w:rsidP="00D22B16">
      <w:pPr>
        <w:pStyle w:val="RESHET"/>
        <w:keepLines/>
        <w:rPr>
          <w:rtl/>
        </w:rPr>
      </w:pPr>
      <w:r w:rsidRPr="00F41E78">
        <w:rPr>
          <w:rFonts w:hint="cs"/>
          <w:rtl/>
        </w:rPr>
        <w:t>אולם, בשנים 2007-2005 לא היה די בתפוקות של שרשרת הייצור להשגת היעד של תמ"א 35 - יצירת תנאים ל</w:t>
      </w:r>
      <w:r w:rsidRPr="00F41E78">
        <w:rPr>
          <w:rFonts w:hint="eastAsia"/>
          <w:rtl/>
        </w:rPr>
        <w:t>בנייה</w:t>
      </w:r>
      <w:r w:rsidRPr="00F41E78">
        <w:rPr>
          <w:rtl/>
        </w:rPr>
        <w:t xml:space="preserve"> </w:t>
      </w:r>
      <w:r w:rsidRPr="00F41E78">
        <w:rPr>
          <w:rFonts w:hint="eastAsia"/>
          <w:rtl/>
        </w:rPr>
        <w:t>של</w:t>
      </w:r>
      <w:r w:rsidRPr="00F41E78">
        <w:rPr>
          <w:rtl/>
        </w:rPr>
        <w:t xml:space="preserve"> </w:t>
      </w:r>
      <w:r w:rsidRPr="00F41E78">
        <w:rPr>
          <w:rFonts w:hint="eastAsia"/>
          <w:rtl/>
        </w:rPr>
        <w:t>כ</w:t>
      </w:r>
      <w:r w:rsidRPr="00F41E78">
        <w:rPr>
          <w:rtl/>
        </w:rPr>
        <w:t xml:space="preserve">-45,000 </w:t>
      </w:r>
      <w:r w:rsidRPr="00F41E78">
        <w:rPr>
          <w:rFonts w:hint="eastAsia"/>
          <w:rtl/>
        </w:rPr>
        <w:t>יחידות</w:t>
      </w:r>
      <w:r w:rsidRPr="00F41E78">
        <w:rPr>
          <w:rtl/>
        </w:rPr>
        <w:t xml:space="preserve"> </w:t>
      </w:r>
      <w:r w:rsidRPr="00F41E78">
        <w:rPr>
          <w:rFonts w:hint="eastAsia"/>
          <w:rtl/>
        </w:rPr>
        <w:t>דיור</w:t>
      </w:r>
      <w:r w:rsidRPr="00F41E78">
        <w:rPr>
          <w:rtl/>
        </w:rPr>
        <w:t xml:space="preserve"> </w:t>
      </w:r>
      <w:r w:rsidRPr="00F41E78">
        <w:rPr>
          <w:rFonts w:hint="eastAsia"/>
          <w:rtl/>
        </w:rPr>
        <w:t>מדי</w:t>
      </w:r>
      <w:r w:rsidRPr="00F41E78">
        <w:rPr>
          <w:rtl/>
        </w:rPr>
        <w:t xml:space="preserve"> </w:t>
      </w:r>
      <w:r w:rsidRPr="00F41E78">
        <w:rPr>
          <w:rFonts w:hint="eastAsia"/>
          <w:rtl/>
        </w:rPr>
        <w:t>שנה</w:t>
      </w:r>
      <w:r w:rsidRPr="00F41E78">
        <w:rPr>
          <w:rFonts w:hint="cs"/>
          <w:rtl/>
        </w:rPr>
        <w:t xml:space="preserve"> - והן אף לא הלמו את צורכי שוק הדיור. לדוגמה, מאומדנים של משרד מבקר המדינה עולה כי שיעור הגידול במספר משקי הבית בשנים האמורות היה גדול בהרבה משיעור התחלות הבנייה באותן שנים; בשנת 2005 נרשם מחסור של כ-32,000 יח"ד בשוק הדיור ובשנת 2007 גדל הפער במידה ניכרת עד כדי מחסור של כ-42,000 יח"ד. </w:t>
      </w:r>
    </w:p>
    <w:p w:rsidR="00D22B16" w:rsidRPr="00F41E78" w:rsidP="00D22B16">
      <w:pPr>
        <w:pStyle w:val="RESHET"/>
        <w:keepLines/>
        <w:spacing w:line="224" w:lineRule="exact"/>
        <w:rPr>
          <w:rtl/>
        </w:rPr>
      </w:pPr>
      <w:r w:rsidRPr="00F41E78">
        <w:rPr>
          <w:rFonts w:hint="cs"/>
          <w:rtl/>
        </w:rPr>
        <w:t xml:space="preserve">בכל הנוגע לפריסת האוכלוסייה בישראל, לפי האופק התכנוני של תמ"א 35 לשנת 2020 קבעה התכנית יעדי אוכלוסייה רצויים (נורמטיביים) לכל מחוז ומחוז, ולפיהם חלק מהפיתוח יוסט מאזור מרכז הארץ לצפונה ולדרומה. </w:t>
      </w:r>
      <w:r w:rsidRPr="00F41E78">
        <w:rPr>
          <w:rFonts w:hint="eastAsia"/>
          <w:rtl/>
        </w:rPr>
        <w:t>כפי</w:t>
      </w:r>
      <w:r w:rsidRPr="00F41E78">
        <w:rPr>
          <w:rtl/>
        </w:rPr>
        <w:t xml:space="preserve"> </w:t>
      </w:r>
      <w:r w:rsidRPr="00F41E78">
        <w:rPr>
          <w:rFonts w:hint="eastAsia"/>
          <w:rtl/>
        </w:rPr>
        <w:t>שיוצג</w:t>
      </w:r>
      <w:r w:rsidRPr="00F41E78">
        <w:rPr>
          <w:rtl/>
        </w:rPr>
        <w:t xml:space="preserve"> </w:t>
      </w:r>
      <w:r w:rsidRPr="00F41E78">
        <w:rPr>
          <w:rFonts w:hint="eastAsia"/>
          <w:rtl/>
        </w:rPr>
        <w:t>בשער</w:t>
      </w:r>
      <w:r w:rsidRPr="00F41E78">
        <w:rPr>
          <w:rtl/>
        </w:rPr>
        <w:t xml:space="preserve"> </w:t>
      </w:r>
      <w:r w:rsidRPr="00F41E78">
        <w:rPr>
          <w:rFonts w:hint="eastAsia"/>
          <w:rtl/>
        </w:rPr>
        <w:t>השלישי</w:t>
      </w:r>
      <w:r w:rsidRPr="00F41E78">
        <w:rPr>
          <w:rtl/>
        </w:rPr>
        <w:t xml:space="preserve">, </w:t>
      </w:r>
      <w:r w:rsidRPr="00F41E78">
        <w:rPr>
          <w:rFonts w:hint="cs"/>
          <w:rtl/>
        </w:rPr>
        <w:t xml:space="preserve">צוות מתכננים מטעם משרד הפנים מצא (על פי נתונים מ-2007) כי </w:t>
      </w:r>
      <w:r w:rsidRPr="00F41E78">
        <w:rPr>
          <w:rFonts w:hint="eastAsia"/>
          <w:rtl/>
        </w:rPr>
        <w:t>יעדי</w:t>
      </w:r>
      <w:r w:rsidRPr="00F41E78">
        <w:rPr>
          <w:rtl/>
        </w:rPr>
        <w:t xml:space="preserve"> </w:t>
      </w:r>
      <w:r w:rsidRPr="00F41E78">
        <w:rPr>
          <w:rFonts w:hint="eastAsia"/>
          <w:rtl/>
        </w:rPr>
        <w:t>פיזור</w:t>
      </w:r>
      <w:r w:rsidRPr="00F41E78">
        <w:rPr>
          <w:rtl/>
        </w:rPr>
        <w:t xml:space="preserve"> </w:t>
      </w:r>
      <w:r w:rsidRPr="00F41E78">
        <w:rPr>
          <w:rFonts w:hint="eastAsia"/>
          <w:rtl/>
        </w:rPr>
        <w:t>האוכלוסייה</w:t>
      </w:r>
      <w:r w:rsidRPr="00F41E78">
        <w:rPr>
          <w:rtl/>
        </w:rPr>
        <w:t xml:space="preserve"> </w:t>
      </w:r>
      <w:r w:rsidRPr="00F41E78">
        <w:rPr>
          <w:rFonts w:hint="eastAsia"/>
          <w:rtl/>
        </w:rPr>
        <w:t>שהציבה</w:t>
      </w:r>
      <w:r w:rsidRPr="00F41E78">
        <w:rPr>
          <w:rtl/>
        </w:rPr>
        <w:t xml:space="preserve"> </w:t>
      </w:r>
      <w:r w:rsidRPr="00F41E78">
        <w:rPr>
          <w:rFonts w:hint="eastAsia"/>
          <w:rtl/>
        </w:rPr>
        <w:t>תמ</w:t>
      </w:r>
      <w:r w:rsidRPr="00F41E78">
        <w:rPr>
          <w:rtl/>
        </w:rPr>
        <w:t xml:space="preserve">"א 35 </w:t>
      </w:r>
      <w:r w:rsidRPr="00F41E78">
        <w:rPr>
          <w:rFonts w:hint="eastAsia"/>
          <w:rtl/>
        </w:rPr>
        <w:t>לא</w:t>
      </w:r>
      <w:r w:rsidRPr="00F41E78">
        <w:rPr>
          <w:rtl/>
        </w:rPr>
        <w:t xml:space="preserve"> </w:t>
      </w:r>
      <w:r w:rsidRPr="00F41E78">
        <w:rPr>
          <w:rFonts w:hint="eastAsia"/>
          <w:rtl/>
        </w:rPr>
        <w:t>הושגו</w:t>
      </w:r>
      <w:r w:rsidRPr="00F41E78">
        <w:rPr>
          <w:rtl/>
        </w:rPr>
        <w:t xml:space="preserve">, </w:t>
      </w:r>
      <w:r w:rsidRPr="00F41E78">
        <w:rPr>
          <w:rFonts w:hint="eastAsia"/>
          <w:rtl/>
        </w:rPr>
        <w:t>ו</w:t>
      </w:r>
      <w:r w:rsidRPr="00F41E78">
        <w:rPr>
          <w:rFonts w:hint="cs"/>
          <w:rtl/>
        </w:rPr>
        <w:t>כי במקרים רבים</w:t>
      </w:r>
      <w:r w:rsidRPr="00F41E78">
        <w:rPr>
          <w:rtl/>
        </w:rPr>
        <w:t xml:space="preserve"> </w:t>
      </w:r>
      <w:r w:rsidRPr="00F41E78">
        <w:rPr>
          <w:rFonts w:hint="eastAsia"/>
          <w:rtl/>
        </w:rPr>
        <w:t>משרדי</w:t>
      </w:r>
      <w:r w:rsidRPr="00F41E78">
        <w:rPr>
          <w:rtl/>
        </w:rPr>
        <w:t xml:space="preserve"> </w:t>
      </w:r>
      <w:r w:rsidRPr="00F41E78">
        <w:rPr>
          <w:rFonts w:hint="eastAsia"/>
          <w:rtl/>
        </w:rPr>
        <w:t>הממשלה</w:t>
      </w:r>
      <w:r w:rsidRPr="00F41E78">
        <w:rPr>
          <w:rtl/>
        </w:rPr>
        <w:t xml:space="preserve"> </w:t>
      </w:r>
      <w:r w:rsidRPr="00F41E78">
        <w:rPr>
          <w:rFonts w:hint="eastAsia"/>
          <w:rtl/>
        </w:rPr>
        <w:t>לא</w:t>
      </w:r>
      <w:r w:rsidRPr="00F41E78">
        <w:rPr>
          <w:rtl/>
        </w:rPr>
        <w:t xml:space="preserve"> </w:t>
      </w:r>
      <w:r w:rsidRPr="00F41E78">
        <w:rPr>
          <w:rFonts w:hint="eastAsia"/>
          <w:rtl/>
        </w:rPr>
        <w:t>נקטו</w:t>
      </w:r>
      <w:r w:rsidRPr="00F41E78">
        <w:rPr>
          <w:rtl/>
        </w:rPr>
        <w:t xml:space="preserve"> </w:t>
      </w:r>
      <w:r w:rsidRPr="00F41E78">
        <w:rPr>
          <w:rFonts w:hint="eastAsia"/>
          <w:rtl/>
        </w:rPr>
        <w:t>את</w:t>
      </w:r>
      <w:r w:rsidRPr="00F41E78">
        <w:rPr>
          <w:rtl/>
        </w:rPr>
        <w:t xml:space="preserve"> </w:t>
      </w:r>
      <w:r w:rsidRPr="00F41E78">
        <w:rPr>
          <w:rFonts w:hint="eastAsia"/>
          <w:rtl/>
        </w:rPr>
        <w:t>האמצעים</w:t>
      </w:r>
      <w:r w:rsidRPr="00F41E78">
        <w:rPr>
          <w:rtl/>
        </w:rPr>
        <w:t xml:space="preserve"> </w:t>
      </w:r>
      <w:r w:rsidRPr="00F41E78">
        <w:rPr>
          <w:rFonts w:hint="eastAsia"/>
          <w:rtl/>
        </w:rPr>
        <w:t>הנדרשים</w:t>
      </w:r>
      <w:r w:rsidRPr="00F41E78">
        <w:rPr>
          <w:rtl/>
        </w:rPr>
        <w:t xml:space="preserve"> </w:t>
      </w:r>
      <w:r w:rsidRPr="00F41E78">
        <w:rPr>
          <w:rFonts w:hint="cs"/>
          <w:rtl/>
        </w:rPr>
        <w:t>להשגת יעדי</w:t>
      </w:r>
      <w:r w:rsidRPr="00F41E78">
        <w:rPr>
          <w:rtl/>
        </w:rPr>
        <w:t xml:space="preserve"> </w:t>
      </w:r>
      <w:r w:rsidRPr="00F41E78">
        <w:rPr>
          <w:rFonts w:hint="eastAsia"/>
          <w:rtl/>
        </w:rPr>
        <w:t>התמ</w:t>
      </w:r>
      <w:r w:rsidRPr="00F41E78">
        <w:rPr>
          <w:rtl/>
        </w:rPr>
        <w:t xml:space="preserve">"א. </w:t>
      </w:r>
      <w:r w:rsidRPr="00F41E78">
        <w:rPr>
          <w:rFonts w:hint="eastAsia"/>
          <w:rtl/>
        </w:rPr>
        <w:t>נוסף</w:t>
      </w:r>
      <w:r w:rsidRPr="00F41E78">
        <w:rPr>
          <w:rtl/>
        </w:rPr>
        <w:t xml:space="preserve"> </w:t>
      </w:r>
      <w:r w:rsidRPr="00F41E78">
        <w:rPr>
          <w:rFonts w:hint="eastAsia"/>
          <w:rtl/>
        </w:rPr>
        <w:t>על</w:t>
      </w:r>
      <w:r w:rsidRPr="00F41E78">
        <w:rPr>
          <w:rtl/>
        </w:rPr>
        <w:t xml:space="preserve"> </w:t>
      </w:r>
      <w:r w:rsidRPr="00F41E78">
        <w:rPr>
          <w:rFonts w:hint="eastAsia"/>
          <w:rtl/>
        </w:rPr>
        <w:t>כך</w:t>
      </w:r>
      <w:r w:rsidRPr="00F41E78">
        <w:rPr>
          <w:rFonts w:hint="cs"/>
          <w:rtl/>
        </w:rPr>
        <w:t>, משרד מבקר המדינה מצא כי</w:t>
      </w:r>
      <w:r w:rsidRPr="00F41E78">
        <w:rPr>
          <w:rtl/>
        </w:rPr>
        <w:t xml:space="preserve"> </w:t>
      </w:r>
      <w:r w:rsidRPr="00F41E78">
        <w:rPr>
          <w:rFonts w:hint="eastAsia"/>
          <w:rtl/>
        </w:rPr>
        <w:t>לא</w:t>
      </w:r>
      <w:r w:rsidRPr="00F41E78">
        <w:rPr>
          <w:rtl/>
        </w:rPr>
        <w:t xml:space="preserve"> </w:t>
      </w:r>
      <w:r w:rsidRPr="00F41E78">
        <w:rPr>
          <w:rFonts w:hint="eastAsia"/>
          <w:rtl/>
        </w:rPr>
        <w:t>קוימו</w:t>
      </w:r>
      <w:r w:rsidRPr="00F41E78">
        <w:rPr>
          <w:rtl/>
        </w:rPr>
        <w:t xml:space="preserve"> </w:t>
      </w:r>
      <w:r w:rsidRPr="00F41E78">
        <w:rPr>
          <w:rFonts w:hint="eastAsia"/>
          <w:rtl/>
        </w:rPr>
        <w:t>הוראות</w:t>
      </w:r>
      <w:r w:rsidRPr="00F41E78">
        <w:rPr>
          <w:rtl/>
        </w:rPr>
        <w:t xml:space="preserve"> </w:t>
      </w:r>
      <w:r w:rsidRPr="00F41E78">
        <w:rPr>
          <w:rFonts w:hint="eastAsia"/>
          <w:rtl/>
        </w:rPr>
        <w:t>תמ</w:t>
      </w:r>
      <w:r w:rsidRPr="00F41E78">
        <w:rPr>
          <w:rtl/>
        </w:rPr>
        <w:t xml:space="preserve">"א 35 </w:t>
      </w:r>
      <w:r w:rsidRPr="00F41E78">
        <w:rPr>
          <w:rFonts w:hint="eastAsia"/>
          <w:rtl/>
        </w:rPr>
        <w:t>בעניין</w:t>
      </w:r>
      <w:r w:rsidRPr="00F41E78">
        <w:rPr>
          <w:rtl/>
        </w:rPr>
        <w:t xml:space="preserve"> </w:t>
      </w:r>
      <w:r w:rsidRPr="00F41E78">
        <w:rPr>
          <w:rFonts w:hint="eastAsia"/>
          <w:rtl/>
        </w:rPr>
        <w:t>תכנון</w:t>
      </w:r>
      <w:r w:rsidRPr="00F41E78">
        <w:rPr>
          <w:rtl/>
        </w:rPr>
        <w:t xml:space="preserve"> </w:t>
      </w:r>
      <w:r w:rsidRPr="00F41E78">
        <w:rPr>
          <w:rFonts w:hint="eastAsia"/>
          <w:rtl/>
        </w:rPr>
        <w:t>דיור</w:t>
      </w:r>
      <w:r w:rsidRPr="00F41E78">
        <w:rPr>
          <w:rtl/>
        </w:rPr>
        <w:t xml:space="preserve"> </w:t>
      </w:r>
      <w:r w:rsidRPr="00F41E78">
        <w:rPr>
          <w:rFonts w:hint="eastAsia"/>
          <w:rtl/>
        </w:rPr>
        <w:t>בר</w:t>
      </w:r>
      <w:r w:rsidRPr="00F41E78">
        <w:rPr>
          <w:rtl/>
        </w:rPr>
        <w:t xml:space="preserve"> </w:t>
      </w:r>
      <w:r w:rsidRPr="00F41E78">
        <w:rPr>
          <w:rFonts w:hint="eastAsia"/>
          <w:rtl/>
        </w:rPr>
        <w:t>השגה</w:t>
      </w:r>
      <w:r w:rsidRPr="00F41E78">
        <w:rPr>
          <w:rtl/>
        </w:rPr>
        <w:t xml:space="preserve">, </w:t>
      </w:r>
      <w:r w:rsidRPr="00F41E78">
        <w:rPr>
          <w:rFonts w:hint="eastAsia"/>
          <w:rtl/>
        </w:rPr>
        <w:t>כפי</w:t>
      </w:r>
      <w:r w:rsidRPr="00F41E78">
        <w:rPr>
          <w:rtl/>
        </w:rPr>
        <w:t xml:space="preserve"> </w:t>
      </w:r>
      <w:r w:rsidRPr="00F41E78">
        <w:rPr>
          <w:rFonts w:hint="eastAsia"/>
          <w:rtl/>
        </w:rPr>
        <w:t>שמפורט</w:t>
      </w:r>
      <w:r w:rsidRPr="00F41E78">
        <w:rPr>
          <w:rtl/>
        </w:rPr>
        <w:t xml:space="preserve"> </w:t>
      </w:r>
      <w:r w:rsidRPr="00F41E78">
        <w:rPr>
          <w:rFonts w:hint="eastAsia"/>
          <w:rtl/>
        </w:rPr>
        <w:t>בשער</w:t>
      </w:r>
      <w:r w:rsidRPr="00F41E78">
        <w:rPr>
          <w:rtl/>
        </w:rPr>
        <w:t xml:space="preserve"> </w:t>
      </w:r>
      <w:r w:rsidRPr="00F41E78">
        <w:rPr>
          <w:rFonts w:hint="eastAsia"/>
          <w:rtl/>
        </w:rPr>
        <w:t>הרביעי</w:t>
      </w:r>
      <w:r w:rsidRPr="00F41E78">
        <w:rPr>
          <w:rtl/>
        </w:rPr>
        <w:t xml:space="preserve"> "פעולות </w:t>
      </w:r>
      <w:r w:rsidRPr="00F41E78">
        <w:rPr>
          <w:rFonts w:hint="eastAsia"/>
          <w:rtl/>
        </w:rPr>
        <w:t>ממשלה</w:t>
      </w:r>
      <w:r w:rsidRPr="00F41E78">
        <w:rPr>
          <w:rtl/>
        </w:rPr>
        <w:t xml:space="preserve"> </w:t>
      </w:r>
      <w:r w:rsidRPr="00F41E78">
        <w:rPr>
          <w:rFonts w:hint="eastAsia"/>
          <w:rtl/>
        </w:rPr>
        <w:t>בתחום</w:t>
      </w:r>
      <w:r w:rsidRPr="00F41E78">
        <w:rPr>
          <w:rtl/>
        </w:rPr>
        <w:t xml:space="preserve"> </w:t>
      </w:r>
      <w:r w:rsidRPr="00F41E78">
        <w:rPr>
          <w:rFonts w:hint="eastAsia"/>
          <w:rtl/>
        </w:rPr>
        <w:t>הדיור</w:t>
      </w:r>
      <w:r w:rsidRPr="00F41E78">
        <w:rPr>
          <w:rtl/>
        </w:rPr>
        <w:t xml:space="preserve"> </w:t>
      </w:r>
      <w:r w:rsidRPr="00F41E78">
        <w:rPr>
          <w:rFonts w:hint="eastAsia"/>
          <w:rtl/>
        </w:rPr>
        <w:t>בר</w:t>
      </w:r>
      <w:r w:rsidRPr="00F41E78">
        <w:rPr>
          <w:rtl/>
        </w:rPr>
        <w:t xml:space="preserve"> </w:t>
      </w:r>
      <w:r w:rsidRPr="00F41E78">
        <w:rPr>
          <w:rFonts w:hint="eastAsia"/>
          <w:rtl/>
        </w:rPr>
        <w:t>ההשגה</w:t>
      </w:r>
      <w:r w:rsidRPr="00F41E78">
        <w:rPr>
          <w:rtl/>
        </w:rPr>
        <w:t>".</w:t>
      </w:r>
      <w:r w:rsidRPr="00F41E78">
        <w:rPr>
          <w:rFonts w:hint="cs"/>
          <w:rtl/>
        </w:rPr>
        <w:t xml:space="preserve"> </w:t>
      </w:r>
    </w:p>
    <w:p w:rsidR="00E97EDA" w:rsidRPr="00F41E78" w:rsidP="007347C2">
      <w:pPr>
        <w:spacing w:before="180" w:after="240" w:line="224" w:lineRule="exact"/>
        <w:jc w:val="both"/>
        <w:rPr>
          <w:rFonts w:cs="FrankRuehl"/>
          <w:sz w:val="18"/>
          <w:szCs w:val="22"/>
          <w:rtl/>
          <w:lang w:eastAsia="he-IL"/>
        </w:rPr>
      </w:pPr>
      <w:r w:rsidRPr="00F41E78">
        <w:rPr>
          <w:rFonts w:cs="FrankRuehl" w:hint="eastAsia"/>
          <w:b/>
          <w:bCs/>
          <w:spacing w:val="40"/>
          <w:sz w:val="18"/>
          <w:szCs w:val="22"/>
          <w:rtl/>
        </w:rPr>
        <w:t>קביעת</w:t>
      </w:r>
      <w:r w:rsidRPr="00F41E78">
        <w:rPr>
          <w:rFonts w:cs="FrankRuehl"/>
          <w:b/>
          <w:bCs/>
          <w:spacing w:val="40"/>
          <w:sz w:val="18"/>
          <w:szCs w:val="22"/>
          <w:rtl/>
        </w:rPr>
        <w:t xml:space="preserve"> </w:t>
      </w:r>
      <w:r w:rsidRPr="00F41E78">
        <w:rPr>
          <w:rFonts w:cs="FrankRuehl" w:hint="eastAsia"/>
          <w:b/>
          <w:bCs/>
          <w:spacing w:val="40"/>
          <w:sz w:val="18"/>
          <w:szCs w:val="22"/>
          <w:rtl/>
        </w:rPr>
        <w:t>יעדים</w:t>
      </w:r>
      <w:r w:rsidRPr="00F41E78">
        <w:rPr>
          <w:rFonts w:cs="FrankRuehl"/>
          <w:b/>
          <w:bCs/>
          <w:spacing w:val="40"/>
          <w:sz w:val="18"/>
          <w:szCs w:val="22"/>
          <w:rtl/>
        </w:rPr>
        <w:t xml:space="preserve"> </w:t>
      </w:r>
      <w:r w:rsidRPr="00F41E78">
        <w:rPr>
          <w:rFonts w:cs="FrankRuehl" w:hint="eastAsia"/>
          <w:b/>
          <w:bCs/>
          <w:spacing w:val="40"/>
          <w:sz w:val="18"/>
          <w:szCs w:val="22"/>
          <w:rtl/>
        </w:rPr>
        <w:t>כמותיים</w:t>
      </w:r>
      <w:r w:rsidRPr="00F41E78">
        <w:rPr>
          <w:rFonts w:cs="FrankRuehl"/>
          <w:b/>
          <w:bCs/>
          <w:spacing w:val="40"/>
          <w:sz w:val="18"/>
          <w:szCs w:val="22"/>
          <w:rtl/>
        </w:rPr>
        <w:t xml:space="preserve"> </w:t>
      </w:r>
      <w:r w:rsidRPr="00F41E78">
        <w:rPr>
          <w:rFonts w:cs="FrankRuehl" w:hint="eastAsia"/>
          <w:b/>
          <w:bCs/>
          <w:spacing w:val="40"/>
          <w:sz w:val="18"/>
          <w:szCs w:val="22"/>
          <w:rtl/>
        </w:rPr>
        <w:t>לתכנון</w:t>
      </w:r>
      <w:r w:rsidRPr="00F41E78">
        <w:rPr>
          <w:rFonts w:cs="FrankRuehl"/>
          <w:b/>
          <w:bCs/>
          <w:spacing w:val="40"/>
          <w:sz w:val="18"/>
          <w:szCs w:val="22"/>
          <w:rtl/>
        </w:rPr>
        <w:t>:</w:t>
      </w:r>
      <w:r w:rsidRPr="00F41E78">
        <w:rPr>
          <w:rFonts w:cs="FrankRuehl" w:hint="cs"/>
          <w:sz w:val="18"/>
          <w:szCs w:val="22"/>
          <w:rtl/>
          <w:lang w:eastAsia="he-IL"/>
        </w:rPr>
        <w:t xml:space="preserve"> בהחלטת ממשלה מס' 2213 מיולי 2007 בדבר קביעת יעדים כמותיים לתכנון, הטילה הממשלה ה-31 על שרי האוצר והפנים למנות צוות בין-משרדי, בראשותו של יו"ר המועצה הארצית לתכנון ובנייה (להלן - יו"ר המועצה הארצית) "לקביעת יעדים כמותיים מינימאליים לאישור מספר יח"ד למגורים ושטחים לתעסוקה, תעשייה, מסחר, תיירות וכד' בתכניות מתאר ובתכניות מפורטות... היעדים כאמור נועדו לספק את צרכי המשק עד לשנת 2030 והם יתבססו בין היתר על תחזיות שעמדו בבסיס תמ"א 35". כמו כן הוטל על יו"ר המועצה הארצית להגיש לממשלה הצעת החלטה בדבר היעדים שיגובשו ולדווח לממשלה מדי רבעון על ביצוע ההחלטה באמצעות דוח המפרט את מידת העמידה ביעדים שנקבעו. </w:t>
      </w:r>
    </w:p>
    <w:p w:rsidR="00D22B16" w:rsidRPr="00F41E78" w:rsidP="00D22B16">
      <w:pPr>
        <w:pStyle w:val="RESHET"/>
        <w:keepLines/>
        <w:spacing w:line="224" w:lineRule="exact"/>
        <w:rPr>
          <w:rtl/>
        </w:rPr>
      </w:pPr>
      <w:r w:rsidRPr="00F41E78">
        <w:rPr>
          <w:rFonts w:hint="cs"/>
          <w:rtl/>
        </w:rPr>
        <w:t xml:space="preserve">נמצא כי הוראות עקרוניות שנקבעו בהחלטה זו לא יושמו. יצוין כי במאי 2009 שבה והחליטה הממשלה (החלטה 123) להטיל על שר הפנים לקבוע יעדים כמותיים עבור מוסדות התכנון, לצורך שיווקן של לפחות 35,000 יח"ד בשנה. אולם גם החלטה זו לא יושמה </w:t>
      </w:r>
      <w:r w:rsidRPr="00F41E78">
        <w:rPr>
          <w:rtl/>
        </w:rPr>
        <w:t xml:space="preserve">(ראו </w:t>
      </w:r>
      <w:r w:rsidRPr="00F41E78">
        <w:rPr>
          <w:rFonts w:hint="eastAsia"/>
          <w:rtl/>
        </w:rPr>
        <w:t>פירוט</w:t>
      </w:r>
      <w:r w:rsidRPr="00F41E78">
        <w:rPr>
          <w:rtl/>
        </w:rPr>
        <w:t xml:space="preserve"> </w:t>
      </w:r>
      <w:r w:rsidRPr="00F41E78">
        <w:rPr>
          <w:rFonts w:hint="eastAsia"/>
          <w:rtl/>
        </w:rPr>
        <w:t>בשער</w:t>
      </w:r>
      <w:r w:rsidRPr="00F41E78">
        <w:rPr>
          <w:rtl/>
        </w:rPr>
        <w:t xml:space="preserve"> </w:t>
      </w:r>
      <w:r w:rsidRPr="00F41E78">
        <w:rPr>
          <w:rFonts w:hint="eastAsia"/>
          <w:rtl/>
        </w:rPr>
        <w:t>השלישי</w:t>
      </w:r>
      <w:r w:rsidRPr="00F41E78">
        <w:rPr>
          <w:rtl/>
        </w:rPr>
        <w:t>)</w:t>
      </w:r>
      <w:r w:rsidRPr="00F41E78">
        <w:rPr>
          <w:rFonts w:hint="cs"/>
          <w:rtl/>
        </w:rPr>
        <w:t xml:space="preserve">. </w:t>
      </w:r>
    </w:p>
    <w:p w:rsidR="00E97EDA" w:rsidRPr="00F41E78" w:rsidP="007347C2">
      <w:pPr>
        <w:spacing w:before="180" w:after="120" w:line="224" w:lineRule="exact"/>
        <w:jc w:val="both"/>
        <w:rPr>
          <w:rFonts w:cs="FrankRuehl"/>
          <w:sz w:val="18"/>
          <w:szCs w:val="22"/>
          <w:rtl/>
        </w:rPr>
      </w:pPr>
      <w:r w:rsidRPr="00F41E78">
        <w:rPr>
          <w:rFonts w:cs="FrankRuehl" w:hint="eastAsia"/>
          <w:b/>
          <w:bCs/>
          <w:spacing w:val="40"/>
          <w:sz w:val="18"/>
          <w:szCs w:val="22"/>
          <w:rtl/>
        </w:rPr>
        <w:t>תכנית</w:t>
      </w:r>
      <w:r w:rsidRPr="00F41E78">
        <w:rPr>
          <w:rFonts w:cs="FrankRuehl"/>
          <w:b/>
          <w:bCs/>
          <w:spacing w:val="40"/>
          <w:sz w:val="18"/>
          <w:szCs w:val="22"/>
          <w:rtl/>
        </w:rPr>
        <w:t xml:space="preserve"> חומש מוסכמת לתכנון ולפיתוח של קרקע למגורים ולתעסוקה: </w:t>
      </w:r>
      <w:r w:rsidRPr="00F41E78">
        <w:rPr>
          <w:rFonts w:cs="FrankRuehl" w:hint="cs"/>
          <w:sz w:val="18"/>
          <w:szCs w:val="22"/>
          <w:rtl/>
        </w:rPr>
        <w:t>באוגוסט</w:t>
      </w:r>
      <w:r w:rsidRPr="00F41E78">
        <w:rPr>
          <w:rFonts w:cs="FrankRuehl"/>
          <w:sz w:val="18"/>
          <w:szCs w:val="22"/>
          <w:rtl/>
        </w:rPr>
        <w:t xml:space="preserve"> 2007 </w:t>
      </w:r>
      <w:r w:rsidRPr="00F41E78">
        <w:rPr>
          <w:rFonts w:cs="FrankRuehl" w:hint="cs"/>
          <w:sz w:val="18"/>
          <w:szCs w:val="22"/>
          <w:rtl/>
        </w:rPr>
        <w:t>קיבלה</w:t>
      </w:r>
      <w:r w:rsidRPr="00F41E78">
        <w:rPr>
          <w:rFonts w:cs="FrankRuehl"/>
          <w:sz w:val="18"/>
          <w:szCs w:val="22"/>
          <w:rtl/>
        </w:rPr>
        <w:t xml:space="preserve"> </w:t>
      </w:r>
      <w:r w:rsidRPr="00F41E78">
        <w:rPr>
          <w:rFonts w:cs="FrankRuehl" w:hint="cs"/>
          <w:sz w:val="18"/>
          <w:szCs w:val="22"/>
          <w:rtl/>
        </w:rPr>
        <w:t>הממשלה</w:t>
      </w:r>
      <w:r w:rsidRPr="00F41E78">
        <w:rPr>
          <w:rFonts w:cs="FrankRuehl"/>
          <w:sz w:val="18"/>
          <w:szCs w:val="22"/>
          <w:rtl/>
        </w:rPr>
        <w:t xml:space="preserve"> </w:t>
      </w:r>
      <w:r w:rsidRPr="00F41E78">
        <w:rPr>
          <w:rFonts w:cs="FrankRuehl" w:hint="cs"/>
          <w:sz w:val="18"/>
          <w:szCs w:val="22"/>
          <w:rtl/>
        </w:rPr>
        <w:t>את</w:t>
      </w:r>
      <w:r w:rsidRPr="00F41E78">
        <w:rPr>
          <w:rFonts w:cs="FrankRuehl"/>
          <w:sz w:val="18"/>
          <w:szCs w:val="22"/>
          <w:rtl/>
        </w:rPr>
        <w:t xml:space="preserve"> </w:t>
      </w:r>
      <w:r w:rsidRPr="00F41E78">
        <w:rPr>
          <w:rFonts w:cs="FrankRuehl" w:hint="cs"/>
          <w:sz w:val="18"/>
          <w:szCs w:val="22"/>
          <w:rtl/>
        </w:rPr>
        <w:t>החלטה</w:t>
      </w:r>
      <w:r w:rsidRPr="00F41E78">
        <w:rPr>
          <w:rFonts w:cs="FrankRuehl"/>
          <w:sz w:val="18"/>
          <w:szCs w:val="22"/>
          <w:rtl/>
        </w:rPr>
        <w:t xml:space="preserve"> מס' 2215 בנושא "ייעול התכנון והפיתוח במקרקעי ישראל". בדברי ההסבר שצורפו להצעת ההחלטה צוין כי "פעילות ייזום התכנון והפעולות לפיתוחה של הקרקע מפוזרים בכמה גופים ובהתאם לכך אין ראייה אסטרטגית כוללת ומשולבת של ממשלת ישראל באשר לכיוונים וליעדי הפיתוח הרצויים למדינה וכי מצב דברים זה מביא לכך שמשרדי הממשלה פועלים ללא תיאום כולל של סדרי עדיפויות".</w:t>
      </w:r>
    </w:p>
    <w:p w:rsidR="00E97EDA" w:rsidRPr="00F41E78" w:rsidP="007347C2">
      <w:pPr>
        <w:spacing w:after="240" w:line="224" w:lineRule="exact"/>
        <w:jc w:val="both"/>
        <w:rPr>
          <w:rFonts w:cs="FrankRuehl"/>
          <w:sz w:val="18"/>
          <w:szCs w:val="22"/>
          <w:rtl/>
          <w:lang w:eastAsia="he-IL"/>
        </w:rPr>
      </w:pPr>
      <w:r w:rsidRPr="00F41E78">
        <w:rPr>
          <w:rFonts w:cs="FrankRuehl" w:hint="cs"/>
          <w:sz w:val="18"/>
          <w:szCs w:val="22"/>
          <w:rtl/>
          <w:lang w:eastAsia="he-IL"/>
        </w:rPr>
        <w:t xml:space="preserve">לצורך תיקון המצב ושיפור התיאום הבין-משרדי הטילה הממשלה על צוות בראשותו של יו"ר המועצה הארצית או נציגו, ובהשתתפות מנכ"ל משרד הבינוי, מנהל מינהל מקרקעי ישראל (כיום רמ"י), מנכ"ל משרד התעשייה, המסחר והתעסוקה (כיום משרד הכלכלה) והממונה על </w:t>
      </w:r>
      <w:r w:rsidRPr="00582A43">
        <w:rPr>
          <w:rFonts w:cs="FrankRuehl" w:hint="cs"/>
          <w:sz w:val="18"/>
          <w:szCs w:val="22"/>
          <w:rtl/>
          <w:lang w:eastAsia="he-IL"/>
        </w:rPr>
        <w:t>התקציבים</w:t>
      </w:r>
      <w:r w:rsidRPr="00582A43" w:rsidR="008B3A65">
        <w:rPr>
          <w:rFonts w:cs="FrankRuehl" w:hint="cs"/>
          <w:sz w:val="18"/>
          <w:szCs w:val="22"/>
          <w:rtl/>
          <w:lang w:eastAsia="he-IL"/>
        </w:rPr>
        <w:t xml:space="preserve"> במשרד האוצר</w:t>
      </w:r>
      <w:r w:rsidRPr="00582A43">
        <w:rPr>
          <w:rFonts w:cs="FrankRuehl" w:hint="cs"/>
          <w:sz w:val="18"/>
          <w:szCs w:val="22"/>
          <w:rtl/>
          <w:lang w:eastAsia="he-IL"/>
        </w:rPr>
        <w:t xml:space="preserve"> </w:t>
      </w:r>
      <w:r w:rsidRPr="00F41E78">
        <w:rPr>
          <w:rFonts w:cs="FrankRuehl" w:hint="cs"/>
          <w:sz w:val="18"/>
          <w:szCs w:val="22"/>
          <w:rtl/>
          <w:lang w:eastAsia="he-IL"/>
        </w:rPr>
        <w:t xml:space="preserve">להציג לממשלה תכנית חומש מוסכמת לתכנון ולפיתוח של קרקע למגורים ולתעסוקה (להלן - תכנית חומש). על סמך תכנית החומש ייקבעו תכניות העבודה השנתיות של </w:t>
      </w:r>
      <w:r w:rsidRPr="00F41E78">
        <w:rPr>
          <w:rFonts w:cs="FrankRuehl" w:hint="cs"/>
          <w:sz w:val="18"/>
          <w:szCs w:val="22"/>
          <w:rtl/>
          <w:lang w:eastAsia="he-IL"/>
        </w:rPr>
        <w:t xml:space="preserve">המינהל, של משרד הבינוי ושל משרד התעשייה, המסחר והתעסוקה לקידום תכניות סטטוטוריות ולפיתוח תשתיות במסגרת פרויקטים. התכנית תוצג לממשלה בתוך שישה חודשים מיום אישור החלטתה זו. עוד הוחלט כי </w:t>
      </w:r>
      <w:r w:rsidRPr="00F41E78">
        <w:rPr>
          <w:rFonts w:cs="FrankRuehl" w:hint="eastAsia"/>
          <w:sz w:val="18"/>
          <w:szCs w:val="22"/>
          <w:rtl/>
          <w:lang w:eastAsia="he-IL"/>
        </w:rPr>
        <w:t>החל</w:t>
      </w:r>
      <w:r w:rsidRPr="00F41E78">
        <w:rPr>
          <w:rFonts w:cs="FrankRuehl"/>
          <w:sz w:val="18"/>
          <w:szCs w:val="22"/>
          <w:rtl/>
          <w:lang w:eastAsia="he-IL"/>
        </w:rPr>
        <w:t xml:space="preserve"> </w:t>
      </w:r>
      <w:r w:rsidRPr="00F41E78">
        <w:rPr>
          <w:rFonts w:cs="FrankRuehl" w:hint="eastAsia"/>
          <w:sz w:val="18"/>
          <w:szCs w:val="22"/>
          <w:rtl/>
          <w:lang w:eastAsia="he-IL"/>
        </w:rPr>
        <w:t>במועד</w:t>
      </w:r>
      <w:r w:rsidRPr="00F41E78">
        <w:rPr>
          <w:rFonts w:cs="FrankRuehl"/>
          <w:sz w:val="18"/>
          <w:szCs w:val="22"/>
          <w:rtl/>
          <w:lang w:eastAsia="he-IL"/>
        </w:rPr>
        <w:t xml:space="preserve"> </w:t>
      </w:r>
      <w:r w:rsidRPr="00F41E78">
        <w:rPr>
          <w:rFonts w:cs="FrankRuehl" w:hint="eastAsia"/>
          <w:sz w:val="18"/>
          <w:szCs w:val="22"/>
          <w:rtl/>
          <w:lang w:eastAsia="he-IL"/>
        </w:rPr>
        <w:t>אישורה</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תכנית</w:t>
      </w:r>
      <w:r w:rsidRPr="00F41E78">
        <w:rPr>
          <w:rFonts w:cs="FrankRuehl"/>
          <w:sz w:val="18"/>
          <w:szCs w:val="22"/>
          <w:rtl/>
          <w:lang w:eastAsia="he-IL"/>
        </w:rPr>
        <w:t xml:space="preserve"> </w:t>
      </w:r>
      <w:r w:rsidRPr="00F41E78">
        <w:rPr>
          <w:rFonts w:cs="FrankRuehl" w:hint="eastAsia"/>
          <w:sz w:val="18"/>
          <w:szCs w:val="22"/>
          <w:rtl/>
          <w:lang w:eastAsia="he-IL"/>
        </w:rPr>
        <w:t>החומש</w:t>
      </w:r>
      <w:r w:rsidRPr="00F41E78">
        <w:rPr>
          <w:rFonts w:cs="FrankRuehl"/>
          <w:sz w:val="18"/>
          <w:szCs w:val="22"/>
          <w:rtl/>
          <w:lang w:eastAsia="he-IL"/>
        </w:rPr>
        <w:t xml:space="preserve">, </w:t>
      </w:r>
      <w:r w:rsidRPr="00F41E78">
        <w:rPr>
          <w:rFonts w:cs="FrankRuehl" w:hint="eastAsia"/>
          <w:sz w:val="18"/>
          <w:szCs w:val="22"/>
          <w:rtl/>
          <w:lang w:eastAsia="he-IL"/>
        </w:rPr>
        <w:t>פעילות</w:t>
      </w:r>
      <w:r w:rsidRPr="00F41E78">
        <w:rPr>
          <w:rFonts w:cs="FrankRuehl"/>
          <w:sz w:val="18"/>
          <w:szCs w:val="22"/>
          <w:rtl/>
          <w:lang w:eastAsia="he-IL"/>
        </w:rPr>
        <w:t xml:space="preserve"> </w:t>
      </w:r>
      <w:r w:rsidRPr="00F41E78">
        <w:rPr>
          <w:rFonts w:cs="FrankRuehl" w:hint="eastAsia"/>
          <w:sz w:val="18"/>
          <w:szCs w:val="22"/>
          <w:rtl/>
          <w:lang w:eastAsia="he-IL"/>
        </w:rPr>
        <w:t>התכנון</w:t>
      </w:r>
      <w:r w:rsidRPr="00F41E78">
        <w:rPr>
          <w:rFonts w:cs="FrankRuehl"/>
          <w:sz w:val="18"/>
          <w:szCs w:val="22"/>
          <w:rtl/>
          <w:lang w:eastAsia="he-IL"/>
        </w:rPr>
        <w:t xml:space="preserve"> </w:t>
      </w:r>
      <w:r w:rsidRPr="00F41E78">
        <w:rPr>
          <w:rFonts w:cs="FrankRuehl" w:hint="eastAsia"/>
          <w:sz w:val="18"/>
          <w:szCs w:val="22"/>
          <w:rtl/>
          <w:lang w:eastAsia="he-IL"/>
        </w:rPr>
        <w:t>והפיתוח</w:t>
      </w:r>
      <w:r w:rsidRPr="00F41E78">
        <w:rPr>
          <w:rFonts w:cs="FrankRuehl"/>
          <w:sz w:val="18"/>
          <w:szCs w:val="22"/>
          <w:rtl/>
          <w:lang w:eastAsia="he-IL"/>
        </w:rPr>
        <w:t xml:space="preserve"> </w:t>
      </w:r>
      <w:r w:rsidRPr="00F41E78">
        <w:rPr>
          <w:rFonts w:cs="FrankRuehl" w:hint="eastAsia"/>
          <w:sz w:val="18"/>
          <w:szCs w:val="22"/>
          <w:rtl/>
          <w:lang w:eastAsia="he-IL"/>
        </w:rPr>
        <w:t>במינהל</w:t>
      </w:r>
      <w:r w:rsidRPr="00F41E78">
        <w:rPr>
          <w:rFonts w:cs="FrankRuehl"/>
          <w:sz w:val="18"/>
          <w:szCs w:val="22"/>
          <w:rtl/>
          <w:lang w:eastAsia="he-IL"/>
        </w:rPr>
        <w:t xml:space="preserve"> </w:t>
      </w:r>
      <w:r w:rsidRPr="00F41E78">
        <w:rPr>
          <w:rFonts w:cs="FrankRuehl" w:hint="eastAsia"/>
          <w:sz w:val="18"/>
          <w:szCs w:val="22"/>
          <w:rtl/>
          <w:lang w:eastAsia="he-IL"/>
        </w:rPr>
        <w:t>ובמשרדים</w:t>
      </w:r>
      <w:r w:rsidRPr="00F41E78">
        <w:rPr>
          <w:rFonts w:cs="FrankRuehl"/>
          <w:sz w:val="18"/>
          <w:szCs w:val="22"/>
          <w:rtl/>
          <w:lang w:eastAsia="he-IL"/>
        </w:rPr>
        <w:t xml:space="preserve"> </w:t>
      </w:r>
      <w:r w:rsidRPr="00F41E78">
        <w:rPr>
          <w:rFonts w:cs="FrankRuehl" w:hint="eastAsia"/>
          <w:sz w:val="18"/>
          <w:szCs w:val="22"/>
          <w:rtl/>
          <w:lang w:eastAsia="he-IL"/>
        </w:rPr>
        <w:t>תתבצע</w:t>
      </w:r>
      <w:r w:rsidRPr="00F41E78">
        <w:rPr>
          <w:rFonts w:cs="FrankRuehl"/>
          <w:sz w:val="18"/>
          <w:szCs w:val="22"/>
          <w:rtl/>
          <w:lang w:eastAsia="he-IL"/>
        </w:rPr>
        <w:t xml:space="preserve"> </w:t>
      </w:r>
      <w:r w:rsidRPr="00F41E78">
        <w:rPr>
          <w:rFonts w:cs="FrankRuehl" w:hint="eastAsia"/>
          <w:sz w:val="18"/>
          <w:szCs w:val="22"/>
          <w:rtl/>
          <w:lang w:eastAsia="he-IL"/>
        </w:rPr>
        <w:t>על</w:t>
      </w:r>
      <w:r w:rsidRPr="00F41E78">
        <w:rPr>
          <w:rFonts w:cs="FrankRuehl"/>
          <w:sz w:val="18"/>
          <w:szCs w:val="22"/>
          <w:rtl/>
          <w:lang w:eastAsia="he-IL"/>
        </w:rPr>
        <w:t xml:space="preserve"> </w:t>
      </w:r>
      <w:r w:rsidRPr="00F41E78">
        <w:rPr>
          <w:rFonts w:cs="FrankRuehl" w:hint="eastAsia"/>
          <w:sz w:val="18"/>
          <w:szCs w:val="22"/>
          <w:rtl/>
          <w:lang w:eastAsia="he-IL"/>
        </w:rPr>
        <w:t>פי</w:t>
      </w:r>
      <w:r w:rsidRPr="00F41E78">
        <w:rPr>
          <w:rFonts w:cs="FrankRuehl"/>
          <w:sz w:val="18"/>
          <w:szCs w:val="22"/>
          <w:rtl/>
          <w:lang w:eastAsia="he-IL"/>
        </w:rPr>
        <w:t xml:space="preserve"> </w:t>
      </w:r>
      <w:r w:rsidRPr="00F41E78">
        <w:rPr>
          <w:rFonts w:cs="FrankRuehl" w:hint="eastAsia"/>
          <w:sz w:val="18"/>
          <w:szCs w:val="22"/>
          <w:rtl/>
          <w:lang w:eastAsia="he-IL"/>
        </w:rPr>
        <w:t>התכנית</w:t>
      </w:r>
      <w:r w:rsidRPr="00F41E78">
        <w:rPr>
          <w:rFonts w:cs="FrankRuehl"/>
          <w:sz w:val="18"/>
          <w:szCs w:val="22"/>
          <w:rtl/>
          <w:lang w:eastAsia="he-IL"/>
        </w:rPr>
        <w:t xml:space="preserve"> </w:t>
      </w:r>
      <w:r w:rsidRPr="00F41E78">
        <w:rPr>
          <w:rFonts w:cs="FrankRuehl" w:hint="eastAsia"/>
          <w:sz w:val="18"/>
          <w:szCs w:val="22"/>
          <w:rtl/>
          <w:lang w:eastAsia="he-IL"/>
        </w:rPr>
        <w:t>כאמור</w:t>
      </w:r>
      <w:r w:rsidRPr="00F41E78">
        <w:rPr>
          <w:rFonts w:cs="FrankRuehl" w:hint="cs"/>
          <w:sz w:val="18"/>
          <w:szCs w:val="22"/>
          <w:rtl/>
          <w:lang w:eastAsia="he-IL"/>
        </w:rPr>
        <w:t>.</w:t>
      </w:r>
    </w:p>
    <w:p w:rsidR="00D22B16" w:rsidRPr="00F41E78" w:rsidP="00D22B16">
      <w:pPr>
        <w:pStyle w:val="RESHET"/>
        <w:keepLines/>
        <w:spacing w:line="224" w:lineRule="exact"/>
        <w:rPr>
          <w:rtl/>
        </w:rPr>
      </w:pPr>
      <w:r w:rsidRPr="00F41E78">
        <w:rPr>
          <w:rFonts w:hint="cs"/>
          <w:rtl/>
        </w:rPr>
        <w:t>בביקורת עלה כי אף שהחל</w:t>
      </w:r>
      <w:r w:rsidRPr="00F41E78">
        <w:rPr>
          <w:rFonts w:hint="eastAsia"/>
          <w:rtl/>
        </w:rPr>
        <w:t>טה</w:t>
      </w:r>
      <w:r w:rsidRPr="00F41E78">
        <w:rPr>
          <w:rFonts w:hint="cs"/>
          <w:rtl/>
        </w:rPr>
        <w:t xml:space="preserve"> האמורה היא החלטה עקרונית, שהיה בה כדי להביא לידי הסדרת תכנית ארוכת טווח שתשקף את מדיניות הדיור הלאומית</w:t>
      </w:r>
      <w:r>
        <w:rPr>
          <w:rFonts w:hint="cs"/>
          <w:rtl/>
        </w:rPr>
        <w:t>,</w:t>
      </w:r>
      <w:r w:rsidRPr="00F41E78">
        <w:rPr>
          <w:rFonts w:hint="cs"/>
          <w:rtl/>
        </w:rPr>
        <w:t xml:space="preserve"> </w:t>
      </w:r>
      <w:r>
        <w:rPr>
          <w:rFonts w:hint="cs"/>
          <w:rtl/>
        </w:rPr>
        <w:t xml:space="preserve">היא </w:t>
      </w:r>
      <w:r w:rsidRPr="00F41E78">
        <w:rPr>
          <w:rFonts w:hint="cs"/>
          <w:rtl/>
        </w:rPr>
        <w:t xml:space="preserve">לא יושמה. יוצא אפוא שפעולות ייזום התכנון והפיתוח של הקרקע למגורים ולתעסוקה המשיכו להיעשות ללא כל ראייה אסטרטגית כוללת ומשולבת של מגמותיו ויעדיו של הפיתוח הרצויים למדינה. כמו כן, משרדי הממשלה הנוגעים בדבר המשיכו לפעול ללא תיאום כולל של סדרי עדיפויות. הם פעלו באופן זה גם בשנים שקדמו למשבר הדיור הנוכחי וגם במהלכו, כמפורט בהמשך. </w:t>
      </w:r>
    </w:p>
    <w:p w:rsidR="00E97EDA" w:rsidRPr="00F41E78" w:rsidP="007347C2">
      <w:pPr>
        <w:spacing w:before="180" w:after="240" w:line="230" w:lineRule="exact"/>
        <w:jc w:val="both"/>
        <w:rPr>
          <w:rFonts w:cs="FrankRuehl"/>
          <w:sz w:val="18"/>
          <w:szCs w:val="22"/>
          <w:rtl/>
          <w:lang w:eastAsia="he-IL"/>
        </w:rPr>
      </w:pPr>
      <w:r w:rsidRPr="00F41E78">
        <w:rPr>
          <w:rFonts w:cs="FrankRuehl" w:hint="cs"/>
          <w:bCs/>
          <w:spacing w:val="40"/>
          <w:sz w:val="18"/>
          <w:szCs w:val="22"/>
          <w:rtl/>
          <w:lang w:eastAsia="he-IL"/>
        </w:rPr>
        <w:t>העדר מנגנון לניהול סיכונים:</w:t>
      </w:r>
      <w:r w:rsidRPr="00F41E78">
        <w:rPr>
          <w:rFonts w:cs="FrankRuehl"/>
          <w:bCs/>
          <w:spacing w:val="40"/>
          <w:sz w:val="18"/>
          <w:szCs w:val="22"/>
          <w:rtl/>
          <w:lang w:eastAsia="he-IL"/>
        </w:rPr>
        <w:t xml:space="preserve"> </w:t>
      </w:r>
      <w:r w:rsidRPr="00F41E78">
        <w:rPr>
          <w:rFonts w:cs="FrankRuehl" w:hint="eastAsia"/>
          <w:sz w:val="18"/>
          <w:szCs w:val="22"/>
          <w:rtl/>
          <w:lang w:eastAsia="he-IL"/>
        </w:rPr>
        <w:t>כאמור</w:t>
      </w:r>
      <w:r w:rsidRPr="00F41E78">
        <w:rPr>
          <w:rFonts w:cs="FrankRuehl"/>
          <w:sz w:val="18"/>
          <w:szCs w:val="22"/>
          <w:rtl/>
          <w:lang w:eastAsia="he-IL"/>
        </w:rPr>
        <w:t xml:space="preserve"> </w:t>
      </w:r>
      <w:r w:rsidRPr="00F41E78">
        <w:rPr>
          <w:rFonts w:cs="FrankRuehl" w:hint="eastAsia"/>
          <w:sz w:val="18"/>
          <w:szCs w:val="22"/>
          <w:rtl/>
          <w:lang w:eastAsia="he-IL"/>
        </w:rPr>
        <w:t>בשער</w:t>
      </w:r>
      <w:r w:rsidRPr="00F41E78">
        <w:rPr>
          <w:rFonts w:cs="FrankRuehl"/>
          <w:sz w:val="18"/>
          <w:szCs w:val="22"/>
          <w:rtl/>
          <w:lang w:eastAsia="he-IL"/>
        </w:rPr>
        <w:t xml:space="preserve"> </w:t>
      </w:r>
      <w:r w:rsidRPr="00F41E78">
        <w:rPr>
          <w:rFonts w:cs="FrankRuehl" w:hint="eastAsia"/>
          <w:sz w:val="18"/>
          <w:szCs w:val="22"/>
          <w:rtl/>
          <w:lang w:eastAsia="he-IL"/>
        </w:rPr>
        <w:t>הראשון</w:t>
      </w:r>
      <w:r w:rsidRPr="00F41E78">
        <w:rPr>
          <w:rFonts w:cs="FrankRuehl"/>
          <w:sz w:val="18"/>
          <w:szCs w:val="22"/>
          <w:rtl/>
          <w:lang w:eastAsia="he-IL"/>
        </w:rPr>
        <w:t xml:space="preserve">, </w:t>
      </w:r>
      <w:r w:rsidRPr="00F41E78">
        <w:rPr>
          <w:rFonts w:cs="FrankRuehl" w:hint="eastAsia"/>
          <w:sz w:val="18"/>
          <w:szCs w:val="22"/>
          <w:rtl/>
          <w:lang w:eastAsia="he-IL"/>
        </w:rPr>
        <w:t>שוק</w:t>
      </w:r>
      <w:r w:rsidRPr="00F41E78">
        <w:rPr>
          <w:rFonts w:cs="FrankRuehl"/>
          <w:sz w:val="18"/>
          <w:szCs w:val="22"/>
          <w:rtl/>
          <w:lang w:eastAsia="he-IL"/>
        </w:rPr>
        <w:t xml:space="preserve"> </w:t>
      </w:r>
      <w:r w:rsidRPr="00F41E78">
        <w:rPr>
          <w:rFonts w:cs="FrankRuehl" w:hint="eastAsia"/>
          <w:sz w:val="18"/>
          <w:szCs w:val="22"/>
          <w:rtl/>
          <w:lang w:eastAsia="he-IL"/>
        </w:rPr>
        <w:t>הדיור</w:t>
      </w:r>
      <w:r w:rsidRPr="00F41E78">
        <w:rPr>
          <w:rFonts w:cs="FrankRuehl"/>
          <w:sz w:val="18"/>
          <w:szCs w:val="22"/>
          <w:rtl/>
          <w:lang w:eastAsia="he-IL"/>
        </w:rPr>
        <w:t xml:space="preserve"> </w:t>
      </w:r>
      <w:r w:rsidRPr="00F41E78">
        <w:rPr>
          <w:rFonts w:cs="FrankRuehl" w:hint="eastAsia"/>
          <w:sz w:val="18"/>
          <w:szCs w:val="22"/>
          <w:rtl/>
          <w:lang w:eastAsia="he-IL"/>
        </w:rPr>
        <w:t>מתאפיין</w:t>
      </w:r>
      <w:r w:rsidRPr="00F41E78">
        <w:rPr>
          <w:rFonts w:cs="FrankRuehl"/>
          <w:sz w:val="18"/>
          <w:szCs w:val="22"/>
          <w:rtl/>
          <w:lang w:eastAsia="he-IL"/>
        </w:rPr>
        <w:t xml:space="preserve"> </w:t>
      </w:r>
      <w:r w:rsidRPr="00F41E78">
        <w:rPr>
          <w:rFonts w:cs="FrankRuehl" w:hint="eastAsia"/>
          <w:sz w:val="18"/>
          <w:szCs w:val="22"/>
          <w:rtl/>
          <w:lang w:eastAsia="he-IL"/>
        </w:rPr>
        <w:t>במחזוריות</w:t>
      </w:r>
      <w:r w:rsidRPr="00F41E78">
        <w:rPr>
          <w:rFonts w:cs="FrankRuehl"/>
          <w:sz w:val="18"/>
          <w:szCs w:val="22"/>
          <w:rtl/>
          <w:lang w:eastAsia="he-IL"/>
        </w:rPr>
        <w:t xml:space="preserve"> </w:t>
      </w:r>
      <w:r w:rsidRPr="00F41E78">
        <w:rPr>
          <w:rFonts w:cs="FrankRuehl" w:hint="eastAsia"/>
          <w:sz w:val="18"/>
          <w:szCs w:val="22"/>
          <w:rtl/>
          <w:lang w:eastAsia="he-IL"/>
        </w:rPr>
        <w:t>והדבר</w:t>
      </w:r>
      <w:r w:rsidRPr="00F41E78">
        <w:rPr>
          <w:rFonts w:cs="FrankRuehl"/>
          <w:sz w:val="18"/>
          <w:szCs w:val="22"/>
          <w:rtl/>
          <w:lang w:eastAsia="he-IL"/>
        </w:rPr>
        <w:t xml:space="preserve"> </w:t>
      </w:r>
      <w:r w:rsidRPr="00F41E78">
        <w:rPr>
          <w:rFonts w:cs="FrankRuehl" w:hint="eastAsia"/>
          <w:sz w:val="18"/>
          <w:szCs w:val="22"/>
          <w:rtl/>
          <w:lang w:eastAsia="he-IL"/>
        </w:rPr>
        <w:t>מחייב</w:t>
      </w:r>
      <w:r w:rsidRPr="00F41E78">
        <w:rPr>
          <w:rFonts w:cs="FrankRuehl"/>
          <w:sz w:val="18"/>
          <w:szCs w:val="22"/>
          <w:rtl/>
          <w:lang w:eastAsia="he-IL"/>
        </w:rPr>
        <w:t xml:space="preserve"> </w:t>
      </w:r>
      <w:r w:rsidRPr="00F41E78">
        <w:rPr>
          <w:rFonts w:cs="FrankRuehl" w:hint="eastAsia"/>
          <w:sz w:val="18"/>
          <w:szCs w:val="22"/>
          <w:rtl/>
          <w:lang w:eastAsia="he-IL"/>
        </w:rPr>
        <w:t>היערכות</w:t>
      </w:r>
      <w:r w:rsidRPr="00F41E78">
        <w:rPr>
          <w:rFonts w:cs="FrankRuehl"/>
          <w:sz w:val="18"/>
          <w:szCs w:val="22"/>
          <w:rtl/>
          <w:lang w:eastAsia="he-IL"/>
        </w:rPr>
        <w:t xml:space="preserve"> </w:t>
      </w:r>
      <w:r w:rsidRPr="00F41E78">
        <w:rPr>
          <w:rFonts w:cs="FrankRuehl" w:hint="eastAsia"/>
          <w:sz w:val="18"/>
          <w:szCs w:val="22"/>
          <w:rtl/>
          <w:lang w:eastAsia="he-IL"/>
        </w:rPr>
        <w:t>מוקדמת</w:t>
      </w:r>
      <w:r w:rsidRPr="00F41E78">
        <w:rPr>
          <w:rFonts w:cs="FrankRuehl"/>
          <w:sz w:val="18"/>
          <w:szCs w:val="22"/>
          <w:rtl/>
          <w:lang w:eastAsia="he-IL"/>
        </w:rPr>
        <w:t xml:space="preserve"> </w:t>
      </w:r>
      <w:r w:rsidRPr="00F41E78">
        <w:rPr>
          <w:rFonts w:cs="FrankRuehl" w:hint="eastAsia"/>
          <w:sz w:val="18"/>
          <w:szCs w:val="22"/>
          <w:rtl/>
          <w:lang w:eastAsia="he-IL"/>
        </w:rPr>
        <w:t>שתאפשר</w:t>
      </w:r>
      <w:r w:rsidRPr="00F41E78">
        <w:rPr>
          <w:rFonts w:cs="FrankRuehl"/>
          <w:sz w:val="18"/>
          <w:szCs w:val="22"/>
          <w:rtl/>
          <w:lang w:eastAsia="he-IL"/>
        </w:rPr>
        <w:t xml:space="preserve"> </w:t>
      </w:r>
      <w:r w:rsidRPr="00F41E78">
        <w:rPr>
          <w:rFonts w:cs="FrankRuehl" w:hint="eastAsia"/>
          <w:sz w:val="18"/>
          <w:szCs w:val="22"/>
          <w:rtl/>
          <w:lang w:eastAsia="he-IL"/>
        </w:rPr>
        <w:t>להתמודד</w:t>
      </w:r>
      <w:r w:rsidRPr="00F41E78">
        <w:rPr>
          <w:rFonts w:cs="FrankRuehl"/>
          <w:sz w:val="18"/>
          <w:szCs w:val="22"/>
          <w:rtl/>
          <w:lang w:eastAsia="he-IL"/>
        </w:rPr>
        <w:t xml:space="preserve"> </w:t>
      </w:r>
      <w:r w:rsidRPr="00F41E78">
        <w:rPr>
          <w:rFonts w:cs="FrankRuehl" w:hint="eastAsia"/>
          <w:sz w:val="18"/>
          <w:szCs w:val="22"/>
          <w:rtl/>
          <w:lang w:eastAsia="he-IL"/>
        </w:rPr>
        <w:t>עם</w:t>
      </w:r>
      <w:r w:rsidRPr="00F41E78">
        <w:rPr>
          <w:rFonts w:cs="FrankRuehl"/>
          <w:sz w:val="18"/>
          <w:szCs w:val="22"/>
          <w:rtl/>
          <w:lang w:eastAsia="he-IL"/>
        </w:rPr>
        <w:t xml:space="preserve"> </w:t>
      </w:r>
      <w:r w:rsidRPr="00F41E78">
        <w:rPr>
          <w:rFonts w:cs="FrankRuehl" w:hint="eastAsia"/>
          <w:sz w:val="18"/>
          <w:szCs w:val="22"/>
          <w:rtl/>
          <w:lang w:eastAsia="he-IL"/>
        </w:rPr>
        <w:t>השינויים</w:t>
      </w:r>
      <w:r w:rsidRPr="00F41E78">
        <w:rPr>
          <w:rFonts w:cs="FrankRuehl"/>
          <w:sz w:val="18"/>
          <w:szCs w:val="22"/>
          <w:rtl/>
          <w:lang w:eastAsia="he-IL"/>
        </w:rPr>
        <w:t xml:space="preserve"> </w:t>
      </w:r>
      <w:r w:rsidRPr="00F41E78">
        <w:rPr>
          <w:rFonts w:cs="FrankRuehl" w:hint="eastAsia"/>
          <w:sz w:val="18"/>
          <w:szCs w:val="22"/>
          <w:rtl/>
          <w:lang w:eastAsia="he-IL"/>
        </w:rPr>
        <w:t>הצפויים</w:t>
      </w:r>
      <w:r w:rsidRPr="00F41E78">
        <w:rPr>
          <w:rFonts w:cs="FrankRuehl"/>
          <w:sz w:val="18"/>
          <w:szCs w:val="22"/>
          <w:rtl/>
          <w:lang w:eastAsia="he-IL"/>
        </w:rPr>
        <w:t>.</w:t>
      </w:r>
    </w:p>
    <w:p w:rsidR="00D22B16" w:rsidRPr="00F41E78" w:rsidP="00D22B16">
      <w:pPr>
        <w:pStyle w:val="RESHET"/>
        <w:keepLines/>
        <w:rPr>
          <w:rtl/>
        </w:rPr>
      </w:pPr>
      <w:r w:rsidRPr="00F41E78">
        <w:rPr>
          <w:rFonts w:hint="cs"/>
          <w:rtl/>
        </w:rPr>
        <w:t xml:space="preserve">בביקורת עלה כי בשנים שקדמו למשבר הדיור הנוכחי, ובכלל זה בשנים 2007-2005, לא הפעילו משרדי הממשלה הנוגעים בדבר מנגנון לניהול סיכונים שיאפשר התמודדות עם שינויים צפויים וחריגים במחירי הדיור. במסגרת זו נדרש היה למפות את ההתרחשויות האפשריות החריגות בשוק הדיור, למשל עליה חדה במחירי הדיור או להפך - שפל ולקבוע את מגוון הכלים שניתן יהיה להשתמש בהם על פי הצורך בהיבט התכנוני, התקציבי, הביצועי וכיוצ"ב (ראו בפרוט בהמשך שער זה); למותר לציין שהיעדרו של מנגנון כזה הורגש בעת פרוץ משבר הדיור בשנת 2008, מאחר שלא היו בידי הממשלה כלים שיכלה להפעיל במועד, לצורך בלימת הזעזועים והתנודות בשוק הדיור. </w:t>
      </w:r>
    </w:p>
    <w:p w:rsidR="00E97EDA" w:rsidRPr="00F41E78" w:rsidP="007347C2">
      <w:pPr>
        <w:spacing w:before="180" w:after="240" w:line="230" w:lineRule="exact"/>
        <w:jc w:val="both"/>
        <w:rPr>
          <w:rFonts w:cs="FrankRuehl"/>
          <w:sz w:val="18"/>
          <w:szCs w:val="22"/>
          <w:rtl/>
          <w:lang w:eastAsia="he-IL"/>
        </w:rPr>
      </w:pPr>
      <w:r w:rsidRPr="00F41E78">
        <w:rPr>
          <w:rFonts w:cs="FrankRuehl" w:hint="eastAsia"/>
          <w:sz w:val="18"/>
          <w:szCs w:val="22"/>
          <w:rtl/>
          <w:lang w:eastAsia="he-IL"/>
        </w:rPr>
        <w:t>בתשובת</w:t>
      </w:r>
      <w:r w:rsidRPr="00F41E78">
        <w:rPr>
          <w:rFonts w:cs="FrankRuehl" w:hint="cs"/>
          <w:sz w:val="18"/>
          <w:szCs w:val="22"/>
          <w:rtl/>
          <w:lang w:eastAsia="he-IL"/>
        </w:rPr>
        <w:t>ו</w:t>
      </w:r>
      <w:r w:rsidRPr="00F41E78">
        <w:rPr>
          <w:rFonts w:cs="FrankRuehl"/>
          <w:sz w:val="18"/>
          <w:szCs w:val="22"/>
          <w:rtl/>
          <w:lang w:eastAsia="he-IL"/>
        </w:rPr>
        <w:t xml:space="preserve"> </w:t>
      </w:r>
      <w:r w:rsidRPr="00F41E78">
        <w:rPr>
          <w:rFonts w:cs="FrankRuehl" w:hint="eastAsia"/>
          <w:sz w:val="18"/>
          <w:szCs w:val="22"/>
          <w:rtl/>
          <w:lang w:eastAsia="he-IL"/>
        </w:rPr>
        <w:t>מאפריל</w:t>
      </w:r>
      <w:r w:rsidRPr="00F41E78">
        <w:rPr>
          <w:rFonts w:cs="FrankRuehl"/>
          <w:sz w:val="18"/>
          <w:szCs w:val="22"/>
          <w:rtl/>
          <w:lang w:eastAsia="he-IL"/>
        </w:rPr>
        <w:t xml:space="preserve"> 2014</w:t>
      </w:r>
      <w:r w:rsidRPr="00F41E78">
        <w:rPr>
          <w:rFonts w:cs="FrankRuehl" w:hint="cs"/>
          <w:sz w:val="18"/>
          <w:szCs w:val="22"/>
          <w:rtl/>
          <w:lang w:eastAsia="he-IL"/>
        </w:rPr>
        <w:t xml:space="preserve"> </w:t>
      </w:r>
      <w:r w:rsidRPr="00F41E78">
        <w:rPr>
          <w:rFonts w:cs="FrankRuehl"/>
          <w:sz w:val="18"/>
          <w:szCs w:val="22"/>
          <w:rtl/>
          <w:lang w:eastAsia="he-IL"/>
        </w:rPr>
        <w:t xml:space="preserve">ציין </w:t>
      </w:r>
      <w:r w:rsidRPr="00F41E78">
        <w:rPr>
          <w:rFonts w:cs="FrankRuehl" w:hint="cs"/>
          <w:sz w:val="18"/>
          <w:szCs w:val="22"/>
          <w:rtl/>
          <w:lang w:eastAsia="he-IL"/>
        </w:rPr>
        <w:t>אג"ת</w:t>
      </w:r>
      <w:r w:rsidRPr="00F41E78">
        <w:rPr>
          <w:rFonts w:cs="FrankRuehl"/>
          <w:sz w:val="18"/>
          <w:szCs w:val="22"/>
          <w:rtl/>
          <w:lang w:eastAsia="he-IL"/>
        </w:rPr>
        <w:t xml:space="preserve"> כי </w:t>
      </w:r>
      <w:r w:rsidRPr="00F41E78">
        <w:rPr>
          <w:rFonts w:cs="FrankRuehl" w:hint="cs"/>
          <w:sz w:val="18"/>
          <w:szCs w:val="22"/>
          <w:rtl/>
          <w:lang w:eastAsia="he-IL"/>
        </w:rPr>
        <w:t>החלטת קבינט הדיור בנובמבר 2013 (במהלך הביקורת)</w:t>
      </w:r>
      <w:r w:rsidRPr="00F41E78">
        <w:rPr>
          <w:rFonts w:cs="FrankRuehl"/>
          <w:sz w:val="18"/>
          <w:szCs w:val="22"/>
          <w:rtl/>
          <w:lang w:eastAsia="he-IL"/>
        </w:rPr>
        <w:t xml:space="preserve"> </w:t>
      </w:r>
      <w:r w:rsidRPr="00F41E78">
        <w:rPr>
          <w:rFonts w:cs="FrankRuehl" w:hint="cs"/>
          <w:sz w:val="18"/>
          <w:szCs w:val="22"/>
          <w:rtl/>
          <w:lang w:eastAsia="he-IL"/>
        </w:rPr>
        <w:t xml:space="preserve">בנוגע </w:t>
      </w:r>
      <w:r w:rsidRPr="00F41E78">
        <w:rPr>
          <w:rFonts w:cs="FrankRuehl" w:hint="eastAsia"/>
          <w:sz w:val="18"/>
          <w:szCs w:val="22"/>
          <w:rtl/>
          <w:lang w:eastAsia="he-IL"/>
        </w:rPr>
        <w:t>להקמת</w:t>
      </w:r>
      <w:r w:rsidRPr="00F41E78">
        <w:rPr>
          <w:rFonts w:cs="FrankRuehl"/>
          <w:sz w:val="18"/>
          <w:szCs w:val="22"/>
          <w:rtl/>
          <w:lang w:eastAsia="he-IL"/>
        </w:rPr>
        <w:t xml:space="preserve"> </w:t>
      </w:r>
      <w:r w:rsidRPr="00F41E78">
        <w:rPr>
          <w:rFonts w:cs="FrankRuehl" w:hint="eastAsia"/>
          <w:sz w:val="18"/>
          <w:szCs w:val="22"/>
          <w:rtl/>
          <w:lang w:eastAsia="he-IL"/>
        </w:rPr>
        <w:t>ועדה</w:t>
      </w:r>
      <w:r w:rsidRPr="00F41E78">
        <w:rPr>
          <w:rFonts w:cs="FrankRuehl"/>
          <w:sz w:val="18"/>
          <w:szCs w:val="22"/>
          <w:rtl/>
          <w:lang w:eastAsia="he-IL"/>
        </w:rPr>
        <w:t xml:space="preserve"> </w:t>
      </w:r>
      <w:r w:rsidRPr="00F41E78">
        <w:rPr>
          <w:rFonts w:cs="FrankRuehl" w:hint="eastAsia"/>
          <w:sz w:val="18"/>
          <w:szCs w:val="22"/>
          <w:rtl/>
          <w:lang w:eastAsia="he-IL"/>
        </w:rPr>
        <w:t>לתכניות</w:t>
      </w:r>
      <w:r w:rsidRPr="00F41E78">
        <w:rPr>
          <w:rFonts w:cs="FrankRuehl"/>
          <w:sz w:val="18"/>
          <w:szCs w:val="22"/>
          <w:rtl/>
          <w:lang w:eastAsia="he-IL"/>
        </w:rPr>
        <w:t xml:space="preserve"> </w:t>
      </w:r>
      <w:r w:rsidRPr="00F41E78">
        <w:rPr>
          <w:rFonts w:cs="FrankRuehl" w:hint="eastAsia"/>
          <w:sz w:val="18"/>
          <w:szCs w:val="22"/>
          <w:rtl/>
          <w:lang w:eastAsia="he-IL"/>
        </w:rPr>
        <w:t>מועדפות</w:t>
      </w:r>
      <w:r w:rsidRPr="00F41E78">
        <w:rPr>
          <w:rFonts w:cs="FrankRuehl"/>
          <w:sz w:val="18"/>
          <w:szCs w:val="22"/>
          <w:rtl/>
          <w:lang w:eastAsia="he-IL"/>
        </w:rPr>
        <w:t xml:space="preserve"> </w:t>
      </w:r>
      <w:r w:rsidRPr="00F41E78">
        <w:rPr>
          <w:rFonts w:cs="FrankRuehl" w:hint="eastAsia"/>
          <w:sz w:val="18"/>
          <w:szCs w:val="22"/>
          <w:rtl/>
          <w:lang w:eastAsia="he-IL"/>
        </w:rPr>
        <w:t>לדיור</w:t>
      </w:r>
      <w:r w:rsidRPr="00F41E78">
        <w:rPr>
          <w:rFonts w:cs="FrankRuehl"/>
          <w:sz w:val="18"/>
          <w:szCs w:val="22"/>
          <w:rtl/>
          <w:lang w:eastAsia="he-IL"/>
        </w:rPr>
        <w:t xml:space="preserve"> </w:t>
      </w:r>
      <w:r w:rsidRPr="00F41E78">
        <w:rPr>
          <w:rFonts w:cs="FrankRuehl" w:hint="cs"/>
          <w:sz w:val="18"/>
          <w:szCs w:val="22"/>
          <w:rtl/>
          <w:lang w:eastAsia="he-IL"/>
        </w:rPr>
        <w:t>(ותמ"ל) נועדה</w:t>
      </w:r>
      <w:r w:rsidRPr="00F41E78">
        <w:rPr>
          <w:rFonts w:cs="FrankRuehl"/>
          <w:sz w:val="18"/>
          <w:szCs w:val="22"/>
          <w:rtl/>
          <w:lang w:eastAsia="he-IL"/>
        </w:rPr>
        <w:t xml:space="preserve"> </w:t>
      </w:r>
      <w:r w:rsidRPr="00F41E78">
        <w:rPr>
          <w:rFonts w:cs="FrankRuehl" w:hint="cs"/>
          <w:sz w:val="18"/>
          <w:szCs w:val="22"/>
          <w:rtl/>
          <w:lang w:eastAsia="he-IL"/>
        </w:rPr>
        <w:t>למלא ה</w:t>
      </w:r>
      <w:r w:rsidRPr="00F41E78">
        <w:rPr>
          <w:rFonts w:cs="FrankRuehl" w:hint="eastAsia"/>
          <w:sz w:val="18"/>
          <w:szCs w:val="22"/>
          <w:rtl/>
          <w:lang w:eastAsia="he-IL"/>
        </w:rPr>
        <w:t>צורך</w:t>
      </w:r>
      <w:r w:rsidRPr="00F41E78">
        <w:rPr>
          <w:rFonts w:cs="FrankRuehl"/>
          <w:sz w:val="18"/>
          <w:szCs w:val="22"/>
          <w:rtl/>
          <w:lang w:eastAsia="he-IL"/>
        </w:rPr>
        <w:t xml:space="preserve"> </w:t>
      </w:r>
      <w:r w:rsidRPr="00F41E78">
        <w:rPr>
          <w:rFonts w:cs="FrankRuehl" w:hint="cs"/>
          <w:sz w:val="18"/>
          <w:szCs w:val="22"/>
          <w:rtl/>
          <w:lang w:eastAsia="he-IL"/>
        </w:rPr>
        <w:t>בהיערכות מוקדמת וקביעת הכלים הייעודיים למתן מענה לאירועים חריגים:</w:t>
      </w:r>
      <w:r w:rsidRPr="00F41E78">
        <w:rPr>
          <w:rFonts w:cs="FrankRuehl"/>
          <w:sz w:val="18"/>
          <w:szCs w:val="22"/>
          <w:rtl/>
          <w:lang w:eastAsia="he-IL"/>
        </w:rPr>
        <w:t xml:space="preserve"> </w:t>
      </w:r>
      <w:r w:rsidRPr="00F41E78">
        <w:rPr>
          <w:rFonts w:cs="FrankRuehl" w:hint="cs"/>
          <w:sz w:val="18"/>
          <w:szCs w:val="22"/>
          <w:rtl/>
          <w:lang w:eastAsia="he-IL"/>
        </w:rPr>
        <w:t>"הוועדה האמורה היא</w:t>
      </w:r>
      <w:r w:rsidRPr="00F41E78">
        <w:rPr>
          <w:rFonts w:cs="FrankRuehl"/>
          <w:sz w:val="18"/>
          <w:szCs w:val="22"/>
          <w:rtl/>
          <w:lang w:eastAsia="he-IL"/>
        </w:rPr>
        <w:t xml:space="preserve"> </w:t>
      </w:r>
      <w:r w:rsidRPr="00F41E78">
        <w:rPr>
          <w:rFonts w:cs="FrankRuehl" w:hint="eastAsia"/>
          <w:sz w:val="18"/>
          <w:szCs w:val="22"/>
          <w:rtl/>
          <w:lang w:eastAsia="he-IL"/>
        </w:rPr>
        <w:t>מוסד</w:t>
      </w:r>
      <w:r w:rsidRPr="00F41E78">
        <w:rPr>
          <w:rFonts w:cs="FrankRuehl"/>
          <w:sz w:val="18"/>
          <w:szCs w:val="22"/>
          <w:rtl/>
          <w:lang w:eastAsia="he-IL"/>
        </w:rPr>
        <w:t xml:space="preserve"> </w:t>
      </w:r>
      <w:r w:rsidRPr="00F41E78">
        <w:rPr>
          <w:rFonts w:cs="FrankRuehl" w:hint="eastAsia"/>
          <w:sz w:val="18"/>
          <w:szCs w:val="22"/>
          <w:rtl/>
          <w:lang w:eastAsia="he-IL"/>
        </w:rPr>
        <w:t>תכנון</w:t>
      </w:r>
      <w:r w:rsidRPr="00F41E78">
        <w:rPr>
          <w:rFonts w:cs="FrankRuehl"/>
          <w:sz w:val="18"/>
          <w:szCs w:val="22"/>
          <w:rtl/>
          <w:lang w:eastAsia="he-IL"/>
        </w:rPr>
        <w:t xml:space="preserve"> </w:t>
      </w:r>
      <w:r w:rsidRPr="00F41E78">
        <w:rPr>
          <w:rFonts w:cs="FrankRuehl" w:hint="cs"/>
          <w:sz w:val="18"/>
          <w:szCs w:val="22"/>
          <w:rtl/>
          <w:lang w:eastAsia="he-IL"/>
        </w:rPr>
        <w:t xml:space="preserve">ולו </w:t>
      </w:r>
      <w:r w:rsidRPr="00F41E78">
        <w:rPr>
          <w:rFonts w:cs="FrankRuehl" w:hint="eastAsia"/>
          <w:sz w:val="18"/>
          <w:szCs w:val="22"/>
          <w:rtl/>
          <w:lang w:eastAsia="he-IL"/>
        </w:rPr>
        <w:t>סמכויות</w:t>
      </w:r>
      <w:r w:rsidRPr="00F41E78">
        <w:rPr>
          <w:rFonts w:cs="FrankRuehl"/>
          <w:sz w:val="18"/>
          <w:szCs w:val="22"/>
          <w:rtl/>
          <w:lang w:eastAsia="he-IL"/>
        </w:rPr>
        <w:t xml:space="preserve"> </w:t>
      </w:r>
      <w:r w:rsidRPr="00F41E78">
        <w:rPr>
          <w:rFonts w:cs="FrankRuehl" w:hint="eastAsia"/>
          <w:sz w:val="18"/>
          <w:szCs w:val="22"/>
          <w:rtl/>
          <w:lang w:eastAsia="he-IL"/>
        </w:rPr>
        <w:t>נרחבות</w:t>
      </w:r>
      <w:r w:rsidRPr="00F41E78">
        <w:rPr>
          <w:rFonts w:cs="FrankRuehl"/>
          <w:sz w:val="18"/>
          <w:szCs w:val="22"/>
          <w:rtl/>
          <w:lang w:eastAsia="he-IL"/>
        </w:rPr>
        <w:t xml:space="preserve"> </w:t>
      </w:r>
      <w:r w:rsidRPr="00F41E78">
        <w:rPr>
          <w:rFonts w:cs="FrankRuehl" w:hint="cs"/>
          <w:sz w:val="18"/>
          <w:szCs w:val="22"/>
          <w:rtl/>
          <w:lang w:eastAsia="he-IL"/>
        </w:rPr>
        <w:t>המתמחה</w:t>
      </w:r>
      <w:r w:rsidRPr="00F41E78">
        <w:rPr>
          <w:rFonts w:cs="FrankRuehl"/>
          <w:sz w:val="18"/>
          <w:szCs w:val="22"/>
          <w:rtl/>
          <w:lang w:eastAsia="he-IL"/>
        </w:rPr>
        <w:t xml:space="preserve"> </w:t>
      </w:r>
      <w:r w:rsidRPr="00F41E78">
        <w:rPr>
          <w:rFonts w:cs="FrankRuehl" w:hint="eastAsia"/>
          <w:sz w:val="18"/>
          <w:szCs w:val="22"/>
          <w:rtl/>
          <w:lang w:eastAsia="he-IL"/>
        </w:rPr>
        <w:t>בתכניות</w:t>
      </w:r>
      <w:r w:rsidRPr="00F41E78">
        <w:rPr>
          <w:rFonts w:cs="FrankRuehl"/>
          <w:sz w:val="18"/>
          <w:szCs w:val="22"/>
          <w:rtl/>
          <w:lang w:eastAsia="he-IL"/>
        </w:rPr>
        <w:t xml:space="preserve"> </w:t>
      </w:r>
      <w:r w:rsidRPr="00F41E78">
        <w:rPr>
          <w:rFonts w:cs="FrankRuehl" w:hint="eastAsia"/>
          <w:sz w:val="18"/>
          <w:szCs w:val="22"/>
          <w:rtl/>
          <w:lang w:eastAsia="he-IL"/>
        </w:rPr>
        <w:t>מגורים</w:t>
      </w:r>
      <w:r w:rsidRPr="00F41E78">
        <w:rPr>
          <w:rFonts w:cs="FrankRuehl"/>
          <w:sz w:val="18"/>
          <w:szCs w:val="22"/>
          <w:rtl/>
          <w:lang w:eastAsia="he-IL"/>
        </w:rPr>
        <w:t xml:space="preserve"> </w:t>
      </w:r>
      <w:r w:rsidRPr="00F41E78">
        <w:rPr>
          <w:rFonts w:cs="FrankRuehl" w:hint="cs"/>
          <w:sz w:val="18"/>
          <w:szCs w:val="22"/>
          <w:rtl/>
          <w:lang w:eastAsia="he-IL"/>
        </w:rPr>
        <w:t>ה</w:t>
      </w:r>
      <w:r w:rsidRPr="00F41E78">
        <w:rPr>
          <w:rFonts w:cs="FrankRuehl" w:hint="eastAsia"/>
          <w:sz w:val="18"/>
          <w:szCs w:val="22"/>
          <w:rtl/>
          <w:lang w:eastAsia="he-IL"/>
        </w:rPr>
        <w:t>אמור</w:t>
      </w:r>
      <w:r w:rsidRPr="00F41E78">
        <w:rPr>
          <w:rFonts w:cs="FrankRuehl"/>
          <w:sz w:val="18"/>
          <w:szCs w:val="22"/>
          <w:rtl/>
          <w:lang w:eastAsia="he-IL"/>
        </w:rPr>
        <w:t xml:space="preserve"> </w:t>
      </w:r>
      <w:r w:rsidRPr="00F41E78">
        <w:rPr>
          <w:rFonts w:cs="FrankRuehl" w:hint="eastAsia"/>
          <w:sz w:val="18"/>
          <w:szCs w:val="22"/>
          <w:rtl/>
          <w:lang w:eastAsia="he-IL"/>
        </w:rPr>
        <w:t>לייצר</w:t>
      </w:r>
      <w:r w:rsidRPr="00F41E78">
        <w:rPr>
          <w:rFonts w:cs="FrankRuehl"/>
          <w:sz w:val="18"/>
          <w:szCs w:val="22"/>
          <w:rtl/>
          <w:lang w:eastAsia="he-IL"/>
        </w:rPr>
        <w:t xml:space="preserve"> </w:t>
      </w:r>
      <w:r w:rsidRPr="00F41E78">
        <w:rPr>
          <w:rFonts w:cs="FrankRuehl" w:hint="eastAsia"/>
          <w:sz w:val="18"/>
          <w:szCs w:val="22"/>
          <w:rtl/>
          <w:lang w:eastAsia="he-IL"/>
        </w:rPr>
        <w:t>מלאי</w:t>
      </w:r>
      <w:r w:rsidRPr="00F41E78">
        <w:rPr>
          <w:rFonts w:cs="FrankRuehl"/>
          <w:sz w:val="18"/>
          <w:szCs w:val="22"/>
          <w:rtl/>
          <w:lang w:eastAsia="he-IL"/>
        </w:rPr>
        <w:t xml:space="preserve"> </w:t>
      </w:r>
      <w:r w:rsidRPr="00F41E78">
        <w:rPr>
          <w:rFonts w:cs="FrankRuehl" w:hint="eastAsia"/>
          <w:sz w:val="18"/>
          <w:szCs w:val="22"/>
          <w:rtl/>
          <w:lang w:eastAsia="he-IL"/>
        </w:rPr>
        <w:t>תכנוני</w:t>
      </w:r>
      <w:r w:rsidRPr="00F41E78">
        <w:rPr>
          <w:rFonts w:cs="FrankRuehl"/>
          <w:sz w:val="18"/>
          <w:szCs w:val="22"/>
          <w:rtl/>
          <w:lang w:eastAsia="he-IL"/>
        </w:rPr>
        <w:t xml:space="preserve"> </w:t>
      </w:r>
      <w:r w:rsidRPr="00F41E78">
        <w:rPr>
          <w:rFonts w:cs="FrankRuehl" w:hint="eastAsia"/>
          <w:sz w:val="18"/>
          <w:szCs w:val="22"/>
          <w:rtl/>
          <w:lang w:eastAsia="he-IL"/>
        </w:rPr>
        <w:t>מורחב</w:t>
      </w:r>
      <w:r w:rsidRPr="00F41E78">
        <w:rPr>
          <w:rFonts w:cs="FrankRuehl"/>
          <w:sz w:val="18"/>
          <w:szCs w:val="22"/>
          <w:rtl/>
          <w:lang w:eastAsia="he-IL"/>
        </w:rPr>
        <w:t xml:space="preserve"> של יח"ד, שבשעת הצורך </w:t>
      </w:r>
      <w:r w:rsidRPr="00F41E78">
        <w:rPr>
          <w:rFonts w:cs="FrankRuehl" w:hint="cs"/>
          <w:sz w:val="18"/>
          <w:szCs w:val="22"/>
          <w:rtl/>
          <w:lang w:eastAsia="he-IL"/>
        </w:rPr>
        <w:t>יאפשר</w:t>
      </w:r>
      <w:r w:rsidRPr="00F41E78">
        <w:rPr>
          <w:rFonts w:cs="FrankRuehl"/>
          <w:sz w:val="18"/>
          <w:szCs w:val="22"/>
          <w:rtl/>
          <w:lang w:eastAsia="he-IL"/>
        </w:rPr>
        <w:t xml:space="preserve"> להאיץ את שיווקי הקרקע למגורים </w:t>
      </w:r>
      <w:r w:rsidRPr="00F41E78">
        <w:rPr>
          <w:rFonts w:cs="FrankRuehl" w:hint="cs"/>
          <w:sz w:val="18"/>
          <w:szCs w:val="22"/>
          <w:rtl/>
          <w:lang w:eastAsia="he-IL"/>
        </w:rPr>
        <w:t>ולספק את ה</w:t>
      </w:r>
      <w:r w:rsidRPr="00F41E78">
        <w:rPr>
          <w:rFonts w:cs="FrankRuehl" w:hint="eastAsia"/>
          <w:sz w:val="18"/>
          <w:szCs w:val="22"/>
          <w:rtl/>
          <w:lang w:eastAsia="he-IL"/>
        </w:rPr>
        <w:t>ביקושים</w:t>
      </w:r>
      <w:r w:rsidRPr="00F41E78">
        <w:rPr>
          <w:rFonts w:cs="FrankRuehl"/>
          <w:sz w:val="18"/>
          <w:szCs w:val="22"/>
          <w:rtl/>
          <w:lang w:eastAsia="he-IL"/>
        </w:rPr>
        <w:t xml:space="preserve"> </w:t>
      </w:r>
      <w:r w:rsidRPr="00F41E78">
        <w:rPr>
          <w:rFonts w:cs="FrankRuehl" w:hint="eastAsia"/>
          <w:sz w:val="18"/>
          <w:szCs w:val="22"/>
          <w:rtl/>
          <w:lang w:eastAsia="he-IL"/>
        </w:rPr>
        <w:t>הגוברים</w:t>
      </w:r>
      <w:r w:rsidRPr="00F41E78">
        <w:rPr>
          <w:rFonts w:cs="FrankRuehl" w:hint="cs"/>
          <w:sz w:val="18"/>
          <w:szCs w:val="22"/>
          <w:rtl/>
          <w:lang w:eastAsia="he-IL"/>
        </w:rPr>
        <w:t>"</w:t>
      </w:r>
      <w:r w:rsidRPr="00F41E78">
        <w:rPr>
          <w:rFonts w:cs="FrankRuehl"/>
          <w:sz w:val="18"/>
          <w:szCs w:val="22"/>
          <w:rtl/>
          <w:lang w:eastAsia="he-IL"/>
        </w:rPr>
        <w:t xml:space="preserve">. </w:t>
      </w:r>
    </w:p>
    <w:p w:rsidR="00D22B16" w:rsidRPr="00F41E78" w:rsidP="00D22B16">
      <w:pPr>
        <w:pStyle w:val="RESHET"/>
        <w:keepLines/>
        <w:rPr>
          <w:rtl/>
        </w:rPr>
      </w:pPr>
      <w:r w:rsidRPr="00F41E78">
        <w:rPr>
          <w:rFonts w:hint="eastAsia"/>
          <w:rtl/>
        </w:rPr>
        <w:t>משרד</w:t>
      </w:r>
      <w:r w:rsidRPr="00F41E78">
        <w:rPr>
          <w:rtl/>
        </w:rPr>
        <w:t xml:space="preserve"> מבקר המדינה מעיר </w:t>
      </w:r>
      <w:r w:rsidRPr="00582A43">
        <w:rPr>
          <w:rtl/>
        </w:rPr>
        <w:t xml:space="preserve">כי </w:t>
      </w:r>
      <w:r w:rsidRPr="00582A43">
        <w:rPr>
          <w:rFonts w:hint="cs"/>
          <w:rtl/>
        </w:rPr>
        <w:t>הותמ"ל נועד</w:t>
      </w:r>
      <w:r w:rsidRPr="00582A43" w:rsidR="0080406D">
        <w:rPr>
          <w:rFonts w:hint="cs"/>
          <w:rtl/>
        </w:rPr>
        <w:t>ה</w:t>
      </w:r>
      <w:r w:rsidRPr="00582A43">
        <w:rPr>
          <w:rFonts w:hint="cs"/>
          <w:rtl/>
        </w:rPr>
        <w:t xml:space="preserve"> לעסוק</w:t>
      </w:r>
      <w:r w:rsidRPr="00F41E78">
        <w:rPr>
          <w:rFonts w:hint="cs"/>
          <w:rtl/>
        </w:rPr>
        <w:t xml:space="preserve"> בפן אחד של שוק הדיור - המלאי התכנוני; אולם לשוק הדיור היבטים נוספים שיש להם השלכות על שרשרת הייצור של יח"ד, למשל היבטי מימון ומיסוי, שגם הם עשויים להיות חלק מ"ארגז הכלים" להתמודדות עם שינויים חדים בשוק הדיור.</w:t>
      </w:r>
    </w:p>
    <w:p w:rsidR="007347C2" w:rsidP="007347C2">
      <w:pPr>
        <w:spacing w:after="120" w:line="230" w:lineRule="exact"/>
        <w:jc w:val="both"/>
        <w:rPr>
          <w:rFonts w:cs="FrankRuehl"/>
          <w:sz w:val="22"/>
          <w:szCs w:val="22"/>
          <w:rtl/>
        </w:rPr>
      </w:pPr>
    </w:p>
    <w:p w:rsidR="007347C2" w:rsidP="007347C2">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7347C2" w:rsidP="007347C2">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 xml:space="preserve">בשנים 2007-2005 קיבלה הממשלה כמה וכמה החלטות בעלות השפעה מהותית על שוק הדיור. אולם חל עיכוב ביישום חלק מהן, למשל הרפורמה במינהל מקרקעי ישראל ובחוק התכנון והבנייה. החלטות אחרות, כמו זו המנחה לגבש וליישם תכנית חומש לתכנון ולפיתוח הקרקע למגורים ולתעסוקה, כלל לא בוצעו. נמצא גם כי התפוקות של שרשרת הייצור בשנים אלו היו נמוכות במידה ניכרת מאלו שנקבעו ביעדי תמ"א 35 ומהנדרש למשק, ועקב כך מדיניות הדיור שהתוותה הממשלה באמצעות החלטותיה נותרה כמעט בגדר "אות מתה". </w:t>
      </w:r>
    </w:p>
    <w:p w:rsidR="00D22B16" w:rsidRPr="00F41E78" w:rsidP="00D22B16">
      <w:pPr>
        <w:pStyle w:val="RESHET"/>
        <w:keepLines/>
        <w:rPr>
          <w:rtl/>
        </w:rPr>
      </w:pPr>
      <w:r w:rsidRPr="00F41E78">
        <w:rPr>
          <w:rFonts w:hint="cs"/>
          <w:rtl/>
        </w:rPr>
        <w:t xml:space="preserve">אי-יישום החלטות הממשלה, המחסור ביח"ד והיעדר היעדר מנגנון לניהול סיכונים הביאו לכך שעם פרוץ משבר הדיור בשנת 2008 לא הייתה בידי הממשלה כל תכנית שתאפשר לגופים הנוגעים בדבר להתמודד עם הזינוק החד במחירי הדיור, אשר הלך והחריף. </w:t>
      </w:r>
    </w:p>
    <w:p w:rsidR="008D3837" w:rsidRPr="00F41E78" w:rsidP="00F41E78">
      <w:pPr>
        <w:spacing w:after="120" w:line="230" w:lineRule="exact"/>
        <w:jc w:val="both"/>
        <w:rPr>
          <w:rFonts w:cs="FrankRuehl"/>
          <w:sz w:val="18"/>
          <w:szCs w:val="22"/>
          <w:rtl/>
          <w:lang w:eastAsia="he-IL"/>
        </w:rPr>
      </w:pPr>
    </w:p>
    <w:p w:rsidR="00E97EDA" w:rsidRPr="00E97EDA" w:rsidP="008D3837">
      <w:pPr>
        <w:pStyle w:val="KOT5"/>
        <w:rPr>
          <w:rtl/>
          <w:lang w:eastAsia="he-IL"/>
        </w:rPr>
      </w:pPr>
      <w:r w:rsidRPr="00E97EDA">
        <w:rPr>
          <w:rFonts w:hint="cs"/>
          <w:rtl/>
          <w:lang w:eastAsia="he-IL"/>
        </w:rPr>
        <w:t>מדיניות הדיור בשנים 2010-2008 לאחר פרוץ משבר הדיור</w:t>
      </w:r>
    </w:p>
    <w:p w:rsidR="00E97EDA" w:rsidRPr="00F41E78" w:rsidP="007347C2">
      <w:pPr>
        <w:spacing w:after="240" w:line="230" w:lineRule="exact"/>
        <w:jc w:val="both"/>
        <w:rPr>
          <w:rFonts w:cs="FrankRuehl"/>
          <w:sz w:val="18"/>
          <w:szCs w:val="22"/>
          <w:rtl/>
          <w:lang w:eastAsia="he-IL"/>
        </w:rPr>
      </w:pPr>
      <w:r w:rsidRPr="00F41E78">
        <w:rPr>
          <w:rFonts w:cs="FrankRuehl" w:hint="cs"/>
          <w:sz w:val="18"/>
          <w:szCs w:val="22"/>
          <w:rtl/>
          <w:lang w:eastAsia="he-IL"/>
        </w:rPr>
        <w:t xml:space="preserve">בשנת 2008 פרץ המשבר בשוקי ההון בעולם, ונרשמה עלייה חדה במחירי הדיור בארץ שהלכה וגדלה בשנים 2010-2009 והסתכמה בשנים 2010-2008 ב-36% (במונחים ריאליים). המגמה בעליית מחירי הדיור נמשכה גם בשנים 2013-2011 אך באופן מתון יותר (12% במונחים ריאליים). </w:t>
      </w:r>
    </w:p>
    <w:p w:rsidR="00D22B16" w:rsidRPr="00582A43" w:rsidP="00312735">
      <w:pPr>
        <w:pStyle w:val="RESHET"/>
        <w:keepLines/>
        <w:rPr>
          <w:rtl/>
        </w:rPr>
      </w:pPr>
      <w:r w:rsidRPr="00582A43">
        <w:rPr>
          <w:rFonts w:hint="cs"/>
          <w:rtl/>
        </w:rPr>
        <w:t xml:space="preserve">הביקורת העלתה כי על אף המגמה הברורה של עלייה חדה במחירי הדיור שהסתמנה כבר בשנת 2008, ואף שעלולות להיות לה השלכות רוחב, לא קיימה הממשלה ה-31 בתקופה זו דיון אסטרטגי בנושא זה, וממילא לא גיבשה תכנית כוללת למיתון העלייה במחירי הדיור. רק ביולי 2010, יותר משנה לאחר שהוקמה הממשלה ה-32, היא עסקה בכך לראשונה וקבעה בהחלטה מס' 1980 שיש "לקיים מדיניות שמטרתה הורדת מחירי הדירות, תוך שימת דגש על דירות לצעירים (משפחות ויחידים) הרוכשים את דירתם הראשונה". </w:t>
      </w:r>
    </w:p>
    <w:p w:rsidR="00E97EDA" w:rsidRPr="00F41E78" w:rsidP="007347C2">
      <w:pPr>
        <w:spacing w:before="180" w:after="120" w:line="230" w:lineRule="exact"/>
        <w:jc w:val="both"/>
        <w:rPr>
          <w:rFonts w:cs="FrankRuehl"/>
          <w:sz w:val="18"/>
          <w:szCs w:val="22"/>
          <w:rtl/>
          <w:lang w:eastAsia="he-IL"/>
        </w:rPr>
      </w:pPr>
      <w:r w:rsidRPr="00F41E78">
        <w:rPr>
          <w:rFonts w:cs="FrankRuehl" w:hint="cs"/>
          <w:sz w:val="18"/>
          <w:szCs w:val="22"/>
          <w:rtl/>
          <w:lang w:eastAsia="he-IL"/>
        </w:rPr>
        <w:t>הביקורת בדקה את פעולות הממשלה להתוויית מדיניות הדיור הממשלתית בשנים 2010-2008 והעלתה כי בתקופה זו קיבלו הממשלות ה-31 וה-32 כמה החלטות בתחומי מדיניות הדיור.</w:t>
      </w:r>
    </w:p>
    <w:p w:rsidR="008D3837" w:rsidRPr="00F41E78" w:rsidP="00F41E78">
      <w:pPr>
        <w:spacing w:after="120" w:line="230" w:lineRule="exact"/>
        <w:jc w:val="both"/>
        <w:rPr>
          <w:rFonts w:cs="FrankRuehl"/>
          <w:sz w:val="18"/>
          <w:szCs w:val="22"/>
          <w:rtl/>
          <w:lang w:eastAsia="he-IL"/>
        </w:rPr>
      </w:pPr>
    </w:p>
    <w:p w:rsidR="00E97EDA" w:rsidRPr="00E97EDA" w:rsidP="008D3837">
      <w:pPr>
        <w:pStyle w:val="KOT6"/>
        <w:rPr>
          <w:rtl/>
        </w:rPr>
      </w:pPr>
      <w:r w:rsidRPr="00E97EDA">
        <w:rPr>
          <w:rFonts w:hint="cs"/>
          <w:rtl/>
        </w:rPr>
        <w:t>צעדים ליישום יעדי פיזור האוכלוסייה וחיזוק הפריפריה שנקבעו בתמ"א 35:</w:t>
      </w:r>
    </w:p>
    <w:p w:rsidR="00E97EDA" w:rsidRPr="00F41E78" w:rsidP="007521AE">
      <w:pPr>
        <w:spacing w:after="120" w:line="230" w:lineRule="exact"/>
        <w:ind w:left="340" w:hanging="340"/>
        <w:jc w:val="both"/>
        <w:rPr>
          <w:rFonts w:cs="FrankRuehl"/>
          <w:sz w:val="18"/>
          <w:szCs w:val="22"/>
          <w:rtl/>
          <w:lang w:eastAsia="he-IL"/>
        </w:rPr>
      </w:pPr>
      <w:r w:rsidRPr="00745AB9">
        <w:rPr>
          <w:rFonts w:cs="FrankRuehl"/>
          <w:sz w:val="18"/>
          <w:szCs w:val="22"/>
          <w:rtl/>
        </w:rPr>
        <w:t>1.</w:t>
      </w:r>
      <w:r w:rsidRPr="00745AB9">
        <w:rPr>
          <w:rFonts w:cs="FrankRuehl"/>
          <w:sz w:val="18"/>
          <w:szCs w:val="22"/>
          <w:rtl/>
        </w:rPr>
        <w:tab/>
      </w:r>
      <w:r w:rsidRPr="00F41E78">
        <w:rPr>
          <w:rFonts w:cs="FrankRuehl" w:hint="eastAsia"/>
          <w:spacing w:val="40"/>
          <w:sz w:val="18"/>
          <w:szCs w:val="22"/>
          <w:rtl/>
        </w:rPr>
        <w:t>החלטה</w:t>
      </w:r>
      <w:r w:rsidRPr="00F41E78">
        <w:rPr>
          <w:rFonts w:cs="FrankRuehl"/>
          <w:spacing w:val="40"/>
          <w:sz w:val="18"/>
          <w:szCs w:val="22"/>
          <w:rtl/>
        </w:rPr>
        <w:t xml:space="preserve"> </w:t>
      </w:r>
      <w:r w:rsidRPr="00F41E78">
        <w:rPr>
          <w:rFonts w:cs="FrankRuehl" w:hint="eastAsia"/>
          <w:spacing w:val="40"/>
          <w:sz w:val="18"/>
          <w:szCs w:val="22"/>
          <w:rtl/>
        </w:rPr>
        <w:t>בנושא</w:t>
      </w:r>
      <w:r w:rsidRPr="00F41E78">
        <w:rPr>
          <w:rFonts w:cs="FrankRuehl"/>
          <w:spacing w:val="40"/>
          <w:sz w:val="18"/>
          <w:szCs w:val="22"/>
          <w:rtl/>
        </w:rPr>
        <w:t xml:space="preserve"> </w:t>
      </w:r>
      <w:r w:rsidRPr="00F41E78">
        <w:rPr>
          <w:rFonts w:cs="FrankRuehl" w:hint="eastAsia"/>
          <w:spacing w:val="40"/>
          <w:sz w:val="18"/>
          <w:szCs w:val="22"/>
          <w:rtl/>
        </w:rPr>
        <w:t>הפסקת</w:t>
      </w:r>
      <w:r w:rsidRPr="00F41E78">
        <w:rPr>
          <w:rFonts w:cs="FrankRuehl"/>
          <w:spacing w:val="40"/>
          <w:sz w:val="18"/>
          <w:szCs w:val="22"/>
          <w:rtl/>
        </w:rPr>
        <w:t xml:space="preserve"> </w:t>
      </w:r>
      <w:r w:rsidRPr="00F41E78">
        <w:rPr>
          <w:rFonts w:cs="FrankRuehl" w:hint="eastAsia"/>
          <w:spacing w:val="40"/>
          <w:sz w:val="18"/>
          <w:szCs w:val="22"/>
          <w:rtl/>
        </w:rPr>
        <w:t>ייזום</w:t>
      </w:r>
      <w:r w:rsidRPr="00F41E78">
        <w:rPr>
          <w:rFonts w:cs="FrankRuehl"/>
          <w:spacing w:val="40"/>
          <w:sz w:val="18"/>
          <w:szCs w:val="22"/>
          <w:rtl/>
        </w:rPr>
        <w:t xml:space="preserve"> </w:t>
      </w:r>
      <w:r w:rsidRPr="00F41E78">
        <w:rPr>
          <w:rFonts w:cs="FrankRuehl" w:hint="eastAsia"/>
          <w:spacing w:val="40"/>
          <w:sz w:val="18"/>
          <w:szCs w:val="22"/>
          <w:rtl/>
        </w:rPr>
        <w:t>תכניות</w:t>
      </w:r>
      <w:r w:rsidRPr="00F41E78">
        <w:rPr>
          <w:rFonts w:cs="FrankRuehl"/>
          <w:spacing w:val="40"/>
          <w:sz w:val="18"/>
          <w:szCs w:val="22"/>
          <w:rtl/>
        </w:rPr>
        <w:t xml:space="preserve"> </w:t>
      </w:r>
      <w:r w:rsidRPr="00F41E78">
        <w:rPr>
          <w:rFonts w:cs="FrankRuehl" w:hint="eastAsia"/>
          <w:spacing w:val="40"/>
          <w:sz w:val="18"/>
          <w:szCs w:val="22"/>
          <w:rtl/>
        </w:rPr>
        <w:t>חדשות</w:t>
      </w:r>
      <w:r w:rsidRPr="00F41E78">
        <w:rPr>
          <w:rFonts w:cs="FrankRuehl"/>
          <w:spacing w:val="40"/>
          <w:sz w:val="18"/>
          <w:szCs w:val="22"/>
          <w:rtl/>
        </w:rPr>
        <w:t xml:space="preserve"> </w:t>
      </w:r>
      <w:r w:rsidRPr="00F41E78">
        <w:rPr>
          <w:rFonts w:cs="FrankRuehl" w:hint="eastAsia"/>
          <w:spacing w:val="40"/>
          <w:sz w:val="18"/>
          <w:szCs w:val="22"/>
          <w:rtl/>
        </w:rPr>
        <w:t>למגורים</w:t>
      </w:r>
      <w:r w:rsidRPr="00F41E78">
        <w:rPr>
          <w:rFonts w:cs="FrankRuehl"/>
          <w:spacing w:val="40"/>
          <w:sz w:val="18"/>
          <w:szCs w:val="22"/>
          <w:rtl/>
        </w:rPr>
        <w:t xml:space="preserve"> </w:t>
      </w:r>
      <w:r w:rsidRPr="00F41E78">
        <w:rPr>
          <w:rFonts w:cs="FrankRuehl" w:hint="eastAsia"/>
          <w:spacing w:val="40"/>
          <w:sz w:val="18"/>
          <w:szCs w:val="22"/>
          <w:rtl/>
        </w:rPr>
        <w:t>ותעסוקה</w:t>
      </w:r>
      <w:r w:rsidRPr="00F41E78">
        <w:rPr>
          <w:rFonts w:cs="FrankRuehl"/>
          <w:spacing w:val="40"/>
          <w:sz w:val="18"/>
          <w:szCs w:val="22"/>
          <w:rtl/>
        </w:rPr>
        <w:t xml:space="preserve"> </w:t>
      </w:r>
      <w:r w:rsidRPr="00F41E78">
        <w:rPr>
          <w:rFonts w:cs="FrankRuehl" w:hint="eastAsia"/>
          <w:spacing w:val="40"/>
          <w:sz w:val="18"/>
          <w:szCs w:val="22"/>
          <w:rtl/>
        </w:rPr>
        <w:t>במחוז</w:t>
      </w:r>
      <w:r w:rsidRPr="00F41E78">
        <w:rPr>
          <w:rFonts w:cs="FrankRuehl"/>
          <w:spacing w:val="40"/>
          <w:sz w:val="18"/>
          <w:szCs w:val="22"/>
          <w:rtl/>
        </w:rPr>
        <w:t xml:space="preserve"> </w:t>
      </w:r>
      <w:r w:rsidRPr="00F41E78">
        <w:rPr>
          <w:rFonts w:cs="FrankRuehl" w:hint="eastAsia"/>
          <w:spacing w:val="40"/>
          <w:sz w:val="18"/>
          <w:szCs w:val="22"/>
          <w:rtl/>
        </w:rPr>
        <w:t>המרכז</w:t>
      </w:r>
      <w:r w:rsidRPr="00F41E78">
        <w:rPr>
          <w:rFonts w:cs="FrankRuehl"/>
          <w:spacing w:val="40"/>
          <w:sz w:val="18"/>
          <w:szCs w:val="22"/>
          <w:rtl/>
        </w:rPr>
        <w:t>:</w:t>
      </w:r>
      <w:r w:rsidRPr="00F41E78">
        <w:rPr>
          <w:rFonts w:cs="FrankRuehl" w:hint="cs"/>
          <w:sz w:val="18"/>
          <w:szCs w:val="22"/>
          <w:rtl/>
          <w:lang w:eastAsia="he-IL"/>
        </w:rPr>
        <w:t xml:space="preserve"> לקראת 2008 הסתמנה חריגה מיעדי פיזור האוכלוסין שנקבעו בתמ"א 35. יצוין שבאותה עת הייתה בתוקף החלטת ממשלה מס' 4415 מנובמבר 2005 בנושא תכנית לאומית אסטרטגית לפיתוח הנגב לשנים 2016-2005 שמטרתה הייתה בין היתר לעודד הגירה לאזור הנגב. </w:t>
      </w:r>
    </w:p>
    <w:p w:rsidR="00E97EDA" w:rsidRPr="00F41E78" w:rsidP="007521AE">
      <w:pPr>
        <w:spacing w:after="120" w:line="230" w:lineRule="exact"/>
        <w:ind w:left="340" w:hanging="340"/>
        <w:jc w:val="both"/>
        <w:rPr>
          <w:rFonts w:cs="FrankRuehl"/>
          <w:b/>
          <w:bCs/>
          <w:sz w:val="18"/>
          <w:szCs w:val="22"/>
          <w:rtl/>
          <w:lang w:eastAsia="he-IL"/>
        </w:rPr>
      </w:pPr>
      <w:r>
        <w:rPr>
          <w:rFonts w:cs="FrankRuehl"/>
          <w:sz w:val="18"/>
          <w:szCs w:val="22"/>
          <w:rtl/>
          <w:lang w:eastAsia="he-IL"/>
        </w:rPr>
        <w:tab/>
      </w:r>
      <w:r w:rsidRPr="00F41E78">
        <w:rPr>
          <w:rFonts w:cs="FrankRuehl" w:hint="cs"/>
          <w:sz w:val="18"/>
          <w:szCs w:val="22"/>
          <w:rtl/>
          <w:lang w:eastAsia="he-IL"/>
        </w:rPr>
        <w:t xml:space="preserve">בעקבות החריגה מיעדי פיזור האוכלוסין קיבלה הממשלה ה-31 באוגוסט 2008 את החלטה מס' 3973 בנושא צעדים ליישום יעדי האוכלוסייה שנקבעו בתמ"א 35. בדברי ההסבר להצעת ההחלטה צוין כי "נרשם גידול אוכלוסייה נמוך מהקצב שהונח בתמ"א 35 באזורי הפריפריה ולעומת זאת נמשך גידול אוכלוסייה מאסיבי במחוז המרכז, אשר כבר כיום היקף האוכלוסייה </w:t>
      </w:r>
      <w:r w:rsidRPr="00F41E78">
        <w:rPr>
          <w:rFonts w:cs="FrankRuehl" w:hint="eastAsia"/>
          <w:sz w:val="18"/>
          <w:szCs w:val="22"/>
          <w:rtl/>
          <w:lang w:eastAsia="he-IL"/>
        </w:rPr>
        <w:t>בו</w:t>
      </w:r>
      <w:r w:rsidRPr="00F41E78">
        <w:rPr>
          <w:rFonts w:cs="FrankRuehl"/>
          <w:sz w:val="18"/>
          <w:szCs w:val="22"/>
          <w:rtl/>
          <w:lang w:eastAsia="he-IL"/>
        </w:rPr>
        <w:t xml:space="preserve"> מגיע לכ-90% מן היעד שנקבע </w:t>
      </w:r>
      <w:r w:rsidRPr="00F41E78">
        <w:rPr>
          <w:rFonts w:cs="FrankRuehl" w:hint="eastAsia"/>
          <w:sz w:val="18"/>
          <w:szCs w:val="22"/>
          <w:rtl/>
          <w:lang w:eastAsia="he-IL"/>
        </w:rPr>
        <w:t>בתמ</w:t>
      </w:r>
      <w:r w:rsidRPr="00F41E78">
        <w:rPr>
          <w:rFonts w:cs="FrankRuehl"/>
          <w:sz w:val="18"/>
          <w:szCs w:val="22"/>
          <w:rtl/>
          <w:lang w:eastAsia="he-IL"/>
        </w:rPr>
        <w:t xml:space="preserve">"א 35 לשנת 2020". על פי ההחלטה, כדי לתקן מגמות אלו נקבע </w:t>
      </w:r>
      <w:r w:rsidRPr="00F41E78">
        <w:rPr>
          <w:rFonts w:cs="FrankRuehl" w:hint="eastAsia"/>
          <w:sz w:val="18"/>
          <w:szCs w:val="22"/>
          <w:rtl/>
          <w:lang w:eastAsia="he-IL"/>
        </w:rPr>
        <w:t>כי</w:t>
      </w:r>
      <w:r w:rsidRPr="00F41E78">
        <w:rPr>
          <w:rFonts w:cs="FrankRuehl"/>
          <w:sz w:val="18"/>
          <w:szCs w:val="22"/>
          <w:rtl/>
          <w:lang w:eastAsia="he-IL"/>
        </w:rPr>
        <w:t xml:space="preserve"> </w:t>
      </w:r>
      <w:r w:rsidRPr="00F41E78">
        <w:rPr>
          <w:rFonts w:cs="FrankRuehl" w:hint="eastAsia"/>
          <w:sz w:val="18"/>
          <w:szCs w:val="22"/>
          <w:rtl/>
          <w:lang w:eastAsia="he-IL"/>
        </w:rPr>
        <w:t>משרדי</w:t>
      </w:r>
      <w:r w:rsidRPr="00F41E78">
        <w:rPr>
          <w:rFonts w:cs="FrankRuehl"/>
          <w:sz w:val="18"/>
          <w:szCs w:val="22"/>
          <w:rtl/>
          <w:lang w:eastAsia="he-IL"/>
        </w:rPr>
        <w:t xml:space="preserve"> </w:t>
      </w:r>
      <w:r w:rsidRPr="00F41E78">
        <w:rPr>
          <w:rFonts w:cs="FrankRuehl" w:hint="eastAsia"/>
          <w:sz w:val="18"/>
          <w:szCs w:val="22"/>
          <w:rtl/>
          <w:lang w:eastAsia="he-IL"/>
        </w:rPr>
        <w:t>הממשלה</w:t>
      </w:r>
      <w:r w:rsidRPr="00F41E78">
        <w:rPr>
          <w:rFonts w:cs="FrankRuehl"/>
          <w:sz w:val="18"/>
          <w:szCs w:val="22"/>
          <w:rtl/>
          <w:lang w:eastAsia="he-IL"/>
        </w:rPr>
        <w:t xml:space="preserve"> </w:t>
      </w:r>
      <w:r w:rsidRPr="00F41E78">
        <w:rPr>
          <w:rFonts w:cs="FrankRuehl" w:hint="eastAsia"/>
          <w:sz w:val="18"/>
          <w:szCs w:val="22"/>
          <w:rtl/>
          <w:lang w:eastAsia="he-IL"/>
        </w:rPr>
        <w:t>הנוגעים</w:t>
      </w:r>
      <w:r w:rsidRPr="00F41E78">
        <w:rPr>
          <w:rFonts w:cs="FrankRuehl"/>
          <w:sz w:val="18"/>
          <w:szCs w:val="22"/>
          <w:rtl/>
          <w:lang w:eastAsia="he-IL"/>
        </w:rPr>
        <w:t xml:space="preserve"> </w:t>
      </w:r>
      <w:r w:rsidRPr="00F41E78">
        <w:rPr>
          <w:rFonts w:cs="FrankRuehl" w:hint="eastAsia"/>
          <w:sz w:val="18"/>
          <w:szCs w:val="22"/>
          <w:rtl/>
          <w:lang w:eastAsia="he-IL"/>
        </w:rPr>
        <w:t>בדבר</w:t>
      </w:r>
      <w:r w:rsidRPr="00F41E78">
        <w:rPr>
          <w:rFonts w:cs="FrankRuehl"/>
          <w:sz w:val="18"/>
          <w:szCs w:val="22"/>
          <w:rtl/>
          <w:lang w:eastAsia="he-IL"/>
        </w:rPr>
        <w:t xml:space="preserve"> </w:t>
      </w:r>
      <w:r w:rsidRPr="00F41E78">
        <w:rPr>
          <w:rFonts w:cs="FrankRuehl" w:hint="eastAsia"/>
          <w:sz w:val="18"/>
          <w:szCs w:val="22"/>
          <w:rtl/>
          <w:lang w:eastAsia="he-IL"/>
        </w:rPr>
        <w:t>ובכללם</w:t>
      </w:r>
      <w:r w:rsidRPr="00F41E78">
        <w:rPr>
          <w:rFonts w:cs="FrankRuehl"/>
          <w:sz w:val="18"/>
          <w:szCs w:val="22"/>
          <w:rtl/>
          <w:lang w:eastAsia="he-IL"/>
        </w:rPr>
        <w:t xml:space="preserve"> </w:t>
      </w:r>
      <w:r w:rsidRPr="00F41E78">
        <w:rPr>
          <w:rFonts w:cs="FrankRuehl" w:hint="eastAsia"/>
          <w:sz w:val="18"/>
          <w:szCs w:val="22"/>
          <w:rtl/>
          <w:lang w:eastAsia="he-IL"/>
        </w:rPr>
        <w:t>מינהל</w:t>
      </w:r>
      <w:r w:rsidRPr="00F41E78">
        <w:rPr>
          <w:rFonts w:cs="FrankRuehl"/>
          <w:sz w:val="18"/>
          <w:szCs w:val="22"/>
          <w:rtl/>
          <w:lang w:eastAsia="he-IL"/>
        </w:rPr>
        <w:t xml:space="preserve"> </w:t>
      </w:r>
      <w:r w:rsidRPr="00F41E78">
        <w:rPr>
          <w:rFonts w:cs="FrankRuehl" w:hint="eastAsia"/>
          <w:sz w:val="18"/>
          <w:szCs w:val="22"/>
          <w:rtl/>
          <w:lang w:eastAsia="he-IL"/>
        </w:rPr>
        <w:t>מקרקעי</w:t>
      </w:r>
      <w:r w:rsidRPr="00F41E78">
        <w:rPr>
          <w:rFonts w:cs="FrankRuehl"/>
          <w:sz w:val="18"/>
          <w:szCs w:val="22"/>
          <w:rtl/>
          <w:lang w:eastAsia="he-IL"/>
        </w:rPr>
        <w:t xml:space="preserve"> </w:t>
      </w:r>
      <w:r w:rsidRPr="00F41E78">
        <w:rPr>
          <w:rFonts w:cs="FrankRuehl" w:hint="eastAsia"/>
          <w:sz w:val="18"/>
          <w:szCs w:val="22"/>
          <w:rtl/>
          <w:lang w:eastAsia="he-IL"/>
        </w:rPr>
        <w:t>ישראל</w:t>
      </w:r>
      <w:r w:rsidRPr="00F41E78">
        <w:rPr>
          <w:rFonts w:cs="FrankRuehl"/>
          <w:sz w:val="18"/>
          <w:szCs w:val="22"/>
          <w:rtl/>
          <w:lang w:eastAsia="he-IL"/>
        </w:rPr>
        <w:t xml:space="preserve">, </w:t>
      </w:r>
      <w:r w:rsidRPr="00F41E78">
        <w:rPr>
          <w:rFonts w:cs="FrankRuehl" w:hint="eastAsia"/>
          <w:sz w:val="18"/>
          <w:szCs w:val="22"/>
          <w:rtl/>
          <w:lang w:eastAsia="he-IL"/>
        </w:rPr>
        <w:t>משרד</w:t>
      </w:r>
      <w:r w:rsidRPr="00F41E78">
        <w:rPr>
          <w:rFonts w:cs="FrankRuehl"/>
          <w:sz w:val="18"/>
          <w:szCs w:val="22"/>
          <w:rtl/>
          <w:lang w:eastAsia="he-IL"/>
        </w:rPr>
        <w:t xml:space="preserve"> </w:t>
      </w:r>
      <w:r w:rsidRPr="00F41E78">
        <w:rPr>
          <w:rFonts w:cs="FrankRuehl" w:hint="eastAsia"/>
          <w:sz w:val="18"/>
          <w:szCs w:val="22"/>
          <w:rtl/>
          <w:lang w:eastAsia="he-IL"/>
        </w:rPr>
        <w:t>הבינוי</w:t>
      </w:r>
      <w:r w:rsidRPr="00F41E78">
        <w:rPr>
          <w:rFonts w:cs="FrankRuehl"/>
          <w:sz w:val="18"/>
          <w:szCs w:val="22"/>
          <w:rtl/>
          <w:lang w:eastAsia="he-IL"/>
        </w:rPr>
        <w:t xml:space="preserve"> </w:t>
      </w:r>
      <w:r w:rsidRPr="00F41E78">
        <w:rPr>
          <w:rFonts w:cs="FrankRuehl" w:hint="eastAsia"/>
          <w:sz w:val="18"/>
          <w:szCs w:val="22"/>
          <w:rtl/>
          <w:lang w:eastAsia="he-IL"/>
        </w:rPr>
        <w:t>והשיכון</w:t>
      </w:r>
      <w:r w:rsidRPr="00F41E78">
        <w:rPr>
          <w:rFonts w:cs="FrankRuehl"/>
          <w:sz w:val="18"/>
          <w:szCs w:val="22"/>
          <w:rtl/>
          <w:lang w:eastAsia="he-IL"/>
        </w:rPr>
        <w:t xml:space="preserve">, </w:t>
      </w:r>
      <w:r w:rsidRPr="00F41E78">
        <w:rPr>
          <w:rFonts w:cs="FrankRuehl" w:hint="eastAsia"/>
          <w:sz w:val="18"/>
          <w:szCs w:val="22"/>
          <w:rtl/>
          <w:lang w:eastAsia="he-IL"/>
        </w:rPr>
        <w:t>משרד</w:t>
      </w:r>
      <w:r w:rsidRPr="00F41E78">
        <w:rPr>
          <w:rFonts w:cs="FrankRuehl"/>
          <w:sz w:val="18"/>
          <w:szCs w:val="22"/>
          <w:rtl/>
          <w:lang w:eastAsia="he-IL"/>
        </w:rPr>
        <w:t xml:space="preserve"> </w:t>
      </w:r>
      <w:r w:rsidRPr="00F41E78">
        <w:rPr>
          <w:rFonts w:cs="FrankRuehl" w:hint="eastAsia"/>
          <w:sz w:val="18"/>
          <w:szCs w:val="22"/>
          <w:rtl/>
          <w:lang w:eastAsia="he-IL"/>
        </w:rPr>
        <w:t>התעשייה</w:t>
      </w:r>
      <w:r w:rsidRPr="00F41E78">
        <w:rPr>
          <w:rFonts w:cs="FrankRuehl"/>
          <w:sz w:val="18"/>
          <w:szCs w:val="22"/>
          <w:rtl/>
          <w:lang w:eastAsia="he-IL"/>
        </w:rPr>
        <w:t xml:space="preserve">, </w:t>
      </w:r>
      <w:r w:rsidRPr="00F41E78">
        <w:rPr>
          <w:rFonts w:cs="FrankRuehl" w:hint="eastAsia"/>
          <w:sz w:val="18"/>
          <w:szCs w:val="22"/>
          <w:rtl/>
          <w:lang w:eastAsia="he-IL"/>
        </w:rPr>
        <w:t>המסחר</w:t>
      </w:r>
      <w:r w:rsidRPr="00F41E78">
        <w:rPr>
          <w:rFonts w:cs="FrankRuehl"/>
          <w:sz w:val="18"/>
          <w:szCs w:val="22"/>
          <w:rtl/>
          <w:lang w:eastAsia="he-IL"/>
        </w:rPr>
        <w:t xml:space="preserve"> </w:t>
      </w:r>
      <w:r w:rsidRPr="00F41E78">
        <w:rPr>
          <w:rFonts w:cs="FrankRuehl" w:hint="eastAsia"/>
          <w:sz w:val="18"/>
          <w:szCs w:val="22"/>
          <w:rtl/>
          <w:lang w:eastAsia="he-IL"/>
        </w:rPr>
        <w:t>והתעסוקה</w:t>
      </w:r>
      <w:r w:rsidRPr="00F41E78">
        <w:rPr>
          <w:rFonts w:cs="FrankRuehl"/>
          <w:sz w:val="18"/>
          <w:szCs w:val="22"/>
          <w:rtl/>
          <w:lang w:eastAsia="he-IL"/>
        </w:rPr>
        <w:t xml:space="preserve"> </w:t>
      </w:r>
      <w:r w:rsidRPr="00F41E78">
        <w:rPr>
          <w:rFonts w:cs="FrankRuehl" w:hint="eastAsia"/>
          <w:sz w:val="18"/>
          <w:szCs w:val="22"/>
          <w:rtl/>
          <w:lang w:eastAsia="he-IL"/>
        </w:rPr>
        <w:t>ומשרד</w:t>
      </w:r>
      <w:r w:rsidRPr="00F41E78">
        <w:rPr>
          <w:rFonts w:cs="FrankRuehl"/>
          <w:sz w:val="18"/>
          <w:szCs w:val="22"/>
          <w:rtl/>
          <w:lang w:eastAsia="he-IL"/>
        </w:rPr>
        <w:t xml:space="preserve"> </w:t>
      </w:r>
      <w:r w:rsidRPr="00F41E78">
        <w:rPr>
          <w:rFonts w:cs="FrankRuehl" w:hint="eastAsia"/>
          <w:sz w:val="18"/>
          <w:szCs w:val="22"/>
          <w:rtl/>
          <w:lang w:eastAsia="he-IL"/>
        </w:rPr>
        <w:t>הפנים</w:t>
      </w:r>
      <w:r w:rsidRPr="00F41E78">
        <w:rPr>
          <w:rFonts w:cs="FrankRuehl"/>
          <w:sz w:val="18"/>
          <w:szCs w:val="22"/>
          <w:rtl/>
          <w:lang w:eastAsia="he-IL"/>
        </w:rPr>
        <w:t xml:space="preserve">, </w:t>
      </w:r>
      <w:r w:rsidRPr="00F41E78">
        <w:rPr>
          <w:rFonts w:cs="FrankRuehl" w:hint="eastAsia"/>
          <w:sz w:val="18"/>
          <w:szCs w:val="22"/>
          <w:rtl/>
          <w:lang w:eastAsia="he-IL"/>
        </w:rPr>
        <w:t>לא</w:t>
      </w:r>
      <w:r w:rsidRPr="00F41E78">
        <w:rPr>
          <w:rFonts w:cs="FrankRuehl"/>
          <w:sz w:val="18"/>
          <w:szCs w:val="22"/>
          <w:rtl/>
          <w:lang w:eastAsia="he-IL"/>
        </w:rPr>
        <w:t xml:space="preserve"> </w:t>
      </w:r>
      <w:r w:rsidRPr="00F41E78">
        <w:rPr>
          <w:rFonts w:cs="FrankRuehl" w:hint="eastAsia"/>
          <w:sz w:val="18"/>
          <w:szCs w:val="22"/>
          <w:rtl/>
          <w:lang w:eastAsia="he-IL"/>
        </w:rPr>
        <w:t>ייזמו</w:t>
      </w:r>
      <w:r w:rsidRPr="00F41E78">
        <w:rPr>
          <w:rFonts w:cs="FrankRuehl"/>
          <w:sz w:val="18"/>
          <w:szCs w:val="22"/>
          <w:rtl/>
          <w:lang w:eastAsia="he-IL"/>
        </w:rPr>
        <w:t xml:space="preserve"> </w:t>
      </w:r>
      <w:r w:rsidRPr="00F41E78">
        <w:rPr>
          <w:rFonts w:cs="FrankRuehl" w:hint="eastAsia"/>
          <w:sz w:val="18"/>
          <w:szCs w:val="22"/>
          <w:rtl/>
          <w:lang w:eastAsia="he-IL"/>
        </w:rPr>
        <w:t>תכניות</w:t>
      </w:r>
      <w:r w:rsidRPr="00F41E78">
        <w:rPr>
          <w:rFonts w:cs="FrankRuehl"/>
          <w:sz w:val="18"/>
          <w:szCs w:val="22"/>
          <w:rtl/>
          <w:lang w:eastAsia="he-IL"/>
        </w:rPr>
        <w:t xml:space="preserve"> </w:t>
      </w:r>
      <w:r w:rsidRPr="00F41E78">
        <w:rPr>
          <w:rFonts w:cs="FrankRuehl" w:hint="eastAsia"/>
          <w:sz w:val="18"/>
          <w:szCs w:val="22"/>
          <w:rtl/>
          <w:lang w:eastAsia="he-IL"/>
        </w:rPr>
        <w:t>חדשות</w:t>
      </w:r>
      <w:r w:rsidRPr="00F41E78">
        <w:rPr>
          <w:rFonts w:cs="FrankRuehl"/>
          <w:sz w:val="18"/>
          <w:szCs w:val="22"/>
          <w:rtl/>
          <w:lang w:eastAsia="he-IL"/>
        </w:rPr>
        <w:t xml:space="preserve"> </w:t>
      </w:r>
      <w:r w:rsidRPr="00F41E78">
        <w:rPr>
          <w:rFonts w:cs="FrankRuehl" w:hint="eastAsia"/>
          <w:sz w:val="18"/>
          <w:szCs w:val="22"/>
          <w:rtl/>
          <w:lang w:eastAsia="he-IL"/>
        </w:rPr>
        <w:t>שמטרתן</w:t>
      </w:r>
      <w:r w:rsidRPr="00F41E78">
        <w:rPr>
          <w:rFonts w:cs="FrankRuehl"/>
          <w:sz w:val="18"/>
          <w:szCs w:val="22"/>
          <w:rtl/>
          <w:lang w:eastAsia="he-IL"/>
        </w:rPr>
        <w:t xml:space="preserve"> </w:t>
      </w:r>
      <w:r w:rsidRPr="00F41E78">
        <w:rPr>
          <w:rFonts w:cs="FrankRuehl" w:hint="eastAsia"/>
          <w:sz w:val="18"/>
          <w:szCs w:val="22"/>
          <w:rtl/>
          <w:lang w:eastAsia="he-IL"/>
        </w:rPr>
        <w:t>שינוי</w:t>
      </w:r>
      <w:r w:rsidRPr="00F41E78">
        <w:rPr>
          <w:rFonts w:cs="FrankRuehl"/>
          <w:sz w:val="18"/>
          <w:szCs w:val="22"/>
          <w:rtl/>
          <w:lang w:eastAsia="he-IL"/>
        </w:rPr>
        <w:t xml:space="preserve"> </w:t>
      </w:r>
      <w:r w:rsidRPr="00F41E78">
        <w:rPr>
          <w:rFonts w:cs="FrankRuehl" w:hint="eastAsia"/>
          <w:sz w:val="18"/>
          <w:szCs w:val="22"/>
          <w:rtl/>
          <w:lang w:eastAsia="he-IL"/>
        </w:rPr>
        <w:t>ייעוד</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קרקע</w:t>
      </w:r>
      <w:r w:rsidRPr="00F41E78">
        <w:rPr>
          <w:rFonts w:cs="FrankRuehl"/>
          <w:sz w:val="18"/>
          <w:szCs w:val="22"/>
          <w:rtl/>
          <w:lang w:eastAsia="he-IL"/>
        </w:rPr>
        <w:t xml:space="preserve"> </w:t>
      </w:r>
      <w:r w:rsidRPr="00F41E78">
        <w:rPr>
          <w:rFonts w:cs="FrankRuehl" w:hint="eastAsia"/>
          <w:sz w:val="18"/>
          <w:szCs w:val="22"/>
          <w:rtl/>
          <w:lang w:eastAsia="he-IL"/>
        </w:rPr>
        <w:t>שאינה</w:t>
      </w:r>
      <w:r w:rsidRPr="00F41E78">
        <w:rPr>
          <w:rFonts w:cs="FrankRuehl"/>
          <w:sz w:val="18"/>
          <w:szCs w:val="22"/>
          <w:rtl/>
          <w:lang w:eastAsia="he-IL"/>
        </w:rPr>
        <w:t xml:space="preserve"> </w:t>
      </w:r>
      <w:r w:rsidRPr="00F41E78">
        <w:rPr>
          <w:rFonts w:cs="FrankRuehl" w:hint="eastAsia"/>
          <w:sz w:val="18"/>
          <w:szCs w:val="22"/>
          <w:rtl/>
          <w:lang w:eastAsia="he-IL"/>
        </w:rPr>
        <w:t>מיועדת</w:t>
      </w:r>
      <w:r w:rsidRPr="00F41E78">
        <w:rPr>
          <w:rFonts w:cs="FrankRuehl"/>
          <w:sz w:val="18"/>
          <w:szCs w:val="22"/>
          <w:rtl/>
          <w:lang w:eastAsia="he-IL"/>
        </w:rPr>
        <w:t xml:space="preserve"> </w:t>
      </w:r>
      <w:r w:rsidRPr="00F41E78">
        <w:rPr>
          <w:rFonts w:cs="FrankRuehl" w:hint="eastAsia"/>
          <w:sz w:val="18"/>
          <w:szCs w:val="22"/>
          <w:rtl/>
          <w:lang w:eastAsia="he-IL"/>
        </w:rPr>
        <w:t>לצרכי</w:t>
      </w:r>
      <w:r w:rsidRPr="00F41E78">
        <w:rPr>
          <w:rFonts w:cs="FrankRuehl"/>
          <w:sz w:val="18"/>
          <w:szCs w:val="22"/>
          <w:rtl/>
          <w:lang w:eastAsia="he-IL"/>
        </w:rPr>
        <w:t xml:space="preserve"> </w:t>
      </w:r>
      <w:r w:rsidRPr="00F41E78">
        <w:rPr>
          <w:rFonts w:cs="FrankRuehl" w:hint="eastAsia"/>
          <w:sz w:val="18"/>
          <w:szCs w:val="22"/>
          <w:rtl/>
          <w:lang w:eastAsia="he-IL"/>
        </w:rPr>
        <w:t>פיתוח</w:t>
      </w:r>
      <w:r w:rsidRPr="00F41E78">
        <w:rPr>
          <w:rFonts w:cs="FrankRuehl"/>
          <w:sz w:val="18"/>
          <w:szCs w:val="22"/>
          <w:rtl/>
          <w:lang w:eastAsia="he-IL"/>
        </w:rPr>
        <w:t xml:space="preserve"> </w:t>
      </w:r>
      <w:r w:rsidRPr="00F41E78">
        <w:rPr>
          <w:rFonts w:cs="FrankRuehl" w:hint="eastAsia"/>
          <w:sz w:val="18"/>
          <w:szCs w:val="22"/>
          <w:rtl/>
          <w:lang w:eastAsia="he-IL"/>
        </w:rPr>
        <w:t>בתכניות</w:t>
      </w:r>
      <w:r w:rsidRPr="00F41E78">
        <w:rPr>
          <w:rFonts w:cs="FrankRuehl"/>
          <w:sz w:val="18"/>
          <w:szCs w:val="22"/>
          <w:rtl/>
          <w:lang w:eastAsia="he-IL"/>
        </w:rPr>
        <w:t xml:space="preserve"> </w:t>
      </w:r>
      <w:r w:rsidRPr="00F41E78">
        <w:rPr>
          <w:rFonts w:cs="FrankRuehl" w:hint="eastAsia"/>
          <w:sz w:val="18"/>
          <w:szCs w:val="22"/>
          <w:rtl/>
          <w:lang w:eastAsia="he-IL"/>
        </w:rPr>
        <w:t>תקפות</w:t>
      </w:r>
      <w:r w:rsidRPr="00F41E78">
        <w:rPr>
          <w:rFonts w:cs="FrankRuehl"/>
          <w:sz w:val="18"/>
          <w:szCs w:val="22"/>
          <w:rtl/>
          <w:lang w:eastAsia="he-IL"/>
        </w:rPr>
        <w:t xml:space="preserve"> </w:t>
      </w:r>
      <w:r w:rsidRPr="00F41E78">
        <w:rPr>
          <w:rFonts w:cs="FrankRuehl" w:hint="eastAsia"/>
          <w:sz w:val="18"/>
          <w:szCs w:val="22"/>
          <w:rtl/>
          <w:lang w:eastAsia="he-IL"/>
        </w:rPr>
        <w:t>לייעוד</w:t>
      </w:r>
      <w:r w:rsidRPr="00F41E78">
        <w:rPr>
          <w:rFonts w:cs="FrankRuehl"/>
          <w:sz w:val="18"/>
          <w:szCs w:val="22"/>
          <w:rtl/>
          <w:lang w:eastAsia="he-IL"/>
        </w:rPr>
        <w:t xml:space="preserve"> </w:t>
      </w:r>
      <w:r w:rsidRPr="00F41E78">
        <w:rPr>
          <w:rFonts w:cs="FrankRuehl" w:hint="eastAsia"/>
          <w:sz w:val="18"/>
          <w:szCs w:val="22"/>
          <w:rtl/>
          <w:lang w:eastAsia="he-IL"/>
        </w:rPr>
        <w:t>מגורים</w:t>
      </w:r>
      <w:r w:rsidRPr="00F41E78">
        <w:rPr>
          <w:rFonts w:cs="FrankRuehl"/>
          <w:sz w:val="18"/>
          <w:szCs w:val="22"/>
          <w:rtl/>
          <w:lang w:eastAsia="he-IL"/>
        </w:rPr>
        <w:t xml:space="preserve"> </w:t>
      </w:r>
      <w:r w:rsidRPr="00F41E78">
        <w:rPr>
          <w:rFonts w:cs="FrankRuehl" w:hint="eastAsia"/>
          <w:sz w:val="18"/>
          <w:szCs w:val="22"/>
          <w:rtl/>
          <w:lang w:eastAsia="he-IL"/>
        </w:rPr>
        <w:t>ולייעודי</w:t>
      </w:r>
      <w:r w:rsidRPr="00F41E78">
        <w:rPr>
          <w:rFonts w:cs="FrankRuehl"/>
          <w:sz w:val="18"/>
          <w:szCs w:val="22"/>
          <w:rtl/>
          <w:lang w:eastAsia="he-IL"/>
        </w:rPr>
        <w:t xml:space="preserve"> </w:t>
      </w:r>
      <w:r w:rsidRPr="00F41E78">
        <w:rPr>
          <w:rFonts w:cs="FrankRuehl" w:hint="eastAsia"/>
          <w:sz w:val="18"/>
          <w:szCs w:val="22"/>
          <w:rtl/>
          <w:lang w:eastAsia="he-IL"/>
        </w:rPr>
        <w:t>תעסוקה</w:t>
      </w:r>
      <w:r w:rsidRPr="00F41E78">
        <w:rPr>
          <w:rFonts w:cs="FrankRuehl"/>
          <w:sz w:val="18"/>
          <w:szCs w:val="22"/>
          <w:rtl/>
          <w:lang w:eastAsia="he-IL"/>
        </w:rPr>
        <w:t xml:space="preserve"> </w:t>
      </w:r>
      <w:r w:rsidRPr="00F41E78">
        <w:rPr>
          <w:rFonts w:cs="FrankRuehl" w:hint="eastAsia"/>
          <w:sz w:val="18"/>
          <w:szCs w:val="22"/>
          <w:rtl/>
          <w:lang w:eastAsia="he-IL"/>
        </w:rPr>
        <w:t>במחוז</w:t>
      </w:r>
      <w:r w:rsidRPr="00F41E78">
        <w:rPr>
          <w:rFonts w:cs="FrankRuehl"/>
          <w:sz w:val="18"/>
          <w:szCs w:val="22"/>
          <w:rtl/>
          <w:lang w:eastAsia="he-IL"/>
        </w:rPr>
        <w:t xml:space="preserve"> </w:t>
      </w:r>
      <w:r w:rsidRPr="00F41E78">
        <w:rPr>
          <w:rFonts w:cs="FrankRuehl" w:hint="eastAsia"/>
          <w:sz w:val="18"/>
          <w:szCs w:val="22"/>
          <w:rtl/>
          <w:lang w:eastAsia="he-IL"/>
        </w:rPr>
        <w:t>המרכז</w:t>
      </w:r>
      <w:r w:rsidRPr="00F41E78">
        <w:rPr>
          <w:rFonts w:cs="FrankRuehl"/>
          <w:sz w:val="18"/>
          <w:szCs w:val="22"/>
          <w:rtl/>
          <w:lang w:eastAsia="he-IL"/>
        </w:rPr>
        <w:t xml:space="preserve">, </w:t>
      </w:r>
      <w:r w:rsidRPr="00F41E78">
        <w:rPr>
          <w:rFonts w:cs="FrankRuehl" w:hint="eastAsia"/>
          <w:sz w:val="18"/>
          <w:szCs w:val="22"/>
          <w:rtl/>
          <w:lang w:eastAsia="he-IL"/>
        </w:rPr>
        <w:t>בשנים</w:t>
      </w:r>
      <w:r w:rsidRPr="00F41E78">
        <w:rPr>
          <w:rFonts w:cs="FrankRuehl"/>
          <w:sz w:val="18"/>
          <w:szCs w:val="22"/>
          <w:rtl/>
          <w:lang w:eastAsia="he-IL"/>
        </w:rPr>
        <w:t xml:space="preserve"> 2009 </w:t>
      </w:r>
      <w:r w:rsidRPr="00F41E78">
        <w:rPr>
          <w:rFonts w:cs="FrankRuehl" w:hint="eastAsia"/>
          <w:sz w:val="18"/>
          <w:szCs w:val="22"/>
          <w:rtl/>
          <w:lang w:eastAsia="he-IL"/>
        </w:rPr>
        <w:t>עד</w:t>
      </w:r>
      <w:r w:rsidRPr="00F41E78">
        <w:rPr>
          <w:rFonts w:cs="FrankRuehl"/>
          <w:sz w:val="18"/>
          <w:szCs w:val="22"/>
          <w:rtl/>
          <w:lang w:eastAsia="he-IL"/>
        </w:rPr>
        <w:t xml:space="preserve"> 2012. נקבע גם </w:t>
      </w:r>
      <w:r w:rsidRPr="00F41E78">
        <w:rPr>
          <w:rFonts w:cs="FrankRuehl" w:hint="eastAsia"/>
          <w:sz w:val="18"/>
          <w:szCs w:val="22"/>
          <w:rtl/>
          <w:lang w:eastAsia="he-IL"/>
        </w:rPr>
        <w:t>להנחות</w:t>
      </w:r>
      <w:r w:rsidRPr="00F41E78">
        <w:rPr>
          <w:rFonts w:cs="FrankRuehl"/>
          <w:sz w:val="18"/>
          <w:szCs w:val="22"/>
          <w:rtl/>
          <w:lang w:eastAsia="he-IL"/>
        </w:rPr>
        <w:t xml:space="preserve"> </w:t>
      </w:r>
      <w:r w:rsidRPr="00F41E78">
        <w:rPr>
          <w:rFonts w:cs="FrankRuehl" w:hint="eastAsia"/>
          <w:sz w:val="18"/>
          <w:szCs w:val="22"/>
          <w:rtl/>
          <w:lang w:eastAsia="he-IL"/>
        </w:rPr>
        <w:t>את</w:t>
      </w:r>
      <w:r w:rsidRPr="00F41E78">
        <w:rPr>
          <w:rFonts w:cs="FrankRuehl"/>
          <w:sz w:val="18"/>
          <w:szCs w:val="22"/>
          <w:rtl/>
          <w:lang w:eastAsia="he-IL"/>
        </w:rPr>
        <w:t xml:space="preserve"> </w:t>
      </w:r>
      <w:r w:rsidRPr="00F41E78">
        <w:rPr>
          <w:rFonts w:cs="FrankRuehl" w:hint="eastAsia"/>
          <w:sz w:val="18"/>
          <w:szCs w:val="22"/>
          <w:rtl/>
          <w:lang w:eastAsia="he-IL"/>
        </w:rPr>
        <w:t>נציגי</w:t>
      </w:r>
      <w:r w:rsidRPr="00F41E78">
        <w:rPr>
          <w:rFonts w:cs="FrankRuehl"/>
          <w:sz w:val="18"/>
          <w:szCs w:val="22"/>
          <w:rtl/>
          <w:lang w:eastAsia="he-IL"/>
        </w:rPr>
        <w:t xml:space="preserve"> </w:t>
      </w:r>
      <w:r w:rsidRPr="00F41E78">
        <w:rPr>
          <w:rFonts w:cs="FrankRuehl" w:hint="eastAsia"/>
          <w:sz w:val="18"/>
          <w:szCs w:val="22"/>
          <w:rtl/>
          <w:lang w:eastAsia="he-IL"/>
        </w:rPr>
        <w:t>משרדי</w:t>
      </w:r>
      <w:r w:rsidRPr="00F41E78">
        <w:rPr>
          <w:rFonts w:cs="FrankRuehl"/>
          <w:sz w:val="18"/>
          <w:szCs w:val="22"/>
          <w:rtl/>
          <w:lang w:eastAsia="he-IL"/>
        </w:rPr>
        <w:t xml:space="preserve"> </w:t>
      </w:r>
      <w:r w:rsidRPr="00F41E78">
        <w:rPr>
          <w:rFonts w:cs="FrankRuehl" w:hint="eastAsia"/>
          <w:sz w:val="18"/>
          <w:szCs w:val="22"/>
          <w:rtl/>
          <w:lang w:eastAsia="he-IL"/>
        </w:rPr>
        <w:t>הממשלה</w:t>
      </w:r>
      <w:r w:rsidRPr="00F41E78">
        <w:rPr>
          <w:rFonts w:cs="FrankRuehl"/>
          <w:sz w:val="18"/>
          <w:szCs w:val="22"/>
          <w:rtl/>
          <w:lang w:eastAsia="he-IL"/>
        </w:rPr>
        <w:t xml:space="preserve"> </w:t>
      </w:r>
      <w:r w:rsidRPr="00F41E78">
        <w:rPr>
          <w:rFonts w:cs="FrankRuehl" w:hint="eastAsia"/>
          <w:sz w:val="18"/>
          <w:szCs w:val="22"/>
          <w:rtl/>
          <w:lang w:eastAsia="he-IL"/>
        </w:rPr>
        <w:t>במוסדות</w:t>
      </w:r>
      <w:r w:rsidRPr="00F41E78">
        <w:rPr>
          <w:rFonts w:cs="FrankRuehl"/>
          <w:sz w:val="18"/>
          <w:szCs w:val="22"/>
          <w:rtl/>
          <w:lang w:eastAsia="he-IL"/>
        </w:rPr>
        <w:t xml:space="preserve"> </w:t>
      </w:r>
      <w:r w:rsidRPr="00F41E78">
        <w:rPr>
          <w:rFonts w:cs="FrankRuehl" w:hint="eastAsia"/>
          <w:sz w:val="18"/>
          <w:szCs w:val="22"/>
          <w:rtl/>
          <w:lang w:eastAsia="he-IL"/>
        </w:rPr>
        <w:t>התכנון</w:t>
      </w:r>
      <w:r w:rsidRPr="00F41E78">
        <w:rPr>
          <w:rFonts w:cs="FrankRuehl"/>
          <w:sz w:val="18"/>
          <w:szCs w:val="22"/>
          <w:rtl/>
          <w:lang w:eastAsia="he-IL"/>
        </w:rPr>
        <w:t xml:space="preserve"> </w:t>
      </w:r>
      <w:r w:rsidRPr="00F41E78">
        <w:rPr>
          <w:rFonts w:cs="FrankRuehl" w:hint="eastAsia"/>
          <w:sz w:val="18"/>
          <w:szCs w:val="22"/>
          <w:rtl/>
          <w:lang w:eastAsia="he-IL"/>
        </w:rPr>
        <w:t>לא</w:t>
      </w:r>
      <w:r w:rsidRPr="00F41E78">
        <w:rPr>
          <w:rFonts w:cs="FrankRuehl"/>
          <w:sz w:val="18"/>
          <w:szCs w:val="22"/>
          <w:rtl/>
          <w:lang w:eastAsia="he-IL"/>
        </w:rPr>
        <w:t xml:space="preserve"> </w:t>
      </w:r>
      <w:r w:rsidRPr="00F41E78">
        <w:rPr>
          <w:rFonts w:cs="FrankRuehl" w:hint="eastAsia"/>
          <w:sz w:val="18"/>
          <w:szCs w:val="22"/>
          <w:rtl/>
          <w:lang w:eastAsia="he-IL"/>
        </w:rPr>
        <w:t>לקדם</w:t>
      </w:r>
      <w:r w:rsidRPr="00F41E78">
        <w:rPr>
          <w:rFonts w:cs="FrankRuehl"/>
          <w:sz w:val="18"/>
          <w:szCs w:val="22"/>
          <w:rtl/>
          <w:lang w:eastAsia="he-IL"/>
        </w:rPr>
        <w:t xml:space="preserve"> </w:t>
      </w:r>
      <w:r w:rsidRPr="00F41E78">
        <w:rPr>
          <w:rFonts w:cs="FrankRuehl" w:hint="eastAsia"/>
          <w:sz w:val="18"/>
          <w:szCs w:val="22"/>
          <w:rtl/>
          <w:lang w:eastAsia="he-IL"/>
        </w:rPr>
        <w:t>תכניות</w:t>
      </w:r>
      <w:r w:rsidRPr="00F41E78">
        <w:rPr>
          <w:rFonts w:cs="FrankRuehl"/>
          <w:sz w:val="18"/>
          <w:szCs w:val="22"/>
          <w:rtl/>
          <w:lang w:eastAsia="he-IL"/>
        </w:rPr>
        <w:t xml:space="preserve"> </w:t>
      </w:r>
      <w:r w:rsidRPr="00F41E78">
        <w:rPr>
          <w:rFonts w:cs="FrankRuehl" w:hint="eastAsia"/>
          <w:sz w:val="18"/>
          <w:szCs w:val="22"/>
          <w:rtl/>
          <w:lang w:eastAsia="he-IL"/>
        </w:rPr>
        <w:t>חדשות</w:t>
      </w:r>
      <w:r w:rsidRPr="00F41E78">
        <w:rPr>
          <w:rFonts w:cs="FrankRuehl"/>
          <w:sz w:val="18"/>
          <w:szCs w:val="22"/>
          <w:rtl/>
          <w:lang w:eastAsia="he-IL"/>
        </w:rPr>
        <w:t xml:space="preserve"> </w:t>
      </w:r>
      <w:r w:rsidRPr="00F41E78">
        <w:rPr>
          <w:rFonts w:cs="FrankRuehl" w:hint="eastAsia"/>
          <w:sz w:val="18"/>
          <w:szCs w:val="22"/>
          <w:rtl/>
          <w:lang w:eastAsia="he-IL"/>
        </w:rPr>
        <w:t>שמטרתן</w:t>
      </w:r>
      <w:r w:rsidRPr="00F41E78">
        <w:rPr>
          <w:rFonts w:cs="FrankRuehl"/>
          <w:sz w:val="18"/>
          <w:szCs w:val="22"/>
          <w:rtl/>
          <w:lang w:eastAsia="he-IL"/>
        </w:rPr>
        <w:t xml:space="preserve"> </w:t>
      </w:r>
      <w:r w:rsidRPr="00F41E78">
        <w:rPr>
          <w:rFonts w:cs="FrankRuehl" w:hint="eastAsia"/>
          <w:sz w:val="18"/>
          <w:szCs w:val="22"/>
          <w:rtl/>
          <w:lang w:eastAsia="he-IL"/>
        </w:rPr>
        <w:t>שינוי</w:t>
      </w:r>
      <w:r w:rsidRPr="00F41E78">
        <w:rPr>
          <w:rFonts w:cs="FrankRuehl"/>
          <w:sz w:val="18"/>
          <w:szCs w:val="22"/>
          <w:rtl/>
          <w:lang w:eastAsia="he-IL"/>
        </w:rPr>
        <w:t xml:space="preserve"> </w:t>
      </w:r>
      <w:r w:rsidRPr="00F41E78">
        <w:rPr>
          <w:rFonts w:cs="FrankRuehl" w:hint="eastAsia"/>
          <w:sz w:val="18"/>
          <w:szCs w:val="22"/>
          <w:rtl/>
          <w:lang w:eastAsia="he-IL"/>
        </w:rPr>
        <w:t>ייעוד</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קרקע</w:t>
      </w:r>
      <w:r w:rsidRPr="00F41E78">
        <w:rPr>
          <w:rFonts w:cs="FrankRuehl"/>
          <w:sz w:val="18"/>
          <w:szCs w:val="22"/>
          <w:rtl/>
          <w:lang w:eastAsia="he-IL"/>
        </w:rPr>
        <w:t xml:space="preserve"> </w:t>
      </w:r>
      <w:r w:rsidRPr="00F41E78">
        <w:rPr>
          <w:rFonts w:cs="FrankRuehl" w:hint="eastAsia"/>
          <w:sz w:val="18"/>
          <w:szCs w:val="22"/>
          <w:rtl/>
          <w:lang w:eastAsia="he-IL"/>
        </w:rPr>
        <w:t>שאינה</w:t>
      </w:r>
      <w:r w:rsidRPr="00F41E78">
        <w:rPr>
          <w:rFonts w:cs="FrankRuehl"/>
          <w:sz w:val="18"/>
          <w:szCs w:val="22"/>
          <w:rtl/>
          <w:lang w:eastAsia="he-IL"/>
        </w:rPr>
        <w:t xml:space="preserve"> </w:t>
      </w:r>
      <w:r w:rsidRPr="00F41E78">
        <w:rPr>
          <w:rFonts w:cs="FrankRuehl" w:hint="eastAsia"/>
          <w:sz w:val="18"/>
          <w:szCs w:val="22"/>
          <w:rtl/>
          <w:lang w:eastAsia="he-IL"/>
        </w:rPr>
        <w:t>מיועדת</w:t>
      </w:r>
      <w:r w:rsidRPr="00F41E78">
        <w:rPr>
          <w:rFonts w:cs="FrankRuehl"/>
          <w:sz w:val="18"/>
          <w:szCs w:val="22"/>
          <w:rtl/>
          <w:lang w:eastAsia="he-IL"/>
        </w:rPr>
        <w:t xml:space="preserve"> </w:t>
      </w:r>
      <w:r w:rsidRPr="00F41E78">
        <w:rPr>
          <w:rFonts w:cs="FrankRuehl" w:hint="eastAsia"/>
          <w:sz w:val="18"/>
          <w:szCs w:val="22"/>
          <w:rtl/>
          <w:lang w:eastAsia="he-IL"/>
        </w:rPr>
        <w:t>לצרכי</w:t>
      </w:r>
      <w:r w:rsidRPr="00F41E78">
        <w:rPr>
          <w:rFonts w:cs="FrankRuehl"/>
          <w:sz w:val="18"/>
          <w:szCs w:val="22"/>
          <w:rtl/>
          <w:lang w:eastAsia="he-IL"/>
        </w:rPr>
        <w:t xml:space="preserve"> </w:t>
      </w:r>
      <w:r w:rsidRPr="00F41E78">
        <w:rPr>
          <w:rFonts w:cs="FrankRuehl" w:hint="eastAsia"/>
          <w:sz w:val="18"/>
          <w:szCs w:val="22"/>
          <w:rtl/>
          <w:lang w:eastAsia="he-IL"/>
        </w:rPr>
        <w:t>פיתוח</w:t>
      </w:r>
      <w:r w:rsidRPr="00F41E78">
        <w:rPr>
          <w:rFonts w:cs="FrankRuehl"/>
          <w:sz w:val="18"/>
          <w:szCs w:val="22"/>
          <w:rtl/>
          <w:lang w:eastAsia="he-IL"/>
        </w:rPr>
        <w:t xml:space="preserve">, </w:t>
      </w:r>
      <w:r w:rsidRPr="00F41E78">
        <w:rPr>
          <w:rFonts w:cs="FrankRuehl" w:hint="eastAsia"/>
          <w:sz w:val="18"/>
          <w:szCs w:val="22"/>
          <w:rtl/>
          <w:lang w:eastAsia="he-IL"/>
        </w:rPr>
        <w:t>לייעוד</w:t>
      </w:r>
      <w:r w:rsidRPr="00F41E78">
        <w:rPr>
          <w:rFonts w:cs="FrankRuehl"/>
          <w:sz w:val="18"/>
          <w:szCs w:val="22"/>
          <w:rtl/>
          <w:lang w:eastAsia="he-IL"/>
        </w:rPr>
        <w:t xml:space="preserve"> </w:t>
      </w:r>
      <w:r w:rsidRPr="00F41E78">
        <w:rPr>
          <w:rFonts w:cs="FrankRuehl" w:hint="eastAsia"/>
          <w:sz w:val="18"/>
          <w:szCs w:val="22"/>
          <w:rtl/>
          <w:lang w:eastAsia="he-IL"/>
        </w:rPr>
        <w:t>מגורים</w:t>
      </w:r>
      <w:r w:rsidRPr="00F41E78">
        <w:rPr>
          <w:rFonts w:cs="FrankRuehl"/>
          <w:sz w:val="18"/>
          <w:szCs w:val="22"/>
          <w:rtl/>
          <w:lang w:eastAsia="he-IL"/>
        </w:rPr>
        <w:t xml:space="preserve"> </w:t>
      </w:r>
      <w:r w:rsidRPr="00F41E78">
        <w:rPr>
          <w:rFonts w:cs="FrankRuehl" w:hint="eastAsia"/>
          <w:sz w:val="18"/>
          <w:szCs w:val="22"/>
          <w:rtl/>
          <w:lang w:eastAsia="he-IL"/>
        </w:rPr>
        <w:t>ולייעודי</w:t>
      </w:r>
      <w:r w:rsidRPr="00F41E78">
        <w:rPr>
          <w:rFonts w:cs="FrankRuehl"/>
          <w:sz w:val="18"/>
          <w:szCs w:val="22"/>
          <w:rtl/>
          <w:lang w:eastAsia="he-IL"/>
        </w:rPr>
        <w:t xml:space="preserve"> </w:t>
      </w:r>
      <w:r w:rsidRPr="00F41E78">
        <w:rPr>
          <w:rFonts w:cs="FrankRuehl" w:hint="eastAsia"/>
          <w:sz w:val="18"/>
          <w:szCs w:val="22"/>
          <w:rtl/>
          <w:lang w:eastAsia="he-IL"/>
        </w:rPr>
        <w:t>תעסוקה</w:t>
      </w:r>
      <w:r w:rsidRPr="00F41E78">
        <w:rPr>
          <w:rFonts w:cs="FrankRuehl"/>
          <w:sz w:val="18"/>
          <w:szCs w:val="22"/>
          <w:rtl/>
          <w:lang w:eastAsia="he-IL"/>
        </w:rPr>
        <w:t xml:space="preserve"> </w:t>
      </w:r>
      <w:r w:rsidRPr="00F41E78">
        <w:rPr>
          <w:rFonts w:cs="FrankRuehl" w:hint="eastAsia"/>
          <w:sz w:val="18"/>
          <w:szCs w:val="22"/>
          <w:rtl/>
          <w:lang w:eastAsia="he-IL"/>
        </w:rPr>
        <w:t>במחוז</w:t>
      </w:r>
      <w:r w:rsidRPr="00F41E78">
        <w:rPr>
          <w:rFonts w:cs="FrankRuehl"/>
          <w:sz w:val="18"/>
          <w:szCs w:val="22"/>
          <w:rtl/>
          <w:lang w:eastAsia="he-IL"/>
        </w:rPr>
        <w:t xml:space="preserve"> </w:t>
      </w:r>
      <w:r w:rsidRPr="00F41E78">
        <w:rPr>
          <w:rFonts w:cs="FrankRuehl" w:hint="eastAsia"/>
          <w:sz w:val="18"/>
          <w:szCs w:val="22"/>
          <w:rtl/>
          <w:lang w:eastAsia="he-IL"/>
        </w:rPr>
        <w:t>המרכז</w:t>
      </w:r>
      <w:r w:rsidRPr="00F41E78">
        <w:rPr>
          <w:rFonts w:cs="FrankRuehl"/>
          <w:sz w:val="18"/>
          <w:szCs w:val="22"/>
          <w:rtl/>
          <w:lang w:eastAsia="he-IL"/>
        </w:rPr>
        <w:t xml:space="preserve">, </w:t>
      </w:r>
      <w:r w:rsidRPr="00F41E78">
        <w:rPr>
          <w:rFonts w:cs="FrankRuehl" w:hint="eastAsia"/>
          <w:sz w:val="18"/>
          <w:szCs w:val="22"/>
          <w:rtl/>
          <w:lang w:eastAsia="he-IL"/>
        </w:rPr>
        <w:t>בשנים</w:t>
      </w:r>
      <w:r w:rsidRPr="00F41E78">
        <w:rPr>
          <w:rFonts w:cs="FrankRuehl"/>
          <w:sz w:val="18"/>
          <w:szCs w:val="22"/>
          <w:rtl/>
          <w:lang w:eastAsia="he-IL"/>
        </w:rPr>
        <w:t xml:space="preserve"> 2009 </w:t>
      </w:r>
      <w:r w:rsidRPr="00F41E78">
        <w:rPr>
          <w:rFonts w:cs="FrankRuehl" w:hint="eastAsia"/>
          <w:sz w:val="18"/>
          <w:szCs w:val="22"/>
          <w:rtl/>
          <w:lang w:eastAsia="he-IL"/>
        </w:rPr>
        <w:t>עד</w:t>
      </w:r>
      <w:r w:rsidRPr="00F41E78">
        <w:rPr>
          <w:rFonts w:cs="FrankRuehl"/>
          <w:sz w:val="18"/>
          <w:szCs w:val="22"/>
          <w:rtl/>
          <w:lang w:eastAsia="he-IL"/>
        </w:rPr>
        <w:t xml:space="preserve"> 2012.</w:t>
      </w:r>
    </w:p>
    <w:p w:rsidR="00E97EDA" w:rsidRPr="00F41E78" w:rsidP="007521AE">
      <w:pPr>
        <w:spacing w:after="240" w:line="230" w:lineRule="exact"/>
        <w:ind w:left="340" w:hanging="340"/>
        <w:jc w:val="both"/>
        <w:rPr>
          <w:rFonts w:cs="FrankRuehl"/>
          <w:sz w:val="18"/>
          <w:szCs w:val="22"/>
          <w:rtl/>
          <w:lang w:eastAsia="he-IL"/>
        </w:rPr>
      </w:pPr>
      <w:r>
        <w:rPr>
          <w:rFonts w:cs="FrankRuehl"/>
          <w:sz w:val="18"/>
          <w:szCs w:val="22"/>
          <w:rtl/>
          <w:lang w:eastAsia="he-IL"/>
        </w:rPr>
        <w:tab/>
      </w:r>
      <w:r w:rsidRPr="00F41E78">
        <w:rPr>
          <w:rFonts w:cs="FrankRuehl" w:hint="cs"/>
          <w:sz w:val="18"/>
          <w:szCs w:val="22"/>
          <w:rtl/>
          <w:lang w:eastAsia="he-IL"/>
        </w:rPr>
        <w:t xml:space="preserve">בדברי ההסבר להצעת החלטה זו ציין אג"ת (יוזם ההחלטה) כי לנוכח החריגה מיעדי פיזור האוכלוסין של תמ"א 35, "נראה כי אין די בהגדרות תמ"א 35 בכדי להבטיח את מימושה, וכי יש להביא לשינוי מדיניות של הממשלה במטרה להביא להיפוך המגמה המוצגת לעיל. כך למשל, משרדי הממשלה העוסקים בתכנון ובפיתוח פתרונות מגורים ותעסוקה פועלים פעמים רבות לענות על הביקושים הרבים באזור המרכז וזאת בלי לבחון את השלכות הדבר על אזורי הפריפריה. מטרת החלטה זו להביא להיפוך המגמה המוצגת לעיל, תוך הסטת חלק מהביקושים מהמרכז לאזורי הפריפריה. זאת, </w:t>
      </w:r>
      <w:r w:rsidRPr="00F41E78">
        <w:rPr>
          <w:rFonts w:cs="FrankRuehl" w:hint="eastAsia"/>
          <w:b/>
          <w:bCs/>
          <w:sz w:val="18"/>
          <w:szCs w:val="22"/>
          <w:rtl/>
          <w:lang w:eastAsia="he-IL"/>
        </w:rPr>
        <w:t>במקביל</w:t>
      </w:r>
      <w:r w:rsidRPr="00F41E78">
        <w:rPr>
          <w:rFonts w:cs="FrankRuehl"/>
          <w:b/>
          <w:bCs/>
          <w:sz w:val="18"/>
          <w:szCs w:val="22"/>
          <w:rtl/>
          <w:lang w:eastAsia="he-IL"/>
        </w:rPr>
        <w:t xml:space="preserve"> </w:t>
      </w:r>
      <w:r w:rsidRPr="00F41E78">
        <w:rPr>
          <w:rFonts w:cs="FrankRuehl" w:hint="eastAsia"/>
          <w:b/>
          <w:bCs/>
          <w:sz w:val="18"/>
          <w:szCs w:val="22"/>
          <w:rtl/>
          <w:lang w:eastAsia="he-IL"/>
        </w:rPr>
        <w:t>לתכנית</w:t>
      </w:r>
      <w:r w:rsidRPr="00F41E78">
        <w:rPr>
          <w:rFonts w:cs="FrankRuehl"/>
          <w:b/>
          <w:bCs/>
          <w:sz w:val="18"/>
          <w:szCs w:val="22"/>
          <w:rtl/>
          <w:lang w:eastAsia="he-IL"/>
        </w:rPr>
        <w:t xml:space="preserve"> </w:t>
      </w:r>
      <w:r w:rsidRPr="00F41E78">
        <w:rPr>
          <w:rFonts w:cs="FrankRuehl" w:hint="eastAsia"/>
          <w:b/>
          <w:bCs/>
          <w:sz w:val="18"/>
          <w:szCs w:val="22"/>
          <w:rtl/>
          <w:lang w:eastAsia="he-IL"/>
        </w:rPr>
        <w:t>כוללת</w:t>
      </w:r>
      <w:r w:rsidRPr="00F41E78">
        <w:rPr>
          <w:rFonts w:cs="FrankRuehl"/>
          <w:b/>
          <w:bCs/>
          <w:sz w:val="18"/>
          <w:szCs w:val="22"/>
          <w:rtl/>
          <w:lang w:eastAsia="he-IL"/>
        </w:rPr>
        <w:t xml:space="preserve"> </w:t>
      </w:r>
      <w:r w:rsidRPr="00F41E78">
        <w:rPr>
          <w:rFonts w:cs="FrankRuehl" w:hint="eastAsia"/>
          <w:b/>
          <w:bCs/>
          <w:sz w:val="18"/>
          <w:szCs w:val="22"/>
          <w:rtl/>
          <w:lang w:eastAsia="he-IL"/>
        </w:rPr>
        <w:t>לחיזוק</w:t>
      </w:r>
      <w:r w:rsidRPr="00F41E78">
        <w:rPr>
          <w:rFonts w:cs="FrankRuehl"/>
          <w:b/>
          <w:bCs/>
          <w:sz w:val="18"/>
          <w:szCs w:val="22"/>
          <w:rtl/>
          <w:lang w:eastAsia="he-IL"/>
        </w:rPr>
        <w:t xml:space="preserve"> </w:t>
      </w:r>
      <w:r w:rsidRPr="00F41E78">
        <w:rPr>
          <w:rFonts w:cs="FrankRuehl" w:hint="eastAsia"/>
          <w:b/>
          <w:bCs/>
          <w:sz w:val="18"/>
          <w:szCs w:val="22"/>
          <w:rtl/>
          <w:lang w:eastAsia="he-IL"/>
        </w:rPr>
        <w:t>הפריפריה</w:t>
      </w:r>
      <w:r w:rsidRPr="00F41E78">
        <w:rPr>
          <w:rFonts w:cs="FrankRuehl"/>
          <w:b/>
          <w:bCs/>
          <w:sz w:val="18"/>
          <w:szCs w:val="22"/>
          <w:rtl/>
          <w:lang w:eastAsia="he-IL"/>
        </w:rPr>
        <w:t xml:space="preserve"> </w:t>
      </w:r>
      <w:r w:rsidRPr="00F41E78">
        <w:rPr>
          <w:rFonts w:cs="FrankRuehl" w:hint="eastAsia"/>
          <w:b/>
          <w:bCs/>
          <w:sz w:val="18"/>
          <w:szCs w:val="22"/>
          <w:rtl/>
          <w:lang w:eastAsia="he-IL"/>
        </w:rPr>
        <w:t>אשר</w:t>
      </w:r>
      <w:r w:rsidRPr="00F41E78">
        <w:rPr>
          <w:rFonts w:cs="FrankRuehl"/>
          <w:b/>
          <w:bCs/>
          <w:sz w:val="18"/>
          <w:szCs w:val="22"/>
          <w:rtl/>
          <w:lang w:eastAsia="he-IL"/>
        </w:rPr>
        <w:t xml:space="preserve"> </w:t>
      </w:r>
      <w:r w:rsidRPr="00F41E78">
        <w:rPr>
          <w:rFonts w:cs="FrankRuehl" w:hint="eastAsia"/>
          <w:b/>
          <w:bCs/>
          <w:sz w:val="18"/>
          <w:szCs w:val="22"/>
          <w:rtl/>
          <w:lang w:eastAsia="he-IL"/>
        </w:rPr>
        <w:t>צפויה</w:t>
      </w:r>
      <w:r w:rsidRPr="00F41E78">
        <w:rPr>
          <w:rFonts w:cs="FrankRuehl"/>
          <w:b/>
          <w:bCs/>
          <w:sz w:val="18"/>
          <w:szCs w:val="22"/>
          <w:rtl/>
          <w:lang w:eastAsia="he-IL"/>
        </w:rPr>
        <w:t xml:space="preserve"> </w:t>
      </w:r>
      <w:r w:rsidRPr="00F41E78">
        <w:rPr>
          <w:rFonts w:cs="FrankRuehl" w:hint="eastAsia"/>
          <w:b/>
          <w:bCs/>
          <w:sz w:val="18"/>
          <w:szCs w:val="22"/>
          <w:rtl/>
          <w:lang w:eastAsia="he-IL"/>
        </w:rPr>
        <w:t>להביא</w:t>
      </w:r>
      <w:r w:rsidRPr="00F41E78">
        <w:rPr>
          <w:rFonts w:cs="FrankRuehl"/>
          <w:b/>
          <w:bCs/>
          <w:sz w:val="18"/>
          <w:szCs w:val="22"/>
          <w:rtl/>
          <w:lang w:eastAsia="he-IL"/>
        </w:rPr>
        <w:t xml:space="preserve"> </w:t>
      </w:r>
      <w:r w:rsidRPr="00F41E78">
        <w:rPr>
          <w:rFonts w:cs="FrankRuehl" w:hint="eastAsia"/>
          <w:b/>
          <w:bCs/>
          <w:sz w:val="18"/>
          <w:szCs w:val="22"/>
          <w:rtl/>
          <w:lang w:eastAsia="he-IL"/>
        </w:rPr>
        <w:t>להגברת</w:t>
      </w:r>
      <w:r w:rsidRPr="00F41E78">
        <w:rPr>
          <w:rFonts w:cs="FrankRuehl"/>
          <w:b/>
          <w:bCs/>
          <w:sz w:val="18"/>
          <w:szCs w:val="22"/>
          <w:rtl/>
          <w:lang w:eastAsia="he-IL"/>
        </w:rPr>
        <w:t xml:space="preserve"> </w:t>
      </w:r>
      <w:r w:rsidRPr="00F41E78">
        <w:rPr>
          <w:rFonts w:cs="FrankRuehl" w:hint="eastAsia"/>
          <w:b/>
          <w:bCs/>
          <w:sz w:val="18"/>
          <w:szCs w:val="22"/>
          <w:rtl/>
          <w:lang w:eastAsia="he-IL"/>
        </w:rPr>
        <w:t>הביקושים</w:t>
      </w:r>
      <w:r w:rsidRPr="00F41E78">
        <w:rPr>
          <w:rFonts w:cs="FrankRuehl"/>
          <w:b/>
          <w:bCs/>
          <w:sz w:val="18"/>
          <w:szCs w:val="22"/>
          <w:rtl/>
          <w:lang w:eastAsia="he-IL"/>
        </w:rPr>
        <w:t xml:space="preserve"> </w:t>
      </w:r>
      <w:r w:rsidRPr="00F41E78">
        <w:rPr>
          <w:rFonts w:cs="FrankRuehl" w:hint="eastAsia"/>
          <w:b/>
          <w:bCs/>
          <w:sz w:val="18"/>
          <w:szCs w:val="22"/>
          <w:rtl/>
          <w:lang w:eastAsia="he-IL"/>
        </w:rPr>
        <w:t>באזורים</w:t>
      </w:r>
      <w:r w:rsidRPr="00F41E78">
        <w:rPr>
          <w:rFonts w:cs="FrankRuehl"/>
          <w:b/>
          <w:bCs/>
          <w:sz w:val="18"/>
          <w:szCs w:val="22"/>
          <w:rtl/>
          <w:lang w:eastAsia="he-IL"/>
        </w:rPr>
        <w:t xml:space="preserve"> </w:t>
      </w:r>
      <w:r w:rsidRPr="00F41E78">
        <w:rPr>
          <w:rFonts w:cs="FrankRuehl" w:hint="eastAsia"/>
          <w:b/>
          <w:bCs/>
          <w:sz w:val="18"/>
          <w:szCs w:val="22"/>
          <w:rtl/>
          <w:lang w:eastAsia="he-IL"/>
        </w:rPr>
        <w:t>אלו</w:t>
      </w:r>
      <w:r w:rsidRPr="00F41E78">
        <w:rPr>
          <w:rFonts w:cs="FrankRuehl" w:hint="cs"/>
          <w:sz w:val="18"/>
          <w:szCs w:val="22"/>
          <w:rtl/>
          <w:lang w:eastAsia="he-IL"/>
        </w:rPr>
        <w:t>" [ההדגשה אינה במקור].</w:t>
      </w:r>
    </w:p>
    <w:p w:rsidR="00D22B16" w:rsidRPr="00F41E78" w:rsidP="00D22B16">
      <w:pPr>
        <w:pStyle w:val="RESHET"/>
        <w:keepLines/>
        <w:ind w:left="567"/>
        <w:rPr>
          <w:rtl/>
        </w:rPr>
      </w:pPr>
      <w:r w:rsidRPr="00F41E78">
        <w:rPr>
          <w:rFonts w:hint="cs"/>
          <w:rtl/>
        </w:rPr>
        <w:t>בנוגע לעבודת המטה להצעת החלטות ממשלה</w:t>
      </w:r>
      <w:r>
        <w:rPr>
          <w:vertAlign w:val="superscript"/>
          <w:rtl/>
        </w:rPr>
        <w:footnoteReference w:id="89"/>
      </w:r>
      <w:r w:rsidRPr="00F41E78">
        <w:rPr>
          <w:rFonts w:hint="cs"/>
          <w:rtl/>
        </w:rPr>
        <w:t xml:space="preserve">, כבר ציין בעבר משרד מבקר המדינה כי היא "נועדה לאפשר לממשלה לקבל מידע מקיף על ההצעה המועלית לפניה, כדי שההחלטה שתתקבל תתבסס על מידע נאות, </w:t>
      </w:r>
      <w:r w:rsidRPr="00F41E78">
        <w:rPr>
          <w:rFonts w:hint="cs"/>
          <w:u w:val="single"/>
          <w:rtl/>
        </w:rPr>
        <w:t>על הכרת הנושא והקשיים שהוא מעורר</w:t>
      </w:r>
      <w:r w:rsidRPr="00F41E78">
        <w:rPr>
          <w:rFonts w:hint="cs"/>
          <w:rtl/>
        </w:rPr>
        <w:t xml:space="preserve"> והעמדות השונות לגביו".</w:t>
      </w:r>
    </w:p>
    <w:p w:rsidR="00D22B16" w:rsidRPr="00F41E78" w:rsidP="00D22B16">
      <w:pPr>
        <w:pStyle w:val="RESHET"/>
        <w:keepLines/>
        <w:ind w:left="567"/>
        <w:rPr>
          <w:rtl/>
        </w:rPr>
      </w:pPr>
      <w:r w:rsidRPr="00F41E78">
        <w:rPr>
          <w:rFonts w:hint="cs"/>
          <w:rtl/>
        </w:rPr>
        <w:t>אולם הביקורת העלתה כי אף שמדובר בהחלטה מהותית, שעניינה קביעת מדיניות תכנון ארצית, לא תועדה עבודת המטה שעשו אג"ת, מינהל התכנון, משרד הבינוי ורמ"י שבעקבותיה התקבלה ההחלטה. כמו כן לא תועדו דיוני מטה במישור המשרדי והבין-משרדי העוסקים בקשיים, בסיכונים, בתוצאותיה של הפסקת ייזום התכנון באזור המרכז ובהשפעותיה הצפויות של החלטה זו בעתיד. יוצא אפוא שסדרי עבודת המטה של גופים אלו היו לקויים ונעדר מהם תיעוד שלב ניתוח ההשפעות האפשריות של יישום ההחלטה.</w:t>
      </w:r>
    </w:p>
    <w:p w:rsidR="00E97EDA" w:rsidRPr="00F41E78" w:rsidP="007521AE">
      <w:pPr>
        <w:spacing w:before="180" w:after="240" w:line="230" w:lineRule="exact"/>
        <w:ind w:left="340" w:hanging="340"/>
        <w:jc w:val="both"/>
        <w:rPr>
          <w:rFonts w:cs="FrankRuehl"/>
          <w:sz w:val="18"/>
          <w:szCs w:val="22"/>
          <w:rtl/>
          <w:lang w:eastAsia="he-IL"/>
        </w:rPr>
      </w:pPr>
      <w:r>
        <w:rPr>
          <w:rFonts w:cs="FrankRuehl"/>
          <w:sz w:val="18"/>
          <w:szCs w:val="22"/>
          <w:rtl/>
          <w:lang w:eastAsia="he-IL"/>
        </w:rPr>
        <w:tab/>
      </w:r>
      <w:r w:rsidRPr="00F41E78">
        <w:rPr>
          <w:rFonts w:cs="FrankRuehl" w:hint="cs"/>
          <w:sz w:val="18"/>
          <w:szCs w:val="22"/>
          <w:rtl/>
          <w:lang w:eastAsia="he-IL"/>
        </w:rPr>
        <w:t xml:space="preserve">בתשובתו </w:t>
      </w:r>
      <w:r w:rsidRPr="00F41E78">
        <w:rPr>
          <w:rFonts w:cs="FrankRuehl"/>
          <w:sz w:val="18"/>
          <w:szCs w:val="22"/>
          <w:rtl/>
          <w:lang w:eastAsia="he-IL"/>
        </w:rPr>
        <w:t xml:space="preserve">מאפריל 2014 </w:t>
      </w:r>
      <w:r w:rsidRPr="00F41E78">
        <w:rPr>
          <w:rFonts w:cs="FrankRuehl" w:hint="cs"/>
          <w:sz w:val="18"/>
          <w:szCs w:val="22"/>
          <w:rtl/>
          <w:lang w:eastAsia="he-IL"/>
        </w:rPr>
        <w:t xml:space="preserve">מסר </w:t>
      </w:r>
      <w:r w:rsidRPr="00F41E78">
        <w:rPr>
          <w:rFonts w:cs="FrankRuehl"/>
          <w:sz w:val="18"/>
          <w:szCs w:val="22"/>
          <w:rtl/>
          <w:lang w:eastAsia="he-IL"/>
        </w:rPr>
        <w:t xml:space="preserve">משרד הבינוי כי </w:t>
      </w:r>
      <w:r w:rsidRPr="00F41E78">
        <w:rPr>
          <w:rFonts w:cs="FrankRuehl" w:hint="cs"/>
          <w:sz w:val="18"/>
          <w:szCs w:val="22"/>
          <w:rtl/>
          <w:lang w:eastAsia="he-IL"/>
        </w:rPr>
        <w:t>הוא</w:t>
      </w:r>
      <w:r w:rsidRPr="00F41E78">
        <w:rPr>
          <w:rFonts w:cs="FrankRuehl"/>
          <w:sz w:val="18"/>
          <w:szCs w:val="22"/>
          <w:rtl/>
          <w:lang w:eastAsia="he-IL"/>
        </w:rPr>
        <w:t xml:space="preserve"> לא זומן </w:t>
      </w:r>
      <w:r w:rsidRPr="00F41E78">
        <w:rPr>
          <w:rFonts w:cs="FrankRuehl" w:hint="cs"/>
          <w:sz w:val="18"/>
          <w:szCs w:val="22"/>
          <w:rtl/>
          <w:lang w:eastAsia="he-IL"/>
        </w:rPr>
        <w:t>ל</w:t>
      </w:r>
      <w:r w:rsidRPr="00F41E78">
        <w:rPr>
          <w:rFonts w:cs="FrankRuehl"/>
          <w:sz w:val="18"/>
          <w:szCs w:val="22"/>
          <w:rtl/>
          <w:lang w:eastAsia="he-IL"/>
        </w:rPr>
        <w:t xml:space="preserve">ישיבה או </w:t>
      </w:r>
      <w:r w:rsidRPr="00F41E78">
        <w:rPr>
          <w:rFonts w:cs="FrankRuehl" w:hint="cs"/>
          <w:sz w:val="18"/>
          <w:szCs w:val="22"/>
          <w:rtl/>
          <w:lang w:eastAsia="he-IL"/>
        </w:rPr>
        <w:t>ל</w:t>
      </w:r>
      <w:r w:rsidRPr="00F41E78">
        <w:rPr>
          <w:rFonts w:cs="FrankRuehl"/>
          <w:sz w:val="18"/>
          <w:szCs w:val="22"/>
          <w:rtl/>
          <w:lang w:eastAsia="he-IL"/>
        </w:rPr>
        <w:t>התייעצות</w:t>
      </w:r>
      <w:r w:rsidRPr="00F41E78">
        <w:rPr>
          <w:rFonts w:cs="FrankRuehl" w:hint="cs"/>
          <w:sz w:val="18"/>
          <w:szCs w:val="22"/>
          <w:rtl/>
          <w:lang w:eastAsia="he-IL"/>
        </w:rPr>
        <w:t xml:space="preserve"> כלשהי</w:t>
      </w:r>
      <w:r w:rsidRPr="00F41E78">
        <w:rPr>
          <w:rFonts w:cs="FrankRuehl"/>
          <w:sz w:val="18"/>
          <w:szCs w:val="22"/>
          <w:rtl/>
          <w:lang w:eastAsia="he-IL"/>
        </w:rPr>
        <w:t xml:space="preserve"> קודם להחלטת הממשלה </w:t>
      </w:r>
      <w:r w:rsidRPr="00F41E78">
        <w:rPr>
          <w:rFonts w:cs="FrankRuehl" w:hint="eastAsia"/>
          <w:sz w:val="18"/>
          <w:szCs w:val="22"/>
          <w:rtl/>
          <w:lang w:eastAsia="he-IL"/>
        </w:rPr>
        <w:t>האמורה</w:t>
      </w:r>
      <w:r w:rsidRPr="00F41E78">
        <w:rPr>
          <w:rFonts w:cs="FrankRuehl"/>
          <w:sz w:val="18"/>
          <w:szCs w:val="22"/>
          <w:rtl/>
          <w:lang w:eastAsia="he-IL"/>
        </w:rPr>
        <w:t xml:space="preserve"> </w:t>
      </w:r>
      <w:r w:rsidRPr="00F41E78">
        <w:rPr>
          <w:rFonts w:cs="FrankRuehl" w:hint="cs"/>
          <w:sz w:val="18"/>
          <w:szCs w:val="22"/>
          <w:rtl/>
          <w:lang w:eastAsia="he-IL"/>
        </w:rPr>
        <w:t xml:space="preserve">וציין </w:t>
      </w:r>
      <w:r w:rsidRPr="00F41E78">
        <w:rPr>
          <w:rFonts w:cs="FrankRuehl" w:hint="eastAsia"/>
          <w:sz w:val="18"/>
          <w:szCs w:val="22"/>
          <w:rtl/>
          <w:lang w:eastAsia="he-IL"/>
        </w:rPr>
        <w:t>כי</w:t>
      </w:r>
      <w:r w:rsidRPr="00F41E78">
        <w:rPr>
          <w:rFonts w:cs="FrankRuehl"/>
          <w:sz w:val="18"/>
          <w:szCs w:val="22"/>
          <w:rtl/>
          <w:lang w:eastAsia="he-IL"/>
        </w:rPr>
        <w:t xml:space="preserve"> </w:t>
      </w:r>
      <w:r w:rsidRPr="00F41E78">
        <w:rPr>
          <w:rFonts w:cs="FrankRuehl" w:hint="eastAsia"/>
          <w:sz w:val="18"/>
          <w:szCs w:val="22"/>
          <w:rtl/>
          <w:lang w:eastAsia="he-IL"/>
        </w:rPr>
        <w:t>התנגד</w:t>
      </w:r>
      <w:r w:rsidRPr="00F41E78">
        <w:rPr>
          <w:rFonts w:cs="FrankRuehl"/>
          <w:sz w:val="18"/>
          <w:szCs w:val="22"/>
          <w:rtl/>
          <w:lang w:eastAsia="he-IL"/>
        </w:rPr>
        <w:t xml:space="preserve"> </w:t>
      </w:r>
      <w:r w:rsidRPr="00F41E78">
        <w:rPr>
          <w:rFonts w:cs="FrankRuehl" w:hint="eastAsia"/>
          <w:sz w:val="18"/>
          <w:szCs w:val="22"/>
          <w:rtl/>
          <w:lang w:eastAsia="he-IL"/>
        </w:rPr>
        <w:t>לה</w:t>
      </w:r>
      <w:r w:rsidRPr="00F41E78">
        <w:rPr>
          <w:rFonts w:cs="FrankRuehl"/>
          <w:sz w:val="18"/>
          <w:szCs w:val="22"/>
          <w:rtl/>
          <w:lang w:eastAsia="he-IL"/>
        </w:rPr>
        <w:t xml:space="preserve"> </w:t>
      </w:r>
      <w:r w:rsidRPr="00F41E78">
        <w:rPr>
          <w:rFonts w:cs="FrankRuehl" w:hint="eastAsia"/>
          <w:sz w:val="18"/>
          <w:szCs w:val="22"/>
          <w:rtl/>
          <w:lang w:eastAsia="he-IL"/>
        </w:rPr>
        <w:t>באותה</w:t>
      </w:r>
      <w:r w:rsidRPr="00F41E78">
        <w:rPr>
          <w:rFonts w:cs="FrankRuehl"/>
          <w:sz w:val="18"/>
          <w:szCs w:val="22"/>
          <w:rtl/>
          <w:lang w:eastAsia="he-IL"/>
        </w:rPr>
        <w:t xml:space="preserve"> </w:t>
      </w:r>
      <w:r w:rsidRPr="00F41E78">
        <w:rPr>
          <w:rFonts w:cs="FrankRuehl" w:hint="eastAsia"/>
          <w:sz w:val="18"/>
          <w:szCs w:val="22"/>
          <w:rtl/>
          <w:lang w:eastAsia="he-IL"/>
        </w:rPr>
        <w:t>העת</w:t>
      </w:r>
      <w:r w:rsidRPr="00F41E78">
        <w:rPr>
          <w:rFonts w:cs="FrankRuehl"/>
          <w:sz w:val="18"/>
          <w:szCs w:val="22"/>
          <w:rtl/>
          <w:lang w:eastAsia="he-IL"/>
        </w:rPr>
        <w:t>.</w:t>
      </w:r>
    </w:p>
    <w:p w:rsidR="00D22B16" w:rsidRPr="00F41E78" w:rsidP="00D22B16">
      <w:pPr>
        <w:pStyle w:val="RESHET"/>
        <w:keepLines/>
        <w:ind w:left="567"/>
        <w:rPr>
          <w:rtl/>
        </w:rPr>
      </w:pPr>
      <w:r w:rsidRPr="00F41E78">
        <w:rPr>
          <w:rFonts w:hint="eastAsia"/>
          <w:rtl/>
        </w:rPr>
        <w:t>משרד</w:t>
      </w:r>
      <w:r w:rsidRPr="00F41E78">
        <w:rPr>
          <w:rtl/>
        </w:rPr>
        <w:t xml:space="preserve"> מבקר המדינה </w:t>
      </w:r>
      <w:r w:rsidRPr="00F41E78">
        <w:rPr>
          <w:rFonts w:hint="cs"/>
          <w:rtl/>
        </w:rPr>
        <w:t>ה</w:t>
      </w:r>
      <w:r w:rsidRPr="00F41E78">
        <w:rPr>
          <w:rtl/>
        </w:rPr>
        <w:t xml:space="preserve">עיר למשרד הבינוי כי </w:t>
      </w:r>
      <w:r w:rsidRPr="00F41E78">
        <w:rPr>
          <w:rFonts w:hint="cs"/>
          <w:rtl/>
        </w:rPr>
        <w:t>ל</w:t>
      </w:r>
      <w:r w:rsidRPr="00F41E78">
        <w:rPr>
          <w:rFonts w:hint="eastAsia"/>
          <w:rtl/>
        </w:rPr>
        <w:t>נוכח</w:t>
      </w:r>
      <w:r w:rsidRPr="00F41E78">
        <w:rPr>
          <w:rtl/>
        </w:rPr>
        <w:t xml:space="preserve"> </w:t>
      </w:r>
      <w:r w:rsidRPr="00F41E78">
        <w:rPr>
          <w:rFonts w:hint="eastAsia"/>
          <w:rtl/>
        </w:rPr>
        <w:t>התנגדותו</w:t>
      </w:r>
      <w:r w:rsidRPr="00F41E78">
        <w:rPr>
          <w:rtl/>
        </w:rPr>
        <w:t xml:space="preserve"> לה</w:t>
      </w:r>
      <w:r w:rsidRPr="00F41E78">
        <w:rPr>
          <w:rFonts w:hint="eastAsia"/>
          <w:rtl/>
        </w:rPr>
        <w:t>חלטה</w:t>
      </w:r>
      <w:r w:rsidRPr="00F41E78">
        <w:rPr>
          <w:rFonts w:hint="cs"/>
          <w:rtl/>
        </w:rPr>
        <w:t>,</w:t>
      </w:r>
      <w:r w:rsidRPr="00F41E78">
        <w:rPr>
          <w:rtl/>
        </w:rPr>
        <w:t xml:space="preserve"> היה מצופה </w:t>
      </w:r>
      <w:r w:rsidRPr="00F41E78">
        <w:rPr>
          <w:rFonts w:hint="cs"/>
          <w:rtl/>
        </w:rPr>
        <w:t xml:space="preserve">כי </w:t>
      </w:r>
      <w:r w:rsidRPr="00F41E78">
        <w:rPr>
          <w:rtl/>
        </w:rPr>
        <w:t xml:space="preserve">יציג את עמדתו </w:t>
      </w:r>
      <w:r w:rsidRPr="00F41E78">
        <w:rPr>
          <w:rFonts w:hint="eastAsia"/>
          <w:rtl/>
        </w:rPr>
        <w:t>בעת</w:t>
      </w:r>
      <w:r w:rsidRPr="00F41E78">
        <w:rPr>
          <w:rtl/>
        </w:rPr>
        <w:t xml:space="preserve"> הדיון בממשלה </w:t>
      </w:r>
      <w:r w:rsidRPr="00F41E78">
        <w:rPr>
          <w:rFonts w:hint="cs"/>
          <w:rtl/>
        </w:rPr>
        <w:t>שבו</w:t>
      </w:r>
      <w:r w:rsidRPr="00F41E78">
        <w:rPr>
          <w:rtl/>
        </w:rPr>
        <w:t xml:space="preserve"> אושרה ההחלטה </w:t>
      </w:r>
      <w:r w:rsidRPr="00F41E78">
        <w:rPr>
          <w:rFonts w:hint="cs"/>
          <w:rtl/>
        </w:rPr>
        <w:t xml:space="preserve">ויבהיר במסגרת הדיון </w:t>
      </w:r>
      <w:r w:rsidRPr="00F41E78">
        <w:rPr>
          <w:rtl/>
        </w:rPr>
        <w:t xml:space="preserve">את </w:t>
      </w:r>
      <w:r w:rsidRPr="00F41E78">
        <w:rPr>
          <w:rFonts w:hint="cs"/>
          <w:rtl/>
        </w:rPr>
        <w:t>חסרונותיה של ההחלטה ואת הסיכונים הכרוכים בה; אולם על פי המסמכים נמצא כי הוא לא עשה זאת</w:t>
      </w:r>
      <w:r w:rsidRPr="00F41E78">
        <w:rPr>
          <w:rtl/>
        </w:rPr>
        <w:t xml:space="preserve">. </w:t>
      </w:r>
    </w:p>
    <w:p w:rsidR="00D22B16" w:rsidRPr="00F41E78" w:rsidP="00D22B16">
      <w:pPr>
        <w:pStyle w:val="RESHET"/>
        <w:keepLines/>
        <w:ind w:left="567"/>
        <w:rPr>
          <w:rtl/>
        </w:rPr>
      </w:pPr>
      <w:r w:rsidRPr="00F41E78">
        <w:rPr>
          <w:rFonts w:hint="cs"/>
          <w:rtl/>
        </w:rPr>
        <w:t xml:space="preserve">בעקבות ההחלטה על הפסקת ייזום התכנון באזור המרכז, לא אישרו מוסדות התכנון כמעט תכניות באזור זה. המהלך לא הוביל לתוצאות המצופות - הביקוש במרכז לא פחת והביקוש בפריפריה לא גדל. יתרה מזאת, מחירי הדירות המשיכו להאמיר בכל הארץ - במרכז ובפריפריה כאחד. בעקבות זאת, התקבלה כעבור כשנתיים, ביולי 2010, החלטת ממשלה מס' 1980 של הממשלה ה-32 בדבר יישום המדיניות להורדת מחירי הדיור ובדבר ביטול ההחלטה האמורה על הפסקת ייזום התכנון באזור המרכז. </w:t>
      </w:r>
    </w:p>
    <w:p w:rsidR="00E97EDA" w:rsidRPr="00F41E78" w:rsidP="007521AE">
      <w:pPr>
        <w:spacing w:before="180" w:after="240" w:line="230" w:lineRule="exact"/>
        <w:ind w:left="340" w:hanging="340"/>
        <w:jc w:val="both"/>
        <w:rPr>
          <w:rFonts w:cs="FrankRuehl"/>
          <w:sz w:val="18"/>
          <w:szCs w:val="22"/>
          <w:rtl/>
          <w:lang w:eastAsia="he-IL"/>
        </w:rPr>
      </w:pPr>
      <w:r w:rsidRPr="00745AB9">
        <w:rPr>
          <w:rFonts w:cs="FrankRuehl"/>
          <w:sz w:val="18"/>
          <w:szCs w:val="22"/>
          <w:rtl/>
        </w:rPr>
        <w:t>2.</w:t>
      </w:r>
      <w:r w:rsidRPr="00745AB9">
        <w:rPr>
          <w:rFonts w:cs="FrankRuehl"/>
          <w:sz w:val="18"/>
          <w:szCs w:val="22"/>
          <w:rtl/>
        </w:rPr>
        <w:tab/>
      </w:r>
      <w:r w:rsidRPr="00F41E78">
        <w:rPr>
          <w:rFonts w:cs="FrankRuehl" w:hint="eastAsia"/>
          <w:spacing w:val="40"/>
          <w:sz w:val="18"/>
          <w:szCs w:val="22"/>
          <w:rtl/>
        </w:rPr>
        <w:t>החלטה</w:t>
      </w:r>
      <w:r w:rsidRPr="00F41E78">
        <w:rPr>
          <w:rFonts w:cs="FrankRuehl"/>
          <w:spacing w:val="40"/>
          <w:sz w:val="18"/>
          <w:szCs w:val="22"/>
          <w:rtl/>
        </w:rPr>
        <w:t xml:space="preserve"> משנת 2009 בדבר סיוע ליישובים באזורי עדיפות לאומית: </w:t>
      </w:r>
      <w:r w:rsidRPr="00F41E78">
        <w:rPr>
          <w:rFonts w:cs="FrankRuehl" w:hint="cs"/>
          <w:sz w:val="18"/>
          <w:szCs w:val="22"/>
          <w:rtl/>
          <w:lang w:eastAsia="he-IL"/>
        </w:rPr>
        <w:t xml:space="preserve">בהחלטת ממשלה מדצמבר 2009 (החלטה מס' 1060) הגדירה הממשלה את </w:t>
      </w:r>
      <w:r w:rsidRPr="00F41E78">
        <w:rPr>
          <w:rFonts w:cs="FrankRuehl" w:hint="cs"/>
          <w:sz w:val="18"/>
          <w:szCs w:val="22"/>
          <w:rtl/>
          <w:lang w:eastAsia="he-IL"/>
        </w:rPr>
        <w:t xml:space="preserve">היישובים באזורי עדיפות לאומית שעל פי מדיניותה זכאים לתמיכה, לסיוע, להנחות, להטבות ולתמריצים שונים, בין השאר כדי למשוך אליהם תושבים, להגדיל את הצמיחה הכלכלית ולחזק את החוסן הלאומי-ביטחוני. מפת היישובים כוללת יישובים במחוז הצפון ובנפת באר שבע, יישובים הסמוכים לקו העימות ויישובים ברמת איום גבוהה ביהודה ושומרון, יישובים הסמוכים לקו הגבול ויישובים חדשים או כאלו המשנים את צביונם. </w:t>
      </w:r>
    </w:p>
    <w:p w:rsidR="00D22B16" w:rsidRPr="00F41E78" w:rsidP="00D22B16">
      <w:pPr>
        <w:pStyle w:val="RESHET"/>
        <w:keepLines/>
        <w:ind w:left="567"/>
        <w:rPr>
          <w:rtl/>
        </w:rPr>
      </w:pPr>
      <w:r w:rsidRPr="00F41E78">
        <w:rPr>
          <w:rFonts w:hint="cs"/>
          <w:rtl/>
        </w:rPr>
        <w:t xml:space="preserve">יצוין כי מדובר ביישובים מסוימים שעל פי מדיניות הממשלה נקבעו כבעלי עדיפות, ולא כל יישובי הפריפריה נקבעו כזכאים לתמיכתה של המדינה במסגרת הסיוע ליישובי עדיפות לאומית. </w:t>
      </w:r>
    </w:p>
    <w:p w:rsidR="00E97EDA" w:rsidRPr="00F41E78" w:rsidP="00850A5E">
      <w:pPr>
        <w:spacing w:after="120" w:line="230" w:lineRule="exact"/>
        <w:ind w:left="340" w:hanging="340"/>
        <w:jc w:val="both"/>
        <w:rPr>
          <w:rFonts w:cs="FrankRuehl"/>
          <w:sz w:val="18"/>
          <w:szCs w:val="22"/>
          <w:rtl/>
          <w:lang w:eastAsia="he-IL"/>
        </w:rPr>
      </w:pPr>
      <w:r w:rsidRPr="00745AB9">
        <w:rPr>
          <w:rFonts w:cs="FrankRuehl"/>
          <w:sz w:val="18"/>
          <w:szCs w:val="22"/>
          <w:rtl/>
        </w:rPr>
        <w:t xml:space="preserve">3. </w:t>
      </w:r>
      <w:r w:rsidRPr="00745AB9">
        <w:rPr>
          <w:rFonts w:cs="FrankRuehl"/>
          <w:sz w:val="18"/>
          <w:szCs w:val="22"/>
          <w:rtl/>
        </w:rPr>
        <w:tab/>
      </w:r>
      <w:r w:rsidRPr="00F41E78">
        <w:rPr>
          <w:rFonts w:cs="FrankRuehl" w:hint="eastAsia"/>
          <w:spacing w:val="40"/>
          <w:sz w:val="18"/>
          <w:szCs w:val="22"/>
          <w:rtl/>
        </w:rPr>
        <w:t>החלטות</w:t>
      </w:r>
      <w:r w:rsidRPr="00F41E78">
        <w:rPr>
          <w:rFonts w:cs="FrankRuehl"/>
          <w:spacing w:val="40"/>
          <w:sz w:val="18"/>
          <w:szCs w:val="22"/>
          <w:rtl/>
        </w:rPr>
        <w:t xml:space="preserve"> </w:t>
      </w:r>
      <w:r w:rsidRPr="00F41E78">
        <w:rPr>
          <w:rFonts w:cs="FrankRuehl" w:hint="eastAsia"/>
          <w:spacing w:val="40"/>
          <w:sz w:val="18"/>
          <w:szCs w:val="22"/>
          <w:rtl/>
        </w:rPr>
        <w:t>משנת</w:t>
      </w:r>
      <w:r w:rsidRPr="00F41E78">
        <w:rPr>
          <w:rFonts w:cs="FrankRuehl"/>
          <w:spacing w:val="40"/>
          <w:sz w:val="18"/>
          <w:szCs w:val="22"/>
          <w:rtl/>
        </w:rPr>
        <w:t xml:space="preserve"> 2010 </w:t>
      </w:r>
      <w:r w:rsidRPr="00F41E78">
        <w:rPr>
          <w:rFonts w:cs="FrankRuehl" w:hint="eastAsia"/>
          <w:spacing w:val="40"/>
          <w:sz w:val="18"/>
          <w:szCs w:val="22"/>
          <w:rtl/>
        </w:rPr>
        <w:t>בנוגע</w:t>
      </w:r>
      <w:r w:rsidRPr="00F41E78">
        <w:rPr>
          <w:rFonts w:cs="FrankRuehl"/>
          <w:spacing w:val="40"/>
          <w:sz w:val="18"/>
          <w:szCs w:val="22"/>
          <w:rtl/>
        </w:rPr>
        <w:t xml:space="preserve"> </w:t>
      </w:r>
      <w:r w:rsidRPr="00F41E78">
        <w:rPr>
          <w:rFonts w:cs="FrankRuehl" w:hint="eastAsia"/>
          <w:spacing w:val="40"/>
          <w:sz w:val="18"/>
          <w:szCs w:val="22"/>
          <w:rtl/>
        </w:rPr>
        <w:t>לפיתוח</w:t>
      </w:r>
      <w:r w:rsidRPr="00F41E78">
        <w:rPr>
          <w:rFonts w:cs="FrankRuehl"/>
          <w:spacing w:val="40"/>
          <w:sz w:val="18"/>
          <w:szCs w:val="22"/>
          <w:rtl/>
        </w:rPr>
        <w:t xml:space="preserve"> </w:t>
      </w:r>
      <w:r w:rsidRPr="00F41E78">
        <w:rPr>
          <w:rFonts w:cs="FrankRuehl" w:hint="eastAsia"/>
          <w:spacing w:val="40"/>
          <w:sz w:val="18"/>
          <w:szCs w:val="22"/>
          <w:rtl/>
        </w:rPr>
        <w:t>הנגב</w:t>
      </w:r>
      <w:r w:rsidRPr="00F41E78">
        <w:rPr>
          <w:rFonts w:cs="FrankRuehl"/>
          <w:spacing w:val="40"/>
          <w:sz w:val="18"/>
          <w:szCs w:val="22"/>
          <w:rtl/>
        </w:rPr>
        <w:t xml:space="preserve"> </w:t>
      </w:r>
      <w:r w:rsidRPr="00F41E78">
        <w:rPr>
          <w:rFonts w:cs="FrankRuehl" w:hint="eastAsia"/>
          <w:spacing w:val="40"/>
          <w:sz w:val="18"/>
          <w:szCs w:val="22"/>
          <w:rtl/>
        </w:rPr>
        <w:t>והגליל</w:t>
      </w:r>
      <w:r w:rsidRPr="00F41E78">
        <w:rPr>
          <w:rFonts w:cs="FrankRuehl"/>
          <w:spacing w:val="40"/>
          <w:sz w:val="18"/>
          <w:szCs w:val="22"/>
          <w:rtl/>
        </w:rPr>
        <w:t>:</w:t>
      </w:r>
      <w:r w:rsidRPr="00F41E78">
        <w:rPr>
          <w:rFonts w:cs="FrankRuehl" w:hint="cs"/>
          <w:spacing w:val="40"/>
          <w:sz w:val="18"/>
          <w:szCs w:val="22"/>
          <w:rtl/>
          <w:lang w:eastAsia="he-IL"/>
        </w:rPr>
        <w:t xml:space="preserve"> </w:t>
      </w:r>
      <w:r w:rsidRPr="00F41E78">
        <w:rPr>
          <w:rFonts w:cs="FrankRuehl" w:hint="cs"/>
          <w:sz w:val="18"/>
          <w:szCs w:val="22"/>
          <w:rtl/>
          <w:lang w:eastAsia="he-IL"/>
        </w:rPr>
        <w:t>בשנת 2010 קיבלה הממשלה ה-32</w:t>
      </w:r>
      <w:r>
        <w:rPr>
          <w:rFonts w:cs="FrankRuehl"/>
          <w:sz w:val="18"/>
          <w:szCs w:val="22"/>
          <w:vertAlign w:val="superscript"/>
          <w:rtl/>
          <w:lang w:eastAsia="he-IL"/>
        </w:rPr>
        <w:footnoteReference w:id="90"/>
      </w:r>
      <w:r w:rsidRPr="00F41E78">
        <w:rPr>
          <w:rFonts w:cs="FrankRuehl" w:hint="cs"/>
          <w:sz w:val="18"/>
          <w:szCs w:val="22"/>
          <w:rtl/>
          <w:lang w:eastAsia="he-IL"/>
        </w:rPr>
        <w:t xml:space="preserve"> כמה וכמה החלטות בנושאים הנוגעים לפיתוח הנגב והגליל, ובכלל זה החלטות בנושאים אלו: הכוונת עולים לקליטה ביישובי הנגב והגליל; הקמת בית ספר לרפואה בצפת</w:t>
      </w:r>
      <w:r w:rsidRPr="00582A43">
        <w:rPr>
          <w:rFonts w:cs="FrankRuehl" w:hint="cs"/>
          <w:sz w:val="18"/>
          <w:szCs w:val="22"/>
          <w:rtl/>
          <w:lang w:eastAsia="he-IL"/>
        </w:rPr>
        <w:t>; הצעת חוק מענק מיוחד לעידוד הנגב והגליל;</w:t>
      </w:r>
      <w:r w:rsidRPr="00F41E78">
        <w:rPr>
          <w:rFonts w:cs="FrankRuehl" w:hint="cs"/>
          <w:sz w:val="18"/>
          <w:szCs w:val="22"/>
          <w:rtl/>
          <w:lang w:eastAsia="he-IL"/>
        </w:rPr>
        <w:t xml:space="preserve"> יישום תכנית נתיבי ישראל - תכנית לרישות המדינה בכבישים וברכבות כדי לצמצם את המרחק מהפריפריה למרכז, ועלותה 27.5 מיליארד ש"ח; תכנית חומש לפיתוח כלכלי של יישובים במגזר המיעוטים; שיפוץ והסבה של מבנים בבעלות ציבורית לצורכי מגורים כדי לעודד את ההתיישבות בנגב ובגליל; וסבסוד עלויות הפיתוח לאנשי צבא הקבע בעקבות מעבר בסיסי צה"ל לנגב.</w:t>
      </w:r>
    </w:p>
    <w:p w:rsidR="00E97EDA" w:rsidRPr="00F41E78" w:rsidP="007521AE">
      <w:pPr>
        <w:spacing w:after="240" w:line="230" w:lineRule="exact"/>
        <w:jc w:val="both"/>
        <w:rPr>
          <w:rFonts w:cs="FrankRuehl"/>
          <w:sz w:val="18"/>
          <w:szCs w:val="22"/>
          <w:rtl/>
        </w:rPr>
      </w:pPr>
      <w:r w:rsidRPr="00F41E78">
        <w:rPr>
          <w:rFonts w:cs="FrankRuehl" w:hint="cs"/>
          <w:bCs/>
          <w:spacing w:val="40"/>
          <w:sz w:val="18"/>
          <w:szCs w:val="22"/>
          <w:rtl/>
        </w:rPr>
        <w:t>הרפורמה בתחום מקרקעי ישראל:</w:t>
      </w:r>
      <w:r w:rsidRPr="00F41E78">
        <w:rPr>
          <w:rFonts w:cs="FrankRuehl" w:hint="cs"/>
          <w:sz w:val="18"/>
          <w:szCs w:val="22"/>
          <w:rtl/>
          <w:lang w:eastAsia="he-IL"/>
        </w:rPr>
        <w:t xml:space="preserve"> </w:t>
      </w:r>
      <w:r w:rsidRPr="00F41E78">
        <w:rPr>
          <w:rFonts w:cs="FrankRuehl" w:hint="cs"/>
          <w:sz w:val="18"/>
          <w:szCs w:val="22"/>
          <w:rtl/>
        </w:rPr>
        <w:t>מאחר</w:t>
      </w:r>
      <w:r w:rsidRPr="00F41E78">
        <w:rPr>
          <w:rFonts w:cs="FrankRuehl"/>
          <w:sz w:val="18"/>
          <w:szCs w:val="22"/>
          <w:rtl/>
        </w:rPr>
        <w:t xml:space="preserve"> שביצוע ההחלטה שקיבלה הממשלה </w:t>
      </w:r>
      <w:r w:rsidR="007521AE">
        <w:rPr>
          <w:rFonts w:cs="FrankRuehl" w:hint="cs"/>
          <w:sz w:val="18"/>
          <w:szCs w:val="22"/>
          <w:rtl/>
        </w:rPr>
        <w:br/>
      </w:r>
      <w:r w:rsidRPr="00F41E78">
        <w:rPr>
          <w:rFonts w:cs="FrankRuehl"/>
          <w:sz w:val="18"/>
          <w:szCs w:val="22"/>
          <w:rtl/>
        </w:rPr>
        <w:t xml:space="preserve">ה-30 ביוני 2005 בדבר הרפורמה </w:t>
      </w:r>
      <w:r w:rsidRPr="00F41E78">
        <w:rPr>
          <w:rFonts w:cs="FrankRuehl" w:hint="cs"/>
          <w:sz w:val="18"/>
          <w:szCs w:val="22"/>
          <w:rtl/>
        </w:rPr>
        <w:t>במינהל</w:t>
      </w:r>
      <w:r w:rsidRPr="00F41E78">
        <w:rPr>
          <w:rFonts w:cs="FrankRuehl"/>
          <w:sz w:val="18"/>
          <w:szCs w:val="22"/>
          <w:rtl/>
        </w:rPr>
        <w:t xml:space="preserve"> </w:t>
      </w:r>
      <w:r w:rsidRPr="00F41E78">
        <w:rPr>
          <w:rFonts w:cs="FrankRuehl" w:hint="cs"/>
          <w:sz w:val="18"/>
          <w:szCs w:val="22"/>
          <w:rtl/>
        </w:rPr>
        <w:t>מקרקעי</w:t>
      </w:r>
      <w:r w:rsidRPr="00F41E78">
        <w:rPr>
          <w:rFonts w:cs="FrankRuehl"/>
          <w:sz w:val="18"/>
          <w:szCs w:val="22"/>
          <w:rtl/>
        </w:rPr>
        <w:t xml:space="preserve"> </w:t>
      </w:r>
      <w:r w:rsidRPr="00F41E78">
        <w:rPr>
          <w:rFonts w:cs="FrankRuehl" w:hint="cs"/>
          <w:sz w:val="18"/>
          <w:szCs w:val="22"/>
          <w:rtl/>
        </w:rPr>
        <w:t>ישראל</w:t>
      </w:r>
      <w:r w:rsidRPr="00F41E78">
        <w:rPr>
          <w:rFonts w:cs="FrankRuehl"/>
          <w:sz w:val="18"/>
          <w:szCs w:val="22"/>
          <w:rtl/>
        </w:rPr>
        <w:t xml:space="preserve"> </w:t>
      </w:r>
      <w:r w:rsidRPr="00F41E78">
        <w:rPr>
          <w:rFonts w:cs="FrankRuehl" w:hint="cs"/>
          <w:sz w:val="18"/>
          <w:szCs w:val="22"/>
          <w:rtl/>
        </w:rPr>
        <w:t>התעכב</w:t>
      </w:r>
      <w:r w:rsidRPr="00F41E78">
        <w:rPr>
          <w:rFonts w:cs="FrankRuehl"/>
          <w:sz w:val="18"/>
          <w:szCs w:val="22"/>
          <w:rtl/>
        </w:rPr>
        <w:t xml:space="preserve">, </w:t>
      </w:r>
      <w:r w:rsidRPr="00F41E78">
        <w:rPr>
          <w:rFonts w:cs="FrankRuehl" w:hint="cs"/>
          <w:sz w:val="18"/>
          <w:szCs w:val="22"/>
          <w:rtl/>
        </w:rPr>
        <w:t>כעבור</w:t>
      </w:r>
      <w:r w:rsidRPr="00F41E78">
        <w:rPr>
          <w:rFonts w:cs="FrankRuehl"/>
          <w:sz w:val="18"/>
          <w:szCs w:val="22"/>
          <w:rtl/>
        </w:rPr>
        <w:t xml:space="preserve"> </w:t>
      </w:r>
      <w:r w:rsidRPr="00F41E78">
        <w:rPr>
          <w:rFonts w:cs="FrankRuehl" w:hint="cs"/>
          <w:sz w:val="18"/>
          <w:szCs w:val="22"/>
          <w:rtl/>
        </w:rPr>
        <w:t>כארבע</w:t>
      </w:r>
      <w:r w:rsidRPr="00F41E78">
        <w:rPr>
          <w:rFonts w:cs="FrankRuehl"/>
          <w:sz w:val="18"/>
          <w:szCs w:val="22"/>
          <w:rtl/>
        </w:rPr>
        <w:t xml:space="preserve"> </w:t>
      </w:r>
      <w:r w:rsidRPr="00F41E78">
        <w:rPr>
          <w:rFonts w:cs="FrankRuehl" w:hint="cs"/>
          <w:sz w:val="18"/>
          <w:szCs w:val="22"/>
          <w:rtl/>
        </w:rPr>
        <w:t>שנים</w:t>
      </w:r>
      <w:r w:rsidRPr="00F41E78">
        <w:rPr>
          <w:rFonts w:cs="FrankRuehl"/>
          <w:sz w:val="18"/>
          <w:szCs w:val="22"/>
          <w:rtl/>
        </w:rPr>
        <w:t xml:space="preserve">, </w:t>
      </w:r>
      <w:r w:rsidRPr="00F41E78">
        <w:rPr>
          <w:rFonts w:cs="FrankRuehl" w:hint="cs"/>
          <w:sz w:val="18"/>
          <w:szCs w:val="22"/>
          <w:rtl/>
        </w:rPr>
        <w:t>במאי</w:t>
      </w:r>
      <w:r w:rsidRPr="00F41E78">
        <w:rPr>
          <w:rFonts w:cs="FrankRuehl"/>
          <w:sz w:val="18"/>
          <w:szCs w:val="22"/>
          <w:rtl/>
        </w:rPr>
        <w:t xml:space="preserve"> 2009, </w:t>
      </w:r>
      <w:r w:rsidRPr="00F41E78">
        <w:rPr>
          <w:rFonts w:cs="FrankRuehl" w:hint="cs"/>
          <w:sz w:val="18"/>
          <w:szCs w:val="22"/>
          <w:rtl/>
        </w:rPr>
        <w:t>שבה</w:t>
      </w:r>
      <w:r w:rsidRPr="00F41E78">
        <w:rPr>
          <w:rFonts w:cs="FrankRuehl"/>
          <w:sz w:val="18"/>
          <w:szCs w:val="22"/>
          <w:rtl/>
        </w:rPr>
        <w:t xml:space="preserve"> </w:t>
      </w:r>
      <w:r w:rsidRPr="00F41E78">
        <w:rPr>
          <w:rFonts w:cs="FrankRuehl" w:hint="cs"/>
          <w:sz w:val="18"/>
          <w:szCs w:val="22"/>
          <w:rtl/>
        </w:rPr>
        <w:t>הממשלה</w:t>
      </w:r>
      <w:r w:rsidRPr="00F41E78">
        <w:rPr>
          <w:rFonts w:cs="FrankRuehl"/>
          <w:sz w:val="18"/>
          <w:szCs w:val="22"/>
          <w:rtl/>
        </w:rPr>
        <w:t xml:space="preserve"> </w:t>
      </w:r>
      <w:r w:rsidRPr="00F41E78">
        <w:rPr>
          <w:rFonts w:cs="FrankRuehl" w:hint="cs"/>
          <w:sz w:val="18"/>
          <w:szCs w:val="22"/>
          <w:rtl/>
        </w:rPr>
        <w:t>ה</w:t>
      </w:r>
      <w:r w:rsidRPr="00F41E78">
        <w:rPr>
          <w:rFonts w:cs="FrankRuehl"/>
          <w:sz w:val="18"/>
          <w:szCs w:val="22"/>
          <w:rtl/>
        </w:rPr>
        <w:t xml:space="preserve">-32 </w:t>
      </w:r>
      <w:r w:rsidRPr="00F41E78">
        <w:rPr>
          <w:rFonts w:cs="FrankRuehl" w:hint="cs"/>
          <w:sz w:val="18"/>
          <w:szCs w:val="22"/>
          <w:rtl/>
        </w:rPr>
        <w:t>לעסוק</w:t>
      </w:r>
      <w:r w:rsidRPr="00F41E78">
        <w:rPr>
          <w:rFonts w:cs="FrankRuehl"/>
          <w:sz w:val="18"/>
          <w:szCs w:val="22"/>
          <w:rtl/>
        </w:rPr>
        <w:t xml:space="preserve"> </w:t>
      </w:r>
      <w:r w:rsidRPr="00F41E78">
        <w:rPr>
          <w:rFonts w:cs="FrankRuehl" w:hint="cs"/>
          <w:sz w:val="18"/>
          <w:szCs w:val="22"/>
          <w:rtl/>
        </w:rPr>
        <w:t>בעניין</w:t>
      </w:r>
      <w:r w:rsidRPr="00F41E78">
        <w:rPr>
          <w:rFonts w:cs="FrankRuehl"/>
          <w:sz w:val="18"/>
          <w:szCs w:val="22"/>
          <w:rtl/>
        </w:rPr>
        <w:t xml:space="preserve"> </w:t>
      </w:r>
      <w:r w:rsidRPr="00F41E78">
        <w:rPr>
          <w:rFonts w:cs="FrankRuehl" w:hint="cs"/>
          <w:sz w:val="18"/>
          <w:szCs w:val="22"/>
          <w:rtl/>
        </w:rPr>
        <w:t>הרפורמה</w:t>
      </w:r>
      <w:r w:rsidRPr="00F41E78">
        <w:rPr>
          <w:rFonts w:cs="FrankRuehl"/>
          <w:sz w:val="18"/>
          <w:szCs w:val="22"/>
          <w:rtl/>
        </w:rPr>
        <w:t xml:space="preserve"> </w:t>
      </w:r>
      <w:r w:rsidRPr="00F41E78">
        <w:rPr>
          <w:rFonts w:cs="FrankRuehl" w:hint="cs"/>
          <w:sz w:val="18"/>
          <w:szCs w:val="22"/>
          <w:rtl/>
        </w:rPr>
        <w:t>וקיבלה</w:t>
      </w:r>
      <w:r w:rsidRPr="00F41E78">
        <w:rPr>
          <w:rFonts w:cs="FrankRuehl"/>
          <w:sz w:val="18"/>
          <w:szCs w:val="22"/>
          <w:rtl/>
        </w:rPr>
        <w:t xml:space="preserve"> </w:t>
      </w:r>
      <w:r w:rsidRPr="00F41E78">
        <w:rPr>
          <w:rFonts w:cs="FrankRuehl" w:hint="cs"/>
          <w:sz w:val="18"/>
          <w:szCs w:val="22"/>
          <w:rtl/>
        </w:rPr>
        <w:t>את</w:t>
      </w:r>
      <w:r w:rsidRPr="00F41E78">
        <w:rPr>
          <w:rFonts w:cs="FrankRuehl"/>
          <w:sz w:val="18"/>
          <w:szCs w:val="22"/>
          <w:rtl/>
        </w:rPr>
        <w:t xml:space="preserve"> </w:t>
      </w:r>
      <w:r w:rsidRPr="00F41E78">
        <w:rPr>
          <w:rFonts w:cs="FrankRuehl" w:hint="cs"/>
          <w:sz w:val="18"/>
          <w:szCs w:val="22"/>
          <w:rtl/>
        </w:rPr>
        <w:t>החלטה</w:t>
      </w:r>
      <w:r w:rsidRPr="00F41E78">
        <w:rPr>
          <w:rFonts w:cs="FrankRuehl"/>
          <w:sz w:val="18"/>
          <w:szCs w:val="22"/>
          <w:rtl/>
        </w:rPr>
        <w:t xml:space="preserve"> מס' 123 </w:t>
      </w:r>
      <w:r w:rsidRPr="00F41E78">
        <w:rPr>
          <w:rFonts w:cs="FrankRuehl" w:hint="cs"/>
          <w:sz w:val="18"/>
          <w:szCs w:val="22"/>
          <w:rtl/>
        </w:rPr>
        <w:t>הדומה</w:t>
      </w:r>
      <w:r w:rsidRPr="00F41E78">
        <w:rPr>
          <w:rFonts w:cs="FrankRuehl"/>
          <w:sz w:val="18"/>
          <w:szCs w:val="22"/>
          <w:rtl/>
        </w:rPr>
        <w:t xml:space="preserve"> במהותה להחלטה המקורית, ועסקה בנושאים </w:t>
      </w:r>
      <w:r w:rsidRPr="00F41E78">
        <w:rPr>
          <w:rFonts w:cs="FrankRuehl" w:hint="cs"/>
          <w:sz w:val="18"/>
          <w:szCs w:val="22"/>
          <w:rtl/>
        </w:rPr>
        <w:t>העקרוניים</w:t>
      </w:r>
      <w:r w:rsidRPr="00F41E78">
        <w:rPr>
          <w:rFonts w:cs="FrankRuehl"/>
          <w:sz w:val="18"/>
          <w:szCs w:val="22"/>
          <w:rtl/>
        </w:rPr>
        <w:t xml:space="preserve"> </w:t>
      </w:r>
      <w:r w:rsidRPr="00F41E78">
        <w:rPr>
          <w:rFonts w:cs="FrankRuehl" w:hint="cs"/>
          <w:sz w:val="18"/>
          <w:szCs w:val="22"/>
          <w:rtl/>
        </w:rPr>
        <w:t>האלו</w:t>
      </w:r>
      <w:r w:rsidRPr="00F41E78">
        <w:rPr>
          <w:rFonts w:cs="FrankRuehl"/>
          <w:sz w:val="18"/>
          <w:szCs w:val="22"/>
          <w:rtl/>
        </w:rPr>
        <w:t xml:space="preserve">: שינויים ארגוניים, תפקודיים ותקציביים </w:t>
      </w:r>
      <w:r w:rsidRPr="00F41E78">
        <w:rPr>
          <w:rFonts w:cs="FrankRuehl" w:hint="cs"/>
          <w:sz w:val="18"/>
          <w:szCs w:val="22"/>
          <w:rtl/>
        </w:rPr>
        <w:t>במינהל</w:t>
      </w:r>
      <w:r w:rsidRPr="00F41E78">
        <w:rPr>
          <w:rFonts w:cs="FrankRuehl"/>
          <w:sz w:val="18"/>
          <w:szCs w:val="22"/>
          <w:rtl/>
        </w:rPr>
        <w:t xml:space="preserve"> מקרקעי ישראל והסבתו לרשות </w:t>
      </w:r>
      <w:r w:rsidRPr="00F41E78">
        <w:rPr>
          <w:rFonts w:cs="FrankRuehl" w:hint="cs"/>
          <w:sz w:val="18"/>
          <w:szCs w:val="22"/>
          <w:rtl/>
        </w:rPr>
        <w:t>מקרקעי</w:t>
      </w:r>
      <w:r w:rsidRPr="00F41E78">
        <w:rPr>
          <w:rFonts w:cs="FrankRuehl"/>
          <w:sz w:val="18"/>
          <w:szCs w:val="22"/>
          <w:rtl/>
        </w:rPr>
        <w:t xml:space="preserve"> ישראל; העברת הבעלות על הקרקע </w:t>
      </w:r>
      <w:r w:rsidRPr="00F41E78">
        <w:rPr>
          <w:rFonts w:cs="FrankRuehl" w:hint="cs"/>
          <w:sz w:val="18"/>
          <w:szCs w:val="22"/>
          <w:rtl/>
        </w:rPr>
        <w:t>מרמ</w:t>
      </w:r>
      <w:r w:rsidRPr="00F41E78">
        <w:rPr>
          <w:rFonts w:cs="FrankRuehl"/>
          <w:sz w:val="18"/>
          <w:szCs w:val="22"/>
          <w:rtl/>
        </w:rPr>
        <w:t xml:space="preserve">"י לידי החוכרים; קביעת קודקס מדיניות מקרקעין של הרשות; קביעת תחומי אחריות לתכנון ולפיתוח של קרקע לבנייה למגורים בין הרשות, משרד הבינוי והרשויות המקומיות וגופים אחרים. על פי הרפורמה, הוטל על </w:t>
      </w:r>
      <w:r w:rsidRPr="00F41E78">
        <w:rPr>
          <w:rFonts w:cs="FrankRuehl" w:hint="cs"/>
          <w:sz w:val="18"/>
          <w:szCs w:val="22"/>
          <w:rtl/>
        </w:rPr>
        <w:t>רמ</w:t>
      </w:r>
      <w:r w:rsidRPr="00F41E78">
        <w:rPr>
          <w:rFonts w:cs="FrankRuehl"/>
          <w:sz w:val="18"/>
          <w:szCs w:val="22"/>
          <w:rtl/>
        </w:rPr>
        <w:t xml:space="preserve">"י לנהל את מקרקעי ישראל, ובכלל זה "קביעת המדיניות הקרקעית על פיה ינוהלו מקרקעי ישראל". במסגרת הרפורמה החליטה הממשלה בין היתר להטיל על הרשות לפעול לשיווק שנתי של קרקע למגורים בהיקף שלא יפחת מ-35,000 יח"ד </w:t>
      </w:r>
      <w:r w:rsidRPr="00F41E78">
        <w:rPr>
          <w:rFonts w:cs="FrankRuehl" w:hint="cs"/>
          <w:sz w:val="18"/>
          <w:szCs w:val="22"/>
          <w:rtl/>
        </w:rPr>
        <w:t>ומהן</w:t>
      </w:r>
      <w:r w:rsidRPr="00F41E78">
        <w:rPr>
          <w:rFonts w:cs="FrankRuehl"/>
          <w:sz w:val="18"/>
          <w:szCs w:val="22"/>
          <w:rtl/>
        </w:rPr>
        <w:t xml:space="preserve"> לפחות 25,000 יח"ד </w:t>
      </w:r>
      <w:r w:rsidRPr="00F41E78">
        <w:rPr>
          <w:rFonts w:cs="FrankRuehl" w:hint="cs"/>
          <w:sz w:val="18"/>
          <w:szCs w:val="22"/>
          <w:rtl/>
        </w:rPr>
        <w:t>ישווקו</w:t>
      </w:r>
      <w:r w:rsidRPr="00F41E78">
        <w:rPr>
          <w:rFonts w:cs="FrankRuehl"/>
          <w:sz w:val="18"/>
          <w:szCs w:val="22"/>
          <w:rtl/>
        </w:rPr>
        <w:t xml:space="preserve"> </w:t>
      </w:r>
      <w:r w:rsidRPr="00F41E78">
        <w:rPr>
          <w:rFonts w:cs="FrankRuehl" w:hint="cs"/>
          <w:sz w:val="18"/>
          <w:szCs w:val="22"/>
          <w:rtl/>
        </w:rPr>
        <w:t>במכרזים</w:t>
      </w:r>
      <w:r w:rsidRPr="00F41E78">
        <w:rPr>
          <w:rFonts w:cs="FrankRuehl"/>
          <w:sz w:val="18"/>
          <w:szCs w:val="22"/>
          <w:rtl/>
        </w:rPr>
        <w:t xml:space="preserve"> פומביים. </w:t>
      </w:r>
    </w:p>
    <w:p w:rsidR="00D22B16" w:rsidRPr="00F41E78" w:rsidP="00D22B16">
      <w:pPr>
        <w:pStyle w:val="RESHET"/>
        <w:keepLines/>
        <w:rPr>
          <w:rtl/>
        </w:rPr>
      </w:pPr>
      <w:r w:rsidRPr="00F41E78">
        <w:rPr>
          <w:rFonts w:hint="cs"/>
          <w:rtl/>
        </w:rPr>
        <w:t>במועד סיום הביקורת טרם הושלמה הרפורמה בתחום מקרקעי ישראל</w:t>
      </w:r>
      <w:r>
        <w:rPr>
          <w:vertAlign w:val="superscript"/>
          <w:rtl/>
        </w:rPr>
        <w:footnoteReference w:id="91"/>
      </w:r>
      <w:r w:rsidRPr="00F41E78">
        <w:rPr>
          <w:rFonts w:hint="cs"/>
          <w:rtl/>
        </w:rPr>
        <w:t>, ורמ"י גם לא עמדה ביעדי השיווק השנתיים שנקבעו בהחלטת הממשלה האמורה, כפי שיפורט בהמשך.</w:t>
      </w:r>
    </w:p>
    <w:p w:rsidR="00E97EDA" w:rsidRPr="00F41E78" w:rsidP="007521AE">
      <w:pPr>
        <w:spacing w:before="180" w:after="240" w:line="230" w:lineRule="exact"/>
        <w:jc w:val="both"/>
        <w:rPr>
          <w:rFonts w:cs="FrankRuehl"/>
          <w:sz w:val="18"/>
          <w:szCs w:val="22"/>
          <w:rtl/>
          <w:lang w:eastAsia="he-IL"/>
        </w:rPr>
      </w:pPr>
      <w:r w:rsidRPr="00F41E78">
        <w:rPr>
          <w:rFonts w:cs="FrankRuehl" w:hint="eastAsia"/>
          <w:bCs/>
          <w:spacing w:val="40"/>
          <w:sz w:val="18"/>
          <w:szCs w:val="22"/>
          <w:rtl/>
        </w:rPr>
        <w:t>הרפורמה</w:t>
      </w:r>
      <w:r w:rsidRPr="00F41E78">
        <w:rPr>
          <w:rFonts w:cs="FrankRuehl"/>
          <w:bCs/>
          <w:spacing w:val="40"/>
          <w:sz w:val="18"/>
          <w:szCs w:val="22"/>
          <w:rtl/>
        </w:rPr>
        <w:t xml:space="preserve"> </w:t>
      </w:r>
      <w:r w:rsidRPr="00F41E78">
        <w:rPr>
          <w:rFonts w:cs="FrankRuehl" w:hint="eastAsia"/>
          <w:bCs/>
          <w:spacing w:val="40"/>
          <w:sz w:val="18"/>
          <w:szCs w:val="22"/>
          <w:rtl/>
        </w:rPr>
        <w:t>בחוק</w:t>
      </w:r>
      <w:r w:rsidRPr="00F41E78">
        <w:rPr>
          <w:rFonts w:cs="FrankRuehl"/>
          <w:bCs/>
          <w:spacing w:val="40"/>
          <w:sz w:val="18"/>
          <w:szCs w:val="22"/>
          <w:rtl/>
        </w:rPr>
        <w:t xml:space="preserve"> </w:t>
      </w:r>
      <w:r w:rsidRPr="00F41E78">
        <w:rPr>
          <w:rFonts w:cs="FrankRuehl" w:hint="eastAsia"/>
          <w:bCs/>
          <w:spacing w:val="40"/>
          <w:sz w:val="18"/>
          <w:szCs w:val="22"/>
          <w:rtl/>
        </w:rPr>
        <w:t>התכנון</w:t>
      </w:r>
      <w:r w:rsidRPr="00F41E78">
        <w:rPr>
          <w:rFonts w:cs="FrankRuehl"/>
          <w:bCs/>
          <w:spacing w:val="40"/>
          <w:sz w:val="18"/>
          <w:szCs w:val="22"/>
          <w:rtl/>
        </w:rPr>
        <w:t xml:space="preserve"> </w:t>
      </w:r>
      <w:r w:rsidRPr="00F41E78">
        <w:rPr>
          <w:rFonts w:cs="FrankRuehl" w:hint="eastAsia"/>
          <w:bCs/>
          <w:spacing w:val="40"/>
          <w:sz w:val="18"/>
          <w:szCs w:val="22"/>
          <w:rtl/>
        </w:rPr>
        <w:t>והבנייה</w:t>
      </w:r>
      <w:r w:rsidRPr="00F41E78">
        <w:rPr>
          <w:rFonts w:cs="FrankRuehl"/>
          <w:bCs/>
          <w:spacing w:val="40"/>
          <w:sz w:val="18"/>
          <w:szCs w:val="22"/>
          <w:rtl/>
        </w:rPr>
        <w:t>:</w:t>
      </w:r>
      <w:r w:rsidRPr="00F41E78">
        <w:rPr>
          <w:rFonts w:cs="FrankRuehl" w:hint="cs"/>
          <w:sz w:val="18"/>
          <w:szCs w:val="22"/>
          <w:rtl/>
          <w:lang w:eastAsia="he-IL"/>
        </w:rPr>
        <w:t xml:space="preserve"> בהחלטת ממשלה מס' 708 מאוגוסט 2009 הוחלט בין היתר "למנות ועדת שרים לשיפור וייעול הליכי התכנון והבנייה" שבראשה יעמוד ראש הממשלה. בהחלטת ממשלה מס' 777 מאוקטובר 2009 נקבעו מטרות ותחומים מרכזיים לרפורמה בתחום התכנון ורישוי הבנייה, ובהם שיפור, קיצור ופישוט של הליכי התכנון ושל תהליכי הרישוי והבנייה כדי להקל על צרכני מוסדות התכנון, הגברת הוודאות בנוגע לתהליך הייזום והאישור של תכניות או בקשות להיתרי בנייה והבטחת פתרון תכנוני מלא, איכותי, גמיש ומגוון למילוי צורכי החברה, הסביבה והמשק בישראל. </w:t>
      </w:r>
    </w:p>
    <w:p w:rsidR="00D22B16" w:rsidRPr="00F41E78" w:rsidP="00D22B16">
      <w:pPr>
        <w:pStyle w:val="RESHET"/>
        <w:keepLines/>
        <w:rPr>
          <w:rtl/>
        </w:rPr>
      </w:pPr>
      <w:r w:rsidRPr="00F41E78">
        <w:rPr>
          <w:rFonts w:hint="cs"/>
          <w:rtl/>
        </w:rPr>
        <w:t xml:space="preserve">עוד נקבע בהחלטה כי "הרפורמה תבוצע באמצעות חקיקת חוק תכנון ובנייה חדש או על ידי חקיקת תיקון משמעותי לחוק קיים". בהתאם לכך גיבש משרד המשפטים הצעת חוק ממשלתית לרפורמה בחוק התכנון והבנייה, שכללה גם הסדרה של נושא דיור בר השגה. ההצעה לא התקבלה בכנסת. </w:t>
      </w:r>
    </w:p>
    <w:p w:rsidR="00E97EDA" w:rsidRPr="00F41E78" w:rsidP="007521AE">
      <w:pPr>
        <w:spacing w:before="180" w:after="120" w:line="230" w:lineRule="exact"/>
        <w:jc w:val="both"/>
        <w:rPr>
          <w:rFonts w:cs="FrankRuehl"/>
          <w:sz w:val="18"/>
          <w:szCs w:val="22"/>
          <w:lang w:eastAsia="he-IL"/>
        </w:rPr>
      </w:pPr>
      <w:r w:rsidRPr="00F41E78">
        <w:rPr>
          <w:rFonts w:cs="FrankRuehl"/>
          <w:sz w:val="18"/>
          <w:szCs w:val="22"/>
          <w:rtl/>
          <w:lang w:eastAsia="he-IL"/>
        </w:rPr>
        <w:t xml:space="preserve">במרץ 2014, </w:t>
      </w:r>
      <w:r w:rsidRPr="00F41E78">
        <w:rPr>
          <w:rFonts w:cs="FrankRuehl" w:hint="cs"/>
          <w:sz w:val="18"/>
          <w:szCs w:val="22"/>
          <w:rtl/>
          <w:lang w:eastAsia="he-IL"/>
        </w:rPr>
        <w:t>לאחר יותר מארבע שנים,</w:t>
      </w:r>
      <w:r w:rsidRPr="00F41E78">
        <w:rPr>
          <w:rFonts w:cs="FrankRuehl"/>
          <w:sz w:val="18"/>
          <w:szCs w:val="22"/>
          <w:rtl/>
          <w:lang w:eastAsia="he-IL"/>
        </w:rPr>
        <w:t xml:space="preserve"> א</w:t>
      </w:r>
      <w:r w:rsidRPr="00F41E78">
        <w:rPr>
          <w:rFonts w:cs="FrankRuehl" w:hint="cs"/>
          <w:sz w:val="18"/>
          <w:szCs w:val="22"/>
          <w:rtl/>
          <w:lang w:eastAsia="he-IL"/>
        </w:rPr>
        <w:t>י</w:t>
      </w:r>
      <w:r w:rsidRPr="00F41E78">
        <w:rPr>
          <w:rFonts w:cs="FrankRuehl"/>
          <w:sz w:val="18"/>
          <w:szCs w:val="22"/>
          <w:rtl/>
          <w:lang w:eastAsia="he-IL"/>
        </w:rPr>
        <w:t xml:space="preserve">שרה הכנסת את </w:t>
      </w:r>
      <w:r w:rsidRPr="00F41E78">
        <w:rPr>
          <w:rFonts w:cs="FrankRuehl" w:hint="cs"/>
          <w:sz w:val="18"/>
          <w:szCs w:val="22"/>
          <w:rtl/>
          <w:lang w:eastAsia="he-IL"/>
        </w:rPr>
        <w:t>חוק</w:t>
      </w:r>
      <w:r w:rsidRPr="00F41E78">
        <w:rPr>
          <w:rFonts w:cs="FrankRuehl"/>
          <w:sz w:val="18"/>
          <w:szCs w:val="22"/>
          <w:rtl/>
          <w:lang w:eastAsia="he-IL"/>
        </w:rPr>
        <w:t xml:space="preserve"> התכנון והבנייה (תיקון מס' 101), </w:t>
      </w:r>
      <w:r w:rsidRPr="00F41E78">
        <w:rPr>
          <w:rFonts w:cs="FrankRuehl" w:hint="cs"/>
          <w:sz w:val="18"/>
          <w:szCs w:val="22"/>
          <w:rtl/>
          <w:lang w:eastAsia="he-IL"/>
        </w:rPr>
        <w:t>התשע</w:t>
      </w:r>
      <w:r w:rsidRPr="00F41E78">
        <w:rPr>
          <w:rFonts w:cs="FrankRuehl"/>
          <w:sz w:val="18"/>
          <w:szCs w:val="22"/>
          <w:rtl/>
          <w:lang w:eastAsia="he-IL"/>
        </w:rPr>
        <w:t>"ד</w:t>
      </w:r>
      <w:r w:rsidRPr="00F41E78">
        <w:rPr>
          <w:rFonts w:cs="FrankRuehl" w:hint="cs"/>
          <w:sz w:val="18"/>
          <w:szCs w:val="22"/>
          <w:rtl/>
          <w:lang w:eastAsia="he-IL"/>
        </w:rPr>
        <w:t>-</w:t>
      </w:r>
      <w:r w:rsidRPr="00F41E78">
        <w:rPr>
          <w:rFonts w:cs="FrankRuehl"/>
          <w:sz w:val="18"/>
          <w:szCs w:val="22"/>
          <w:rtl/>
          <w:lang w:eastAsia="he-IL"/>
        </w:rPr>
        <w:t>2014</w:t>
      </w:r>
      <w:r w:rsidRPr="00F41E78">
        <w:rPr>
          <w:rFonts w:cs="FrankRuehl" w:hint="cs"/>
          <w:sz w:val="18"/>
          <w:szCs w:val="22"/>
          <w:rtl/>
          <w:lang w:eastAsia="he-IL"/>
        </w:rPr>
        <w:t xml:space="preserve"> (להלן - תיקון 101). </w:t>
      </w:r>
      <w:r w:rsidRPr="00F41E78">
        <w:rPr>
          <w:rFonts w:cs="FrankRuehl"/>
          <w:sz w:val="18"/>
          <w:szCs w:val="22"/>
          <w:rtl/>
          <w:lang w:eastAsia="he-IL"/>
        </w:rPr>
        <w:t xml:space="preserve">התיקון כולל בין היתר הגדרות חדשות </w:t>
      </w:r>
      <w:r w:rsidRPr="00F41E78">
        <w:rPr>
          <w:rFonts w:cs="FrankRuehl" w:hint="cs"/>
          <w:sz w:val="18"/>
          <w:szCs w:val="22"/>
          <w:rtl/>
          <w:lang w:eastAsia="he-IL"/>
        </w:rPr>
        <w:t>ו</w:t>
      </w:r>
      <w:r w:rsidRPr="00F41E78">
        <w:rPr>
          <w:rFonts w:cs="FrankRuehl"/>
          <w:sz w:val="18"/>
          <w:szCs w:val="22"/>
          <w:rtl/>
          <w:lang w:eastAsia="he-IL"/>
        </w:rPr>
        <w:t>שינויים ה</w:t>
      </w:r>
      <w:r w:rsidRPr="00F41E78">
        <w:rPr>
          <w:rFonts w:cs="FrankRuehl" w:hint="cs"/>
          <w:sz w:val="18"/>
          <w:szCs w:val="22"/>
          <w:rtl/>
          <w:lang w:eastAsia="he-IL"/>
        </w:rPr>
        <w:t>נוגעים</w:t>
      </w:r>
      <w:r w:rsidRPr="00F41E78">
        <w:rPr>
          <w:rFonts w:cs="FrankRuehl"/>
          <w:sz w:val="18"/>
          <w:szCs w:val="22"/>
          <w:rtl/>
          <w:lang w:eastAsia="he-IL"/>
        </w:rPr>
        <w:t xml:space="preserve"> ל</w:t>
      </w:r>
      <w:r w:rsidRPr="00F41E78">
        <w:rPr>
          <w:rFonts w:cs="FrankRuehl" w:hint="cs"/>
          <w:sz w:val="18"/>
          <w:szCs w:val="22"/>
          <w:rtl/>
          <w:lang w:eastAsia="he-IL"/>
        </w:rPr>
        <w:t>ו</w:t>
      </w:r>
      <w:r w:rsidRPr="00F41E78">
        <w:rPr>
          <w:rFonts w:cs="FrankRuehl"/>
          <w:sz w:val="18"/>
          <w:szCs w:val="22"/>
          <w:rtl/>
          <w:lang w:eastAsia="he-IL"/>
        </w:rPr>
        <w:t xml:space="preserve">ועדה לתשתיות לאומיות, מדרג וחלוקת סמכויות בין הוועדות המקומיות לוועדות המחוזית, החלפת ההוראות בעניין רישוי בדרך מקוצרת, הרחבת סמכויות ועדות הערר המחוזיות, </w:t>
      </w:r>
      <w:r w:rsidRPr="00F41E78">
        <w:rPr>
          <w:rFonts w:cs="FrankRuehl" w:hint="cs"/>
          <w:sz w:val="18"/>
          <w:szCs w:val="22"/>
          <w:rtl/>
          <w:lang w:eastAsia="he-IL"/>
        </w:rPr>
        <w:t>ב</w:t>
      </w:r>
      <w:r w:rsidRPr="00F41E78">
        <w:rPr>
          <w:rFonts w:cs="FrankRuehl"/>
          <w:sz w:val="18"/>
          <w:szCs w:val="22"/>
          <w:rtl/>
          <w:lang w:eastAsia="he-IL"/>
        </w:rPr>
        <w:t>יטול הצורך בהיתר בנ</w:t>
      </w:r>
      <w:r w:rsidRPr="00F41E78">
        <w:rPr>
          <w:rFonts w:cs="FrankRuehl" w:hint="cs"/>
          <w:sz w:val="18"/>
          <w:szCs w:val="22"/>
          <w:rtl/>
          <w:lang w:eastAsia="he-IL"/>
        </w:rPr>
        <w:t>י</w:t>
      </w:r>
      <w:r w:rsidRPr="00F41E78">
        <w:rPr>
          <w:rFonts w:cs="FrankRuehl"/>
          <w:sz w:val="18"/>
          <w:szCs w:val="22"/>
          <w:rtl/>
          <w:lang w:eastAsia="he-IL"/>
        </w:rPr>
        <w:t xml:space="preserve">יה לעבודות מסוימות, </w:t>
      </w:r>
      <w:r w:rsidRPr="00F41E78">
        <w:rPr>
          <w:rFonts w:cs="FrankRuehl" w:hint="cs"/>
          <w:sz w:val="18"/>
          <w:szCs w:val="22"/>
          <w:rtl/>
          <w:lang w:eastAsia="he-IL"/>
        </w:rPr>
        <w:t xml:space="preserve">הנחיות בנוגע להקמת </w:t>
      </w:r>
      <w:r w:rsidRPr="00F41E78">
        <w:rPr>
          <w:rFonts w:cs="FrankRuehl"/>
          <w:sz w:val="18"/>
          <w:szCs w:val="22"/>
          <w:rtl/>
          <w:lang w:eastAsia="he-IL"/>
        </w:rPr>
        <w:t>מכוני בקרה ובקרות ת</w:t>
      </w:r>
      <w:r w:rsidRPr="00F41E78">
        <w:rPr>
          <w:rFonts w:cs="FrankRuehl" w:hint="cs"/>
          <w:sz w:val="18"/>
          <w:szCs w:val="22"/>
          <w:rtl/>
          <w:lang w:eastAsia="he-IL"/>
        </w:rPr>
        <w:t>ו</w:t>
      </w:r>
      <w:r w:rsidRPr="00F41E78">
        <w:rPr>
          <w:rFonts w:cs="FrankRuehl"/>
          <w:sz w:val="18"/>
          <w:szCs w:val="22"/>
          <w:rtl/>
          <w:lang w:eastAsia="he-IL"/>
        </w:rPr>
        <w:t>כן וביצוע.</w:t>
      </w:r>
    </w:p>
    <w:p w:rsidR="00FA6646" w:rsidRPr="00FA6646" w:rsidP="008D3837">
      <w:pPr>
        <w:pStyle w:val="Header"/>
        <w:tabs>
          <w:tab w:val="clear" w:pos="4153"/>
          <w:tab w:val="clear" w:pos="8306"/>
        </w:tabs>
        <w:rPr>
          <w:rFonts w:cs="FrankRuehl"/>
          <w:sz w:val="20"/>
          <w:szCs w:val="22"/>
          <w:rtl/>
          <w:lang w:eastAsia="he-IL"/>
        </w:rPr>
      </w:pPr>
    </w:p>
    <w:p w:rsidR="00E97EDA" w:rsidRPr="00E97EDA" w:rsidP="008D3837">
      <w:pPr>
        <w:pStyle w:val="KOT6"/>
        <w:rPr>
          <w:rtl/>
        </w:rPr>
      </w:pPr>
      <w:r w:rsidRPr="00E97EDA">
        <w:rPr>
          <w:rFonts w:hint="cs"/>
          <w:rtl/>
        </w:rPr>
        <w:t>החלטות להגדלת היצע הקרקע למגורים:</w:t>
      </w:r>
    </w:p>
    <w:p w:rsidR="00E97EDA" w:rsidRPr="00F41E78" w:rsidP="007521AE">
      <w:pPr>
        <w:spacing w:after="120" w:line="230" w:lineRule="exact"/>
        <w:ind w:left="340" w:hanging="340"/>
        <w:jc w:val="both"/>
        <w:rPr>
          <w:rFonts w:cs="FrankRuehl"/>
          <w:sz w:val="18"/>
          <w:szCs w:val="22"/>
          <w:rtl/>
          <w:lang w:eastAsia="he-IL"/>
        </w:rPr>
      </w:pPr>
      <w:r w:rsidRPr="00745AB9">
        <w:rPr>
          <w:rFonts w:cs="FrankRuehl" w:hint="cs"/>
          <w:sz w:val="18"/>
          <w:szCs w:val="22"/>
          <w:rtl/>
        </w:rPr>
        <w:t>1.</w:t>
      </w:r>
      <w:r w:rsidRPr="00745AB9">
        <w:rPr>
          <w:rFonts w:cs="FrankRuehl" w:hint="cs"/>
          <w:sz w:val="18"/>
          <w:szCs w:val="22"/>
          <w:rtl/>
        </w:rPr>
        <w:tab/>
      </w:r>
      <w:r w:rsidRPr="00F41E78">
        <w:rPr>
          <w:rFonts w:cs="FrankRuehl"/>
          <w:spacing w:val="40"/>
          <w:sz w:val="18"/>
          <w:szCs w:val="22"/>
          <w:rtl/>
        </w:rPr>
        <w:t>החלטה מיולי 2010 להוריד את מחירי הדיור:</w:t>
      </w:r>
      <w:r w:rsidRPr="00F41E78">
        <w:rPr>
          <w:rFonts w:cs="FrankRuehl" w:hint="cs"/>
          <w:b/>
          <w:sz w:val="18"/>
          <w:szCs w:val="22"/>
          <w:rtl/>
          <w:lang w:eastAsia="he-IL"/>
        </w:rPr>
        <w:t xml:space="preserve"> </w:t>
      </w:r>
      <w:r w:rsidRPr="00F41E78">
        <w:rPr>
          <w:rFonts w:cs="FrankRuehl" w:hint="cs"/>
          <w:sz w:val="18"/>
          <w:szCs w:val="22"/>
          <w:rtl/>
          <w:lang w:eastAsia="he-IL"/>
        </w:rPr>
        <w:t>בהחלטה מס' 1980 מיולי 2010 שצוינה לעיל, בדבר מדיניות להורדת מחירי הדיור, החליטה הממשלה "לקיים מדיניות שמטרתה הורדת מחירי הדירות, תוך שימת דגש על דירות לצעירים (משפחות ויחידים) הרוכשים את דירתם הראשונה", וזאת בין היתר באמצעות האצת פעולות התכנון והשיווק של מתחמים למגורים בכל חלקי הארץ; גיבוש מתכונת לדיון והכרעה בנושא חסמי תכנון ושיווק של מתחמים המיועדים לבנייה למגורים, לצורך הסרתם; קביעת תמהיל מתאים בין יח"ד גדולות וקטנות במתחמים המיועדים למגורים; וביטול החלטה מס' 3973 מאוגוסט 2008 שעניינה הפסקת ייזום תכנון במחוז המרכז.</w:t>
      </w:r>
    </w:p>
    <w:p w:rsidR="00E97EDA" w:rsidRPr="00243E7C" w:rsidP="007521AE">
      <w:pPr>
        <w:spacing w:after="120" w:line="230" w:lineRule="exact"/>
        <w:ind w:left="340" w:hanging="340"/>
        <w:jc w:val="both"/>
        <w:rPr>
          <w:rFonts w:ascii="Monotype Sorts" w:hAnsi="Monotype Sorts"/>
          <w:szCs w:val="20"/>
          <w:rtl/>
          <w:lang w:eastAsia="he-IL"/>
        </w:rPr>
      </w:pPr>
      <w:r w:rsidRPr="00745AB9">
        <w:rPr>
          <w:rFonts w:cs="FrankRuehl" w:hint="cs"/>
          <w:sz w:val="18"/>
          <w:szCs w:val="22"/>
          <w:rtl/>
        </w:rPr>
        <w:t>2.</w:t>
      </w:r>
      <w:r w:rsidRPr="00745AB9">
        <w:rPr>
          <w:rFonts w:cs="FrankRuehl" w:hint="cs"/>
          <w:sz w:val="18"/>
          <w:szCs w:val="22"/>
          <w:rtl/>
        </w:rPr>
        <w:tab/>
      </w:r>
      <w:r w:rsidRPr="00F41E78">
        <w:rPr>
          <w:rFonts w:cs="FrankRuehl"/>
          <w:spacing w:val="40"/>
          <w:sz w:val="18"/>
          <w:szCs w:val="22"/>
          <w:rtl/>
        </w:rPr>
        <w:t xml:space="preserve">החלטה </w:t>
      </w:r>
      <w:r w:rsidRPr="00F41E78">
        <w:rPr>
          <w:rFonts w:cs="FrankRuehl" w:hint="cs"/>
          <w:spacing w:val="40"/>
          <w:sz w:val="18"/>
          <w:szCs w:val="22"/>
          <w:rtl/>
        </w:rPr>
        <w:t>נוספת</w:t>
      </w:r>
      <w:r w:rsidRPr="00F41E78">
        <w:rPr>
          <w:rFonts w:cs="FrankRuehl"/>
          <w:spacing w:val="40"/>
          <w:sz w:val="18"/>
          <w:szCs w:val="22"/>
          <w:rtl/>
        </w:rPr>
        <w:t xml:space="preserve"> מיולי 2010 להגדיל את היצע הקרקע למגורים בשנים 2020-2011:</w:t>
      </w:r>
      <w:r w:rsidRPr="00F41E78">
        <w:rPr>
          <w:rFonts w:cs="FrankRuehl" w:hint="cs"/>
          <w:b/>
          <w:sz w:val="18"/>
          <w:szCs w:val="22"/>
          <w:rtl/>
          <w:lang w:eastAsia="he-IL"/>
        </w:rPr>
        <w:t xml:space="preserve"> </w:t>
      </w:r>
      <w:r w:rsidRPr="00F41E78">
        <w:rPr>
          <w:rFonts w:cs="FrankRuehl" w:hint="cs"/>
          <w:sz w:val="18"/>
          <w:szCs w:val="22"/>
          <w:rtl/>
          <w:lang w:eastAsia="he-IL"/>
        </w:rPr>
        <w:t>בהחלטה נוספת מיולי 2010 קבעה הממשלה שיש להגדיל את היצע הקרקע למגורים. בין השאר הוחלט להנחות את יושבי הראש של מוסדות התכנון ואת נציגי השרים במוסדות אלו להביא לאישורן של לא פחות מ-60,000 יח"ד בכל אחת מהשנים 2020-2011. על יו"ר המועצה הארצית הוטל לבחון אם נדרשים תיקונים לתמ"א 35 ולתכניות המתאר המחוזיות כדי לאפשר את השגת היעדים הכמותיים ואת תיקון התכניות במידת הצורך עד יוני 2011</w:t>
      </w:r>
      <w:r w:rsidRPr="00243E7C">
        <w:rPr>
          <w:rFonts w:ascii="Monotype Sorts" w:hAnsi="Monotype Sorts" w:hint="cs"/>
          <w:szCs w:val="20"/>
          <w:rtl/>
          <w:lang w:eastAsia="he-IL"/>
        </w:rPr>
        <w:t>.</w:t>
      </w:r>
    </w:p>
    <w:p w:rsidR="007521AE" w:rsidP="007521AE">
      <w:pPr>
        <w:spacing w:after="120" w:line="230" w:lineRule="exact"/>
        <w:jc w:val="both"/>
        <w:rPr>
          <w:rFonts w:cs="FrankRuehl"/>
          <w:sz w:val="22"/>
          <w:szCs w:val="22"/>
          <w:rtl/>
        </w:rPr>
      </w:pPr>
    </w:p>
    <w:p w:rsidR="007521AE" w:rsidP="007521AE">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7521AE" w:rsidP="007521AE">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 xml:space="preserve">ממכלול החלטות שקיבלו הממשלות ה-31 וה-32 בשנים הראשונות שלאחר פרוץ משבר הדיור, דהיינו בשנים 2009-2008 ובמחצית הראשונה של 2010, עולה כי מצד אחד עסקו ההחלטות בנושאים ובתהליכים ארגוניים, תכנוניים וחוקתיים ארוכי טווח, כמו רפורמה במקרקעי ישראל, רפורמה בהליכי התכנון ותהליכי הרישוי והבנייה, שיפור נגישות בין המרכז לפריפריה - נושאים הנכללים במסגרת מדיניות הדיור הממשלתית; מצד אחר, אף שכבר בשנת 2008 הסתמנה </w:t>
      </w:r>
      <w:r w:rsidRPr="00F41E78">
        <w:rPr>
          <w:rtl/>
        </w:rPr>
        <w:t>מגמה ברורה של על</w:t>
      </w:r>
      <w:r w:rsidRPr="00F41E78">
        <w:rPr>
          <w:rFonts w:hint="cs"/>
          <w:rtl/>
        </w:rPr>
        <w:t>י</w:t>
      </w:r>
      <w:r w:rsidRPr="00F41E78">
        <w:rPr>
          <w:rtl/>
        </w:rPr>
        <w:t xml:space="preserve">יה חדה במחירי הדיור, הממשלה ה-31 לא </w:t>
      </w:r>
      <w:r w:rsidRPr="00F41E78">
        <w:rPr>
          <w:rFonts w:hint="cs"/>
          <w:rtl/>
        </w:rPr>
        <w:t xml:space="preserve">זיהתה מגמה זו כסיכון הדורש התייחסות מיוחדת. היא לא </w:t>
      </w:r>
      <w:r w:rsidRPr="00F41E78">
        <w:rPr>
          <w:rtl/>
        </w:rPr>
        <w:t>קיימה דיון אסטרטגי בנושא זה</w:t>
      </w:r>
      <w:r w:rsidRPr="00F41E78">
        <w:rPr>
          <w:rFonts w:hint="cs"/>
          <w:rtl/>
        </w:rPr>
        <w:t xml:space="preserve"> ולא קבעה כי יש לנקוט אמצעים כדי למתן או לעצור את עליית המחירים,</w:t>
      </w:r>
      <w:r w:rsidRPr="00F41E78">
        <w:rPr>
          <w:rtl/>
        </w:rPr>
        <w:t xml:space="preserve"> </w:t>
      </w:r>
      <w:r w:rsidRPr="00F41E78">
        <w:rPr>
          <w:rFonts w:hint="cs"/>
          <w:rtl/>
        </w:rPr>
        <w:t>וממילא</w:t>
      </w:r>
      <w:r w:rsidRPr="00F41E78">
        <w:rPr>
          <w:rtl/>
        </w:rPr>
        <w:t xml:space="preserve"> לא גיבשה תכנית כוללת ל</w:t>
      </w:r>
      <w:r w:rsidRPr="00F41E78">
        <w:rPr>
          <w:rFonts w:hint="cs"/>
          <w:rtl/>
        </w:rPr>
        <w:t>שינוי המגמה</w:t>
      </w:r>
      <w:r w:rsidRPr="00F41E78">
        <w:rPr>
          <w:rtl/>
        </w:rPr>
        <w:t>.</w:t>
      </w:r>
      <w:r w:rsidRPr="00F41E78">
        <w:rPr>
          <w:rFonts w:hint="cs"/>
          <w:rtl/>
        </w:rPr>
        <w:t xml:space="preserve"> עקב כך, בשנים 2010-2008 (בתקופת הממשלה ה-31 וה-32) המשיכו הפערים בין ההיצע לביקוש בשוק הדיור לגדול וחלה עלייה ניכרת במחירי הדיור שהגיעה בשנת 2010 לכ-36% במונחים ריאליים. הממשלה ה-32 זיהתה באיחור, יותר משנה לאחר הקמתה, את הצורך לעצור את העלייה החריפה במחירי הדיור. היא </w:t>
      </w:r>
      <w:r w:rsidRPr="00F41E78">
        <w:rPr>
          <w:rtl/>
        </w:rPr>
        <w:t>קבעה ב</w:t>
      </w:r>
      <w:r w:rsidRPr="00F41E78">
        <w:rPr>
          <w:rFonts w:hint="cs"/>
          <w:rtl/>
        </w:rPr>
        <w:t xml:space="preserve">אופן ברור שיש לנקוט </w:t>
      </w:r>
      <w:r w:rsidRPr="00F41E78">
        <w:rPr>
          <w:rtl/>
        </w:rPr>
        <w:t>מדיניות</w:t>
      </w:r>
      <w:r w:rsidRPr="00F41E78">
        <w:rPr>
          <w:rFonts w:hint="cs"/>
          <w:rtl/>
        </w:rPr>
        <w:t xml:space="preserve"> שתביא</w:t>
      </w:r>
      <w:r w:rsidRPr="00F41E78">
        <w:rPr>
          <w:rtl/>
        </w:rPr>
        <w:t xml:space="preserve"> </w:t>
      </w:r>
      <w:r w:rsidRPr="00F41E78">
        <w:rPr>
          <w:rFonts w:hint="cs"/>
          <w:rtl/>
        </w:rPr>
        <w:t xml:space="preserve">לידי </w:t>
      </w:r>
      <w:r w:rsidRPr="00F41E78">
        <w:rPr>
          <w:rtl/>
        </w:rPr>
        <w:t>הורדת מחירי הדירות</w:t>
      </w:r>
      <w:r w:rsidRPr="00F41E78">
        <w:rPr>
          <w:rFonts w:hint="cs"/>
          <w:rtl/>
        </w:rPr>
        <w:t>, המיועדת בעיקר עבור רוכשי</w:t>
      </w:r>
      <w:r w:rsidRPr="00F41E78">
        <w:rPr>
          <w:rtl/>
        </w:rPr>
        <w:t xml:space="preserve"> דיר</w:t>
      </w:r>
      <w:r w:rsidRPr="00F41E78">
        <w:rPr>
          <w:rFonts w:hint="cs"/>
          <w:rtl/>
        </w:rPr>
        <w:t>ה</w:t>
      </w:r>
      <w:r w:rsidRPr="00F41E78">
        <w:rPr>
          <w:rtl/>
        </w:rPr>
        <w:t xml:space="preserve"> ראשונה</w:t>
      </w:r>
      <w:r w:rsidRPr="00F41E78">
        <w:rPr>
          <w:rFonts w:hint="cs"/>
          <w:rtl/>
        </w:rPr>
        <w:t>. אף על פי כן, בשנים 2012-2011 המשיכו מחירי הדיור לעלות אם כי בקצב מתון יותר.</w:t>
      </w:r>
    </w:p>
    <w:p w:rsidR="008D3837" w:rsidRPr="00F41E78" w:rsidP="00F41E78">
      <w:pPr>
        <w:spacing w:after="120" w:line="230" w:lineRule="exact"/>
        <w:jc w:val="both"/>
        <w:rPr>
          <w:rFonts w:cs="FrankRuehl"/>
          <w:b/>
          <w:bCs/>
          <w:sz w:val="18"/>
          <w:szCs w:val="22"/>
          <w:rtl/>
          <w:lang w:eastAsia="he-IL"/>
        </w:rPr>
      </w:pPr>
    </w:p>
    <w:p w:rsidR="00E97EDA" w:rsidRPr="00E97EDA" w:rsidP="008D3837">
      <w:pPr>
        <w:pStyle w:val="KOT5"/>
        <w:rPr>
          <w:rtl/>
          <w:lang w:eastAsia="he-IL"/>
        </w:rPr>
      </w:pPr>
      <w:r w:rsidRPr="00E97EDA">
        <w:rPr>
          <w:rFonts w:hint="cs"/>
          <w:rtl/>
          <w:lang w:eastAsia="he-IL"/>
        </w:rPr>
        <w:t>המדיניות הממשלתית בשנים 2012-2011 לבלימת המשך משבר הדיור</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כדי לבלום את המשך עליית מחירי הדיור, ולנוכח המחאה החברתית שפרצה בקיץ 2011, שאחד מנושאיה המרכזיים היה מצוקת הדיור, קיבלה הממשלה כמה החלטות בתחום מדיניות הדיור.</w:t>
      </w:r>
    </w:p>
    <w:p w:rsidR="00E97EDA" w:rsidRPr="00F41E78" w:rsidP="00F41E78">
      <w:pPr>
        <w:spacing w:after="120" w:line="230" w:lineRule="exact"/>
        <w:jc w:val="both"/>
        <w:rPr>
          <w:rFonts w:cs="FrankRuehl"/>
          <w:sz w:val="18"/>
          <w:szCs w:val="22"/>
          <w:rtl/>
          <w:lang w:eastAsia="he-IL"/>
        </w:rPr>
      </w:pPr>
    </w:p>
    <w:p w:rsidR="00E97EDA" w:rsidRPr="00E97EDA" w:rsidP="008D3837">
      <w:pPr>
        <w:pStyle w:val="KOT6"/>
        <w:rPr>
          <w:rtl/>
        </w:rPr>
      </w:pPr>
      <w:r w:rsidRPr="00E97EDA">
        <w:rPr>
          <w:rFonts w:hint="cs"/>
          <w:rtl/>
        </w:rPr>
        <w:t xml:space="preserve">החלטות בדבר הפעלת מסלולי תכנון מהירים להאצת הבנייה למגורים: </w:t>
      </w:r>
    </w:p>
    <w:p w:rsidR="00E97EDA" w:rsidRPr="00F41E78" w:rsidP="007521AE">
      <w:pPr>
        <w:spacing w:after="120" w:line="230" w:lineRule="exact"/>
        <w:ind w:left="340" w:hanging="340"/>
        <w:jc w:val="both"/>
        <w:rPr>
          <w:rFonts w:cs="FrankRuehl"/>
          <w:sz w:val="18"/>
          <w:szCs w:val="22"/>
          <w:rtl/>
          <w:lang w:eastAsia="he-IL"/>
        </w:rPr>
      </w:pPr>
      <w:r w:rsidRPr="00745AB9">
        <w:rPr>
          <w:rFonts w:cs="FrankRuehl"/>
          <w:sz w:val="18"/>
          <w:szCs w:val="22"/>
          <w:rtl/>
        </w:rPr>
        <w:t>1.</w:t>
      </w:r>
      <w:r w:rsidRPr="00745AB9">
        <w:rPr>
          <w:rFonts w:cs="FrankRuehl" w:hint="cs"/>
          <w:sz w:val="18"/>
          <w:szCs w:val="22"/>
          <w:rtl/>
        </w:rPr>
        <w:tab/>
      </w:r>
      <w:r w:rsidRPr="00F41E78">
        <w:rPr>
          <w:rFonts w:cs="FrankRuehl" w:hint="eastAsia"/>
          <w:spacing w:val="40"/>
          <w:sz w:val="18"/>
          <w:szCs w:val="22"/>
          <w:rtl/>
        </w:rPr>
        <w:t>החלטה</w:t>
      </w:r>
      <w:r w:rsidRPr="00F41E78">
        <w:rPr>
          <w:rFonts w:cs="FrankRuehl"/>
          <w:spacing w:val="40"/>
          <w:sz w:val="18"/>
          <w:szCs w:val="22"/>
          <w:rtl/>
        </w:rPr>
        <w:t xml:space="preserve"> ממרץ 2011 בנושא </w:t>
      </w:r>
      <w:r w:rsidRPr="00F41E78">
        <w:rPr>
          <w:rFonts w:cs="FrankRuehl" w:hint="eastAsia"/>
          <w:spacing w:val="40"/>
          <w:sz w:val="18"/>
          <w:szCs w:val="22"/>
          <w:rtl/>
        </w:rPr>
        <w:t>תכני</w:t>
      </w:r>
      <w:r w:rsidRPr="00F41E78">
        <w:rPr>
          <w:rFonts w:cs="FrankRuehl" w:hint="cs"/>
          <w:spacing w:val="40"/>
          <w:sz w:val="18"/>
          <w:szCs w:val="22"/>
          <w:rtl/>
        </w:rPr>
        <w:t>ו</w:t>
      </w:r>
      <w:r w:rsidRPr="00F41E78">
        <w:rPr>
          <w:rFonts w:cs="FrankRuehl" w:hint="eastAsia"/>
          <w:spacing w:val="40"/>
          <w:sz w:val="18"/>
          <w:szCs w:val="22"/>
          <w:rtl/>
        </w:rPr>
        <w:t>ת</w:t>
      </w:r>
      <w:r w:rsidRPr="00F41E78">
        <w:rPr>
          <w:rFonts w:cs="FrankRuehl"/>
          <w:spacing w:val="40"/>
          <w:sz w:val="18"/>
          <w:szCs w:val="22"/>
          <w:rtl/>
        </w:rPr>
        <w:t xml:space="preserve"> </w:t>
      </w:r>
      <w:r w:rsidRPr="00F41E78">
        <w:rPr>
          <w:rFonts w:cs="FrankRuehl" w:hint="eastAsia"/>
          <w:spacing w:val="40"/>
          <w:sz w:val="18"/>
          <w:szCs w:val="22"/>
          <w:rtl/>
        </w:rPr>
        <w:t>חירום</w:t>
      </w:r>
      <w:r w:rsidRPr="00F41E78">
        <w:rPr>
          <w:rFonts w:cs="FrankRuehl"/>
          <w:spacing w:val="40"/>
          <w:sz w:val="18"/>
          <w:szCs w:val="22"/>
          <w:rtl/>
        </w:rPr>
        <w:t xml:space="preserve"> </w:t>
      </w:r>
      <w:r w:rsidRPr="00F41E78">
        <w:rPr>
          <w:rFonts w:cs="FrankRuehl" w:hint="eastAsia"/>
          <w:spacing w:val="40"/>
          <w:sz w:val="18"/>
          <w:szCs w:val="22"/>
          <w:rtl/>
        </w:rPr>
        <w:t>להאצת</w:t>
      </w:r>
      <w:r w:rsidRPr="00F41E78">
        <w:rPr>
          <w:rFonts w:cs="FrankRuehl"/>
          <w:spacing w:val="40"/>
          <w:sz w:val="18"/>
          <w:szCs w:val="22"/>
          <w:rtl/>
        </w:rPr>
        <w:t xml:space="preserve"> </w:t>
      </w:r>
      <w:r w:rsidRPr="00F41E78">
        <w:rPr>
          <w:rFonts w:cs="FrankRuehl" w:hint="eastAsia"/>
          <w:spacing w:val="40"/>
          <w:sz w:val="18"/>
          <w:szCs w:val="22"/>
          <w:rtl/>
        </w:rPr>
        <w:t>הבנייה</w:t>
      </w:r>
      <w:r w:rsidRPr="00F41E78">
        <w:rPr>
          <w:rFonts w:cs="FrankRuehl" w:hint="cs"/>
          <w:spacing w:val="40"/>
          <w:sz w:val="18"/>
          <w:szCs w:val="22"/>
          <w:rtl/>
        </w:rPr>
        <w:t xml:space="preserve"> </w:t>
      </w:r>
      <w:r w:rsidRPr="00F41E78">
        <w:rPr>
          <w:rFonts w:cs="FrankRuehl"/>
          <w:spacing w:val="40"/>
          <w:sz w:val="18"/>
          <w:szCs w:val="22"/>
          <w:rtl/>
        </w:rPr>
        <w:t>(להלן - תכני</w:t>
      </w:r>
      <w:r w:rsidRPr="00F41E78">
        <w:rPr>
          <w:rFonts w:cs="FrankRuehl" w:hint="cs"/>
          <w:spacing w:val="40"/>
          <w:sz w:val="18"/>
          <w:szCs w:val="22"/>
          <w:rtl/>
        </w:rPr>
        <w:t>ו</w:t>
      </w:r>
      <w:r w:rsidRPr="00F41E78">
        <w:rPr>
          <w:rFonts w:cs="FrankRuehl"/>
          <w:spacing w:val="40"/>
          <w:sz w:val="18"/>
          <w:szCs w:val="22"/>
          <w:rtl/>
        </w:rPr>
        <w:t xml:space="preserve">ת לה"ב): </w:t>
      </w:r>
      <w:r w:rsidRPr="00F41E78">
        <w:rPr>
          <w:rFonts w:cs="FrankRuehl" w:hint="cs"/>
          <w:sz w:val="18"/>
          <w:szCs w:val="22"/>
          <w:rtl/>
          <w:lang w:eastAsia="he-IL"/>
        </w:rPr>
        <w:t>בעקבות החלטת ממשלה מס' 1980 משנת 2010 בדבר מדיניות להורדת מחירי הדיור באמצעות הגדלה ניכרת של היצע הקרקעות הזמינות לבנייה למגורים, התקבלה ב-13.3.11 החלטת ממשלה מס' 2982 שעניינה קביעת "הסדרים מיוחדים לאישור מהיר של סדרת תכניות בנייה [תכניות לה"ב]</w:t>
      </w:r>
      <w:r w:rsidRPr="00F41E78">
        <w:rPr>
          <w:rFonts w:cs="FrankRuehl"/>
          <w:sz w:val="18"/>
          <w:szCs w:val="22"/>
          <w:vertAlign w:val="superscript"/>
          <w:rtl/>
          <w:lang w:eastAsia="he-IL"/>
        </w:rPr>
        <w:t>[</w:t>
      </w:r>
      <w:r>
        <w:rPr>
          <w:rFonts w:cs="FrankRuehl"/>
          <w:sz w:val="18"/>
          <w:szCs w:val="22"/>
          <w:vertAlign w:val="superscript"/>
          <w:rtl/>
          <w:lang w:eastAsia="he-IL"/>
        </w:rPr>
        <w:footnoteReference w:id="92"/>
      </w:r>
      <w:r w:rsidRPr="00F41E78">
        <w:rPr>
          <w:rFonts w:cs="FrankRuehl"/>
          <w:sz w:val="18"/>
          <w:szCs w:val="22"/>
          <w:vertAlign w:val="superscript"/>
          <w:rtl/>
          <w:lang w:eastAsia="he-IL"/>
        </w:rPr>
        <w:t>]</w:t>
      </w:r>
      <w:r w:rsidRPr="00F41E78">
        <w:rPr>
          <w:rFonts w:cs="FrankRuehl" w:hint="cs"/>
          <w:sz w:val="18"/>
          <w:szCs w:val="22"/>
          <w:rtl/>
          <w:lang w:eastAsia="he-IL"/>
        </w:rPr>
        <w:t xml:space="preserve">... כך שבכל עת יהיו ברשימת תכניות לה"ב לא פחות מ-50,000 יחידות דיור". נוסף על כך, הוטל על שרי השיכון והאוצר, בשיתוף משרדי הממשלה הנוגעים בדבר, לגבש מתכונות חדשות, לרבות יעדים כמותיים ולוח זמנים, לשיווק תכניות לבנייה למגורים. עוד הוטל עליהם לגבש מתכונת לשיווק קרקע המיועדת לבנייה להשכרה ומתכונת מעודכנת לשיווק קרקע במסגרת מסלול "מחיר דירה למשתכן". על משרדי הפנים והאוצר ועל נציבות שירות המדינה הוטל לקבוע אילו משאבים ותקנים נוספים יוקצו למוסדות התכנון לצורך קידום מידי של תכניות לה"ב. </w:t>
      </w:r>
    </w:p>
    <w:p w:rsidR="00E97EDA" w:rsidRPr="00F41E78" w:rsidP="007521AE">
      <w:pPr>
        <w:spacing w:after="120" w:line="230" w:lineRule="exact"/>
        <w:ind w:left="340" w:hanging="340"/>
        <w:jc w:val="both"/>
        <w:rPr>
          <w:rFonts w:cs="FrankRuehl"/>
          <w:sz w:val="18"/>
          <w:szCs w:val="22"/>
          <w:rtl/>
          <w:lang w:eastAsia="he-IL"/>
        </w:rPr>
      </w:pPr>
      <w:r w:rsidRPr="00745AB9">
        <w:rPr>
          <w:rFonts w:cs="FrankRuehl"/>
          <w:sz w:val="18"/>
          <w:szCs w:val="22"/>
          <w:rtl/>
        </w:rPr>
        <w:t>2.</w:t>
      </w:r>
      <w:r w:rsidRPr="00745AB9">
        <w:rPr>
          <w:rFonts w:cs="FrankRuehl"/>
          <w:sz w:val="18"/>
          <w:szCs w:val="22"/>
          <w:rtl/>
        </w:rPr>
        <w:tab/>
      </w:r>
      <w:r w:rsidRPr="00F41E78">
        <w:rPr>
          <w:rFonts w:cs="FrankRuehl" w:hint="eastAsia"/>
          <w:spacing w:val="40"/>
          <w:sz w:val="18"/>
          <w:szCs w:val="22"/>
          <w:rtl/>
        </w:rPr>
        <w:t>תכניות</w:t>
      </w:r>
      <w:r w:rsidRPr="00F41E78">
        <w:rPr>
          <w:rFonts w:cs="FrankRuehl"/>
          <w:spacing w:val="40"/>
          <w:sz w:val="18"/>
          <w:szCs w:val="22"/>
          <w:rtl/>
        </w:rPr>
        <w:t xml:space="preserve"> להגדלת ההיצע באזורי הביקוש </w:t>
      </w:r>
      <w:r w:rsidRPr="00F41E78">
        <w:rPr>
          <w:rFonts w:cs="FrankRuehl" w:hint="eastAsia"/>
          <w:spacing w:val="40"/>
          <w:sz w:val="18"/>
          <w:szCs w:val="22"/>
          <w:rtl/>
        </w:rPr>
        <w:t>מיוני</w:t>
      </w:r>
      <w:r w:rsidRPr="00F41E78">
        <w:rPr>
          <w:rFonts w:cs="FrankRuehl"/>
          <w:spacing w:val="40"/>
          <w:sz w:val="18"/>
          <w:szCs w:val="22"/>
          <w:rtl/>
        </w:rPr>
        <w:t xml:space="preserve"> 2011: </w:t>
      </w:r>
      <w:r w:rsidRPr="00F41E78">
        <w:rPr>
          <w:rFonts w:cs="FrankRuehl" w:hint="cs"/>
          <w:sz w:val="18"/>
          <w:szCs w:val="22"/>
          <w:rtl/>
          <w:lang w:eastAsia="he-IL"/>
        </w:rPr>
        <w:t xml:space="preserve">בעקבות קבלת ההחלטה ליישום תכניות לה"ב, ביוני 2011 גיבשו משרדי הפנים, השיכון והאוצר ורמ"י רשימה של כ-70 תכניות לבניית כ-60,000 יח"ד, על פי סדרי העדיפויות שקבעה הממשלה לעניין התכנון של שכונות מגורים באזור המרכז. לנוכח הצורך להגדיל את היצע הדירות לפי </w:t>
      </w:r>
      <w:r w:rsidRPr="00F41E78">
        <w:rPr>
          <w:rFonts w:cs="FrankRuehl" w:hint="cs"/>
          <w:sz w:val="18"/>
          <w:szCs w:val="22"/>
          <w:rtl/>
          <w:lang w:eastAsia="he-IL"/>
        </w:rPr>
        <w:t>הביקושים, נקבע כי 50% מיחידות הדיור יוקמו במחוזות המרכז ותל אביב (אזורי הביקוש הגבוהים), כ-20% במחוזות הצפון והדרום, והשאר במחוזות חיפה וירושלים.</w:t>
      </w:r>
    </w:p>
    <w:p w:rsidR="00E97EDA" w:rsidRPr="00F41E78" w:rsidP="007521AE">
      <w:pPr>
        <w:spacing w:after="120" w:line="230" w:lineRule="exact"/>
        <w:ind w:left="340" w:hanging="340"/>
        <w:jc w:val="both"/>
        <w:rPr>
          <w:rFonts w:cs="FrankRuehl"/>
          <w:sz w:val="18"/>
          <w:szCs w:val="22"/>
          <w:rtl/>
          <w:lang w:eastAsia="he-IL"/>
        </w:rPr>
      </w:pPr>
      <w:r w:rsidRPr="00745AB9">
        <w:rPr>
          <w:rFonts w:cs="FrankRuehl"/>
          <w:sz w:val="18"/>
          <w:szCs w:val="22"/>
          <w:rtl/>
        </w:rPr>
        <w:t xml:space="preserve">3. </w:t>
      </w:r>
      <w:r w:rsidRPr="00745AB9">
        <w:rPr>
          <w:rFonts w:cs="FrankRuehl" w:hint="cs"/>
          <w:sz w:val="18"/>
          <w:szCs w:val="22"/>
          <w:rtl/>
        </w:rPr>
        <w:tab/>
      </w:r>
      <w:r w:rsidRPr="00F41E78">
        <w:rPr>
          <w:rFonts w:cs="FrankRuehl" w:hint="eastAsia"/>
          <w:spacing w:val="40"/>
          <w:sz w:val="18"/>
          <w:szCs w:val="22"/>
          <w:rtl/>
        </w:rPr>
        <w:t>החלטה</w:t>
      </w:r>
      <w:r w:rsidRPr="00F41E78">
        <w:rPr>
          <w:rFonts w:cs="FrankRuehl"/>
          <w:spacing w:val="40"/>
          <w:sz w:val="18"/>
          <w:szCs w:val="22"/>
          <w:rtl/>
        </w:rPr>
        <w:t xml:space="preserve"> בנושא החוק להאצת הבנייה למגורים משנת 2011: </w:t>
      </w:r>
      <w:r w:rsidRPr="00F41E78">
        <w:rPr>
          <w:rFonts w:cs="FrankRuehl" w:hint="cs"/>
          <w:sz w:val="18"/>
          <w:szCs w:val="22"/>
          <w:rtl/>
          <w:lang w:eastAsia="he-IL"/>
        </w:rPr>
        <w:t xml:space="preserve">בהחלטה בדבר תכניות לה"ב נקבע גם כי יש להסדיר בחוק את האישור המהיר של תכניות למגורים וכאמור להקים וד"לים לקידום התכניות. במסגרת ההחלטה הוסמך ראש הממשלה להכין הצעת חוק שתאפשר קידום מהיר של תכניות לה"ב, שתכלול בין היתר כלים לקיצור הליכי התכנון ותהליכי הרישוי והבנייה. כאמור, באוגוסט 2011 אישרה הכנסת את הצעת חוק הליכי תכנון ובנייה להאצת הבנייה למגורים (הוראת שעה), התשע"א-2011 (להלן - חוק הווד"לים), ומשרד הפנים הקים ועדה לדיור לאומי בכל אחד ממחוזותיו. </w:t>
      </w:r>
    </w:p>
    <w:p w:rsidR="00E97EDA" w:rsidRPr="00F41E78" w:rsidP="007521AE">
      <w:pPr>
        <w:spacing w:after="240" w:line="230" w:lineRule="exact"/>
        <w:ind w:left="340" w:hanging="340"/>
        <w:jc w:val="both"/>
        <w:rPr>
          <w:rFonts w:cs="FrankRuehl"/>
          <w:sz w:val="18"/>
          <w:szCs w:val="22"/>
          <w:rtl/>
          <w:lang w:eastAsia="he-IL"/>
        </w:rPr>
      </w:pPr>
      <w:r w:rsidRPr="00745AB9">
        <w:rPr>
          <w:rFonts w:cs="FrankRuehl"/>
          <w:sz w:val="18"/>
          <w:szCs w:val="22"/>
          <w:rtl/>
        </w:rPr>
        <w:t>4.</w:t>
      </w:r>
      <w:r w:rsidRPr="00745AB9">
        <w:rPr>
          <w:rFonts w:cs="FrankRuehl"/>
          <w:sz w:val="18"/>
          <w:szCs w:val="22"/>
          <w:rtl/>
        </w:rPr>
        <w:tab/>
      </w:r>
      <w:r w:rsidRPr="00F41E78">
        <w:rPr>
          <w:rFonts w:cs="FrankRuehl" w:hint="eastAsia"/>
          <w:spacing w:val="40"/>
          <w:sz w:val="18"/>
          <w:szCs w:val="22"/>
          <w:rtl/>
        </w:rPr>
        <w:t>התייחסות</w:t>
      </w:r>
      <w:r w:rsidRPr="00F41E78">
        <w:rPr>
          <w:rFonts w:cs="FrankRuehl"/>
          <w:spacing w:val="40"/>
          <w:sz w:val="18"/>
          <w:szCs w:val="22"/>
          <w:rtl/>
        </w:rPr>
        <w:t xml:space="preserve"> לצורך בדיור בר השגה בחוק הווד"לים: </w:t>
      </w:r>
      <w:r w:rsidRPr="00F41E78">
        <w:rPr>
          <w:rFonts w:cs="FrankRuehl" w:hint="cs"/>
          <w:sz w:val="18"/>
          <w:szCs w:val="22"/>
          <w:rtl/>
          <w:lang w:eastAsia="he-IL"/>
        </w:rPr>
        <w:t xml:space="preserve">בהתייחס לדיור בר השגה חוק הווד"לים קובע כי תכנית לדיור לאומי תכלול בין היתר הוראות לעניין שטחן של יחידות הדיור והיחס בין יח"ד קטנות לגדולות בתכנית. עוד קובעות ההוראות כי ניתן יהיה לקבוע שבניין, כולו או חלקו, ייועד להשכרה ותקופת ההשכרה לא תפחת </w:t>
      </w:r>
      <w:r w:rsidRPr="00582A43">
        <w:rPr>
          <w:rFonts w:cs="FrankRuehl" w:hint="cs"/>
          <w:sz w:val="18"/>
          <w:szCs w:val="22"/>
          <w:rtl/>
          <w:lang w:eastAsia="he-IL"/>
        </w:rPr>
        <w:t>מעשר שנים</w:t>
      </w:r>
      <w:r w:rsidRPr="00582A43" w:rsidR="009111F9">
        <w:rPr>
          <w:rFonts w:cs="FrankRuehl" w:hint="cs"/>
          <w:sz w:val="18"/>
          <w:szCs w:val="22"/>
          <w:rtl/>
          <w:lang w:eastAsia="he-IL"/>
        </w:rPr>
        <w:t>.</w:t>
      </w:r>
      <w:r w:rsidRPr="00582A43">
        <w:rPr>
          <w:rFonts w:cs="FrankRuehl" w:hint="cs"/>
          <w:sz w:val="18"/>
          <w:szCs w:val="22"/>
          <w:rtl/>
          <w:lang w:eastAsia="he-IL"/>
        </w:rPr>
        <w:t xml:space="preserve"> כמו כן</w:t>
      </w:r>
      <w:r w:rsidRPr="00F41E78">
        <w:rPr>
          <w:rFonts w:cs="FrankRuehl" w:hint="cs"/>
          <w:sz w:val="18"/>
          <w:szCs w:val="22"/>
          <w:rtl/>
          <w:lang w:eastAsia="he-IL"/>
        </w:rPr>
        <w:t xml:space="preserve"> ניתן לקבוע שחלק מהקרקע שעליה חלה התכנית תשמש להקמת דירות בהישג יד להשכרה.</w:t>
      </w:r>
    </w:p>
    <w:p w:rsidR="00D22B16" w:rsidRPr="00F41E78" w:rsidP="00382334">
      <w:pPr>
        <w:pStyle w:val="RESHET"/>
        <w:keepLines/>
        <w:ind w:left="567"/>
        <w:rPr>
          <w:rtl/>
        </w:rPr>
      </w:pPr>
      <w:r w:rsidRPr="00F41E78">
        <w:rPr>
          <w:rFonts w:hint="eastAsia"/>
          <w:rtl/>
        </w:rPr>
        <w:t>מהנתונים</w:t>
      </w:r>
      <w:r w:rsidRPr="00F41E78">
        <w:rPr>
          <w:rtl/>
        </w:rPr>
        <w:t xml:space="preserve"> של משרד הפנים על פעילות </w:t>
      </w:r>
      <w:r w:rsidRPr="00F41E78">
        <w:rPr>
          <w:rFonts w:hint="eastAsia"/>
          <w:rtl/>
        </w:rPr>
        <w:t>ה</w:t>
      </w:r>
      <w:r w:rsidRPr="00F41E78">
        <w:rPr>
          <w:rFonts w:hint="cs"/>
          <w:rtl/>
        </w:rPr>
        <w:t>ו</w:t>
      </w:r>
      <w:r w:rsidRPr="00F41E78">
        <w:rPr>
          <w:rFonts w:hint="eastAsia"/>
          <w:rtl/>
        </w:rPr>
        <w:t>וד</w:t>
      </w:r>
      <w:r w:rsidRPr="00F41E78">
        <w:rPr>
          <w:rtl/>
        </w:rPr>
        <w:t xml:space="preserve">"לים, </w:t>
      </w:r>
      <w:r w:rsidRPr="00F41E78">
        <w:rPr>
          <w:rFonts w:hint="eastAsia"/>
          <w:rtl/>
        </w:rPr>
        <w:t>המעודכנים</w:t>
      </w:r>
      <w:r w:rsidRPr="00F41E78">
        <w:rPr>
          <w:rtl/>
        </w:rPr>
        <w:t xml:space="preserve"> </w:t>
      </w:r>
      <w:r w:rsidRPr="00F41E78">
        <w:rPr>
          <w:rFonts w:hint="eastAsia"/>
          <w:rtl/>
        </w:rPr>
        <w:t>לאוגוסט</w:t>
      </w:r>
      <w:r w:rsidRPr="00F41E78">
        <w:rPr>
          <w:rtl/>
        </w:rPr>
        <w:t xml:space="preserve"> 2013, </w:t>
      </w:r>
      <w:r w:rsidRPr="00F41E78">
        <w:rPr>
          <w:rFonts w:hint="eastAsia"/>
          <w:rtl/>
        </w:rPr>
        <w:t>עולה</w:t>
      </w:r>
      <w:r w:rsidRPr="00F41E78">
        <w:rPr>
          <w:rtl/>
        </w:rPr>
        <w:t xml:space="preserve"> כי רק 1,676 (6.5%) מ</w:t>
      </w:r>
      <w:r w:rsidRPr="00F41E78">
        <w:rPr>
          <w:rFonts w:hint="cs"/>
          <w:rtl/>
        </w:rPr>
        <w:t>-</w:t>
      </w:r>
      <w:r w:rsidRPr="00F41E78">
        <w:rPr>
          <w:rtl/>
        </w:rPr>
        <w:t>25,487 יח</w:t>
      </w:r>
      <w:r w:rsidRPr="00F41E78">
        <w:rPr>
          <w:rFonts w:hint="cs"/>
          <w:rtl/>
        </w:rPr>
        <w:t xml:space="preserve">"ד </w:t>
      </w:r>
      <w:r w:rsidRPr="00F41E78">
        <w:rPr>
          <w:rtl/>
        </w:rPr>
        <w:t xml:space="preserve">שהן אישרו היו דירות קטנות שניתן להגדירן כעומדות בקריטריונים של דיור בר השגה </w:t>
      </w:r>
      <w:r w:rsidRPr="00F41E78">
        <w:rPr>
          <w:rFonts w:hint="cs"/>
          <w:rtl/>
        </w:rPr>
        <w:t>הקבועים</w:t>
      </w:r>
      <w:r w:rsidRPr="00F41E78">
        <w:rPr>
          <w:rtl/>
        </w:rPr>
        <w:t xml:space="preserve"> בהוראות חוק </w:t>
      </w:r>
      <w:r w:rsidRPr="00F41E78">
        <w:rPr>
          <w:rFonts w:hint="eastAsia"/>
          <w:rtl/>
        </w:rPr>
        <w:t>ה</w:t>
      </w:r>
      <w:r w:rsidRPr="00F41E78">
        <w:rPr>
          <w:rFonts w:hint="cs"/>
          <w:rtl/>
        </w:rPr>
        <w:t>ו</w:t>
      </w:r>
      <w:r w:rsidRPr="00F41E78">
        <w:rPr>
          <w:rFonts w:hint="eastAsia"/>
          <w:rtl/>
        </w:rPr>
        <w:t>וד</w:t>
      </w:r>
      <w:r w:rsidRPr="00F41E78">
        <w:rPr>
          <w:rtl/>
        </w:rPr>
        <w:t xml:space="preserve">"לים, ורק 433 (1.7%) מהן יועדו להשכרה. </w:t>
      </w:r>
      <w:r w:rsidRPr="00F41E78">
        <w:rPr>
          <w:rFonts w:hint="cs"/>
          <w:rtl/>
        </w:rPr>
        <w:t xml:space="preserve">יוצא אפוא </w:t>
      </w:r>
      <w:r w:rsidRPr="00F41E78">
        <w:rPr>
          <w:rtl/>
        </w:rPr>
        <w:t xml:space="preserve">שהתפוקות שהשיגו </w:t>
      </w:r>
      <w:r w:rsidRPr="00F41E78">
        <w:rPr>
          <w:rFonts w:hint="eastAsia"/>
          <w:rtl/>
        </w:rPr>
        <w:t>הווד</w:t>
      </w:r>
      <w:r w:rsidRPr="00F41E78">
        <w:rPr>
          <w:rtl/>
        </w:rPr>
        <w:t xml:space="preserve">"לים עד אוגוסט 2013 בנוגע </w:t>
      </w:r>
      <w:r w:rsidRPr="00F41E78">
        <w:rPr>
          <w:rFonts w:hint="eastAsia"/>
          <w:rtl/>
        </w:rPr>
        <w:t>למספר</w:t>
      </w:r>
      <w:r w:rsidRPr="00F41E78">
        <w:rPr>
          <w:rtl/>
        </w:rPr>
        <w:t xml:space="preserve"> יח</w:t>
      </w:r>
      <w:r w:rsidRPr="00F41E78">
        <w:rPr>
          <w:rFonts w:hint="cs"/>
          <w:rtl/>
        </w:rPr>
        <w:t>ידות דיור</w:t>
      </w:r>
      <w:r w:rsidRPr="00F41E78">
        <w:rPr>
          <w:rtl/>
        </w:rPr>
        <w:t xml:space="preserve"> בר השגה היו </w:t>
      </w:r>
      <w:r w:rsidRPr="00F41E78">
        <w:rPr>
          <w:rFonts w:hint="eastAsia"/>
          <w:rtl/>
        </w:rPr>
        <w:t>קטנות</w:t>
      </w:r>
      <w:r w:rsidRPr="00F41E78">
        <w:rPr>
          <w:rtl/>
        </w:rPr>
        <w:t xml:space="preserve"> </w:t>
      </w:r>
      <w:r w:rsidRPr="00F41E78">
        <w:rPr>
          <w:rFonts w:hint="cs"/>
          <w:rtl/>
        </w:rPr>
        <w:t>מאוד</w:t>
      </w:r>
      <w:r w:rsidRPr="00F41E78">
        <w:rPr>
          <w:rtl/>
        </w:rPr>
        <w:t xml:space="preserve"> ו</w:t>
      </w:r>
      <w:r w:rsidRPr="00F41E78">
        <w:rPr>
          <w:rFonts w:hint="cs"/>
          <w:rtl/>
        </w:rPr>
        <w:t>ממילא</w:t>
      </w:r>
      <w:r w:rsidRPr="00F41E78">
        <w:rPr>
          <w:rtl/>
        </w:rPr>
        <w:t xml:space="preserve"> אין בהן </w:t>
      </w:r>
      <w:r w:rsidRPr="00F41E78">
        <w:rPr>
          <w:rFonts w:hint="cs"/>
          <w:rtl/>
        </w:rPr>
        <w:t xml:space="preserve">די </w:t>
      </w:r>
      <w:r w:rsidRPr="00F41E78">
        <w:rPr>
          <w:rtl/>
        </w:rPr>
        <w:t>כדי לספק פתרונות מערכתיים לדיור בר השגה</w:t>
      </w:r>
      <w:r>
        <w:rPr>
          <w:vertAlign w:val="superscript"/>
          <w:rtl/>
        </w:rPr>
        <w:footnoteReference w:id="93"/>
      </w:r>
      <w:r w:rsidRPr="00F41E78">
        <w:rPr>
          <w:rtl/>
        </w:rPr>
        <w:t>.</w:t>
      </w:r>
    </w:p>
    <w:p w:rsidR="00E97EDA" w:rsidRPr="00F41E78" w:rsidP="00F41E78">
      <w:pPr>
        <w:spacing w:after="120" w:line="230" w:lineRule="exact"/>
        <w:jc w:val="both"/>
        <w:rPr>
          <w:rFonts w:cs="FrankRuehl"/>
          <w:bCs/>
          <w:sz w:val="18"/>
          <w:szCs w:val="22"/>
          <w:rtl/>
          <w:lang w:eastAsia="he-IL"/>
        </w:rPr>
      </w:pPr>
    </w:p>
    <w:p w:rsidR="00E97EDA" w:rsidRPr="00E97EDA" w:rsidP="008D3837">
      <w:pPr>
        <w:pStyle w:val="KOT6"/>
        <w:rPr>
          <w:rtl/>
        </w:rPr>
      </w:pPr>
      <w:r w:rsidRPr="00E97EDA">
        <w:rPr>
          <w:rFonts w:hint="cs"/>
          <w:rtl/>
        </w:rPr>
        <w:t>פעולות לחיזוק הפריפריה ולפיזור אוכלוסין בשנים 2012-2011:</w:t>
      </w:r>
    </w:p>
    <w:p w:rsidR="00E97EDA" w:rsidRPr="00F41E78" w:rsidP="007521AE">
      <w:pPr>
        <w:spacing w:after="120" w:line="230" w:lineRule="exact"/>
        <w:ind w:left="340" w:hanging="340"/>
        <w:jc w:val="both"/>
        <w:rPr>
          <w:rFonts w:cs="FrankRuehl"/>
          <w:sz w:val="18"/>
          <w:szCs w:val="22"/>
          <w:rtl/>
          <w:lang w:eastAsia="he-IL"/>
        </w:rPr>
      </w:pPr>
      <w:r w:rsidRPr="00745AB9">
        <w:rPr>
          <w:rFonts w:cs="FrankRuehl"/>
          <w:sz w:val="18"/>
          <w:szCs w:val="22"/>
          <w:rtl/>
        </w:rPr>
        <w:t xml:space="preserve">1. </w:t>
      </w:r>
      <w:r w:rsidRPr="00745AB9">
        <w:rPr>
          <w:rFonts w:cs="FrankRuehl" w:hint="cs"/>
          <w:sz w:val="18"/>
          <w:szCs w:val="22"/>
          <w:rtl/>
        </w:rPr>
        <w:tab/>
      </w:r>
      <w:r w:rsidRPr="00F41E78">
        <w:rPr>
          <w:rFonts w:cs="FrankRuehl"/>
          <w:spacing w:val="40"/>
          <w:sz w:val="18"/>
          <w:szCs w:val="22"/>
          <w:rtl/>
        </w:rPr>
        <w:t>הטבות לזכאים באזורי עדיפות לאומית:</w:t>
      </w:r>
      <w:r w:rsidRPr="00F41E78">
        <w:rPr>
          <w:rFonts w:cs="FrankRuehl" w:hint="cs"/>
          <w:sz w:val="18"/>
          <w:szCs w:val="22"/>
          <w:rtl/>
          <w:lang w:eastAsia="he-IL"/>
        </w:rPr>
        <w:t xml:space="preserve"> גם בשנת 2011 קיבלה הממשלה ה-32 כמה החלטות לחיזוק הפריפריה ולפיזור אוכלוסין. למשל, בהחלטת ממשלה מס' 3282 מיוני 2011 הוחלט לאשר לרוכשי דירה ראשונה זכאי משרד הבינוי מענק בסך 100,000 ש"ח וסבסוד הוצאות פיתוח ביישובים השוכנים באזורים המוגדרים כאזורי עדיפות לאומית. בהחלטת ממשלה מס' 3382 מאותו החודש הוחלט לפתח תכנית למתן מענקים וסבסוד פיתוח לזכאים לרכישת דירות חדשות בבנייה רוויה ובבנייה עצמית רוויה באזורי עדיפות לאומית. </w:t>
      </w:r>
    </w:p>
    <w:p w:rsidR="00E97EDA" w:rsidRPr="00F41E78" w:rsidP="007521AE">
      <w:pPr>
        <w:spacing w:after="120" w:line="230" w:lineRule="exact"/>
        <w:ind w:left="340" w:hanging="340"/>
        <w:jc w:val="both"/>
        <w:rPr>
          <w:rFonts w:cs="FrankRuehl"/>
          <w:sz w:val="18"/>
          <w:szCs w:val="22"/>
          <w:rtl/>
          <w:lang w:eastAsia="he-IL"/>
        </w:rPr>
      </w:pPr>
      <w:r w:rsidRPr="00745AB9">
        <w:rPr>
          <w:rFonts w:cs="FrankRuehl" w:hint="cs"/>
          <w:sz w:val="18"/>
          <w:szCs w:val="22"/>
          <w:rtl/>
          <w:lang w:eastAsia="he-IL"/>
        </w:rPr>
        <w:t>2.</w:t>
      </w:r>
      <w:r w:rsidRPr="00745AB9">
        <w:rPr>
          <w:rFonts w:cs="FrankRuehl" w:hint="cs"/>
          <w:sz w:val="18"/>
          <w:szCs w:val="22"/>
          <w:rtl/>
          <w:lang w:eastAsia="he-IL"/>
        </w:rPr>
        <w:tab/>
      </w:r>
      <w:r w:rsidRPr="00F41E78">
        <w:rPr>
          <w:rFonts w:cs="FrankRuehl"/>
          <w:spacing w:val="40"/>
          <w:sz w:val="18"/>
          <w:szCs w:val="22"/>
          <w:rtl/>
          <w:lang w:eastAsia="he-IL"/>
        </w:rPr>
        <w:t>העתקת מחנות צה"ל לדרום:</w:t>
      </w:r>
      <w:r w:rsidRPr="00F41E78">
        <w:rPr>
          <w:rFonts w:cs="FrankRuehl" w:hint="cs"/>
          <w:sz w:val="18"/>
          <w:szCs w:val="22"/>
          <w:rtl/>
          <w:lang w:eastAsia="he-IL"/>
        </w:rPr>
        <w:t xml:space="preserve"> באפריל 2011 קיבלה הממשלה ה-32 החלטה מס' 3161 בעניין העתקת מחנות צה"ל לנגב שתיעשה במסגרת התכנית הלאומית לפיתוח הנגב.</w:t>
      </w:r>
    </w:p>
    <w:p w:rsidR="00E97EDA" w:rsidRPr="00F41E78" w:rsidP="00F41E78">
      <w:pPr>
        <w:spacing w:after="120" w:line="230" w:lineRule="exact"/>
        <w:jc w:val="both"/>
        <w:rPr>
          <w:rFonts w:cs="FrankRuehl"/>
          <w:sz w:val="18"/>
          <w:szCs w:val="22"/>
          <w:rtl/>
          <w:lang w:eastAsia="he-IL"/>
        </w:rPr>
      </w:pPr>
    </w:p>
    <w:p w:rsidR="00E97EDA" w:rsidRPr="00E97EDA" w:rsidP="008D3837">
      <w:pPr>
        <w:pStyle w:val="KOT6"/>
        <w:rPr>
          <w:rtl/>
        </w:rPr>
      </w:pPr>
      <w:r w:rsidRPr="00E97EDA">
        <w:rPr>
          <w:rFonts w:hint="cs"/>
          <w:rtl/>
        </w:rPr>
        <w:t xml:space="preserve">אימוץ ויישום של המלצות ועדת טרכטנברג: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בעקבות המחאה החברתית בקיץ 2011, הכריז ראש הממשלה מר בנימין נתניהו, באוגוסט 2011, על הקמת ועדת מומחים שמטרתה לבחון ולהציע פתרונות למצוקה שמקורה ביוקר המחיה במדינת ישראל - ועדת טרכטנברג</w:t>
      </w:r>
      <w:r w:rsidRPr="00F41E78">
        <w:rPr>
          <w:rFonts w:cs="FrankRuehl"/>
          <w:b/>
          <w:spacing w:val="40"/>
          <w:sz w:val="18"/>
          <w:szCs w:val="22"/>
          <w:rtl/>
          <w:lang w:eastAsia="he-IL"/>
        </w:rPr>
        <w:t>.</w:t>
      </w:r>
      <w:r w:rsidRPr="00F41E78">
        <w:rPr>
          <w:rFonts w:cs="FrankRuehl" w:hint="cs"/>
          <w:sz w:val="18"/>
          <w:szCs w:val="22"/>
          <w:rtl/>
          <w:lang w:eastAsia="he-IL"/>
        </w:rPr>
        <w:t xml:space="preserve"> בכתב המינוי לוועדה נקבעו משימותיה ובהן </w:t>
      </w:r>
      <w:r w:rsidRPr="00F41E78">
        <w:rPr>
          <w:rFonts w:cs="FrankRuehl"/>
          <w:sz w:val="18"/>
          <w:szCs w:val="22"/>
          <w:rtl/>
          <w:lang w:eastAsia="he-IL"/>
        </w:rPr>
        <w:t>"</w:t>
      </w:r>
      <w:r w:rsidRPr="00F41E78">
        <w:rPr>
          <w:rFonts w:cs="FrankRuehl" w:hint="eastAsia"/>
          <w:b/>
          <w:bCs/>
          <w:sz w:val="18"/>
          <w:szCs w:val="22"/>
          <w:rtl/>
          <w:lang w:eastAsia="he-IL"/>
        </w:rPr>
        <w:t>התווית</w:t>
      </w:r>
      <w:r w:rsidRPr="00F41E78">
        <w:rPr>
          <w:rFonts w:cs="FrankRuehl"/>
          <w:b/>
          <w:bCs/>
          <w:sz w:val="18"/>
          <w:szCs w:val="22"/>
          <w:rtl/>
          <w:lang w:eastAsia="he-IL"/>
        </w:rPr>
        <w:t xml:space="preserve"> צעדי יישום לתכנית הדיור שהושקה על ידי הממשלה ביולי 2011</w:t>
      </w:r>
      <w:r w:rsidRPr="00F41E78">
        <w:rPr>
          <w:rFonts w:cs="FrankRuehl"/>
          <w:sz w:val="18"/>
          <w:szCs w:val="22"/>
          <w:rtl/>
          <w:lang w:eastAsia="he-IL"/>
        </w:rPr>
        <w:t xml:space="preserve">" </w:t>
      </w:r>
      <w:r w:rsidRPr="00F41E78">
        <w:rPr>
          <w:rFonts w:cs="FrankRuehl" w:hint="cs"/>
          <w:sz w:val="18"/>
          <w:szCs w:val="22"/>
          <w:rtl/>
          <w:lang w:eastAsia="he-IL"/>
        </w:rPr>
        <w:t>(</w:t>
      </w:r>
      <w:r w:rsidRPr="00F41E78">
        <w:rPr>
          <w:rFonts w:cs="FrankRuehl"/>
          <w:sz w:val="18"/>
          <w:szCs w:val="22"/>
          <w:rtl/>
          <w:lang w:eastAsia="he-IL"/>
        </w:rPr>
        <w:t>ה</w:t>
      </w:r>
      <w:r w:rsidRPr="00F41E78">
        <w:rPr>
          <w:rFonts w:cs="FrankRuehl" w:hint="eastAsia"/>
          <w:sz w:val="18"/>
          <w:szCs w:val="22"/>
          <w:rtl/>
          <w:lang w:eastAsia="he-IL"/>
        </w:rPr>
        <w:t>הדגשה</w:t>
      </w:r>
      <w:r w:rsidRPr="00F41E78">
        <w:rPr>
          <w:rFonts w:cs="FrankRuehl"/>
          <w:sz w:val="18"/>
          <w:szCs w:val="22"/>
          <w:rtl/>
          <w:lang w:eastAsia="he-IL"/>
        </w:rPr>
        <w:t xml:space="preserve"> </w:t>
      </w:r>
      <w:r w:rsidRPr="00F41E78">
        <w:rPr>
          <w:rFonts w:cs="FrankRuehl" w:hint="cs"/>
          <w:sz w:val="18"/>
          <w:szCs w:val="22"/>
          <w:rtl/>
          <w:lang w:eastAsia="he-IL"/>
        </w:rPr>
        <w:t>אינה</w:t>
      </w:r>
      <w:r w:rsidRPr="00F41E78">
        <w:rPr>
          <w:rFonts w:cs="FrankRuehl"/>
          <w:sz w:val="18"/>
          <w:szCs w:val="22"/>
          <w:rtl/>
          <w:lang w:eastAsia="he-IL"/>
        </w:rPr>
        <w:t xml:space="preserve"> </w:t>
      </w:r>
      <w:r w:rsidRPr="00F41E78">
        <w:rPr>
          <w:rFonts w:cs="FrankRuehl" w:hint="eastAsia"/>
          <w:sz w:val="18"/>
          <w:szCs w:val="22"/>
          <w:rtl/>
          <w:lang w:eastAsia="he-IL"/>
        </w:rPr>
        <w:t>במקור</w:t>
      </w:r>
      <w:r w:rsidRPr="00F41E78">
        <w:rPr>
          <w:rFonts w:cs="FrankRuehl" w:hint="cs"/>
          <w:sz w:val="18"/>
          <w:szCs w:val="22"/>
          <w:rtl/>
          <w:lang w:eastAsia="he-IL"/>
        </w:rPr>
        <w:t xml:space="preserve">). </w:t>
      </w:r>
    </w:p>
    <w:p w:rsidR="00E97EDA" w:rsidRPr="00F41E78" w:rsidP="007521AE">
      <w:pPr>
        <w:spacing w:after="120" w:line="230" w:lineRule="exact"/>
        <w:ind w:left="340" w:hanging="340"/>
        <w:jc w:val="both"/>
        <w:rPr>
          <w:rFonts w:cs="FrankRuehl"/>
          <w:sz w:val="18"/>
          <w:szCs w:val="22"/>
          <w:rtl/>
          <w:lang w:eastAsia="he-IL"/>
        </w:rPr>
      </w:pPr>
      <w:r w:rsidRPr="00745AB9">
        <w:rPr>
          <w:rFonts w:cs="FrankRuehl"/>
          <w:sz w:val="18"/>
          <w:szCs w:val="22"/>
          <w:rtl/>
        </w:rPr>
        <w:t>1.</w:t>
      </w:r>
      <w:r w:rsidRPr="00745AB9">
        <w:rPr>
          <w:rFonts w:cs="FrankRuehl" w:hint="cs"/>
          <w:sz w:val="18"/>
          <w:szCs w:val="22"/>
          <w:rtl/>
        </w:rPr>
        <w:tab/>
      </w:r>
      <w:r w:rsidRPr="00F41E78">
        <w:rPr>
          <w:rFonts w:cs="FrankRuehl" w:hint="eastAsia"/>
          <w:spacing w:val="40"/>
          <w:sz w:val="18"/>
          <w:szCs w:val="22"/>
          <w:rtl/>
        </w:rPr>
        <w:t>המלצות</w:t>
      </w:r>
      <w:r w:rsidRPr="00F41E78">
        <w:rPr>
          <w:rFonts w:cs="FrankRuehl"/>
          <w:spacing w:val="40"/>
          <w:sz w:val="18"/>
          <w:szCs w:val="22"/>
          <w:rtl/>
        </w:rPr>
        <w:t xml:space="preserve"> </w:t>
      </w:r>
      <w:r w:rsidRPr="00F41E78">
        <w:rPr>
          <w:rFonts w:cs="FrankRuehl" w:hint="eastAsia"/>
          <w:spacing w:val="40"/>
          <w:sz w:val="18"/>
          <w:szCs w:val="22"/>
          <w:rtl/>
        </w:rPr>
        <w:t>ועדת</w:t>
      </w:r>
      <w:r w:rsidRPr="00F41E78">
        <w:rPr>
          <w:rFonts w:cs="FrankRuehl"/>
          <w:spacing w:val="40"/>
          <w:sz w:val="18"/>
          <w:szCs w:val="22"/>
          <w:rtl/>
        </w:rPr>
        <w:t xml:space="preserve"> </w:t>
      </w:r>
      <w:r w:rsidRPr="00F41E78">
        <w:rPr>
          <w:rFonts w:cs="FrankRuehl" w:hint="eastAsia"/>
          <w:spacing w:val="40"/>
          <w:sz w:val="18"/>
          <w:szCs w:val="22"/>
          <w:rtl/>
        </w:rPr>
        <w:t>טרכטנברג</w:t>
      </w:r>
      <w:r w:rsidRPr="00F41E78">
        <w:rPr>
          <w:rFonts w:cs="FrankRuehl"/>
          <w:spacing w:val="40"/>
          <w:sz w:val="18"/>
          <w:szCs w:val="22"/>
          <w:rtl/>
        </w:rPr>
        <w:t>:</w:t>
      </w:r>
      <w:r w:rsidRPr="00F41E78">
        <w:rPr>
          <w:rFonts w:cs="FrankRuehl" w:hint="cs"/>
          <w:sz w:val="18"/>
          <w:szCs w:val="22"/>
          <w:rtl/>
          <w:lang w:eastAsia="he-IL"/>
        </w:rPr>
        <w:t xml:space="preserve"> בספטמבר 2011 הגישה ועדת טרכטנברג את המלצותיה לראש הממשלה. בהמלצותיה בתחום הדיור הציעה הוועדה לממשלה לנקוט כמה צעדי מדיניות בטווח הקצר, הבינוני והארוך שמטרתם להרחיב את ההיצע ולהבטיח תמהיל דירות מגוון בהישג יד וכן פתרונות דיור המעוגנים בחקיקה לאוכלוסיות בעלות מאפיינים ייחודיים. ועדת טרכטנברג ציינה בדוח כי "מעבר להיבטים אלה, </w:t>
      </w:r>
      <w:r w:rsidRPr="00F41E78">
        <w:rPr>
          <w:rFonts w:cs="FrankRuehl" w:hint="cs"/>
          <w:b/>
          <w:bCs/>
          <w:sz w:val="18"/>
          <w:szCs w:val="22"/>
          <w:rtl/>
          <w:lang w:eastAsia="he-IL"/>
        </w:rPr>
        <w:t>נדרש תהליך ממשלתי שיביא לגיבוש מדיניות כוללת וארוכת טווח לשוק הנדל"ן</w:t>
      </w:r>
      <w:r w:rsidRPr="00F41E78">
        <w:rPr>
          <w:rFonts w:cs="FrankRuehl" w:hint="cs"/>
          <w:sz w:val="18"/>
          <w:szCs w:val="22"/>
          <w:rtl/>
          <w:lang w:eastAsia="he-IL"/>
        </w:rPr>
        <w:t>, בדגש על כיוונים רצויים לפיתוחו ולשגשוגו של המרחב העירוני"</w:t>
      </w:r>
      <w:r>
        <w:rPr>
          <w:rFonts w:cs="FrankRuehl"/>
          <w:sz w:val="18"/>
          <w:szCs w:val="22"/>
          <w:vertAlign w:val="superscript"/>
          <w:rtl/>
          <w:lang w:eastAsia="he-IL"/>
        </w:rPr>
        <w:footnoteReference w:id="94"/>
      </w:r>
      <w:r w:rsidRPr="00F41E78">
        <w:rPr>
          <w:rFonts w:cs="FrankRuehl" w:hint="cs"/>
          <w:sz w:val="18"/>
          <w:szCs w:val="22"/>
          <w:rtl/>
          <w:lang w:eastAsia="he-IL"/>
        </w:rPr>
        <w:t xml:space="preserve"> (ההדגשה אינה במקור).</w:t>
      </w:r>
    </w:p>
    <w:p w:rsidR="00E97EDA" w:rsidRPr="00F41E78" w:rsidP="007521AE">
      <w:pPr>
        <w:spacing w:after="120" w:line="230" w:lineRule="exact"/>
        <w:ind w:left="340" w:hanging="340"/>
        <w:jc w:val="both"/>
        <w:rPr>
          <w:rFonts w:cs="FrankRuehl"/>
          <w:sz w:val="18"/>
          <w:szCs w:val="22"/>
          <w:rtl/>
          <w:lang w:eastAsia="he-IL"/>
        </w:rPr>
      </w:pPr>
      <w:r w:rsidRPr="00745AB9">
        <w:rPr>
          <w:rFonts w:cs="FrankRuehl"/>
          <w:sz w:val="18"/>
          <w:szCs w:val="22"/>
          <w:rtl/>
        </w:rPr>
        <w:t>2.</w:t>
      </w:r>
      <w:r w:rsidRPr="00745AB9">
        <w:rPr>
          <w:rFonts w:cs="FrankRuehl"/>
          <w:sz w:val="18"/>
          <w:szCs w:val="22"/>
          <w:rtl/>
        </w:rPr>
        <w:tab/>
      </w:r>
      <w:r w:rsidRPr="00F41E78">
        <w:rPr>
          <w:rFonts w:cs="FrankRuehl" w:hint="eastAsia"/>
          <w:spacing w:val="40"/>
          <w:sz w:val="18"/>
          <w:szCs w:val="22"/>
          <w:rtl/>
        </w:rPr>
        <w:t>אימוץ</w:t>
      </w:r>
      <w:r w:rsidRPr="00F41E78">
        <w:rPr>
          <w:rFonts w:cs="FrankRuehl"/>
          <w:spacing w:val="40"/>
          <w:sz w:val="18"/>
          <w:szCs w:val="22"/>
          <w:rtl/>
        </w:rPr>
        <w:t xml:space="preserve"> </w:t>
      </w:r>
      <w:r w:rsidRPr="00F41E78">
        <w:rPr>
          <w:rFonts w:cs="FrankRuehl" w:hint="eastAsia"/>
          <w:spacing w:val="40"/>
          <w:sz w:val="18"/>
          <w:szCs w:val="22"/>
          <w:rtl/>
        </w:rPr>
        <w:t>המלצות</w:t>
      </w:r>
      <w:r w:rsidRPr="00F41E78">
        <w:rPr>
          <w:rFonts w:cs="FrankRuehl"/>
          <w:spacing w:val="40"/>
          <w:sz w:val="18"/>
          <w:szCs w:val="22"/>
          <w:rtl/>
        </w:rPr>
        <w:t xml:space="preserve"> </w:t>
      </w:r>
      <w:r w:rsidRPr="00F41E78">
        <w:rPr>
          <w:rFonts w:cs="FrankRuehl" w:hint="eastAsia"/>
          <w:spacing w:val="40"/>
          <w:sz w:val="18"/>
          <w:szCs w:val="22"/>
          <w:rtl/>
        </w:rPr>
        <w:t>ועדת</w:t>
      </w:r>
      <w:r w:rsidRPr="00F41E78">
        <w:rPr>
          <w:rFonts w:cs="FrankRuehl"/>
          <w:spacing w:val="40"/>
          <w:sz w:val="18"/>
          <w:szCs w:val="22"/>
          <w:rtl/>
        </w:rPr>
        <w:t xml:space="preserve"> </w:t>
      </w:r>
      <w:r w:rsidRPr="00F41E78">
        <w:rPr>
          <w:rFonts w:cs="FrankRuehl" w:hint="eastAsia"/>
          <w:spacing w:val="40"/>
          <w:sz w:val="18"/>
          <w:szCs w:val="22"/>
          <w:rtl/>
        </w:rPr>
        <w:t>טרכטנברג</w:t>
      </w:r>
      <w:r w:rsidRPr="00F41E78">
        <w:rPr>
          <w:rFonts w:cs="FrankRuehl"/>
          <w:spacing w:val="40"/>
          <w:sz w:val="18"/>
          <w:szCs w:val="22"/>
          <w:rtl/>
        </w:rPr>
        <w:t>:</w:t>
      </w:r>
      <w:r w:rsidRPr="00F41E78">
        <w:rPr>
          <w:rFonts w:cs="FrankRuehl" w:hint="cs"/>
          <w:sz w:val="18"/>
          <w:szCs w:val="22"/>
          <w:rtl/>
          <w:lang w:eastAsia="he-IL"/>
        </w:rPr>
        <w:t xml:space="preserve"> באוקטובר 2011 החליטה הממשלה (החלטה מס' 3756) לאמץ את עיקרי המלצות דוח הוועדה ולהטיל על ראש הממשלה ועל שר האוצר להביא לאישורה של הממשלה הצעות החלטה מפורטות ליישום הדוח. במרץ 2012, במסגרת יישום המלצות ועדת טרכטנברג, קיבלה הממשלה ה-32 כמה החלטות בתחום הדיור, ובהן החלטות בנושאים אלו: האצת התכנון והפיתוח של פרויקטים להתחדשות עירונית; האצת פעולות השיווק והפיתוח של דירות מגורים; הרחבת היצע הדיור במבנים קיימים באמצעות שינוי בכללי הארנונה; השתת היטל עיכוב בנייה על בעלי קרקעות מתוכננות; תכנית חומש מורחבת לפיתוח כלכלי של יישובים במגזרי המיעוטים; הגדלת הסיוע הממשלתי בתחום הדיור </w:t>
      </w:r>
      <w:r w:rsidRPr="00F41E78">
        <w:rPr>
          <w:rFonts w:cs="FrankRuehl" w:hint="eastAsia"/>
          <w:sz w:val="18"/>
          <w:szCs w:val="22"/>
          <w:rtl/>
          <w:lang w:eastAsia="he-IL"/>
        </w:rPr>
        <w:t>ושמירת</w:t>
      </w:r>
      <w:r w:rsidRPr="00F41E78">
        <w:rPr>
          <w:rFonts w:cs="FrankRuehl"/>
          <w:sz w:val="18"/>
          <w:szCs w:val="22"/>
          <w:rtl/>
          <w:lang w:eastAsia="he-IL"/>
        </w:rPr>
        <w:t xml:space="preserve"> מלאי</w:t>
      </w:r>
      <w:r w:rsidRPr="00F41E78">
        <w:rPr>
          <w:rFonts w:cs="FrankRuehl" w:hint="cs"/>
          <w:sz w:val="18"/>
          <w:szCs w:val="22"/>
          <w:rtl/>
          <w:lang w:eastAsia="he-IL"/>
        </w:rPr>
        <w:t xml:space="preserve"> הדיור הציבורי; קיום מדיניות לאומית כוללת לחידוש ולפיתוח של המרחב העירוני; צמצום הריכוזיות במקרקעין והגברת תחרותיות בשוק הבנייה; וכן עדכון תפיסת התכנון הארצית שבמסגרתה הונחה יו"ר המועצה הארצית לתכנון ולבנייה להביא לאישורה של המועצה הוראה להכנת תכנית מתאר ארצית אחת (תמ"א 1) שתפשט ותאחד תכניות מתאר ארציות רבות ככל הניתן (למעט תמ"א 35).</w:t>
      </w:r>
    </w:p>
    <w:p w:rsidR="00E97EDA" w:rsidRPr="00F41E78" w:rsidP="007521AE">
      <w:pPr>
        <w:spacing w:after="240" w:line="230" w:lineRule="exact"/>
        <w:ind w:left="340" w:hanging="340"/>
        <w:jc w:val="both"/>
        <w:rPr>
          <w:rFonts w:cs="FrankRuehl"/>
          <w:sz w:val="18"/>
          <w:szCs w:val="22"/>
          <w:rtl/>
          <w:lang w:eastAsia="he-IL"/>
        </w:rPr>
      </w:pPr>
      <w:r w:rsidRPr="00745AB9">
        <w:rPr>
          <w:rFonts w:cs="FrankRuehl"/>
          <w:sz w:val="18"/>
          <w:szCs w:val="22"/>
          <w:rtl/>
        </w:rPr>
        <w:t>3.</w:t>
      </w:r>
      <w:r w:rsidRPr="00745AB9">
        <w:rPr>
          <w:rFonts w:cs="FrankRuehl"/>
          <w:sz w:val="18"/>
          <w:szCs w:val="22"/>
          <w:rtl/>
        </w:rPr>
        <w:tab/>
      </w:r>
      <w:r w:rsidRPr="00F41E78">
        <w:rPr>
          <w:rFonts w:cs="FrankRuehl" w:hint="eastAsia"/>
          <w:spacing w:val="40"/>
          <w:sz w:val="18"/>
          <w:szCs w:val="22"/>
          <w:rtl/>
        </w:rPr>
        <w:t>קביעת</w:t>
      </w:r>
      <w:r w:rsidRPr="00F41E78">
        <w:rPr>
          <w:rFonts w:cs="FrankRuehl"/>
          <w:spacing w:val="40"/>
          <w:sz w:val="18"/>
          <w:szCs w:val="22"/>
          <w:rtl/>
        </w:rPr>
        <w:t xml:space="preserve"> יעדי תכנון בעקבות </w:t>
      </w:r>
      <w:r w:rsidRPr="00F41E78">
        <w:rPr>
          <w:rFonts w:cs="FrankRuehl" w:hint="cs"/>
          <w:spacing w:val="40"/>
          <w:sz w:val="18"/>
          <w:szCs w:val="22"/>
          <w:rtl/>
        </w:rPr>
        <w:t xml:space="preserve">המלצות </w:t>
      </w:r>
      <w:r w:rsidRPr="00F41E78">
        <w:rPr>
          <w:rFonts w:cs="FrankRuehl" w:hint="eastAsia"/>
          <w:spacing w:val="40"/>
          <w:sz w:val="18"/>
          <w:szCs w:val="22"/>
          <w:rtl/>
        </w:rPr>
        <w:t>ועדת</w:t>
      </w:r>
      <w:r w:rsidRPr="00F41E78">
        <w:rPr>
          <w:rFonts w:cs="FrankRuehl"/>
          <w:spacing w:val="40"/>
          <w:sz w:val="18"/>
          <w:szCs w:val="22"/>
          <w:rtl/>
        </w:rPr>
        <w:t xml:space="preserve"> טרכטנברג: </w:t>
      </w:r>
      <w:r w:rsidRPr="00F41E78">
        <w:rPr>
          <w:rFonts w:cs="FrankRuehl" w:hint="cs"/>
          <w:sz w:val="18"/>
          <w:szCs w:val="22"/>
          <w:rtl/>
          <w:lang w:eastAsia="he-IL"/>
        </w:rPr>
        <w:t>אשר ליעדי התכנון והשיווק של קרקע לבנייה למגורים קבעה הממשלה בהחלטה מס' 4429 ממרץ 2012, המעדכנת את יעדי התכנון שהיא קבעה בעבר, כי על משרד הבינוי ועל רמ"י ליזום תכנון של 200,000 יח"ד במשך החומש הקרוב באדמות מקרקעי ישראל ולפעול לאישורן במוסדות התכנון. הממשלה הורתה בהחלטתה זו למשרד הבינוי ולרמ"י "להאיץ את קצב השיווק של יחידות דיור למגורים, באופן שישווקו בחומש הקרוב 200,000 יחידות דיור במקרקעי ישראל, מתוכם 40,000 יחידות דיור לדיור בר השגה"</w:t>
      </w:r>
      <w:r>
        <w:rPr>
          <w:rFonts w:cs="FrankRuehl"/>
          <w:sz w:val="18"/>
          <w:szCs w:val="22"/>
          <w:vertAlign w:val="superscript"/>
          <w:rtl/>
          <w:lang w:eastAsia="he-IL"/>
        </w:rPr>
        <w:footnoteReference w:id="95"/>
      </w:r>
      <w:r w:rsidRPr="00F41E78">
        <w:rPr>
          <w:rFonts w:cs="FrankRuehl" w:hint="cs"/>
          <w:sz w:val="18"/>
          <w:szCs w:val="22"/>
          <w:rtl/>
          <w:lang w:eastAsia="he-IL"/>
        </w:rPr>
        <w:t>.</w:t>
      </w:r>
    </w:p>
    <w:p w:rsidR="00D22B16" w:rsidRPr="00F41E78" w:rsidP="00D22B16">
      <w:pPr>
        <w:pStyle w:val="RESHET"/>
        <w:keepLines/>
        <w:ind w:left="567"/>
        <w:rPr>
          <w:rtl/>
        </w:rPr>
      </w:pPr>
      <w:r w:rsidRPr="00F41E78">
        <w:rPr>
          <w:rFonts w:hint="cs"/>
          <w:rtl/>
        </w:rPr>
        <w:t>אולם יעדי התכנון והשיווק של קרקע לבנייה למגורים שקבעה הממשלה בהחלטה האמורה לא הושגו.</w:t>
      </w:r>
    </w:p>
    <w:p w:rsidR="00E97EDA" w:rsidRPr="00F41E78" w:rsidP="007521AE">
      <w:pPr>
        <w:spacing w:before="180" w:after="120" w:line="230" w:lineRule="exact"/>
        <w:ind w:left="340"/>
        <w:jc w:val="both"/>
        <w:rPr>
          <w:rFonts w:cs="FrankRuehl"/>
          <w:sz w:val="18"/>
          <w:szCs w:val="22"/>
          <w:rtl/>
          <w:lang w:eastAsia="he-IL"/>
        </w:rPr>
      </w:pPr>
      <w:r w:rsidRPr="00F41E78">
        <w:rPr>
          <w:rFonts w:cs="FrankRuehl" w:hint="cs"/>
          <w:sz w:val="18"/>
          <w:szCs w:val="22"/>
          <w:rtl/>
          <w:lang w:eastAsia="he-IL"/>
        </w:rPr>
        <w:t>במכתבו של מנכ"ל משרד ראש הממשלה למשרד מבקר המדינה מנובמבר 2013 הוא דיווח על קצב ההתקדמות של ביצוע החלטות הממשלה ה-32 שהתקבלו במסגרת יישום המלצותיה של ועדת טרכטנברג בתחומי הדיור.</w:t>
      </w:r>
    </w:p>
    <w:p w:rsidR="00E97EDA" w:rsidRPr="00F41E78" w:rsidP="007521AE">
      <w:pPr>
        <w:spacing w:after="120" w:line="230" w:lineRule="exact"/>
        <w:ind w:left="340"/>
        <w:jc w:val="both"/>
        <w:rPr>
          <w:rFonts w:cs="FrankRuehl"/>
          <w:sz w:val="18"/>
          <w:szCs w:val="22"/>
          <w:rtl/>
          <w:lang w:eastAsia="he-IL"/>
        </w:rPr>
      </w:pPr>
      <w:r w:rsidRPr="00F41E78">
        <w:rPr>
          <w:rFonts w:cs="FrankRuehl" w:hint="cs"/>
          <w:sz w:val="18"/>
          <w:szCs w:val="22"/>
          <w:rtl/>
          <w:lang w:eastAsia="he-IL"/>
        </w:rPr>
        <w:t xml:space="preserve">אשר לסדרי קביעת יעדי התכנון והשיווק של קרקע לבנייה למגורים ולעמידה ביעדים אלו, ציין מנכ"ל משרד ראש הממשלה כי "משרד ראש הממשלה ריכז את צוות הדיור במסגרת הוועדה [ועדת טרכטנברג]. מצוות זה נגזרו החלטות ממשלה רבות בתחום הדיור [...], לרבות החלטות אותן הוביל משרד ראש הממשלה... המשרד היה מעורב בקביעת היעדים לתכנון ולשיווק של </w:t>
      </w:r>
      <w:r w:rsidRPr="00F41E78">
        <w:rPr>
          <w:rFonts w:cs="FrankRuehl" w:hint="cs"/>
          <w:sz w:val="18"/>
          <w:szCs w:val="22"/>
          <w:rtl/>
          <w:lang w:eastAsia="he-IL"/>
        </w:rPr>
        <w:t xml:space="preserve">רשות מקרקעי ישראל ומשרד הבינוי והשיכון לחומש הקרוב". המנכ"ל הוסיף כי "יעדים אלה נקבעו בהסתמך על נתוני רשות מקרקעי ישראל, משרד הבינוי והשיכון ומינהל התכנון". </w:t>
      </w:r>
    </w:p>
    <w:p w:rsidR="00E97EDA" w:rsidRPr="00F41E78" w:rsidP="00A7557B">
      <w:pPr>
        <w:spacing w:after="240" w:line="230" w:lineRule="exact"/>
        <w:ind w:left="340"/>
        <w:jc w:val="both"/>
        <w:rPr>
          <w:rFonts w:cs="FrankRuehl"/>
          <w:sz w:val="18"/>
          <w:szCs w:val="22"/>
          <w:rtl/>
          <w:lang w:eastAsia="he-IL"/>
        </w:rPr>
      </w:pPr>
      <w:r w:rsidRPr="00F41E78">
        <w:rPr>
          <w:rFonts w:cs="FrankRuehl" w:hint="cs"/>
          <w:sz w:val="18"/>
          <w:szCs w:val="22"/>
          <w:rtl/>
          <w:lang w:eastAsia="he-IL"/>
        </w:rPr>
        <w:t>בתשובתו ממאי 2014 הבהיר מנכ"ל משרד ראש הממשלה כי לוחות הזמנים להשגת היעדים כפי שנמסרו לוועדת טרכטנברג "התבררו כלא ריאליים". לטענתו, הסיבה העיקרית לכך היא חסמים תכנוניים ותשתיתיים רבים שלא אפשרו עמידה בלוח הזמנים המתוכנן. בשל כך, כמה חודשים לאחר מכן עודכנו היעדים ונקבעה "תכנית מתואמת (לרבות בחינת חסמי תשתיות), הכוללת תכנון של 55,000 יח"'ד בתכניות גדולות באזורי ביקוש". עוד ציין כי בשל הבחירות לכנסת התשע עשרה, שהוכרזו באוקטובר 2012, ו"ההגבלות החלות על העברת החלטות ממשלה משמעותיות טרום הבחירות... אימוץ היעדים המעודכנים בהחלטת ממשלה נעשה לאחר כינון הממשלה ה-33 (מרץ 2013), בישיבה הראשונה של קבינט הדיור (החלטת ממשלה מס' 367 מיום 12.06.2013)</w:t>
      </w:r>
      <w:r w:rsidRPr="00F41E78">
        <w:rPr>
          <w:rFonts w:cs="FrankRuehl"/>
          <w:sz w:val="18"/>
          <w:szCs w:val="22"/>
          <w:rtl/>
          <w:lang w:eastAsia="he-IL"/>
        </w:rPr>
        <w:t>"</w:t>
      </w:r>
      <w:r w:rsidRPr="00F41E78">
        <w:rPr>
          <w:rFonts w:cs="FrankRuehl" w:hint="cs"/>
          <w:sz w:val="18"/>
          <w:szCs w:val="22"/>
          <w:rtl/>
          <w:lang w:eastAsia="he-IL"/>
        </w:rPr>
        <w:t>.</w:t>
      </w:r>
      <w:r w:rsidRPr="00F41E78">
        <w:rPr>
          <w:rFonts w:cs="FrankRuehl" w:hint="cs"/>
          <w:sz w:val="18"/>
          <w:szCs w:val="22"/>
          <w:rtl/>
          <w:lang w:eastAsia="he-IL"/>
        </w:rPr>
        <w:t xml:space="preserve"> </w:t>
      </w:r>
    </w:p>
    <w:p w:rsidR="00D22B16" w:rsidRPr="00F41E78" w:rsidP="00D22B16">
      <w:pPr>
        <w:pStyle w:val="RESHET"/>
        <w:keepLines/>
        <w:rPr>
          <w:rtl/>
        </w:rPr>
      </w:pPr>
      <w:r w:rsidRPr="00F41E78">
        <w:rPr>
          <w:rtl/>
        </w:rPr>
        <w:t>משרד מבקר המדינה</w:t>
      </w:r>
      <w:r w:rsidRPr="00F41E78">
        <w:rPr>
          <w:rFonts w:hint="cs"/>
          <w:rtl/>
        </w:rPr>
        <w:t xml:space="preserve"> מעיר, כי מהבהרות מנכ"ל משרד ראש הממשלה דלעיל</w:t>
      </w:r>
      <w:r w:rsidRPr="00F41E78">
        <w:rPr>
          <w:rtl/>
        </w:rPr>
        <w:t>, ועדת טרכטנברג גיבשה המלצות על בסיס נתונים חלקיים</w:t>
      </w:r>
      <w:r w:rsidRPr="00F41E78">
        <w:rPr>
          <w:rFonts w:hint="cs"/>
          <w:rtl/>
        </w:rPr>
        <w:t xml:space="preserve"> שהיא קיבלה</w:t>
      </w:r>
      <w:r w:rsidRPr="00F41E78">
        <w:rPr>
          <w:rtl/>
        </w:rPr>
        <w:t xml:space="preserve"> והממשלה קיבלה החלטות שהיכולת לממשן מוטלת בספק; הכול בעטיו של התהליך המתואר בדבר קביעת </w:t>
      </w:r>
      <w:r w:rsidRPr="00F41E78">
        <w:rPr>
          <w:rFonts w:hint="cs"/>
          <w:rtl/>
        </w:rPr>
        <w:t xml:space="preserve">לוחות הזמנים להשגת </w:t>
      </w:r>
      <w:r w:rsidRPr="00F41E78">
        <w:rPr>
          <w:rtl/>
        </w:rPr>
        <w:t>יעד</w:t>
      </w:r>
      <w:r w:rsidRPr="00F41E78">
        <w:rPr>
          <w:rFonts w:hint="eastAsia"/>
          <w:rtl/>
        </w:rPr>
        <w:t>י</w:t>
      </w:r>
      <w:r w:rsidRPr="00F41E78">
        <w:rPr>
          <w:rtl/>
        </w:rPr>
        <w:t xml:space="preserve"> </w:t>
      </w:r>
      <w:r w:rsidRPr="00F41E78">
        <w:rPr>
          <w:rFonts w:hint="eastAsia"/>
          <w:rtl/>
        </w:rPr>
        <w:t>התכנון</w:t>
      </w:r>
      <w:r w:rsidRPr="00F41E78">
        <w:rPr>
          <w:rtl/>
        </w:rPr>
        <w:t xml:space="preserve"> </w:t>
      </w:r>
      <w:r w:rsidRPr="00F41E78">
        <w:rPr>
          <w:rFonts w:hint="eastAsia"/>
          <w:rtl/>
        </w:rPr>
        <w:t>והשיווק</w:t>
      </w:r>
      <w:r w:rsidRPr="00F41E78">
        <w:rPr>
          <w:rtl/>
        </w:rPr>
        <w:t xml:space="preserve"> </w:t>
      </w:r>
      <w:r w:rsidRPr="00F41E78">
        <w:rPr>
          <w:rFonts w:hint="eastAsia"/>
          <w:rtl/>
        </w:rPr>
        <w:t>של</w:t>
      </w:r>
      <w:r w:rsidRPr="00F41E78">
        <w:rPr>
          <w:rtl/>
        </w:rPr>
        <w:t xml:space="preserve"> </w:t>
      </w:r>
      <w:r w:rsidRPr="00F41E78">
        <w:rPr>
          <w:rFonts w:hint="eastAsia"/>
          <w:rtl/>
        </w:rPr>
        <w:t>קרקעות</w:t>
      </w:r>
      <w:r w:rsidRPr="00F41E78">
        <w:rPr>
          <w:rtl/>
        </w:rPr>
        <w:t xml:space="preserve"> </w:t>
      </w:r>
      <w:r w:rsidRPr="00F41E78">
        <w:rPr>
          <w:rFonts w:hint="eastAsia"/>
          <w:rtl/>
        </w:rPr>
        <w:t>המדינה</w:t>
      </w:r>
      <w:r w:rsidRPr="00F41E78">
        <w:rPr>
          <w:rtl/>
        </w:rPr>
        <w:t xml:space="preserve">, </w:t>
      </w:r>
      <w:r w:rsidRPr="00F41E78">
        <w:rPr>
          <w:rFonts w:hint="eastAsia"/>
          <w:rtl/>
        </w:rPr>
        <w:t>ש</w:t>
      </w:r>
      <w:r w:rsidRPr="00F41E78">
        <w:rPr>
          <w:rtl/>
        </w:rPr>
        <w:t>"</w:t>
      </w:r>
      <w:r w:rsidRPr="00F41E78">
        <w:rPr>
          <w:rFonts w:hint="eastAsia"/>
          <w:rtl/>
        </w:rPr>
        <w:t>התבררו</w:t>
      </w:r>
      <w:r w:rsidRPr="00F41E78">
        <w:rPr>
          <w:rtl/>
        </w:rPr>
        <w:t xml:space="preserve"> </w:t>
      </w:r>
      <w:r w:rsidRPr="00F41E78">
        <w:rPr>
          <w:rFonts w:hint="eastAsia"/>
          <w:rtl/>
        </w:rPr>
        <w:t>כלא</w:t>
      </w:r>
      <w:r w:rsidRPr="00F41E78">
        <w:rPr>
          <w:rtl/>
        </w:rPr>
        <w:t xml:space="preserve"> </w:t>
      </w:r>
      <w:r w:rsidRPr="00F41E78">
        <w:rPr>
          <w:rFonts w:hint="eastAsia"/>
          <w:rtl/>
        </w:rPr>
        <w:t>ריאליים</w:t>
      </w:r>
      <w:r w:rsidRPr="00F41E78">
        <w:rPr>
          <w:rtl/>
        </w:rPr>
        <w:t xml:space="preserve">" </w:t>
      </w:r>
      <w:r w:rsidRPr="00F41E78">
        <w:rPr>
          <w:rFonts w:hint="eastAsia"/>
          <w:rtl/>
        </w:rPr>
        <w:t>בהסתמך</w:t>
      </w:r>
      <w:r w:rsidRPr="00F41E78">
        <w:rPr>
          <w:rtl/>
        </w:rPr>
        <w:t xml:space="preserve"> על נתוני </w:t>
      </w:r>
      <w:r w:rsidRPr="00F41E78">
        <w:rPr>
          <w:rFonts w:hint="eastAsia"/>
          <w:rtl/>
        </w:rPr>
        <w:t>רמ</w:t>
      </w:r>
      <w:r w:rsidRPr="00F41E78">
        <w:rPr>
          <w:rFonts w:hint="cs"/>
          <w:rtl/>
        </w:rPr>
        <w:t>"</w:t>
      </w:r>
      <w:r w:rsidRPr="00F41E78">
        <w:rPr>
          <w:rFonts w:hint="eastAsia"/>
          <w:rtl/>
        </w:rPr>
        <w:t>י</w:t>
      </w:r>
      <w:r w:rsidRPr="00F41E78">
        <w:rPr>
          <w:rtl/>
        </w:rPr>
        <w:t xml:space="preserve">, משרד הבינוי </w:t>
      </w:r>
      <w:r w:rsidRPr="00F41E78">
        <w:rPr>
          <w:rFonts w:hint="eastAsia"/>
          <w:rtl/>
        </w:rPr>
        <w:t>ומינהל</w:t>
      </w:r>
      <w:r w:rsidRPr="00F41E78">
        <w:rPr>
          <w:rtl/>
        </w:rPr>
        <w:t xml:space="preserve"> התכנון, </w:t>
      </w:r>
      <w:r w:rsidRPr="00F41E78">
        <w:rPr>
          <w:rFonts w:hint="eastAsia"/>
          <w:rtl/>
        </w:rPr>
        <w:t>ובשל</w:t>
      </w:r>
      <w:r w:rsidRPr="00F41E78">
        <w:rPr>
          <w:rtl/>
        </w:rPr>
        <w:t xml:space="preserve"> </w:t>
      </w:r>
      <w:r w:rsidRPr="00F41E78">
        <w:rPr>
          <w:rFonts w:hint="eastAsia"/>
          <w:rtl/>
        </w:rPr>
        <w:t>היעדר</w:t>
      </w:r>
      <w:r w:rsidRPr="00F41E78">
        <w:rPr>
          <w:rtl/>
        </w:rPr>
        <w:t xml:space="preserve"> </w:t>
      </w:r>
      <w:r w:rsidRPr="00F41E78">
        <w:rPr>
          <w:rFonts w:hint="cs"/>
          <w:rtl/>
        </w:rPr>
        <w:t>התייחסות לחסמים</w:t>
      </w:r>
      <w:r w:rsidRPr="00F41E78">
        <w:rPr>
          <w:rtl/>
        </w:rPr>
        <w:t xml:space="preserve"> התכנוניים והתשתיתיים הרבים שציין מנכ"ל משרד ראש </w:t>
      </w:r>
      <w:r w:rsidRPr="00F41E78">
        <w:rPr>
          <w:rFonts w:hint="eastAsia"/>
          <w:rtl/>
        </w:rPr>
        <w:t>הממשלה</w:t>
      </w:r>
      <w:r w:rsidRPr="00F41E78">
        <w:rPr>
          <w:rtl/>
        </w:rPr>
        <w:t xml:space="preserve"> </w:t>
      </w:r>
      <w:r w:rsidRPr="00F41E78">
        <w:rPr>
          <w:rFonts w:hint="eastAsia"/>
          <w:rtl/>
        </w:rPr>
        <w:t>בתשובתו</w:t>
      </w:r>
      <w:r w:rsidRPr="00F41E78">
        <w:rPr>
          <w:rtl/>
        </w:rPr>
        <w:t>.</w:t>
      </w:r>
      <w:r w:rsidRPr="00F41E78">
        <w:rPr>
          <w:rFonts w:hint="cs"/>
          <w:rtl/>
        </w:rPr>
        <w:t xml:space="preserve"> </w:t>
      </w:r>
    </w:p>
    <w:p w:rsidR="00D22B16" w:rsidRPr="00F41E78" w:rsidP="00D22B16">
      <w:pPr>
        <w:pStyle w:val="RESHET"/>
        <w:keepLines/>
        <w:rPr>
          <w:rtl/>
        </w:rPr>
      </w:pPr>
      <w:r w:rsidRPr="00F41E78">
        <w:rPr>
          <w:rFonts w:hint="cs"/>
          <w:rtl/>
        </w:rPr>
        <w:t xml:space="preserve">על משרדי הממשלה הנוגעים בדבר, לרבות משרד ראש הממשלה כגורם שריכז את </w:t>
      </w:r>
      <w:r w:rsidRPr="00F41E78">
        <w:rPr>
          <w:rFonts w:hint="eastAsia"/>
          <w:rtl/>
        </w:rPr>
        <w:t>צוות</w:t>
      </w:r>
      <w:r w:rsidRPr="00F41E78">
        <w:rPr>
          <w:rtl/>
        </w:rPr>
        <w:t xml:space="preserve"> הדיור במסגרת ועדת טרכטנברג </w:t>
      </w:r>
      <w:r w:rsidRPr="00F41E78">
        <w:rPr>
          <w:rFonts w:hint="eastAsia"/>
          <w:rtl/>
        </w:rPr>
        <w:t>ו</w:t>
      </w:r>
      <w:r w:rsidRPr="00F41E78">
        <w:rPr>
          <w:rFonts w:hint="cs"/>
          <w:rtl/>
        </w:rPr>
        <w:t xml:space="preserve">את </w:t>
      </w:r>
      <w:r w:rsidRPr="00F41E78">
        <w:rPr>
          <w:rFonts w:hint="eastAsia"/>
          <w:rtl/>
        </w:rPr>
        <w:t>עבודת</w:t>
      </w:r>
      <w:r w:rsidRPr="00F41E78">
        <w:rPr>
          <w:rtl/>
        </w:rPr>
        <w:t xml:space="preserve"> המטה לקראת </w:t>
      </w:r>
      <w:r w:rsidRPr="00F41E78">
        <w:rPr>
          <w:rFonts w:hint="eastAsia"/>
          <w:rtl/>
        </w:rPr>
        <w:t>החלטות</w:t>
      </w:r>
      <w:r w:rsidRPr="00F41E78">
        <w:rPr>
          <w:rtl/>
        </w:rPr>
        <w:t xml:space="preserve"> ממשלה </w:t>
      </w:r>
      <w:r w:rsidRPr="00F41E78">
        <w:rPr>
          <w:rFonts w:hint="cs"/>
          <w:rtl/>
        </w:rPr>
        <w:t xml:space="preserve">בעקבות המלצות הוועדה, לעשות בירור מעמיק על תהליכי עבודת המטה ולעמוד על הליקויים שהתגלו בהם כדי לתקנם. </w:t>
      </w:r>
    </w:p>
    <w:p w:rsidR="00A7557B" w:rsidP="00A7557B">
      <w:pPr>
        <w:spacing w:after="120" w:line="230" w:lineRule="exact"/>
        <w:jc w:val="both"/>
        <w:rPr>
          <w:rFonts w:cs="FrankRuehl"/>
          <w:sz w:val="22"/>
          <w:szCs w:val="22"/>
          <w:rtl/>
        </w:rPr>
      </w:pPr>
    </w:p>
    <w:p w:rsidR="00A7557B" w:rsidP="00A7557B">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A7557B" w:rsidP="00A7557B">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 xml:space="preserve">סקירתן ובחינתן של ההחלטות, הרפורמות והתכניות הממשלתיות שפורטו, והממשלה פעלה ליישומן בשנים 2012-2005, לפני פרוץ משבר הדיור ובמהלכו, העלתה כי הן אכן נועדו לצורך התמודדות עם בעיות בעלות חשיבות לאומית בשוק הדיור, כל אחת בתחומה; אולם רק חלק מהן יצא לפועל. ההחלטות, הרפורמות והתכניות הממשלתיות האמורות לא התבססו על מלוא הנתונים הנדרשים, והן לא התבססו על מדיניות ממשלתית אחודה, מתואמת וארוכת טווח. לפיכך, יעדי התכנון והשיווק של קרקע לבנייה למגורים היו בלתי עקביים, והיה צורך לעדכנם בתדירות גבוהה. פעולות אלו היו בגדר </w:t>
      </w:r>
      <w:r w:rsidRPr="00F41E78">
        <w:rPr>
          <w:rFonts w:hint="eastAsia"/>
          <w:rtl/>
        </w:rPr>
        <w:t>הסדרים</w:t>
      </w:r>
      <w:r w:rsidRPr="00F41E78">
        <w:rPr>
          <w:rtl/>
        </w:rPr>
        <w:t xml:space="preserve"> </w:t>
      </w:r>
      <w:r w:rsidRPr="00F41E78">
        <w:rPr>
          <w:rFonts w:hint="eastAsia"/>
          <w:rtl/>
        </w:rPr>
        <w:t>חלקיים</w:t>
      </w:r>
      <w:r w:rsidRPr="00F41E78">
        <w:rPr>
          <w:rtl/>
        </w:rPr>
        <w:t xml:space="preserve"> </w:t>
      </w:r>
      <w:r w:rsidRPr="00F41E78">
        <w:rPr>
          <w:rFonts w:hint="eastAsia"/>
          <w:rtl/>
        </w:rPr>
        <w:t>וחסרים</w:t>
      </w:r>
      <w:r w:rsidRPr="00F41E78">
        <w:rPr>
          <w:rFonts w:hint="cs"/>
          <w:rtl/>
        </w:rPr>
        <w:t xml:space="preserve"> שאינם מאפשרים התמודדות סדורה ומלאה עם משבר הדיור שרק הלך והעמיק.</w:t>
      </w:r>
    </w:p>
    <w:p w:rsidR="00E97EDA" w:rsidRPr="00F41E78" w:rsidP="00F41E78">
      <w:pPr>
        <w:spacing w:after="120" w:line="230" w:lineRule="exact"/>
        <w:jc w:val="both"/>
        <w:rPr>
          <w:rFonts w:cs="FrankRuehl"/>
          <w:sz w:val="18"/>
          <w:szCs w:val="22"/>
          <w:rtl/>
          <w:lang w:eastAsia="he-IL"/>
        </w:rPr>
      </w:pPr>
    </w:p>
    <w:p w:rsidR="008D3837" w:rsidRPr="00F41E78" w:rsidP="00F41E78">
      <w:pPr>
        <w:spacing w:after="120" w:line="230" w:lineRule="exact"/>
        <w:jc w:val="both"/>
        <w:rPr>
          <w:rFonts w:cs="FrankRuehl"/>
          <w:sz w:val="18"/>
          <w:szCs w:val="22"/>
          <w:rtl/>
          <w:lang w:eastAsia="he-IL"/>
        </w:rPr>
      </w:pPr>
    </w:p>
    <w:p w:rsidR="00E97EDA" w:rsidRPr="00243E7C" w:rsidP="008D3837">
      <w:pPr>
        <w:pStyle w:val="KOT4"/>
        <w:rPr>
          <w:rtl/>
          <w:lang w:eastAsia="he-IL"/>
        </w:rPr>
      </w:pPr>
      <w:r w:rsidRPr="00243E7C">
        <w:rPr>
          <w:rFonts w:hint="cs"/>
          <w:rtl/>
          <w:lang w:eastAsia="he-IL"/>
        </w:rPr>
        <w:t>היבטים בעבודת המטה להתוויית מדיניות הדיור הממשלתית בשנים 2012-2005</w:t>
      </w:r>
    </w:p>
    <w:p w:rsidR="00E97EDA" w:rsidRPr="00F41E78" w:rsidP="00A7557B">
      <w:pPr>
        <w:spacing w:after="240" w:line="230" w:lineRule="exact"/>
        <w:jc w:val="both"/>
        <w:rPr>
          <w:rFonts w:cs="FrankRuehl"/>
          <w:sz w:val="18"/>
          <w:szCs w:val="22"/>
          <w:rtl/>
          <w:lang w:eastAsia="he-IL"/>
        </w:rPr>
      </w:pPr>
      <w:r w:rsidRPr="00F41E78">
        <w:rPr>
          <w:rFonts w:cs="FrankRuehl" w:hint="cs"/>
          <w:sz w:val="18"/>
          <w:szCs w:val="22"/>
          <w:rtl/>
          <w:lang w:eastAsia="he-IL"/>
        </w:rPr>
        <w:t xml:space="preserve">מדיניות הדיור הממשלתית בשנים 2012-2005 באה לידי ביטוי בהחלטות ממשלה, בתכניות ממשלתיות, ברפורמות ובפעולות חקיקה, האמורות להשתלב במסגרת המדיניות הממשלתית הכוללת לטווח הארוך. </w:t>
      </w:r>
    </w:p>
    <w:p w:rsidR="00D22B16" w:rsidRPr="00F41E78" w:rsidP="00D22B16">
      <w:pPr>
        <w:pStyle w:val="RESHET"/>
        <w:keepLines/>
        <w:rPr>
          <w:rtl/>
        </w:rPr>
      </w:pPr>
      <w:r w:rsidRPr="00F41E78">
        <w:rPr>
          <w:rFonts w:hint="cs"/>
          <w:rtl/>
        </w:rPr>
        <w:t>בביקורת נבדקו היבטים אחדים בעבודת המטה של משרדי ממשלה להתוויית מדיניות הדיור. כמו כן נבדקו מידת השתלבותן של ההחלטות, של התכניות ושל הרפורמות בתחום זה לכדי מדיניות דיור לאומית אחודה, כוללת וארוכת טווח, ואופן הוצאתה מהכוח אל הפועל.</w:t>
      </w:r>
    </w:p>
    <w:p w:rsidR="008D3837" w:rsidRPr="00F41E78" w:rsidP="00F41E78">
      <w:pPr>
        <w:spacing w:after="120" w:line="230" w:lineRule="exact"/>
        <w:jc w:val="both"/>
        <w:rPr>
          <w:rFonts w:cs="FrankRuehl"/>
          <w:b/>
          <w:bCs/>
          <w:sz w:val="18"/>
          <w:szCs w:val="22"/>
          <w:rtl/>
          <w:lang w:eastAsia="he-IL"/>
        </w:rPr>
      </w:pPr>
    </w:p>
    <w:p w:rsidR="00E97EDA" w:rsidRPr="00E97EDA" w:rsidP="008D3837">
      <w:pPr>
        <w:pStyle w:val="KOT5"/>
        <w:rPr>
          <w:rtl/>
          <w:lang w:eastAsia="he-IL"/>
        </w:rPr>
      </w:pPr>
      <w:r w:rsidRPr="00E97EDA">
        <w:rPr>
          <w:rFonts w:hint="cs"/>
          <w:rtl/>
          <w:lang w:eastAsia="he-IL"/>
        </w:rPr>
        <w:t xml:space="preserve">עמדותיהם של גופים ציבוריים בנוגע להיעדר מדיניות דיור כוללת וארוכת טווח </w:t>
      </w:r>
      <w:r w:rsidRPr="00E97EDA">
        <w:rPr>
          <w:rFonts w:hint="cs"/>
          <w:rtl/>
        </w:rPr>
        <w:t>והתרעותיהם בנושא</w:t>
      </w:r>
      <w:r w:rsidRPr="00E97EDA">
        <w:rPr>
          <w:rFonts w:hint="cs"/>
          <w:rtl/>
          <w:lang w:eastAsia="he-IL"/>
        </w:rPr>
        <w:t xml:space="preserve"> </w:t>
      </w:r>
    </w:p>
    <w:p w:rsidR="00E97EDA" w:rsidRPr="00F41E78" w:rsidP="00F41E78">
      <w:pPr>
        <w:spacing w:after="120" w:line="230" w:lineRule="exact"/>
        <w:jc w:val="both"/>
        <w:rPr>
          <w:rFonts w:cs="FrankRuehl"/>
          <w:sz w:val="18"/>
          <w:szCs w:val="22"/>
          <w:rtl/>
          <w:lang w:eastAsia="he-IL"/>
        </w:rPr>
      </w:pPr>
      <w:r w:rsidRPr="00F41E78">
        <w:rPr>
          <w:rFonts w:cs="FrankRuehl" w:hint="eastAsia"/>
          <w:b/>
          <w:bCs/>
          <w:spacing w:val="40"/>
          <w:sz w:val="18"/>
          <w:szCs w:val="22"/>
          <w:rtl/>
        </w:rPr>
        <w:t>מרכז</w:t>
      </w:r>
      <w:r w:rsidRPr="00F41E78">
        <w:rPr>
          <w:rFonts w:cs="FrankRuehl"/>
          <w:b/>
          <w:bCs/>
          <w:spacing w:val="40"/>
          <w:sz w:val="18"/>
          <w:szCs w:val="22"/>
          <w:rtl/>
        </w:rPr>
        <w:t xml:space="preserve"> </w:t>
      </w:r>
      <w:r w:rsidRPr="00F41E78">
        <w:rPr>
          <w:rFonts w:cs="FrankRuehl" w:hint="eastAsia"/>
          <w:b/>
          <w:bCs/>
          <w:spacing w:val="40"/>
          <w:sz w:val="18"/>
          <w:szCs w:val="22"/>
          <w:rtl/>
        </w:rPr>
        <w:t>המחקר</w:t>
      </w:r>
      <w:r w:rsidRPr="00F41E78">
        <w:rPr>
          <w:rFonts w:cs="FrankRuehl"/>
          <w:b/>
          <w:bCs/>
          <w:spacing w:val="40"/>
          <w:sz w:val="18"/>
          <w:szCs w:val="22"/>
          <w:rtl/>
        </w:rPr>
        <w:t xml:space="preserve"> </w:t>
      </w:r>
      <w:r w:rsidRPr="00F41E78">
        <w:rPr>
          <w:rFonts w:cs="FrankRuehl" w:hint="eastAsia"/>
          <w:b/>
          <w:bCs/>
          <w:spacing w:val="40"/>
          <w:sz w:val="18"/>
          <w:szCs w:val="22"/>
          <w:rtl/>
        </w:rPr>
        <w:t>והמידע</w:t>
      </w:r>
      <w:r w:rsidRPr="00F41E78">
        <w:rPr>
          <w:rFonts w:cs="FrankRuehl"/>
          <w:b/>
          <w:bCs/>
          <w:spacing w:val="40"/>
          <w:sz w:val="18"/>
          <w:szCs w:val="22"/>
          <w:rtl/>
        </w:rPr>
        <w:t xml:space="preserve"> </w:t>
      </w:r>
      <w:r w:rsidRPr="00F41E78">
        <w:rPr>
          <w:rFonts w:cs="FrankRuehl" w:hint="eastAsia"/>
          <w:b/>
          <w:bCs/>
          <w:spacing w:val="40"/>
          <w:sz w:val="18"/>
          <w:szCs w:val="22"/>
          <w:rtl/>
        </w:rPr>
        <w:t>של</w:t>
      </w:r>
      <w:r w:rsidRPr="00F41E78">
        <w:rPr>
          <w:rFonts w:cs="FrankRuehl"/>
          <w:b/>
          <w:bCs/>
          <w:spacing w:val="40"/>
          <w:sz w:val="18"/>
          <w:szCs w:val="22"/>
          <w:rtl/>
        </w:rPr>
        <w:t xml:space="preserve"> </w:t>
      </w:r>
      <w:r w:rsidRPr="00F41E78">
        <w:rPr>
          <w:rFonts w:cs="FrankRuehl" w:hint="eastAsia"/>
          <w:b/>
          <w:bCs/>
          <w:spacing w:val="40"/>
          <w:sz w:val="18"/>
          <w:szCs w:val="22"/>
          <w:rtl/>
        </w:rPr>
        <w:t>הכנסת</w:t>
      </w:r>
      <w:r w:rsidRPr="00F41E78">
        <w:rPr>
          <w:rFonts w:cs="FrankRuehl"/>
          <w:b/>
          <w:bCs/>
          <w:spacing w:val="40"/>
          <w:sz w:val="18"/>
          <w:szCs w:val="22"/>
          <w:rtl/>
        </w:rPr>
        <w:t>:</w:t>
      </w:r>
      <w:r w:rsidRPr="00F41E78">
        <w:rPr>
          <w:rFonts w:cs="FrankRuehl" w:hint="cs"/>
          <w:sz w:val="18"/>
          <w:szCs w:val="22"/>
          <w:rtl/>
          <w:lang w:eastAsia="he-IL"/>
        </w:rPr>
        <w:t xml:space="preserve"> במרץ 2008 פרסם מרכז המחקר והמידע של הכנסת דוח שכותרתו "מצוקת הדיור בישראל". בדוח נכתב ש"ניכר כי </w:t>
      </w:r>
      <w:r w:rsidRPr="00F41E78">
        <w:rPr>
          <w:rFonts w:cs="FrankRuehl" w:hint="eastAsia"/>
          <w:b/>
          <w:bCs/>
          <w:sz w:val="18"/>
          <w:szCs w:val="22"/>
          <w:rtl/>
          <w:lang w:eastAsia="he-IL"/>
        </w:rPr>
        <w:t>הממשלה</w:t>
      </w:r>
      <w:r w:rsidRPr="00F41E78">
        <w:rPr>
          <w:rFonts w:cs="FrankRuehl"/>
          <w:b/>
          <w:bCs/>
          <w:sz w:val="18"/>
          <w:szCs w:val="22"/>
          <w:rtl/>
          <w:lang w:eastAsia="he-IL"/>
        </w:rPr>
        <w:t xml:space="preserve"> </w:t>
      </w:r>
      <w:r w:rsidRPr="00F41E78">
        <w:rPr>
          <w:rFonts w:cs="FrankRuehl" w:hint="eastAsia"/>
          <w:b/>
          <w:bCs/>
          <w:sz w:val="18"/>
          <w:szCs w:val="22"/>
          <w:rtl/>
          <w:lang w:eastAsia="he-IL"/>
        </w:rPr>
        <w:t>נעדרת</w:t>
      </w:r>
      <w:r w:rsidRPr="00F41E78">
        <w:rPr>
          <w:rFonts w:cs="FrankRuehl"/>
          <w:b/>
          <w:bCs/>
          <w:sz w:val="18"/>
          <w:szCs w:val="22"/>
          <w:rtl/>
          <w:lang w:eastAsia="he-IL"/>
        </w:rPr>
        <w:t xml:space="preserve"> </w:t>
      </w:r>
      <w:r w:rsidRPr="00F41E78">
        <w:rPr>
          <w:rFonts w:cs="FrankRuehl" w:hint="eastAsia"/>
          <w:b/>
          <w:bCs/>
          <w:sz w:val="18"/>
          <w:szCs w:val="22"/>
          <w:rtl/>
          <w:lang w:eastAsia="he-IL"/>
        </w:rPr>
        <w:t>ראייה</w:t>
      </w:r>
      <w:r w:rsidRPr="00F41E78">
        <w:rPr>
          <w:rFonts w:cs="FrankRuehl"/>
          <w:b/>
          <w:bCs/>
          <w:sz w:val="18"/>
          <w:szCs w:val="22"/>
          <w:rtl/>
          <w:lang w:eastAsia="he-IL"/>
        </w:rPr>
        <w:t xml:space="preserve"> </w:t>
      </w:r>
      <w:r w:rsidRPr="00F41E78">
        <w:rPr>
          <w:rFonts w:cs="FrankRuehl" w:hint="eastAsia"/>
          <w:b/>
          <w:bCs/>
          <w:sz w:val="18"/>
          <w:szCs w:val="22"/>
          <w:rtl/>
          <w:lang w:eastAsia="he-IL"/>
        </w:rPr>
        <w:t>מערכתית</w:t>
      </w:r>
      <w:r w:rsidRPr="00F41E78">
        <w:rPr>
          <w:rFonts w:cs="FrankRuehl"/>
          <w:b/>
          <w:bCs/>
          <w:sz w:val="18"/>
          <w:szCs w:val="22"/>
          <w:rtl/>
          <w:lang w:eastAsia="he-IL"/>
        </w:rPr>
        <w:t xml:space="preserve"> </w:t>
      </w:r>
      <w:r w:rsidRPr="00F41E78">
        <w:rPr>
          <w:rFonts w:cs="FrankRuehl" w:hint="eastAsia"/>
          <w:b/>
          <w:bCs/>
          <w:sz w:val="18"/>
          <w:szCs w:val="22"/>
          <w:rtl/>
          <w:lang w:eastAsia="he-IL"/>
        </w:rPr>
        <w:t>וארוכת</w:t>
      </w:r>
      <w:r w:rsidRPr="00F41E78">
        <w:rPr>
          <w:rFonts w:cs="FrankRuehl"/>
          <w:b/>
          <w:bCs/>
          <w:sz w:val="18"/>
          <w:szCs w:val="22"/>
          <w:rtl/>
          <w:lang w:eastAsia="he-IL"/>
        </w:rPr>
        <w:t xml:space="preserve"> </w:t>
      </w:r>
      <w:r w:rsidRPr="00F41E78">
        <w:rPr>
          <w:rFonts w:cs="FrankRuehl" w:hint="eastAsia"/>
          <w:b/>
          <w:bCs/>
          <w:sz w:val="18"/>
          <w:szCs w:val="22"/>
          <w:rtl/>
          <w:lang w:eastAsia="he-IL"/>
        </w:rPr>
        <w:t>טווח</w:t>
      </w:r>
      <w:r w:rsidRPr="00F41E78">
        <w:rPr>
          <w:rFonts w:cs="FrankRuehl" w:hint="cs"/>
          <w:sz w:val="18"/>
          <w:szCs w:val="22"/>
          <w:rtl/>
          <w:lang w:eastAsia="he-IL"/>
        </w:rPr>
        <w:t xml:space="preserve"> מספקת בכל הקשור למדיניות הבינוי והשיכון. הדבר בא לידי ביטוי בשנים האחרונות בשלל החלטות ממשלה ומהלכים שאינם עולים בקנה אחד עם יעדיה המוצהרים של הממשלה, ואף תורמים להשגת תוצאות הפוכות מן הנדרש. המשך מגמה זו עלול להביא להתמרמרות חברתית, להמשך התרחבות הפער החברתי ואף לעידוד הירידה מהארץ" (הדגשה במקור). </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בנובמבר 2010 פרסם המרכז דוח נוסף שכותרתו "מודלים של דיור בר השגה בארץ ובעולם", ובו שב והדגיש כי הממשלה נעדרת ראייה מערכתית וארוכת טווח מספיקה בכל הקשור למדיניות הבינוי והשיכון.</w:t>
      </w:r>
    </w:p>
    <w:p w:rsidR="00E97EDA" w:rsidRPr="00F41E78" w:rsidP="00F41E78">
      <w:pPr>
        <w:spacing w:after="120" w:line="230" w:lineRule="exact"/>
        <w:jc w:val="both"/>
        <w:rPr>
          <w:rFonts w:cs="FrankRuehl"/>
          <w:sz w:val="18"/>
          <w:szCs w:val="22"/>
          <w:rtl/>
          <w:lang w:eastAsia="he-IL"/>
        </w:rPr>
      </w:pPr>
      <w:r w:rsidRPr="00F41E78">
        <w:rPr>
          <w:rFonts w:cs="FrankRuehl" w:hint="eastAsia"/>
          <w:b/>
          <w:bCs/>
          <w:spacing w:val="40"/>
          <w:sz w:val="18"/>
          <w:szCs w:val="22"/>
          <w:rtl/>
        </w:rPr>
        <w:t>התאחדות</w:t>
      </w:r>
      <w:r w:rsidRPr="00F41E78">
        <w:rPr>
          <w:rFonts w:cs="FrankRuehl"/>
          <w:b/>
          <w:bCs/>
          <w:spacing w:val="40"/>
          <w:sz w:val="18"/>
          <w:szCs w:val="22"/>
          <w:rtl/>
        </w:rPr>
        <w:t xml:space="preserve"> </w:t>
      </w:r>
      <w:r w:rsidRPr="00F41E78">
        <w:rPr>
          <w:rFonts w:cs="FrankRuehl" w:hint="eastAsia"/>
          <w:b/>
          <w:bCs/>
          <w:spacing w:val="40"/>
          <w:sz w:val="18"/>
          <w:szCs w:val="22"/>
          <w:rtl/>
        </w:rPr>
        <w:t>בוני</w:t>
      </w:r>
      <w:r w:rsidRPr="00F41E78">
        <w:rPr>
          <w:rFonts w:cs="FrankRuehl"/>
          <w:b/>
          <w:bCs/>
          <w:spacing w:val="40"/>
          <w:sz w:val="18"/>
          <w:szCs w:val="22"/>
          <w:rtl/>
        </w:rPr>
        <w:t xml:space="preserve"> </w:t>
      </w:r>
      <w:r w:rsidRPr="00F41E78">
        <w:rPr>
          <w:rFonts w:cs="FrankRuehl" w:hint="eastAsia"/>
          <w:b/>
          <w:bCs/>
          <w:spacing w:val="40"/>
          <w:sz w:val="18"/>
          <w:szCs w:val="22"/>
          <w:rtl/>
        </w:rPr>
        <w:t>הארץ</w:t>
      </w:r>
      <w:r w:rsidRPr="00F41E78">
        <w:rPr>
          <w:rFonts w:cs="FrankRuehl"/>
          <w:b/>
          <w:bCs/>
          <w:spacing w:val="40"/>
          <w:sz w:val="18"/>
          <w:szCs w:val="22"/>
          <w:rtl/>
        </w:rPr>
        <w:t xml:space="preserve"> (</w:t>
      </w:r>
      <w:r w:rsidRPr="00F41E78">
        <w:rPr>
          <w:rFonts w:cs="FrankRuehl" w:hint="eastAsia"/>
          <w:b/>
          <w:bCs/>
          <w:spacing w:val="40"/>
          <w:sz w:val="18"/>
          <w:szCs w:val="22"/>
          <w:rtl/>
        </w:rPr>
        <w:t>בעבר</w:t>
      </w:r>
      <w:r w:rsidRPr="00F41E78">
        <w:rPr>
          <w:rFonts w:cs="FrankRuehl"/>
          <w:b/>
          <w:bCs/>
          <w:spacing w:val="40"/>
          <w:sz w:val="18"/>
          <w:szCs w:val="22"/>
          <w:rtl/>
        </w:rPr>
        <w:t xml:space="preserve"> התאחדות הקבלנים):</w:t>
      </w:r>
      <w:r w:rsidRPr="00F41E78">
        <w:rPr>
          <w:rFonts w:cs="FrankRuehl" w:hint="cs"/>
          <w:b/>
          <w:bCs/>
          <w:sz w:val="18"/>
          <w:szCs w:val="22"/>
          <w:rtl/>
          <w:lang w:eastAsia="he-IL"/>
        </w:rPr>
        <w:t xml:space="preserve"> </w:t>
      </w:r>
      <w:r w:rsidRPr="00F41E78">
        <w:rPr>
          <w:rFonts w:cs="FrankRuehl" w:hint="cs"/>
          <w:sz w:val="18"/>
          <w:szCs w:val="22"/>
          <w:rtl/>
          <w:lang w:eastAsia="he-IL"/>
        </w:rPr>
        <w:t xml:space="preserve">בפברואר 2013 פרסמה התאחדות בוני הארץ תכנית לקידום פתרונות הדיור בישראל, ובה הוצגו הבעיות בענף הנדל"ן. בין יתר הבעיות הוזכרו תהליכי תכנון ארוכים ומסורבלים היוצרים מחסור בקרקעות מתוכננות; היעדר שיווק קרקעות מספיק על ידי המדינה; מצוקת אשראי; רגולציה מוגברת ותהליכים ביורוקרטיים סבוכים; מחסור בעובדים מקצועיים; שוק שכירות שאינו מפותח דיו; וחסמים בקידום פרויקטים של התחדשות עירונית והיעדר תכנון וביצוע מספיקים של תשתיות תחבורה ומוסדות ציבור. בתכנית הודגש כי הבעיות מקורן בין היתר בריבוי גופים העוסקים בתחום </w:t>
      </w:r>
      <w:r w:rsidRPr="00F41E78">
        <w:rPr>
          <w:rFonts w:cs="FrankRuehl" w:hint="eastAsia"/>
          <w:sz w:val="18"/>
          <w:szCs w:val="22"/>
          <w:rtl/>
          <w:lang w:eastAsia="he-IL"/>
        </w:rPr>
        <w:t>והיעדר</w:t>
      </w:r>
      <w:r w:rsidRPr="00F41E78">
        <w:rPr>
          <w:rFonts w:cs="FrankRuehl"/>
          <w:sz w:val="18"/>
          <w:szCs w:val="22"/>
          <w:rtl/>
          <w:lang w:eastAsia="he-IL"/>
        </w:rPr>
        <w:t xml:space="preserve"> </w:t>
      </w:r>
      <w:r w:rsidRPr="00F41E78">
        <w:rPr>
          <w:rFonts w:cs="FrankRuehl" w:hint="eastAsia"/>
          <w:sz w:val="18"/>
          <w:szCs w:val="22"/>
          <w:rtl/>
          <w:lang w:eastAsia="he-IL"/>
        </w:rPr>
        <w:t>יד</w:t>
      </w:r>
      <w:r w:rsidRPr="00F41E78">
        <w:rPr>
          <w:rFonts w:cs="FrankRuehl"/>
          <w:sz w:val="18"/>
          <w:szCs w:val="22"/>
          <w:rtl/>
          <w:lang w:eastAsia="he-IL"/>
        </w:rPr>
        <w:t xml:space="preserve"> </w:t>
      </w:r>
      <w:r w:rsidRPr="00F41E78">
        <w:rPr>
          <w:rFonts w:cs="FrankRuehl" w:hint="eastAsia"/>
          <w:sz w:val="18"/>
          <w:szCs w:val="22"/>
          <w:rtl/>
          <w:lang w:eastAsia="he-IL"/>
        </w:rPr>
        <w:t>מכוונת</w:t>
      </w:r>
      <w:r w:rsidRPr="00F41E78">
        <w:rPr>
          <w:rFonts w:cs="FrankRuehl"/>
          <w:sz w:val="18"/>
          <w:szCs w:val="22"/>
          <w:rtl/>
          <w:lang w:eastAsia="he-IL"/>
        </w:rPr>
        <w:t xml:space="preserve"> </w:t>
      </w:r>
      <w:r w:rsidRPr="00F41E78">
        <w:rPr>
          <w:rFonts w:cs="FrankRuehl" w:hint="eastAsia"/>
          <w:sz w:val="18"/>
          <w:szCs w:val="22"/>
          <w:rtl/>
          <w:lang w:eastAsia="he-IL"/>
        </w:rPr>
        <w:t>ומתכללת</w:t>
      </w:r>
      <w:r w:rsidRPr="00F41E78">
        <w:rPr>
          <w:rFonts w:cs="FrankRuehl" w:hint="cs"/>
          <w:sz w:val="18"/>
          <w:szCs w:val="22"/>
          <w:rtl/>
          <w:lang w:eastAsia="he-IL"/>
        </w:rPr>
        <w:t>. ראוי שאת כל הטיפול בנושא ענף הבנייה ירכז גורם ממשלתי אחד מתוך ראייה אינטגרטיבית של הצרכים, של החסמים ושל הבעיות. עוד הודגש כי "במצב הקיים כל משרד ממשלתי מקדם נושאים חשובים הנוגעים לעיסוקו, אולם הגם שכולם צודקים בתחומם, הענף בכללותו נפגע".</w:t>
      </w:r>
    </w:p>
    <w:p w:rsidR="00E97EDA" w:rsidRPr="00F41E78" w:rsidP="00F41E78">
      <w:pPr>
        <w:spacing w:after="120" w:line="230" w:lineRule="exact"/>
        <w:jc w:val="both"/>
        <w:rPr>
          <w:rFonts w:cs="FrankRuehl"/>
          <w:sz w:val="18"/>
          <w:szCs w:val="22"/>
          <w:rtl/>
          <w:lang w:eastAsia="he-IL"/>
        </w:rPr>
      </w:pPr>
      <w:r w:rsidRPr="00F41E78">
        <w:rPr>
          <w:rFonts w:cs="FrankRuehl" w:hint="eastAsia"/>
          <w:b/>
          <w:bCs/>
          <w:spacing w:val="40"/>
          <w:sz w:val="18"/>
          <w:szCs w:val="22"/>
          <w:rtl/>
        </w:rPr>
        <w:t>הקואליציה</w:t>
      </w:r>
      <w:r w:rsidRPr="00F41E78">
        <w:rPr>
          <w:rFonts w:cs="FrankRuehl"/>
          <w:b/>
          <w:bCs/>
          <w:spacing w:val="40"/>
          <w:sz w:val="18"/>
          <w:szCs w:val="22"/>
          <w:rtl/>
        </w:rPr>
        <w:t xml:space="preserve"> </w:t>
      </w:r>
      <w:r w:rsidRPr="00F41E78">
        <w:rPr>
          <w:rFonts w:cs="FrankRuehl" w:hint="eastAsia"/>
          <w:b/>
          <w:bCs/>
          <w:spacing w:val="40"/>
          <w:sz w:val="18"/>
          <w:szCs w:val="22"/>
          <w:rtl/>
        </w:rPr>
        <w:t>לקידום</w:t>
      </w:r>
      <w:r w:rsidRPr="00F41E78">
        <w:rPr>
          <w:rFonts w:cs="FrankRuehl"/>
          <w:b/>
          <w:bCs/>
          <w:spacing w:val="40"/>
          <w:sz w:val="18"/>
          <w:szCs w:val="22"/>
          <w:rtl/>
        </w:rPr>
        <w:t xml:space="preserve"> </w:t>
      </w:r>
      <w:r w:rsidRPr="00F41E78">
        <w:rPr>
          <w:rFonts w:cs="FrankRuehl" w:hint="eastAsia"/>
          <w:b/>
          <w:bCs/>
          <w:spacing w:val="40"/>
          <w:sz w:val="18"/>
          <w:szCs w:val="22"/>
          <w:rtl/>
        </w:rPr>
        <w:t>דיור</w:t>
      </w:r>
      <w:r w:rsidRPr="00F41E78">
        <w:rPr>
          <w:rFonts w:cs="FrankRuehl"/>
          <w:b/>
          <w:bCs/>
          <w:spacing w:val="40"/>
          <w:sz w:val="18"/>
          <w:szCs w:val="22"/>
          <w:rtl/>
        </w:rPr>
        <w:t xml:space="preserve"> </w:t>
      </w:r>
      <w:r w:rsidRPr="00F41E78">
        <w:rPr>
          <w:rFonts w:cs="FrankRuehl" w:hint="eastAsia"/>
          <w:b/>
          <w:bCs/>
          <w:spacing w:val="40"/>
          <w:sz w:val="18"/>
          <w:szCs w:val="22"/>
          <w:rtl/>
        </w:rPr>
        <w:t>בהישג</w:t>
      </w:r>
      <w:r w:rsidRPr="00F41E78">
        <w:rPr>
          <w:rFonts w:cs="FrankRuehl"/>
          <w:b/>
          <w:bCs/>
          <w:spacing w:val="40"/>
          <w:sz w:val="18"/>
          <w:szCs w:val="22"/>
          <w:rtl/>
        </w:rPr>
        <w:t xml:space="preserve"> </w:t>
      </w:r>
      <w:r w:rsidRPr="00F41E78">
        <w:rPr>
          <w:rFonts w:cs="FrankRuehl" w:hint="eastAsia"/>
          <w:b/>
          <w:bCs/>
          <w:spacing w:val="40"/>
          <w:sz w:val="18"/>
          <w:szCs w:val="22"/>
          <w:rtl/>
        </w:rPr>
        <w:t>יד</w:t>
      </w:r>
      <w:r w:rsidRPr="00F41E78">
        <w:rPr>
          <w:rFonts w:cs="FrankRuehl"/>
          <w:b/>
          <w:bCs/>
          <w:spacing w:val="40"/>
          <w:sz w:val="18"/>
          <w:szCs w:val="22"/>
          <w:rtl/>
        </w:rPr>
        <w:t xml:space="preserve"> </w:t>
      </w:r>
      <w:r w:rsidRPr="00F41E78">
        <w:rPr>
          <w:rFonts w:cs="FrankRuehl" w:hint="eastAsia"/>
          <w:b/>
          <w:bCs/>
          <w:spacing w:val="40"/>
          <w:sz w:val="18"/>
          <w:szCs w:val="22"/>
          <w:rtl/>
        </w:rPr>
        <w:t>בישראל</w:t>
      </w:r>
      <w:r w:rsidRPr="00F41E78">
        <w:rPr>
          <w:rFonts w:cs="FrankRuehl"/>
          <w:b/>
          <w:bCs/>
          <w:spacing w:val="40"/>
          <w:sz w:val="18"/>
          <w:szCs w:val="22"/>
          <w:rtl/>
        </w:rPr>
        <w:t>:</w:t>
      </w:r>
      <w:r w:rsidRPr="00F41E78">
        <w:rPr>
          <w:rFonts w:cs="FrankRuehl" w:hint="cs"/>
          <w:sz w:val="18"/>
          <w:szCs w:val="22"/>
          <w:rtl/>
          <w:lang w:eastAsia="he-IL"/>
        </w:rPr>
        <w:t xml:space="preserve"> בנובמבר 2011 פנתה הקואליציה לקידום דיור בהישג יד בישראל לראש הממשלה דאז ולראש הממשלה הנוכחי מר בנימין נתניהו, לשר האוצר דאז מר יובל שטייניץ ולשר השיכון דאז מר אריאל אטיאס בנושא </w:t>
      </w:r>
      <w:r w:rsidRPr="00F41E78">
        <w:rPr>
          <w:rFonts w:cs="FrankRuehl" w:hint="cs"/>
          <w:sz w:val="18"/>
          <w:szCs w:val="22"/>
          <w:rtl/>
          <w:lang w:eastAsia="he-IL"/>
        </w:rPr>
        <w:t>"הצורך במדיניות כוללת לטווח הארוך לפתרון מצוקת הדיור". בפנייתה נאמר כי "ההצהרה</w:t>
      </w:r>
      <w:r w:rsidRPr="00F41E78">
        <w:rPr>
          <w:rFonts w:cs="FrankRuehl"/>
          <w:sz w:val="18"/>
          <w:szCs w:val="22"/>
          <w:vertAlign w:val="superscript"/>
          <w:rtl/>
          <w:lang w:eastAsia="he-IL"/>
        </w:rPr>
        <w:t>[</w:t>
      </w:r>
      <w:r>
        <w:rPr>
          <w:rFonts w:cs="FrankRuehl"/>
          <w:sz w:val="18"/>
          <w:szCs w:val="22"/>
          <w:vertAlign w:val="superscript"/>
          <w:rtl/>
          <w:lang w:eastAsia="he-IL"/>
        </w:rPr>
        <w:footnoteReference w:id="96"/>
      </w:r>
      <w:r w:rsidRPr="00F41E78">
        <w:rPr>
          <w:rFonts w:cs="FrankRuehl"/>
          <w:sz w:val="18"/>
          <w:szCs w:val="22"/>
          <w:vertAlign w:val="superscript"/>
          <w:rtl/>
          <w:lang w:eastAsia="he-IL"/>
        </w:rPr>
        <w:t>]</w:t>
      </w:r>
      <w:r w:rsidRPr="00F41E78">
        <w:rPr>
          <w:rFonts w:cs="FrankRuehl" w:hint="cs"/>
          <w:sz w:val="18"/>
          <w:szCs w:val="22"/>
          <w:rtl/>
          <w:lang w:eastAsia="he-IL"/>
        </w:rPr>
        <w:t xml:space="preserve"> כי מטרת הצעדים הינה להקל על 'זוגות צעירים וחיילים משוחררים לרכוש את דירתם הראשונה', מצביעה כי </w:t>
      </w:r>
      <w:r w:rsidRPr="00F41E78">
        <w:rPr>
          <w:rFonts w:cs="FrankRuehl" w:hint="eastAsia"/>
          <w:b/>
          <w:bCs/>
          <w:sz w:val="18"/>
          <w:szCs w:val="22"/>
          <w:rtl/>
          <w:lang w:eastAsia="he-IL"/>
        </w:rPr>
        <w:t>הממשלה</w:t>
      </w:r>
      <w:r w:rsidRPr="00F41E78">
        <w:rPr>
          <w:rFonts w:cs="FrankRuehl"/>
          <w:b/>
          <w:bCs/>
          <w:sz w:val="18"/>
          <w:szCs w:val="22"/>
          <w:rtl/>
          <w:lang w:eastAsia="he-IL"/>
        </w:rPr>
        <w:t xml:space="preserve"> </w:t>
      </w:r>
      <w:r w:rsidRPr="00F41E78">
        <w:rPr>
          <w:rFonts w:cs="FrankRuehl" w:hint="eastAsia"/>
          <w:b/>
          <w:bCs/>
          <w:sz w:val="18"/>
          <w:szCs w:val="22"/>
          <w:rtl/>
          <w:lang w:eastAsia="he-IL"/>
        </w:rPr>
        <w:t>לא</w:t>
      </w:r>
      <w:r w:rsidRPr="00F41E78">
        <w:rPr>
          <w:rFonts w:cs="FrankRuehl"/>
          <w:b/>
          <w:bCs/>
          <w:sz w:val="18"/>
          <w:szCs w:val="22"/>
          <w:rtl/>
          <w:lang w:eastAsia="he-IL"/>
        </w:rPr>
        <w:t xml:space="preserve"> </w:t>
      </w:r>
      <w:r w:rsidRPr="00F41E78">
        <w:rPr>
          <w:rFonts w:cs="FrankRuehl" w:hint="eastAsia"/>
          <w:b/>
          <w:bCs/>
          <w:sz w:val="18"/>
          <w:szCs w:val="22"/>
          <w:rtl/>
          <w:lang w:eastAsia="he-IL"/>
        </w:rPr>
        <w:t>גיבשה</w:t>
      </w:r>
      <w:r w:rsidRPr="00F41E78">
        <w:rPr>
          <w:rFonts w:cs="FrankRuehl"/>
          <w:b/>
          <w:bCs/>
          <w:sz w:val="18"/>
          <w:szCs w:val="22"/>
          <w:rtl/>
          <w:lang w:eastAsia="he-IL"/>
        </w:rPr>
        <w:t xml:space="preserve"> </w:t>
      </w:r>
      <w:r w:rsidRPr="00F41E78">
        <w:rPr>
          <w:rFonts w:cs="FrankRuehl" w:hint="eastAsia"/>
          <w:b/>
          <w:bCs/>
          <w:sz w:val="18"/>
          <w:szCs w:val="22"/>
          <w:rtl/>
          <w:lang w:eastAsia="he-IL"/>
        </w:rPr>
        <w:t>מדיניות</w:t>
      </w:r>
      <w:r w:rsidRPr="00F41E78">
        <w:rPr>
          <w:rFonts w:cs="FrankRuehl"/>
          <w:b/>
          <w:bCs/>
          <w:sz w:val="18"/>
          <w:szCs w:val="22"/>
          <w:rtl/>
          <w:lang w:eastAsia="he-IL"/>
        </w:rPr>
        <w:t xml:space="preserve"> </w:t>
      </w:r>
      <w:r w:rsidRPr="00F41E78">
        <w:rPr>
          <w:rFonts w:cs="FrankRuehl" w:hint="eastAsia"/>
          <w:b/>
          <w:bCs/>
          <w:sz w:val="18"/>
          <w:szCs w:val="22"/>
          <w:rtl/>
          <w:lang w:eastAsia="he-IL"/>
        </w:rPr>
        <w:t>כוללת</w:t>
      </w:r>
      <w:r w:rsidRPr="00F41E78">
        <w:rPr>
          <w:rFonts w:cs="FrankRuehl"/>
          <w:b/>
          <w:bCs/>
          <w:sz w:val="18"/>
          <w:szCs w:val="22"/>
          <w:rtl/>
          <w:lang w:eastAsia="he-IL"/>
        </w:rPr>
        <w:t xml:space="preserve"> </w:t>
      </w:r>
      <w:r w:rsidRPr="00F41E78">
        <w:rPr>
          <w:rFonts w:cs="FrankRuehl" w:hint="eastAsia"/>
          <w:b/>
          <w:bCs/>
          <w:sz w:val="18"/>
          <w:szCs w:val="22"/>
          <w:rtl/>
          <w:lang w:eastAsia="he-IL"/>
        </w:rPr>
        <w:t>הנוגעת</w:t>
      </w:r>
      <w:r w:rsidRPr="00F41E78">
        <w:rPr>
          <w:rFonts w:cs="FrankRuehl"/>
          <w:b/>
          <w:bCs/>
          <w:sz w:val="18"/>
          <w:szCs w:val="22"/>
          <w:rtl/>
          <w:lang w:eastAsia="he-IL"/>
        </w:rPr>
        <w:t xml:space="preserve"> </w:t>
      </w:r>
      <w:r w:rsidRPr="00F41E78">
        <w:rPr>
          <w:rFonts w:cs="FrankRuehl" w:hint="eastAsia"/>
          <w:b/>
          <w:bCs/>
          <w:sz w:val="18"/>
          <w:szCs w:val="22"/>
          <w:rtl/>
          <w:lang w:eastAsia="he-IL"/>
        </w:rPr>
        <w:t>לכל</w:t>
      </w:r>
      <w:r w:rsidRPr="00F41E78">
        <w:rPr>
          <w:rFonts w:cs="FrankRuehl"/>
          <w:b/>
          <w:bCs/>
          <w:sz w:val="18"/>
          <w:szCs w:val="22"/>
          <w:rtl/>
          <w:lang w:eastAsia="he-IL"/>
        </w:rPr>
        <w:t xml:space="preserve"> </w:t>
      </w:r>
      <w:r w:rsidRPr="00F41E78">
        <w:rPr>
          <w:rFonts w:cs="FrankRuehl" w:hint="eastAsia"/>
          <w:b/>
          <w:bCs/>
          <w:sz w:val="18"/>
          <w:szCs w:val="22"/>
          <w:rtl/>
          <w:lang w:eastAsia="he-IL"/>
        </w:rPr>
        <w:t>קבוצות</w:t>
      </w:r>
      <w:r w:rsidRPr="00F41E78">
        <w:rPr>
          <w:rFonts w:cs="FrankRuehl"/>
          <w:b/>
          <w:bCs/>
          <w:sz w:val="18"/>
          <w:szCs w:val="22"/>
          <w:rtl/>
          <w:lang w:eastAsia="he-IL"/>
        </w:rPr>
        <w:t xml:space="preserve"> </w:t>
      </w:r>
      <w:r w:rsidRPr="00F41E78">
        <w:rPr>
          <w:rFonts w:cs="FrankRuehl" w:hint="eastAsia"/>
          <w:b/>
          <w:bCs/>
          <w:sz w:val="18"/>
          <w:szCs w:val="22"/>
          <w:rtl/>
          <w:lang w:eastAsia="he-IL"/>
        </w:rPr>
        <w:t>האוכלוסייה</w:t>
      </w:r>
      <w:r w:rsidRPr="00F41E78">
        <w:rPr>
          <w:rFonts w:cs="FrankRuehl" w:hint="cs"/>
          <w:sz w:val="18"/>
          <w:szCs w:val="22"/>
          <w:rtl/>
          <w:lang w:eastAsia="he-IL"/>
        </w:rPr>
        <w:t xml:space="preserve"> - ושוב העניים, אנשים עם מוגבלויות, עולים חדשים, ערבים וקבוצות חלשות נוספות נותרו בחוץ" (ההדגשה אינה במקור).</w:t>
      </w:r>
    </w:p>
    <w:p w:rsidR="008D3837" w:rsidRPr="00F41E78" w:rsidP="00F41E78">
      <w:pPr>
        <w:spacing w:after="120" w:line="230" w:lineRule="exact"/>
        <w:jc w:val="both"/>
        <w:rPr>
          <w:rFonts w:cs="FrankRuehl"/>
          <w:sz w:val="18"/>
          <w:szCs w:val="22"/>
          <w:rtl/>
          <w:lang w:eastAsia="he-IL"/>
        </w:rPr>
      </w:pPr>
    </w:p>
    <w:p w:rsidR="00E97EDA" w:rsidRPr="00E97EDA" w:rsidP="008D3837">
      <w:pPr>
        <w:pStyle w:val="KOT5"/>
        <w:rPr>
          <w:rtl/>
        </w:rPr>
      </w:pPr>
      <w:r w:rsidRPr="00E97EDA">
        <w:rPr>
          <w:rFonts w:hint="eastAsia"/>
          <w:rtl/>
        </w:rPr>
        <w:t>עמדות</w:t>
      </w:r>
      <w:r w:rsidRPr="00E97EDA">
        <w:rPr>
          <w:rtl/>
        </w:rPr>
        <w:t xml:space="preserve"> </w:t>
      </w:r>
      <w:r w:rsidRPr="00E97EDA">
        <w:rPr>
          <w:rFonts w:hint="eastAsia"/>
          <w:rtl/>
        </w:rPr>
        <w:t>הממשלה</w:t>
      </w:r>
    </w:p>
    <w:p w:rsidR="00E97EDA" w:rsidRPr="00F41E78" w:rsidP="00F41E78">
      <w:pPr>
        <w:spacing w:after="120" w:line="230" w:lineRule="exact"/>
        <w:jc w:val="both"/>
        <w:rPr>
          <w:rFonts w:cs="FrankRuehl"/>
          <w:sz w:val="18"/>
          <w:szCs w:val="22"/>
          <w:rtl/>
          <w:lang w:eastAsia="he-IL"/>
        </w:rPr>
      </w:pPr>
      <w:r w:rsidRPr="00F41E78">
        <w:rPr>
          <w:rFonts w:cs="FrankRuehl" w:hint="cs"/>
          <w:sz w:val="18"/>
          <w:szCs w:val="22"/>
          <w:rtl/>
          <w:lang w:eastAsia="he-IL"/>
        </w:rPr>
        <w:t xml:space="preserve">גם ממשלות ישראל היו ערות במשך השנים להיעדר מדיניות כוללת וארוכת טווח בתחום הדיור. על כך ניתן ללמוד בין היתר מהחלטותיה ומדברי הסבר שצורפו להצעות החלטות אלו. </w:t>
      </w:r>
    </w:p>
    <w:p w:rsidR="00E97EDA" w:rsidRPr="00582A43" w:rsidP="00A7557B">
      <w:pPr>
        <w:spacing w:after="240" w:line="224" w:lineRule="exact"/>
        <w:jc w:val="both"/>
        <w:rPr>
          <w:rFonts w:cs="FrankRuehl"/>
          <w:sz w:val="18"/>
          <w:szCs w:val="22"/>
          <w:rtl/>
          <w:lang w:eastAsia="he-IL"/>
        </w:rPr>
      </w:pPr>
      <w:r w:rsidRPr="00582A43">
        <w:rPr>
          <w:rFonts w:cs="FrankRuehl" w:hint="cs"/>
          <w:sz w:val="18"/>
          <w:szCs w:val="22"/>
          <w:rtl/>
          <w:lang w:eastAsia="he-IL"/>
        </w:rPr>
        <w:t xml:space="preserve">לדוגמה, בדברי ההסבר שצורפו להצעת החלטת ממשלה מס' 2215 מאוגוסט 2007 בדבר קביעת יעדים כמותיים לתכנון פיזי צוין בין היתר כי "ייזום התכנון והפעולות לפיתוחה של הקרקע מפוזרים בכמה גופים ובהתאם לכך </w:t>
      </w:r>
      <w:r w:rsidRPr="00582A43">
        <w:rPr>
          <w:rFonts w:cs="FrankRuehl" w:hint="eastAsia"/>
          <w:b/>
          <w:bCs/>
          <w:sz w:val="18"/>
          <w:szCs w:val="22"/>
          <w:rtl/>
          <w:lang w:eastAsia="he-IL"/>
        </w:rPr>
        <w:t>אין</w:t>
      </w:r>
      <w:r w:rsidRPr="00582A43">
        <w:rPr>
          <w:rFonts w:cs="FrankRuehl"/>
          <w:b/>
          <w:bCs/>
          <w:sz w:val="18"/>
          <w:szCs w:val="22"/>
          <w:rtl/>
          <w:lang w:eastAsia="he-IL"/>
        </w:rPr>
        <w:t xml:space="preserve"> </w:t>
      </w:r>
      <w:r w:rsidRPr="00582A43">
        <w:rPr>
          <w:rFonts w:cs="FrankRuehl" w:hint="eastAsia"/>
          <w:b/>
          <w:bCs/>
          <w:sz w:val="18"/>
          <w:szCs w:val="22"/>
          <w:rtl/>
          <w:lang w:eastAsia="he-IL"/>
        </w:rPr>
        <w:t>ראייה</w:t>
      </w:r>
      <w:r w:rsidRPr="00582A43">
        <w:rPr>
          <w:rFonts w:cs="FrankRuehl"/>
          <w:b/>
          <w:bCs/>
          <w:sz w:val="18"/>
          <w:szCs w:val="22"/>
          <w:rtl/>
          <w:lang w:eastAsia="he-IL"/>
        </w:rPr>
        <w:t xml:space="preserve"> </w:t>
      </w:r>
      <w:r w:rsidRPr="00582A43">
        <w:rPr>
          <w:rFonts w:cs="FrankRuehl" w:hint="eastAsia"/>
          <w:b/>
          <w:bCs/>
          <w:sz w:val="18"/>
          <w:szCs w:val="22"/>
          <w:rtl/>
          <w:lang w:eastAsia="he-IL"/>
        </w:rPr>
        <w:t>אסטרטגית</w:t>
      </w:r>
      <w:r w:rsidRPr="00582A43">
        <w:rPr>
          <w:rFonts w:cs="FrankRuehl"/>
          <w:b/>
          <w:bCs/>
          <w:sz w:val="18"/>
          <w:szCs w:val="22"/>
          <w:rtl/>
          <w:lang w:eastAsia="he-IL"/>
        </w:rPr>
        <w:t xml:space="preserve"> </w:t>
      </w:r>
      <w:r w:rsidRPr="00582A43">
        <w:rPr>
          <w:rFonts w:cs="FrankRuehl" w:hint="eastAsia"/>
          <w:b/>
          <w:bCs/>
          <w:sz w:val="18"/>
          <w:szCs w:val="22"/>
          <w:rtl/>
          <w:lang w:eastAsia="he-IL"/>
        </w:rPr>
        <w:t>כוללת</w:t>
      </w:r>
      <w:r w:rsidRPr="00582A43">
        <w:rPr>
          <w:rFonts w:cs="FrankRuehl"/>
          <w:b/>
          <w:bCs/>
          <w:sz w:val="18"/>
          <w:szCs w:val="22"/>
          <w:rtl/>
          <w:lang w:eastAsia="he-IL"/>
        </w:rPr>
        <w:t xml:space="preserve"> </w:t>
      </w:r>
      <w:r w:rsidRPr="00582A43">
        <w:rPr>
          <w:rFonts w:cs="FrankRuehl" w:hint="eastAsia"/>
          <w:b/>
          <w:bCs/>
          <w:sz w:val="18"/>
          <w:szCs w:val="22"/>
          <w:rtl/>
          <w:lang w:eastAsia="he-IL"/>
        </w:rPr>
        <w:t>ומשולבת</w:t>
      </w:r>
      <w:r w:rsidRPr="00582A43">
        <w:rPr>
          <w:rFonts w:cs="FrankRuehl"/>
          <w:b/>
          <w:bCs/>
          <w:sz w:val="18"/>
          <w:szCs w:val="22"/>
          <w:rtl/>
          <w:lang w:eastAsia="he-IL"/>
        </w:rPr>
        <w:t xml:space="preserve"> </w:t>
      </w:r>
      <w:r w:rsidRPr="00582A43">
        <w:rPr>
          <w:rFonts w:cs="FrankRuehl" w:hint="eastAsia"/>
          <w:b/>
          <w:bCs/>
          <w:sz w:val="18"/>
          <w:szCs w:val="22"/>
          <w:rtl/>
          <w:lang w:eastAsia="he-IL"/>
        </w:rPr>
        <w:t>של</w:t>
      </w:r>
      <w:r w:rsidRPr="00582A43">
        <w:rPr>
          <w:rFonts w:cs="FrankRuehl"/>
          <w:b/>
          <w:bCs/>
          <w:sz w:val="18"/>
          <w:szCs w:val="22"/>
          <w:rtl/>
          <w:lang w:eastAsia="he-IL"/>
        </w:rPr>
        <w:t xml:space="preserve"> </w:t>
      </w:r>
      <w:r w:rsidRPr="00582A43">
        <w:rPr>
          <w:rFonts w:cs="FrankRuehl" w:hint="eastAsia"/>
          <w:b/>
          <w:bCs/>
          <w:sz w:val="18"/>
          <w:szCs w:val="22"/>
          <w:rtl/>
          <w:lang w:eastAsia="he-IL"/>
        </w:rPr>
        <w:t>ממשלת</w:t>
      </w:r>
      <w:r w:rsidRPr="00582A43">
        <w:rPr>
          <w:rFonts w:cs="FrankRuehl"/>
          <w:b/>
          <w:bCs/>
          <w:sz w:val="18"/>
          <w:szCs w:val="22"/>
          <w:rtl/>
          <w:lang w:eastAsia="he-IL"/>
        </w:rPr>
        <w:t xml:space="preserve"> </w:t>
      </w:r>
      <w:r w:rsidRPr="00582A43">
        <w:rPr>
          <w:rFonts w:cs="FrankRuehl" w:hint="eastAsia"/>
          <w:b/>
          <w:bCs/>
          <w:sz w:val="18"/>
          <w:szCs w:val="22"/>
          <w:rtl/>
          <w:lang w:eastAsia="he-IL"/>
        </w:rPr>
        <w:t>ישראל</w:t>
      </w:r>
      <w:r w:rsidRPr="00582A43">
        <w:rPr>
          <w:rFonts w:cs="FrankRuehl"/>
          <w:b/>
          <w:bCs/>
          <w:sz w:val="18"/>
          <w:szCs w:val="22"/>
          <w:rtl/>
          <w:lang w:eastAsia="he-IL"/>
        </w:rPr>
        <w:t xml:space="preserve"> </w:t>
      </w:r>
      <w:r w:rsidRPr="00582A43">
        <w:rPr>
          <w:rFonts w:cs="FrankRuehl" w:hint="eastAsia"/>
          <w:b/>
          <w:bCs/>
          <w:sz w:val="18"/>
          <w:szCs w:val="22"/>
          <w:rtl/>
          <w:lang w:eastAsia="he-IL"/>
        </w:rPr>
        <w:t>באשר</w:t>
      </w:r>
      <w:r w:rsidRPr="00582A43">
        <w:rPr>
          <w:rFonts w:cs="FrankRuehl"/>
          <w:b/>
          <w:bCs/>
          <w:sz w:val="18"/>
          <w:szCs w:val="22"/>
          <w:rtl/>
          <w:lang w:eastAsia="he-IL"/>
        </w:rPr>
        <w:t xml:space="preserve"> </w:t>
      </w:r>
      <w:r w:rsidRPr="00582A43">
        <w:rPr>
          <w:rFonts w:cs="FrankRuehl" w:hint="eastAsia"/>
          <w:b/>
          <w:bCs/>
          <w:sz w:val="18"/>
          <w:szCs w:val="22"/>
          <w:rtl/>
          <w:lang w:eastAsia="he-IL"/>
        </w:rPr>
        <w:t>לכיוונים</w:t>
      </w:r>
      <w:r w:rsidRPr="00582A43">
        <w:rPr>
          <w:rFonts w:cs="FrankRuehl"/>
          <w:b/>
          <w:bCs/>
          <w:sz w:val="18"/>
          <w:szCs w:val="22"/>
          <w:rtl/>
          <w:lang w:eastAsia="he-IL"/>
        </w:rPr>
        <w:t xml:space="preserve"> </w:t>
      </w:r>
      <w:r w:rsidRPr="00582A43">
        <w:rPr>
          <w:rFonts w:cs="FrankRuehl" w:hint="eastAsia"/>
          <w:b/>
          <w:bCs/>
          <w:sz w:val="18"/>
          <w:szCs w:val="22"/>
          <w:rtl/>
          <w:lang w:eastAsia="he-IL"/>
        </w:rPr>
        <w:t>וליעדי</w:t>
      </w:r>
      <w:r w:rsidRPr="00582A43">
        <w:rPr>
          <w:rFonts w:cs="FrankRuehl"/>
          <w:b/>
          <w:bCs/>
          <w:sz w:val="18"/>
          <w:szCs w:val="22"/>
          <w:rtl/>
          <w:lang w:eastAsia="he-IL"/>
        </w:rPr>
        <w:t xml:space="preserve"> </w:t>
      </w:r>
      <w:r w:rsidRPr="00582A43">
        <w:rPr>
          <w:rFonts w:cs="FrankRuehl" w:hint="eastAsia"/>
          <w:b/>
          <w:bCs/>
          <w:sz w:val="18"/>
          <w:szCs w:val="22"/>
          <w:rtl/>
          <w:lang w:eastAsia="he-IL"/>
        </w:rPr>
        <w:t>הפיתוח</w:t>
      </w:r>
      <w:r w:rsidRPr="00582A43">
        <w:rPr>
          <w:rFonts w:cs="FrankRuehl"/>
          <w:b/>
          <w:bCs/>
          <w:sz w:val="18"/>
          <w:szCs w:val="22"/>
          <w:rtl/>
          <w:lang w:eastAsia="he-IL"/>
        </w:rPr>
        <w:t xml:space="preserve"> </w:t>
      </w:r>
      <w:r w:rsidRPr="00582A43">
        <w:rPr>
          <w:rFonts w:cs="FrankRuehl" w:hint="eastAsia"/>
          <w:b/>
          <w:bCs/>
          <w:sz w:val="18"/>
          <w:szCs w:val="22"/>
          <w:rtl/>
          <w:lang w:eastAsia="he-IL"/>
        </w:rPr>
        <w:t>הרצויים</w:t>
      </w:r>
      <w:r w:rsidRPr="00582A43">
        <w:rPr>
          <w:rFonts w:cs="FrankRuehl"/>
          <w:b/>
          <w:bCs/>
          <w:sz w:val="18"/>
          <w:szCs w:val="22"/>
          <w:rtl/>
          <w:lang w:eastAsia="he-IL"/>
        </w:rPr>
        <w:t xml:space="preserve"> </w:t>
      </w:r>
      <w:r w:rsidRPr="00582A43">
        <w:rPr>
          <w:rFonts w:cs="FrankRuehl" w:hint="eastAsia"/>
          <w:b/>
          <w:bCs/>
          <w:sz w:val="18"/>
          <w:szCs w:val="22"/>
          <w:rtl/>
          <w:lang w:eastAsia="he-IL"/>
        </w:rPr>
        <w:t>למדינה</w:t>
      </w:r>
      <w:r w:rsidRPr="00582A43">
        <w:rPr>
          <w:rFonts w:cs="FrankRuehl"/>
          <w:b/>
          <w:bCs/>
          <w:sz w:val="18"/>
          <w:szCs w:val="22"/>
          <w:rtl/>
          <w:lang w:eastAsia="he-IL"/>
        </w:rPr>
        <w:t xml:space="preserve"> </w:t>
      </w:r>
      <w:r w:rsidRPr="00582A43">
        <w:rPr>
          <w:rFonts w:cs="FrankRuehl" w:hint="eastAsia"/>
          <w:b/>
          <w:bCs/>
          <w:sz w:val="18"/>
          <w:szCs w:val="22"/>
          <w:rtl/>
          <w:lang w:eastAsia="he-IL"/>
        </w:rPr>
        <w:t>וכי</w:t>
      </w:r>
      <w:r w:rsidRPr="00582A43">
        <w:rPr>
          <w:rFonts w:cs="FrankRuehl"/>
          <w:b/>
          <w:bCs/>
          <w:sz w:val="18"/>
          <w:szCs w:val="22"/>
          <w:rtl/>
          <w:lang w:eastAsia="he-IL"/>
        </w:rPr>
        <w:t xml:space="preserve"> </w:t>
      </w:r>
      <w:r w:rsidRPr="00582A43">
        <w:rPr>
          <w:rFonts w:cs="FrankRuehl" w:hint="eastAsia"/>
          <w:b/>
          <w:bCs/>
          <w:sz w:val="18"/>
          <w:szCs w:val="22"/>
          <w:rtl/>
          <w:lang w:eastAsia="he-IL"/>
        </w:rPr>
        <w:t>מצב</w:t>
      </w:r>
      <w:r w:rsidRPr="00582A43">
        <w:rPr>
          <w:rFonts w:cs="FrankRuehl"/>
          <w:b/>
          <w:bCs/>
          <w:sz w:val="18"/>
          <w:szCs w:val="22"/>
          <w:rtl/>
          <w:lang w:eastAsia="he-IL"/>
        </w:rPr>
        <w:t xml:space="preserve"> </w:t>
      </w:r>
      <w:r w:rsidRPr="00582A43">
        <w:rPr>
          <w:rFonts w:cs="FrankRuehl" w:hint="eastAsia"/>
          <w:b/>
          <w:bCs/>
          <w:sz w:val="18"/>
          <w:szCs w:val="22"/>
          <w:rtl/>
          <w:lang w:eastAsia="he-IL"/>
        </w:rPr>
        <w:t>דברים</w:t>
      </w:r>
      <w:r w:rsidRPr="00582A43">
        <w:rPr>
          <w:rFonts w:cs="FrankRuehl"/>
          <w:b/>
          <w:bCs/>
          <w:sz w:val="18"/>
          <w:szCs w:val="22"/>
          <w:rtl/>
          <w:lang w:eastAsia="he-IL"/>
        </w:rPr>
        <w:t xml:space="preserve"> </w:t>
      </w:r>
      <w:r w:rsidRPr="00582A43">
        <w:rPr>
          <w:rFonts w:cs="FrankRuehl" w:hint="eastAsia"/>
          <w:b/>
          <w:bCs/>
          <w:sz w:val="18"/>
          <w:szCs w:val="22"/>
          <w:rtl/>
          <w:lang w:eastAsia="he-IL"/>
        </w:rPr>
        <w:t>זה</w:t>
      </w:r>
      <w:r w:rsidRPr="00582A43">
        <w:rPr>
          <w:rFonts w:cs="FrankRuehl"/>
          <w:b/>
          <w:bCs/>
          <w:sz w:val="18"/>
          <w:szCs w:val="22"/>
          <w:rtl/>
          <w:lang w:eastAsia="he-IL"/>
        </w:rPr>
        <w:t xml:space="preserve"> </w:t>
      </w:r>
      <w:r w:rsidRPr="00582A43">
        <w:rPr>
          <w:rFonts w:cs="FrankRuehl" w:hint="eastAsia"/>
          <w:b/>
          <w:bCs/>
          <w:sz w:val="18"/>
          <w:szCs w:val="22"/>
          <w:rtl/>
          <w:lang w:eastAsia="he-IL"/>
        </w:rPr>
        <w:t>מביא</w:t>
      </w:r>
      <w:r w:rsidRPr="00582A43">
        <w:rPr>
          <w:rFonts w:cs="FrankRuehl"/>
          <w:b/>
          <w:bCs/>
          <w:sz w:val="18"/>
          <w:szCs w:val="22"/>
          <w:rtl/>
          <w:lang w:eastAsia="he-IL"/>
        </w:rPr>
        <w:t xml:space="preserve"> </w:t>
      </w:r>
      <w:r w:rsidRPr="00582A43">
        <w:rPr>
          <w:rFonts w:cs="FrankRuehl" w:hint="eastAsia"/>
          <w:b/>
          <w:bCs/>
          <w:sz w:val="18"/>
          <w:szCs w:val="22"/>
          <w:rtl/>
          <w:lang w:eastAsia="he-IL"/>
        </w:rPr>
        <w:t>לכך</w:t>
      </w:r>
      <w:r w:rsidRPr="00582A43">
        <w:rPr>
          <w:rFonts w:cs="FrankRuehl"/>
          <w:b/>
          <w:bCs/>
          <w:sz w:val="18"/>
          <w:szCs w:val="22"/>
          <w:rtl/>
          <w:lang w:eastAsia="he-IL"/>
        </w:rPr>
        <w:t xml:space="preserve"> </w:t>
      </w:r>
      <w:r w:rsidRPr="00582A43">
        <w:rPr>
          <w:rFonts w:cs="FrankRuehl" w:hint="eastAsia"/>
          <w:b/>
          <w:bCs/>
          <w:sz w:val="18"/>
          <w:szCs w:val="22"/>
          <w:rtl/>
          <w:lang w:eastAsia="he-IL"/>
        </w:rPr>
        <w:t>שמשרדי</w:t>
      </w:r>
      <w:r w:rsidRPr="00582A43">
        <w:rPr>
          <w:rFonts w:cs="FrankRuehl"/>
          <w:b/>
          <w:bCs/>
          <w:sz w:val="18"/>
          <w:szCs w:val="22"/>
          <w:rtl/>
          <w:lang w:eastAsia="he-IL"/>
        </w:rPr>
        <w:t xml:space="preserve"> </w:t>
      </w:r>
      <w:r w:rsidRPr="00582A43">
        <w:rPr>
          <w:rFonts w:cs="FrankRuehl" w:hint="eastAsia"/>
          <w:b/>
          <w:bCs/>
          <w:sz w:val="18"/>
          <w:szCs w:val="22"/>
          <w:rtl/>
          <w:lang w:eastAsia="he-IL"/>
        </w:rPr>
        <w:t>הממשלה</w:t>
      </w:r>
      <w:r w:rsidRPr="00582A43">
        <w:rPr>
          <w:rFonts w:cs="FrankRuehl"/>
          <w:b/>
          <w:bCs/>
          <w:sz w:val="18"/>
          <w:szCs w:val="22"/>
          <w:rtl/>
          <w:lang w:eastAsia="he-IL"/>
        </w:rPr>
        <w:t xml:space="preserve"> </w:t>
      </w:r>
      <w:r w:rsidRPr="00582A43">
        <w:rPr>
          <w:rFonts w:cs="FrankRuehl" w:hint="eastAsia"/>
          <w:b/>
          <w:bCs/>
          <w:sz w:val="18"/>
          <w:szCs w:val="22"/>
          <w:rtl/>
          <w:lang w:eastAsia="he-IL"/>
        </w:rPr>
        <w:t>פועלים</w:t>
      </w:r>
      <w:r w:rsidRPr="00582A43">
        <w:rPr>
          <w:rFonts w:cs="FrankRuehl"/>
          <w:b/>
          <w:bCs/>
          <w:sz w:val="18"/>
          <w:szCs w:val="22"/>
          <w:rtl/>
          <w:lang w:eastAsia="he-IL"/>
        </w:rPr>
        <w:t xml:space="preserve"> </w:t>
      </w:r>
      <w:r w:rsidRPr="00582A43">
        <w:rPr>
          <w:rFonts w:cs="FrankRuehl" w:hint="eastAsia"/>
          <w:b/>
          <w:bCs/>
          <w:sz w:val="18"/>
          <w:szCs w:val="22"/>
          <w:rtl/>
          <w:lang w:eastAsia="he-IL"/>
        </w:rPr>
        <w:t>ללא</w:t>
      </w:r>
      <w:r w:rsidRPr="00582A43">
        <w:rPr>
          <w:rFonts w:cs="FrankRuehl"/>
          <w:b/>
          <w:bCs/>
          <w:sz w:val="18"/>
          <w:szCs w:val="22"/>
          <w:rtl/>
          <w:lang w:eastAsia="he-IL"/>
        </w:rPr>
        <w:t xml:space="preserve"> </w:t>
      </w:r>
      <w:r w:rsidRPr="00582A43">
        <w:rPr>
          <w:rFonts w:cs="FrankRuehl" w:hint="eastAsia"/>
          <w:b/>
          <w:bCs/>
          <w:sz w:val="18"/>
          <w:szCs w:val="22"/>
          <w:rtl/>
          <w:lang w:eastAsia="he-IL"/>
        </w:rPr>
        <w:t>תיאום</w:t>
      </w:r>
      <w:r w:rsidRPr="00582A43">
        <w:rPr>
          <w:rFonts w:cs="FrankRuehl"/>
          <w:b/>
          <w:bCs/>
          <w:sz w:val="18"/>
          <w:szCs w:val="22"/>
          <w:rtl/>
          <w:lang w:eastAsia="he-IL"/>
        </w:rPr>
        <w:t xml:space="preserve"> </w:t>
      </w:r>
      <w:r w:rsidRPr="00582A43">
        <w:rPr>
          <w:rFonts w:cs="FrankRuehl" w:hint="eastAsia"/>
          <w:b/>
          <w:bCs/>
          <w:sz w:val="18"/>
          <w:szCs w:val="22"/>
          <w:rtl/>
          <w:lang w:eastAsia="he-IL"/>
        </w:rPr>
        <w:t>כולל</w:t>
      </w:r>
      <w:r w:rsidRPr="00582A43">
        <w:rPr>
          <w:rFonts w:cs="FrankRuehl"/>
          <w:b/>
          <w:bCs/>
          <w:sz w:val="18"/>
          <w:szCs w:val="22"/>
          <w:rtl/>
          <w:lang w:eastAsia="he-IL"/>
        </w:rPr>
        <w:t xml:space="preserve"> </w:t>
      </w:r>
      <w:r w:rsidRPr="00582A43">
        <w:rPr>
          <w:rFonts w:cs="FrankRuehl" w:hint="eastAsia"/>
          <w:b/>
          <w:bCs/>
          <w:sz w:val="18"/>
          <w:szCs w:val="22"/>
          <w:rtl/>
          <w:lang w:eastAsia="he-IL"/>
        </w:rPr>
        <w:t>של</w:t>
      </w:r>
      <w:r w:rsidRPr="00582A43">
        <w:rPr>
          <w:rFonts w:cs="FrankRuehl"/>
          <w:b/>
          <w:bCs/>
          <w:sz w:val="18"/>
          <w:szCs w:val="22"/>
          <w:rtl/>
          <w:lang w:eastAsia="he-IL"/>
        </w:rPr>
        <w:t xml:space="preserve"> </w:t>
      </w:r>
      <w:r w:rsidRPr="00582A43">
        <w:rPr>
          <w:rFonts w:cs="FrankRuehl" w:hint="eastAsia"/>
          <w:b/>
          <w:bCs/>
          <w:sz w:val="18"/>
          <w:szCs w:val="22"/>
          <w:rtl/>
          <w:lang w:eastAsia="he-IL"/>
        </w:rPr>
        <w:t>סדרי</w:t>
      </w:r>
      <w:r w:rsidRPr="00582A43">
        <w:rPr>
          <w:rFonts w:cs="FrankRuehl"/>
          <w:b/>
          <w:bCs/>
          <w:sz w:val="18"/>
          <w:szCs w:val="22"/>
          <w:rtl/>
          <w:lang w:eastAsia="he-IL"/>
        </w:rPr>
        <w:t xml:space="preserve"> </w:t>
      </w:r>
      <w:r w:rsidRPr="00582A43">
        <w:rPr>
          <w:rFonts w:cs="FrankRuehl" w:hint="eastAsia"/>
          <w:b/>
          <w:bCs/>
          <w:sz w:val="18"/>
          <w:szCs w:val="22"/>
          <w:rtl/>
          <w:lang w:eastAsia="he-IL"/>
        </w:rPr>
        <w:t>עדיפויות</w:t>
      </w:r>
      <w:r w:rsidRPr="00582A43">
        <w:rPr>
          <w:rFonts w:cs="FrankRuehl" w:hint="cs"/>
          <w:sz w:val="18"/>
          <w:szCs w:val="22"/>
          <w:rtl/>
          <w:lang w:eastAsia="he-IL"/>
        </w:rPr>
        <w:t xml:space="preserve">" (ההדגשה אינה במקור), וכאמור החלטה זו לא יושמה. </w:t>
      </w:r>
    </w:p>
    <w:p w:rsidR="00C4623F" w:rsidRPr="00582A43" w:rsidP="00C4623F">
      <w:pPr>
        <w:pStyle w:val="RESHET"/>
        <w:keepLines/>
        <w:spacing w:line="224" w:lineRule="exact"/>
        <w:rPr>
          <w:rtl/>
        </w:rPr>
      </w:pPr>
      <w:r w:rsidRPr="00582A43">
        <w:rPr>
          <w:rFonts w:hint="cs"/>
          <w:rtl/>
        </w:rPr>
        <w:t>על אף הצורך במדיניות דיור ממשלתית כוללת וארוכת טווח, רק ביוני 2013 החליטה הממשלה (החלטתה מס' 367) להטיל על שר הבינוי והשיכון "</w:t>
      </w:r>
      <w:r w:rsidRPr="00582A43">
        <w:rPr>
          <w:rFonts w:hint="cs"/>
          <w:u w:val="single"/>
          <w:rtl/>
        </w:rPr>
        <w:t>להוביל גיבוש מדיניות דיור ארוכת טווח</w:t>
      </w:r>
      <w:r w:rsidRPr="00582A43">
        <w:rPr>
          <w:rFonts w:hint="cs"/>
          <w:rtl/>
        </w:rPr>
        <w:t>" - משימה</w:t>
      </w:r>
      <w:r w:rsidRPr="00582A43">
        <w:rPr>
          <w:rFonts w:hint="cs"/>
          <w:rtl/>
        </w:rPr>
        <w:t xml:space="preserve"> שבמועד סיום הביקורת טרם יושמה.</w:t>
      </w:r>
    </w:p>
    <w:p w:rsidR="00D22B16" w:rsidRPr="00582A43" w:rsidP="00C4623F">
      <w:pPr>
        <w:pStyle w:val="RESHET"/>
        <w:keepLines/>
        <w:spacing w:line="224" w:lineRule="exact"/>
        <w:rPr>
          <w:rtl/>
        </w:rPr>
      </w:pPr>
      <w:r w:rsidRPr="00582A43">
        <w:rPr>
          <w:rFonts w:hint="cs"/>
          <w:rtl/>
        </w:rPr>
        <w:t xml:space="preserve">כפי שעולה מממצאי הביקורת בעניין התוויית מדיניות הדיור הלאומית בשנים שקדמו למשבר הדיור ובמהלכו, </w:t>
      </w:r>
      <w:r w:rsidRPr="00582A43">
        <w:rPr>
          <w:rFonts w:hint="eastAsia"/>
          <w:rtl/>
        </w:rPr>
        <w:t>הממשלה</w:t>
      </w:r>
      <w:r w:rsidRPr="00582A43">
        <w:rPr>
          <w:rtl/>
        </w:rPr>
        <w:t xml:space="preserve"> </w:t>
      </w:r>
      <w:r w:rsidRPr="00582A43">
        <w:rPr>
          <w:rFonts w:hint="eastAsia"/>
          <w:rtl/>
        </w:rPr>
        <w:t>ומשרדיה</w:t>
      </w:r>
      <w:r w:rsidRPr="00582A43">
        <w:rPr>
          <w:rtl/>
        </w:rPr>
        <w:t xml:space="preserve"> </w:t>
      </w:r>
      <w:r w:rsidRPr="00582A43">
        <w:rPr>
          <w:rFonts w:hint="eastAsia"/>
          <w:rtl/>
        </w:rPr>
        <w:t>קבעו</w:t>
      </w:r>
      <w:r w:rsidRPr="00582A43">
        <w:rPr>
          <w:rtl/>
        </w:rPr>
        <w:t xml:space="preserve"> </w:t>
      </w:r>
      <w:r w:rsidRPr="00582A43">
        <w:rPr>
          <w:rFonts w:hint="eastAsia"/>
          <w:rtl/>
        </w:rPr>
        <w:t>מדיניות</w:t>
      </w:r>
      <w:r w:rsidRPr="00582A43">
        <w:rPr>
          <w:rtl/>
        </w:rPr>
        <w:t xml:space="preserve"> זו </w:t>
      </w:r>
      <w:r w:rsidRPr="00582A43">
        <w:rPr>
          <w:rFonts w:hint="eastAsia"/>
          <w:rtl/>
        </w:rPr>
        <w:t>במונחים</w:t>
      </w:r>
      <w:r w:rsidRPr="00582A43">
        <w:rPr>
          <w:rtl/>
        </w:rPr>
        <w:t xml:space="preserve"> </w:t>
      </w:r>
      <w:r w:rsidRPr="00582A43">
        <w:rPr>
          <w:rFonts w:hint="cs"/>
          <w:rtl/>
        </w:rPr>
        <w:t xml:space="preserve">בלתי אחידים והגדירו באופן לקוי את יעדי המדיניות ואת דרכי יישומה. מנגנוני התיאום בין המשרדים השונים והפיקוח על השגת יעדי המדיניות היו בלתי תקינים ולא היה אפשר </w:t>
      </w:r>
      <w:r w:rsidRPr="00582A43">
        <w:rPr>
          <w:rtl/>
        </w:rPr>
        <w:t xml:space="preserve">לוודא שכל </w:t>
      </w:r>
      <w:r w:rsidRPr="00582A43">
        <w:rPr>
          <w:rFonts w:hint="cs"/>
          <w:rtl/>
        </w:rPr>
        <w:t xml:space="preserve">המרכיבים החיוניים להתווייתה של המדיניות </w:t>
      </w:r>
      <w:r w:rsidRPr="00582A43">
        <w:rPr>
          <w:rtl/>
        </w:rPr>
        <w:t xml:space="preserve">אכן </w:t>
      </w:r>
      <w:r w:rsidRPr="00582A43">
        <w:rPr>
          <w:rFonts w:hint="cs"/>
          <w:rtl/>
        </w:rPr>
        <w:t>הוגדרו ותואמו זה לזה.</w:t>
      </w:r>
    </w:p>
    <w:p w:rsidR="00E97EDA" w:rsidRPr="00582A43" w:rsidP="00A7557B">
      <w:pPr>
        <w:spacing w:before="180" w:after="120" w:line="230" w:lineRule="exact"/>
        <w:jc w:val="both"/>
        <w:rPr>
          <w:rFonts w:cs="FrankRuehl"/>
          <w:sz w:val="18"/>
          <w:szCs w:val="22"/>
          <w:rtl/>
          <w:lang w:eastAsia="he-IL"/>
        </w:rPr>
      </w:pPr>
      <w:r w:rsidRPr="00582A43">
        <w:rPr>
          <w:rFonts w:cs="FrankRuehl" w:hint="eastAsia"/>
          <w:spacing w:val="40"/>
          <w:sz w:val="18"/>
          <w:szCs w:val="22"/>
          <w:rtl/>
        </w:rPr>
        <w:t>תגובת</w:t>
      </w:r>
      <w:r w:rsidRPr="00582A43">
        <w:rPr>
          <w:rFonts w:cs="FrankRuehl"/>
          <w:spacing w:val="40"/>
          <w:sz w:val="18"/>
          <w:szCs w:val="22"/>
          <w:rtl/>
        </w:rPr>
        <w:t xml:space="preserve"> </w:t>
      </w:r>
      <w:r w:rsidRPr="00582A43">
        <w:rPr>
          <w:rFonts w:cs="FrankRuehl" w:hint="eastAsia"/>
          <w:spacing w:val="40"/>
          <w:sz w:val="18"/>
          <w:szCs w:val="22"/>
          <w:rtl/>
        </w:rPr>
        <w:t>משרד</w:t>
      </w:r>
      <w:r w:rsidRPr="00582A43">
        <w:rPr>
          <w:rFonts w:cs="FrankRuehl"/>
          <w:spacing w:val="40"/>
          <w:sz w:val="18"/>
          <w:szCs w:val="22"/>
          <w:rtl/>
        </w:rPr>
        <w:t xml:space="preserve"> </w:t>
      </w:r>
      <w:r w:rsidRPr="00582A43">
        <w:rPr>
          <w:rFonts w:cs="FrankRuehl" w:hint="eastAsia"/>
          <w:spacing w:val="40"/>
          <w:sz w:val="18"/>
          <w:szCs w:val="22"/>
          <w:rtl/>
        </w:rPr>
        <w:t>ראש</w:t>
      </w:r>
      <w:r w:rsidRPr="00582A43">
        <w:rPr>
          <w:rFonts w:cs="FrankRuehl"/>
          <w:spacing w:val="40"/>
          <w:sz w:val="18"/>
          <w:szCs w:val="22"/>
          <w:rtl/>
        </w:rPr>
        <w:t xml:space="preserve"> </w:t>
      </w:r>
      <w:r w:rsidRPr="00582A43">
        <w:rPr>
          <w:rFonts w:cs="FrankRuehl" w:hint="eastAsia"/>
          <w:spacing w:val="40"/>
          <w:sz w:val="18"/>
          <w:szCs w:val="22"/>
          <w:rtl/>
        </w:rPr>
        <w:t>הממשלה</w:t>
      </w:r>
      <w:r w:rsidRPr="00582A43">
        <w:rPr>
          <w:rFonts w:cs="FrankRuehl"/>
          <w:spacing w:val="40"/>
          <w:sz w:val="18"/>
          <w:szCs w:val="22"/>
          <w:rtl/>
        </w:rPr>
        <w:t>:</w:t>
      </w:r>
      <w:r w:rsidRPr="00582A43">
        <w:rPr>
          <w:rFonts w:cs="FrankRuehl" w:hint="cs"/>
          <w:spacing w:val="40"/>
          <w:sz w:val="18"/>
          <w:szCs w:val="22"/>
          <w:rtl/>
        </w:rPr>
        <w:t xml:space="preserve"> </w:t>
      </w:r>
      <w:r w:rsidRPr="00582A43">
        <w:rPr>
          <w:rFonts w:cs="FrankRuehl"/>
          <w:sz w:val="18"/>
          <w:szCs w:val="22"/>
          <w:rtl/>
          <w:lang w:eastAsia="he-IL"/>
        </w:rPr>
        <w:t>בתשוב</w:t>
      </w:r>
      <w:r w:rsidRPr="00582A43">
        <w:rPr>
          <w:rFonts w:cs="FrankRuehl" w:hint="cs"/>
          <w:sz w:val="18"/>
          <w:szCs w:val="22"/>
          <w:rtl/>
          <w:lang w:eastAsia="he-IL"/>
        </w:rPr>
        <w:t>ו</w:t>
      </w:r>
      <w:r w:rsidRPr="00582A43">
        <w:rPr>
          <w:rFonts w:cs="FrankRuehl"/>
          <w:sz w:val="18"/>
          <w:szCs w:val="22"/>
          <w:rtl/>
          <w:lang w:eastAsia="he-IL"/>
        </w:rPr>
        <w:t>ת</w:t>
      </w:r>
      <w:r w:rsidRPr="00582A43">
        <w:rPr>
          <w:rFonts w:cs="FrankRuehl" w:hint="cs"/>
          <w:sz w:val="18"/>
          <w:szCs w:val="22"/>
          <w:rtl/>
          <w:lang w:eastAsia="he-IL"/>
        </w:rPr>
        <w:t>יהם של</w:t>
      </w:r>
      <w:r w:rsidRPr="00582A43">
        <w:rPr>
          <w:rFonts w:cs="FrankRuehl"/>
          <w:sz w:val="18"/>
          <w:szCs w:val="22"/>
          <w:rtl/>
          <w:lang w:eastAsia="he-IL"/>
        </w:rPr>
        <w:t xml:space="preserve"> מנכ"ל משרד ראש הממשלה </w:t>
      </w:r>
      <w:r w:rsidRPr="00582A43">
        <w:rPr>
          <w:rFonts w:cs="FrankRuehl" w:hint="cs"/>
          <w:sz w:val="18"/>
          <w:szCs w:val="22"/>
          <w:rtl/>
          <w:lang w:eastAsia="he-IL"/>
        </w:rPr>
        <w:t>ויו"ר המועצה הלאומית לכלכלה במשרד ראש הממשלה, עולה כי הם</w:t>
      </w:r>
      <w:r w:rsidRPr="00582A43">
        <w:rPr>
          <w:rFonts w:cs="FrankRuehl"/>
          <w:sz w:val="18"/>
          <w:szCs w:val="22"/>
          <w:rtl/>
          <w:lang w:eastAsia="he-IL"/>
        </w:rPr>
        <w:t xml:space="preserve"> </w:t>
      </w:r>
      <w:r w:rsidRPr="00582A43">
        <w:rPr>
          <w:rFonts w:cs="FrankRuehl" w:hint="cs"/>
          <w:sz w:val="18"/>
          <w:szCs w:val="22"/>
          <w:rtl/>
          <w:lang w:eastAsia="he-IL"/>
        </w:rPr>
        <w:t xml:space="preserve">הכירו בצורך במיסוד תהליכים לעיצוב מדיניות ממשלתית בכלל ומדיניות הדיור בפרט; הם </w:t>
      </w:r>
      <w:r w:rsidRPr="00582A43">
        <w:rPr>
          <w:rFonts w:cs="FrankRuehl"/>
          <w:sz w:val="18"/>
          <w:szCs w:val="22"/>
          <w:rtl/>
          <w:lang w:eastAsia="he-IL"/>
        </w:rPr>
        <w:t>הזכיר</w:t>
      </w:r>
      <w:r w:rsidRPr="00582A43">
        <w:rPr>
          <w:rFonts w:cs="FrankRuehl" w:hint="cs"/>
          <w:sz w:val="18"/>
          <w:szCs w:val="22"/>
          <w:rtl/>
          <w:lang w:eastAsia="he-IL"/>
        </w:rPr>
        <w:t>ו בין השאר</w:t>
      </w:r>
      <w:r w:rsidRPr="00582A43">
        <w:rPr>
          <w:rFonts w:cs="FrankRuehl"/>
          <w:sz w:val="18"/>
          <w:szCs w:val="22"/>
          <w:rtl/>
          <w:lang w:eastAsia="he-IL"/>
        </w:rPr>
        <w:t xml:space="preserve"> את החלט</w:t>
      </w:r>
      <w:r w:rsidRPr="00582A43">
        <w:rPr>
          <w:rFonts w:cs="FrankRuehl" w:hint="cs"/>
          <w:sz w:val="18"/>
          <w:szCs w:val="22"/>
          <w:rtl/>
          <w:lang w:eastAsia="he-IL"/>
        </w:rPr>
        <w:t>ת הממשלה מס'</w:t>
      </w:r>
      <w:r w:rsidRPr="00582A43">
        <w:rPr>
          <w:rFonts w:cs="FrankRuehl"/>
          <w:sz w:val="18"/>
          <w:szCs w:val="22"/>
          <w:rtl/>
          <w:lang w:eastAsia="he-IL"/>
        </w:rPr>
        <w:t xml:space="preserve"> </w:t>
      </w:r>
      <w:r w:rsidRPr="00582A43">
        <w:rPr>
          <w:rFonts w:cs="FrankRuehl" w:hint="cs"/>
          <w:sz w:val="18"/>
          <w:szCs w:val="22"/>
          <w:rtl/>
          <w:lang w:eastAsia="he-IL"/>
        </w:rPr>
        <w:t xml:space="preserve">5208 מנובמבר 2012, ולפיה "ימוסדו מנגנונים ותהליכים קבועים לקיום דיונים אסטרטגיים... לרבות בחירה של הדרג הפוליטי את הסוגיות הכלכליות והחברתיות בהן יתמקד הדרג המקצועי, הקמת פורום חשיבה בין - משרדי, וצוות ניהול בראשות מנכ"ל משרד ראש הממשלה וגורמי מטה נוספים הבוחן את התקדמות המענה הממשלתי לסוגיות שהוגדרו. במסגרת זו, תחום הדיור נבחר לאחד מששת הנושאים שהוכנסו להערכת המצב האסטרטגית הממשלתית אשר הוצגה לממשלה הנוכחית לאחר כינונה (מאי 2013)". </w:t>
      </w:r>
    </w:p>
    <w:p w:rsidR="00E97EDA" w:rsidRPr="00582A43" w:rsidP="00A7557B">
      <w:pPr>
        <w:spacing w:after="240" w:line="230" w:lineRule="exact"/>
        <w:jc w:val="both"/>
        <w:rPr>
          <w:rFonts w:cs="FrankRuehl"/>
          <w:sz w:val="18"/>
          <w:szCs w:val="22"/>
          <w:rtl/>
          <w:lang w:eastAsia="he-IL"/>
        </w:rPr>
      </w:pPr>
      <w:r w:rsidRPr="00582A43">
        <w:rPr>
          <w:rFonts w:cs="FrankRuehl" w:hint="cs"/>
          <w:sz w:val="18"/>
          <w:szCs w:val="22"/>
          <w:rtl/>
          <w:lang w:eastAsia="he-IL"/>
        </w:rPr>
        <w:t>מנכ"ל משרד ראש הממשלה גם ציין בתשובתו כי "משרד ראש הממשלה יזם את מדריך התכנון הממשלתי</w:t>
      </w:r>
      <w:r>
        <w:rPr>
          <w:rFonts w:cs="FrankRuehl"/>
          <w:sz w:val="18"/>
          <w:szCs w:val="22"/>
          <w:vertAlign w:val="superscript"/>
          <w:rtl/>
          <w:lang w:eastAsia="he-IL"/>
        </w:rPr>
        <w:footnoteReference w:id="97"/>
      </w:r>
      <w:r w:rsidRPr="00582A43">
        <w:rPr>
          <w:rFonts w:cs="FrankRuehl" w:hint="cs"/>
          <w:sz w:val="18"/>
          <w:szCs w:val="22"/>
          <w:rtl/>
          <w:lang w:eastAsia="he-IL"/>
        </w:rPr>
        <w:t xml:space="preserve">. </w:t>
      </w:r>
      <w:r w:rsidRPr="00582A43">
        <w:rPr>
          <w:rFonts w:cs="FrankRuehl" w:hint="eastAsia"/>
          <w:sz w:val="18"/>
          <w:szCs w:val="22"/>
          <w:rtl/>
          <w:lang w:eastAsia="he-IL"/>
        </w:rPr>
        <w:t>במדריך</w:t>
      </w:r>
      <w:r w:rsidRPr="00582A43">
        <w:rPr>
          <w:rFonts w:cs="FrankRuehl"/>
          <w:sz w:val="18"/>
          <w:szCs w:val="22"/>
          <w:rtl/>
          <w:lang w:eastAsia="he-IL"/>
        </w:rPr>
        <w:t xml:space="preserve"> </w:t>
      </w:r>
      <w:r w:rsidRPr="00582A43">
        <w:rPr>
          <w:rFonts w:cs="FrankRuehl" w:hint="eastAsia"/>
          <w:sz w:val="18"/>
          <w:szCs w:val="22"/>
          <w:rtl/>
          <w:lang w:eastAsia="he-IL"/>
        </w:rPr>
        <w:t>זה</w:t>
      </w:r>
      <w:r w:rsidRPr="00582A43">
        <w:rPr>
          <w:rFonts w:cs="FrankRuehl"/>
          <w:sz w:val="18"/>
          <w:szCs w:val="22"/>
          <w:rtl/>
          <w:lang w:eastAsia="he-IL"/>
        </w:rPr>
        <w:t xml:space="preserve"> </w:t>
      </w:r>
      <w:r w:rsidRPr="00582A43">
        <w:rPr>
          <w:rFonts w:cs="FrankRuehl" w:hint="eastAsia"/>
          <w:sz w:val="18"/>
          <w:szCs w:val="22"/>
          <w:rtl/>
          <w:lang w:eastAsia="he-IL"/>
        </w:rPr>
        <w:t>מוגדרים</w:t>
      </w:r>
      <w:r w:rsidRPr="00582A43">
        <w:rPr>
          <w:rFonts w:cs="FrankRuehl"/>
          <w:sz w:val="18"/>
          <w:szCs w:val="22"/>
          <w:rtl/>
          <w:lang w:eastAsia="he-IL"/>
        </w:rPr>
        <w:t xml:space="preserve"> </w:t>
      </w:r>
      <w:r w:rsidRPr="00582A43">
        <w:rPr>
          <w:rFonts w:cs="FrankRuehl" w:hint="eastAsia"/>
          <w:sz w:val="18"/>
          <w:szCs w:val="22"/>
          <w:rtl/>
          <w:lang w:eastAsia="he-IL"/>
        </w:rPr>
        <w:t>קוים</w:t>
      </w:r>
      <w:r w:rsidRPr="00582A43">
        <w:rPr>
          <w:rFonts w:cs="FrankRuehl"/>
          <w:sz w:val="18"/>
          <w:szCs w:val="22"/>
          <w:rtl/>
          <w:lang w:eastAsia="he-IL"/>
        </w:rPr>
        <w:t xml:space="preserve"> </w:t>
      </w:r>
      <w:r w:rsidRPr="00582A43">
        <w:rPr>
          <w:rFonts w:cs="FrankRuehl" w:hint="eastAsia"/>
          <w:sz w:val="18"/>
          <w:szCs w:val="22"/>
          <w:rtl/>
          <w:lang w:eastAsia="he-IL"/>
        </w:rPr>
        <w:t>מנחים</w:t>
      </w:r>
      <w:r w:rsidRPr="00582A43">
        <w:rPr>
          <w:rFonts w:cs="FrankRuehl"/>
          <w:sz w:val="18"/>
          <w:szCs w:val="22"/>
          <w:rtl/>
          <w:lang w:eastAsia="he-IL"/>
        </w:rPr>
        <w:t xml:space="preserve"> </w:t>
      </w:r>
      <w:r w:rsidRPr="00582A43">
        <w:rPr>
          <w:rFonts w:cs="FrankRuehl" w:hint="eastAsia"/>
          <w:sz w:val="18"/>
          <w:szCs w:val="22"/>
          <w:rtl/>
          <w:lang w:eastAsia="he-IL"/>
        </w:rPr>
        <w:t>לקביעת</w:t>
      </w:r>
      <w:r w:rsidRPr="00582A43">
        <w:rPr>
          <w:rFonts w:cs="FrankRuehl"/>
          <w:sz w:val="18"/>
          <w:szCs w:val="22"/>
          <w:rtl/>
          <w:lang w:eastAsia="he-IL"/>
        </w:rPr>
        <w:t xml:space="preserve"> </w:t>
      </w:r>
      <w:r w:rsidRPr="00582A43">
        <w:rPr>
          <w:rFonts w:cs="FrankRuehl" w:hint="eastAsia"/>
          <w:sz w:val="18"/>
          <w:szCs w:val="22"/>
          <w:rtl/>
          <w:lang w:eastAsia="he-IL"/>
        </w:rPr>
        <w:t>תכנית</w:t>
      </w:r>
      <w:r w:rsidRPr="00582A43">
        <w:rPr>
          <w:rFonts w:cs="FrankRuehl"/>
          <w:sz w:val="18"/>
          <w:szCs w:val="22"/>
          <w:rtl/>
          <w:lang w:eastAsia="he-IL"/>
        </w:rPr>
        <w:t xml:space="preserve"> </w:t>
      </w:r>
      <w:r w:rsidRPr="00582A43">
        <w:rPr>
          <w:rFonts w:cs="FrankRuehl" w:hint="eastAsia"/>
          <w:sz w:val="18"/>
          <w:szCs w:val="22"/>
          <w:rtl/>
          <w:lang w:eastAsia="he-IL"/>
        </w:rPr>
        <w:t>מדיניות</w:t>
      </w:r>
      <w:r w:rsidRPr="00582A43">
        <w:rPr>
          <w:rFonts w:cs="FrankRuehl"/>
          <w:sz w:val="18"/>
          <w:szCs w:val="22"/>
          <w:rtl/>
          <w:lang w:eastAsia="he-IL"/>
        </w:rPr>
        <w:t xml:space="preserve"> </w:t>
      </w:r>
      <w:r w:rsidRPr="00582A43">
        <w:rPr>
          <w:rFonts w:cs="FrankRuehl" w:hint="eastAsia"/>
          <w:sz w:val="18"/>
          <w:szCs w:val="22"/>
          <w:rtl/>
          <w:lang w:eastAsia="he-IL"/>
        </w:rPr>
        <w:t>ייעודית</w:t>
      </w:r>
      <w:r w:rsidRPr="00582A43">
        <w:rPr>
          <w:rFonts w:cs="FrankRuehl"/>
          <w:sz w:val="18"/>
          <w:szCs w:val="22"/>
          <w:rtl/>
          <w:lang w:eastAsia="he-IL"/>
        </w:rPr>
        <w:t xml:space="preserve"> (עמ' 100 </w:t>
      </w:r>
      <w:r w:rsidRPr="00582A43">
        <w:rPr>
          <w:rFonts w:cs="FrankRuehl" w:hint="eastAsia"/>
          <w:sz w:val="18"/>
          <w:szCs w:val="22"/>
          <w:rtl/>
          <w:lang w:eastAsia="he-IL"/>
        </w:rPr>
        <w:t>למדריך</w:t>
      </w:r>
      <w:r w:rsidRPr="00582A43">
        <w:rPr>
          <w:rFonts w:cs="FrankRuehl"/>
          <w:sz w:val="18"/>
          <w:szCs w:val="22"/>
          <w:rtl/>
          <w:lang w:eastAsia="he-IL"/>
        </w:rPr>
        <w:t xml:space="preserve"> </w:t>
      </w:r>
      <w:r w:rsidRPr="00582A43">
        <w:rPr>
          <w:rFonts w:cs="FrankRuehl" w:hint="eastAsia"/>
          <w:sz w:val="18"/>
          <w:szCs w:val="22"/>
          <w:rtl/>
          <w:lang w:eastAsia="he-IL"/>
        </w:rPr>
        <w:t>התכנון</w:t>
      </w:r>
      <w:r w:rsidRPr="00582A43">
        <w:rPr>
          <w:rFonts w:cs="FrankRuehl"/>
          <w:sz w:val="18"/>
          <w:szCs w:val="22"/>
          <w:rtl/>
          <w:lang w:eastAsia="he-IL"/>
        </w:rPr>
        <w:t>),</w:t>
      </w:r>
      <w:r w:rsidRPr="00582A43">
        <w:rPr>
          <w:rFonts w:cs="FrankRuehl" w:hint="cs"/>
          <w:b/>
          <w:bCs/>
          <w:sz w:val="18"/>
          <w:szCs w:val="22"/>
          <w:rtl/>
          <w:lang w:eastAsia="he-IL"/>
        </w:rPr>
        <w:t xml:space="preserve"> </w:t>
      </w:r>
      <w:r w:rsidRPr="00582A43">
        <w:rPr>
          <w:rFonts w:cs="FrankRuehl" w:hint="eastAsia"/>
          <w:sz w:val="18"/>
          <w:szCs w:val="22"/>
          <w:rtl/>
          <w:lang w:eastAsia="he-IL"/>
        </w:rPr>
        <w:t>אשר</w:t>
      </w:r>
      <w:r w:rsidRPr="00582A43">
        <w:rPr>
          <w:rFonts w:cs="FrankRuehl"/>
          <w:sz w:val="18"/>
          <w:szCs w:val="22"/>
          <w:rtl/>
          <w:lang w:eastAsia="he-IL"/>
        </w:rPr>
        <w:t xml:space="preserve"> </w:t>
      </w:r>
      <w:r w:rsidRPr="00582A43">
        <w:rPr>
          <w:rFonts w:cs="FrankRuehl" w:hint="eastAsia"/>
          <w:sz w:val="18"/>
          <w:szCs w:val="22"/>
          <w:rtl/>
          <w:lang w:eastAsia="he-IL"/>
        </w:rPr>
        <w:t>מתווים</w:t>
      </w:r>
      <w:r w:rsidRPr="00582A43">
        <w:rPr>
          <w:rFonts w:cs="FrankRuehl"/>
          <w:sz w:val="18"/>
          <w:szCs w:val="22"/>
          <w:rtl/>
          <w:lang w:eastAsia="he-IL"/>
        </w:rPr>
        <w:t xml:space="preserve"> </w:t>
      </w:r>
      <w:r w:rsidRPr="00582A43">
        <w:rPr>
          <w:rFonts w:cs="FrankRuehl" w:hint="eastAsia"/>
          <w:sz w:val="18"/>
          <w:szCs w:val="22"/>
          <w:rtl/>
          <w:lang w:eastAsia="he-IL"/>
        </w:rPr>
        <w:t>שלבים</w:t>
      </w:r>
      <w:r w:rsidRPr="00582A43">
        <w:rPr>
          <w:rFonts w:cs="FrankRuehl"/>
          <w:sz w:val="18"/>
          <w:szCs w:val="22"/>
          <w:rtl/>
          <w:lang w:eastAsia="he-IL"/>
        </w:rPr>
        <w:t xml:space="preserve"> </w:t>
      </w:r>
      <w:r w:rsidRPr="00582A43">
        <w:rPr>
          <w:rFonts w:cs="FrankRuehl" w:hint="eastAsia"/>
          <w:sz w:val="18"/>
          <w:szCs w:val="22"/>
          <w:rtl/>
          <w:lang w:eastAsia="he-IL"/>
        </w:rPr>
        <w:t>לגיבוש</w:t>
      </w:r>
      <w:r w:rsidRPr="00582A43">
        <w:rPr>
          <w:rFonts w:cs="FrankRuehl"/>
          <w:sz w:val="18"/>
          <w:szCs w:val="22"/>
          <w:rtl/>
          <w:lang w:eastAsia="he-IL"/>
        </w:rPr>
        <w:t xml:space="preserve"> </w:t>
      </w:r>
      <w:r w:rsidRPr="00582A43">
        <w:rPr>
          <w:rFonts w:cs="FrankRuehl" w:hint="eastAsia"/>
          <w:sz w:val="18"/>
          <w:szCs w:val="22"/>
          <w:rtl/>
          <w:lang w:eastAsia="he-IL"/>
        </w:rPr>
        <w:t>מדיניות</w:t>
      </w:r>
      <w:r w:rsidRPr="00582A43">
        <w:rPr>
          <w:rFonts w:cs="FrankRuehl"/>
          <w:sz w:val="18"/>
          <w:szCs w:val="22"/>
          <w:rtl/>
          <w:lang w:eastAsia="he-IL"/>
        </w:rPr>
        <w:t xml:space="preserve">. </w:t>
      </w:r>
      <w:r w:rsidRPr="00582A43">
        <w:rPr>
          <w:rFonts w:cs="FrankRuehl" w:hint="eastAsia"/>
          <w:sz w:val="18"/>
          <w:szCs w:val="22"/>
          <w:rtl/>
          <w:lang w:eastAsia="he-IL"/>
        </w:rPr>
        <w:t>חלק</w:t>
      </w:r>
      <w:r w:rsidRPr="00582A43">
        <w:rPr>
          <w:rFonts w:cs="FrankRuehl"/>
          <w:sz w:val="18"/>
          <w:szCs w:val="22"/>
          <w:rtl/>
          <w:lang w:eastAsia="he-IL"/>
        </w:rPr>
        <w:t xml:space="preserve"> </w:t>
      </w:r>
      <w:r w:rsidRPr="00582A43">
        <w:rPr>
          <w:rFonts w:cs="FrankRuehl" w:hint="eastAsia"/>
          <w:sz w:val="18"/>
          <w:szCs w:val="22"/>
          <w:rtl/>
          <w:lang w:eastAsia="he-IL"/>
        </w:rPr>
        <w:t>זה</w:t>
      </w:r>
      <w:r w:rsidRPr="00582A43">
        <w:rPr>
          <w:rFonts w:cs="FrankRuehl"/>
          <w:sz w:val="18"/>
          <w:szCs w:val="22"/>
          <w:rtl/>
          <w:lang w:eastAsia="he-IL"/>
        </w:rPr>
        <w:t xml:space="preserve"> </w:t>
      </w:r>
      <w:r w:rsidRPr="00582A43">
        <w:rPr>
          <w:rFonts w:cs="FrankRuehl" w:hint="eastAsia"/>
          <w:sz w:val="18"/>
          <w:szCs w:val="22"/>
          <w:rtl/>
          <w:lang w:eastAsia="he-IL"/>
        </w:rPr>
        <w:t>במדריך</w:t>
      </w:r>
      <w:r w:rsidRPr="00582A43">
        <w:rPr>
          <w:rFonts w:cs="FrankRuehl"/>
          <w:sz w:val="18"/>
          <w:szCs w:val="22"/>
          <w:rtl/>
          <w:lang w:eastAsia="he-IL"/>
        </w:rPr>
        <w:t xml:space="preserve"> </w:t>
      </w:r>
      <w:r w:rsidRPr="00582A43">
        <w:rPr>
          <w:rFonts w:cs="FrankRuehl" w:hint="eastAsia"/>
          <w:sz w:val="18"/>
          <w:szCs w:val="22"/>
          <w:rtl/>
          <w:lang w:eastAsia="he-IL"/>
        </w:rPr>
        <w:t>התכנון</w:t>
      </w:r>
      <w:r w:rsidRPr="00582A43">
        <w:rPr>
          <w:rFonts w:cs="FrankRuehl"/>
          <w:sz w:val="18"/>
          <w:szCs w:val="22"/>
          <w:rtl/>
          <w:lang w:eastAsia="he-IL"/>
        </w:rPr>
        <w:t xml:space="preserve"> </w:t>
      </w:r>
      <w:r w:rsidRPr="00582A43">
        <w:rPr>
          <w:rFonts w:cs="FrankRuehl" w:hint="eastAsia"/>
          <w:sz w:val="18"/>
          <w:szCs w:val="22"/>
          <w:rtl/>
          <w:lang w:eastAsia="he-IL"/>
        </w:rPr>
        <w:t>מהווה</w:t>
      </w:r>
      <w:r w:rsidRPr="00582A43">
        <w:rPr>
          <w:rFonts w:cs="FrankRuehl"/>
          <w:sz w:val="18"/>
          <w:szCs w:val="22"/>
          <w:rtl/>
          <w:lang w:eastAsia="he-IL"/>
        </w:rPr>
        <w:t xml:space="preserve"> </w:t>
      </w:r>
      <w:r w:rsidRPr="00582A43">
        <w:rPr>
          <w:rFonts w:cs="FrankRuehl" w:hint="eastAsia"/>
          <w:sz w:val="18"/>
          <w:szCs w:val="22"/>
          <w:rtl/>
          <w:lang w:eastAsia="he-IL"/>
        </w:rPr>
        <w:t>מתכונת</w:t>
      </w:r>
      <w:r w:rsidRPr="00582A43">
        <w:rPr>
          <w:rFonts w:cs="FrankRuehl"/>
          <w:sz w:val="18"/>
          <w:szCs w:val="22"/>
          <w:rtl/>
          <w:lang w:eastAsia="he-IL"/>
        </w:rPr>
        <w:t xml:space="preserve"> </w:t>
      </w:r>
      <w:r w:rsidRPr="00582A43">
        <w:rPr>
          <w:rFonts w:cs="FrankRuehl" w:hint="eastAsia"/>
          <w:sz w:val="18"/>
          <w:szCs w:val="22"/>
          <w:rtl/>
          <w:lang w:eastAsia="he-IL"/>
        </w:rPr>
        <w:t>לגיבוש</w:t>
      </w:r>
      <w:r w:rsidRPr="00582A43">
        <w:rPr>
          <w:rFonts w:cs="FrankRuehl"/>
          <w:sz w:val="18"/>
          <w:szCs w:val="22"/>
          <w:rtl/>
          <w:lang w:eastAsia="he-IL"/>
        </w:rPr>
        <w:t xml:space="preserve"> </w:t>
      </w:r>
      <w:r w:rsidRPr="00582A43">
        <w:rPr>
          <w:rFonts w:cs="FrankRuehl" w:hint="eastAsia"/>
          <w:sz w:val="18"/>
          <w:szCs w:val="22"/>
          <w:rtl/>
          <w:lang w:eastAsia="he-IL"/>
        </w:rPr>
        <w:t>מדיניות</w:t>
      </w:r>
      <w:r w:rsidRPr="00582A43">
        <w:rPr>
          <w:rFonts w:cs="FrankRuehl"/>
          <w:sz w:val="18"/>
          <w:szCs w:val="22"/>
          <w:rtl/>
          <w:lang w:eastAsia="he-IL"/>
        </w:rPr>
        <w:t xml:space="preserve"> </w:t>
      </w:r>
      <w:r w:rsidRPr="00582A43">
        <w:rPr>
          <w:rFonts w:cs="FrankRuehl" w:hint="eastAsia"/>
          <w:sz w:val="18"/>
          <w:szCs w:val="22"/>
          <w:rtl/>
          <w:lang w:eastAsia="he-IL"/>
        </w:rPr>
        <w:t>ממשלתית</w:t>
      </w:r>
      <w:r w:rsidRPr="00582A43">
        <w:rPr>
          <w:rFonts w:cs="FrankRuehl" w:hint="cs"/>
          <w:sz w:val="18"/>
          <w:szCs w:val="22"/>
          <w:rtl/>
          <w:lang w:eastAsia="he-IL"/>
        </w:rPr>
        <w:t>" (להלן - מדריך התכנון הממשלתי).</w:t>
      </w:r>
    </w:p>
    <w:p w:rsidR="00D22B16" w:rsidRPr="00582A43" w:rsidP="00AC7A47">
      <w:pPr>
        <w:pStyle w:val="RESHET"/>
        <w:keepLines/>
        <w:rPr>
          <w:rtl/>
        </w:rPr>
      </w:pPr>
      <w:r w:rsidRPr="00582A43">
        <w:rPr>
          <w:rFonts w:hint="cs"/>
          <w:rtl/>
        </w:rPr>
        <w:t>לדעת משרד מבקר המדינה, ההחלטה למסד ולשפר את</w:t>
      </w:r>
      <w:r w:rsidRPr="00582A43">
        <w:rPr>
          <w:rtl/>
        </w:rPr>
        <w:t xml:space="preserve"> יכולות הממשלה </w:t>
      </w:r>
      <w:r w:rsidRPr="00582A43">
        <w:rPr>
          <w:rFonts w:hint="cs"/>
          <w:rtl/>
        </w:rPr>
        <w:t>לקדם את ה</w:t>
      </w:r>
      <w:r w:rsidRPr="00582A43">
        <w:rPr>
          <w:rtl/>
        </w:rPr>
        <w:t>גיבוש ו</w:t>
      </w:r>
      <w:r w:rsidRPr="00582A43">
        <w:rPr>
          <w:rFonts w:hint="cs"/>
          <w:rtl/>
        </w:rPr>
        <w:t>ה</w:t>
      </w:r>
      <w:r w:rsidRPr="00582A43">
        <w:rPr>
          <w:rtl/>
        </w:rPr>
        <w:t xml:space="preserve">ניהול </w:t>
      </w:r>
      <w:r w:rsidRPr="00582A43">
        <w:rPr>
          <w:rFonts w:hint="cs"/>
          <w:rtl/>
        </w:rPr>
        <w:t xml:space="preserve">של </w:t>
      </w:r>
      <w:r w:rsidRPr="00582A43">
        <w:rPr>
          <w:rtl/>
        </w:rPr>
        <w:t>אסטרטגיה כלכלית-חברתית</w:t>
      </w:r>
      <w:r w:rsidRPr="00582A43">
        <w:rPr>
          <w:rFonts w:hint="cs"/>
          <w:rtl/>
        </w:rPr>
        <w:t xml:space="preserve"> היא החלטה חיונית שיש בה כדי לאפשר את מילוי הצורך בעבודת מטה ל</w:t>
      </w:r>
      <w:r w:rsidRPr="00582A43">
        <w:rPr>
          <w:rtl/>
        </w:rPr>
        <w:t>הכנת חומר לדיוני</w:t>
      </w:r>
      <w:r w:rsidRPr="00582A43">
        <w:rPr>
          <w:rFonts w:hint="cs"/>
          <w:rtl/>
        </w:rPr>
        <w:t>ם אסטרטגיים</w:t>
      </w:r>
      <w:r w:rsidRPr="00582A43">
        <w:rPr>
          <w:rtl/>
        </w:rPr>
        <w:t xml:space="preserve"> </w:t>
      </w:r>
      <w:r w:rsidRPr="00582A43">
        <w:rPr>
          <w:rFonts w:hint="cs"/>
          <w:rtl/>
        </w:rPr>
        <w:t>ב</w:t>
      </w:r>
      <w:r w:rsidRPr="00582A43">
        <w:rPr>
          <w:rtl/>
        </w:rPr>
        <w:t>ממשלה</w:t>
      </w:r>
      <w:r w:rsidRPr="00582A43">
        <w:rPr>
          <w:rFonts w:hint="cs"/>
          <w:rtl/>
        </w:rPr>
        <w:t xml:space="preserve"> </w:t>
      </w:r>
      <w:r w:rsidRPr="00582A43">
        <w:rPr>
          <w:rtl/>
        </w:rPr>
        <w:t>בתחומי מדיניות ובסדרי קדימויות לאומיים</w:t>
      </w:r>
      <w:r w:rsidRPr="00582A43">
        <w:rPr>
          <w:rFonts w:hint="cs"/>
          <w:rtl/>
        </w:rPr>
        <w:t xml:space="preserve">. גם </w:t>
      </w:r>
      <w:r w:rsidRPr="00582A43">
        <w:rPr>
          <w:rtl/>
        </w:rPr>
        <w:t>מדריך התכנון הממשלתי</w:t>
      </w:r>
      <w:r w:rsidRPr="00582A43">
        <w:rPr>
          <w:rFonts w:hint="cs"/>
          <w:rtl/>
        </w:rPr>
        <w:t>, ה</w:t>
      </w:r>
      <w:r w:rsidRPr="00582A43">
        <w:rPr>
          <w:rFonts w:hint="eastAsia"/>
          <w:rtl/>
        </w:rPr>
        <w:t>מתמקד</w:t>
      </w:r>
      <w:r w:rsidRPr="00582A43">
        <w:rPr>
          <w:rtl/>
        </w:rPr>
        <w:t xml:space="preserve"> </w:t>
      </w:r>
      <w:r w:rsidRPr="00582A43">
        <w:rPr>
          <w:rFonts w:hint="eastAsia"/>
          <w:rtl/>
        </w:rPr>
        <w:t>בעיקר</w:t>
      </w:r>
      <w:r w:rsidRPr="00582A43">
        <w:rPr>
          <w:rtl/>
        </w:rPr>
        <w:t xml:space="preserve"> </w:t>
      </w:r>
      <w:r w:rsidRPr="00582A43">
        <w:rPr>
          <w:rFonts w:hint="eastAsia"/>
          <w:rtl/>
        </w:rPr>
        <w:t>ב</w:t>
      </w:r>
      <w:r w:rsidRPr="00582A43">
        <w:rPr>
          <w:rFonts w:hint="cs"/>
          <w:rtl/>
        </w:rPr>
        <w:t>אופן שבו יש לגבש</w:t>
      </w:r>
      <w:r w:rsidRPr="00582A43">
        <w:rPr>
          <w:rtl/>
        </w:rPr>
        <w:t xml:space="preserve"> </w:t>
      </w:r>
      <w:r w:rsidRPr="00582A43">
        <w:rPr>
          <w:rFonts w:hint="eastAsia"/>
          <w:rtl/>
        </w:rPr>
        <w:t>תכניות</w:t>
      </w:r>
      <w:r w:rsidRPr="00582A43">
        <w:rPr>
          <w:rtl/>
        </w:rPr>
        <w:t xml:space="preserve"> עבודה</w:t>
      </w:r>
      <w:r w:rsidRPr="00582A43">
        <w:rPr>
          <w:rFonts w:hint="cs"/>
          <w:rtl/>
        </w:rPr>
        <w:t>,</w:t>
      </w:r>
      <w:r w:rsidRPr="00582A43">
        <w:rPr>
          <w:rtl/>
        </w:rPr>
        <w:t xml:space="preserve"> הוא נדבך מתודולוגי חשוב בהסדרת עבודת המטה </w:t>
      </w:r>
      <w:r w:rsidRPr="00582A43">
        <w:rPr>
          <w:rFonts w:hint="cs"/>
          <w:rtl/>
        </w:rPr>
        <w:t xml:space="preserve">לצורך </w:t>
      </w:r>
      <w:r w:rsidRPr="00582A43">
        <w:rPr>
          <w:rtl/>
        </w:rPr>
        <w:t>עריכת תכניות ייעודיות ותכניות עבודה שנתיות</w:t>
      </w:r>
      <w:r w:rsidRPr="00582A43">
        <w:rPr>
          <w:rFonts w:hint="cs"/>
          <w:rtl/>
        </w:rPr>
        <w:t xml:space="preserve">. </w:t>
      </w:r>
    </w:p>
    <w:p w:rsidR="00E97EDA" w:rsidRPr="00582A43" w:rsidP="000346E3">
      <w:pPr>
        <w:spacing w:before="180" w:after="120" w:line="230" w:lineRule="exact"/>
        <w:jc w:val="both"/>
        <w:rPr>
          <w:rFonts w:cs="FrankRuehl"/>
          <w:sz w:val="18"/>
          <w:szCs w:val="22"/>
          <w:rtl/>
          <w:lang w:eastAsia="he-IL"/>
        </w:rPr>
      </w:pPr>
      <w:r w:rsidRPr="00582A43">
        <w:rPr>
          <w:rFonts w:cs="FrankRuehl" w:hint="eastAsia"/>
          <w:spacing w:val="40"/>
          <w:sz w:val="18"/>
          <w:szCs w:val="22"/>
          <w:rtl/>
        </w:rPr>
        <w:t>תגובת</w:t>
      </w:r>
      <w:r w:rsidRPr="00582A43">
        <w:rPr>
          <w:rFonts w:cs="FrankRuehl"/>
          <w:spacing w:val="40"/>
          <w:sz w:val="18"/>
          <w:szCs w:val="22"/>
          <w:rtl/>
        </w:rPr>
        <w:t xml:space="preserve"> </w:t>
      </w:r>
      <w:r w:rsidRPr="00582A43">
        <w:rPr>
          <w:rFonts w:cs="FrankRuehl" w:hint="cs"/>
          <w:spacing w:val="40"/>
          <w:sz w:val="18"/>
          <w:szCs w:val="22"/>
          <w:rtl/>
        </w:rPr>
        <w:t>אג"ת</w:t>
      </w:r>
      <w:r w:rsidRPr="00582A43">
        <w:rPr>
          <w:rFonts w:cs="FrankRuehl"/>
          <w:spacing w:val="40"/>
          <w:sz w:val="18"/>
          <w:szCs w:val="22"/>
          <w:rtl/>
        </w:rPr>
        <w:t xml:space="preserve">: </w:t>
      </w:r>
      <w:r w:rsidRPr="00582A43">
        <w:rPr>
          <w:rFonts w:cs="FrankRuehl" w:hint="cs"/>
          <w:sz w:val="18"/>
          <w:szCs w:val="22"/>
          <w:rtl/>
          <w:lang w:eastAsia="he-IL"/>
        </w:rPr>
        <w:t>האגף השיב כי "במסגרת הסיכומים על שינוי מבנה ארגוני ותכנית פרישה במשרד הבינוי והשיכון הוחלט על הקמתה של יחידת התכנון האסטרטגי. לאחרונה מונה מנהל במכרז פומבי והיחידה נמצאת בהקמה. כמו כן, במסגרת הרפורמה במינהל מקרקעי ישראל והפיכתה לרשות, הוחלט כי במבנה הארגוני החדש תוגדר משרה אחת לטובת ניהול תחום אסטרטגיה וטווח ארוך".</w:t>
      </w:r>
    </w:p>
    <w:p w:rsidR="00E97EDA" w:rsidRPr="00582A43" w:rsidP="00A7557B">
      <w:pPr>
        <w:spacing w:after="240" w:line="230" w:lineRule="exact"/>
        <w:jc w:val="both"/>
        <w:rPr>
          <w:rFonts w:cs="FrankRuehl"/>
          <w:sz w:val="18"/>
          <w:szCs w:val="22"/>
          <w:rtl/>
          <w:lang w:eastAsia="he-IL"/>
        </w:rPr>
      </w:pPr>
      <w:r w:rsidRPr="00582A43">
        <w:rPr>
          <w:rFonts w:cs="FrankRuehl" w:hint="eastAsia"/>
          <w:spacing w:val="40"/>
          <w:sz w:val="18"/>
          <w:szCs w:val="22"/>
          <w:rtl/>
        </w:rPr>
        <w:t>תגובת</w:t>
      </w:r>
      <w:r w:rsidRPr="00582A43">
        <w:rPr>
          <w:rFonts w:cs="FrankRuehl"/>
          <w:spacing w:val="40"/>
          <w:sz w:val="18"/>
          <w:szCs w:val="22"/>
          <w:rtl/>
        </w:rPr>
        <w:t xml:space="preserve"> </w:t>
      </w:r>
      <w:r w:rsidRPr="00582A43">
        <w:rPr>
          <w:rFonts w:cs="FrankRuehl" w:hint="eastAsia"/>
          <w:spacing w:val="40"/>
          <w:sz w:val="18"/>
          <w:szCs w:val="22"/>
          <w:rtl/>
        </w:rPr>
        <w:t>נציבות</w:t>
      </w:r>
      <w:r w:rsidRPr="00582A43">
        <w:rPr>
          <w:rFonts w:cs="FrankRuehl"/>
          <w:spacing w:val="40"/>
          <w:sz w:val="18"/>
          <w:szCs w:val="22"/>
          <w:rtl/>
        </w:rPr>
        <w:t xml:space="preserve"> </w:t>
      </w:r>
      <w:r w:rsidRPr="00582A43">
        <w:rPr>
          <w:rFonts w:cs="FrankRuehl" w:hint="eastAsia"/>
          <w:spacing w:val="40"/>
          <w:sz w:val="18"/>
          <w:szCs w:val="22"/>
          <w:rtl/>
        </w:rPr>
        <w:t>שירות</w:t>
      </w:r>
      <w:r w:rsidRPr="00582A43">
        <w:rPr>
          <w:rFonts w:cs="FrankRuehl"/>
          <w:spacing w:val="40"/>
          <w:sz w:val="18"/>
          <w:szCs w:val="22"/>
          <w:rtl/>
        </w:rPr>
        <w:t xml:space="preserve"> </w:t>
      </w:r>
      <w:r w:rsidRPr="00582A43">
        <w:rPr>
          <w:rFonts w:cs="FrankRuehl" w:hint="eastAsia"/>
          <w:spacing w:val="40"/>
          <w:sz w:val="18"/>
          <w:szCs w:val="22"/>
          <w:rtl/>
        </w:rPr>
        <w:t>המדינה</w:t>
      </w:r>
      <w:r w:rsidRPr="00582A43">
        <w:rPr>
          <w:rFonts w:cs="FrankRuehl"/>
          <w:spacing w:val="40"/>
          <w:sz w:val="18"/>
          <w:szCs w:val="22"/>
          <w:rtl/>
        </w:rPr>
        <w:t xml:space="preserve">: </w:t>
      </w:r>
      <w:r w:rsidRPr="00582A43">
        <w:rPr>
          <w:rFonts w:cs="FrankRuehl" w:hint="cs"/>
          <w:sz w:val="18"/>
          <w:szCs w:val="22"/>
          <w:rtl/>
          <w:lang w:eastAsia="he-IL"/>
        </w:rPr>
        <w:t>במרץ 2014 השיבה נציבות שירות המדינה כי היא "מובילה בימים אלה רפורמה לשיפור מנגנוני ניהול ההון האנושי, בהתאם להחלטת הממשלה ובעקבות דו"ח ועדה שדנה בנושא". הרפורמה מתמקדת בתחום ניהול ההון האנושי ו</w:t>
      </w:r>
      <w:r w:rsidRPr="00582A43">
        <w:rPr>
          <w:rFonts w:cs="FrankRuehl"/>
          <w:sz w:val="18"/>
          <w:szCs w:val="22"/>
          <w:rtl/>
          <w:lang w:eastAsia="he-IL"/>
        </w:rPr>
        <w:t>אי</w:t>
      </w:r>
      <w:r w:rsidRPr="00582A43">
        <w:rPr>
          <w:rFonts w:cs="FrankRuehl" w:hint="cs"/>
          <w:sz w:val="18"/>
          <w:szCs w:val="22"/>
          <w:rtl/>
          <w:lang w:eastAsia="he-IL"/>
        </w:rPr>
        <w:t>ן היא</w:t>
      </w:r>
      <w:r w:rsidRPr="00582A43">
        <w:rPr>
          <w:rFonts w:cs="FrankRuehl"/>
          <w:sz w:val="18"/>
          <w:szCs w:val="22"/>
          <w:rtl/>
          <w:lang w:eastAsia="he-IL"/>
        </w:rPr>
        <w:t xml:space="preserve"> כוללת נושאי תורת ניהול</w:t>
      </w:r>
      <w:r w:rsidRPr="00582A43">
        <w:rPr>
          <w:rFonts w:cs="FrankRuehl" w:hint="cs"/>
          <w:sz w:val="18"/>
          <w:szCs w:val="22"/>
          <w:rtl/>
          <w:lang w:eastAsia="he-IL"/>
        </w:rPr>
        <w:t>, ובהם</w:t>
      </w:r>
      <w:r w:rsidRPr="00582A43">
        <w:rPr>
          <w:rFonts w:cs="FrankRuehl"/>
          <w:sz w:val="18"/>
          <w:szCs w:val="22"/>
          <w:rtl/>
          <w:lang w:eastAsia="he-IL"/>
        </w:rPr>
        <w:t xml:space="preserve"> עבודת המטה של משרדי הממשלה, קביעת מדיניות, סדרי קבלת החלטות, תיאום </w:t>
      </w:r>
      <w:r w:rsidRPr="00582A43">
        <w:rPr>
          <w:rFonts w:cs="FrankRuehl" w:hint="cs"/>
          <w:sz w:val="18"/>
          <w:szCs w:val="22"/>
          <w:rtl/>
          <w:lang w:eastAsia="he-IL"/>
        </w:rPr>
        <w:t>ו</w:t>
      </w:r>
      <w:r w:rsidRPr="00582A43">
        <w:rPr>
          <w:rFonts w:cs="FrankRuehl"/>
          <w:sz w:val="18"/>
          <w:szCs w:val="22"/>
          <w:rtl/>
          <w:lang w:eastAsia="he-IL"/>
        </w:rPr>
        <w:t>בקרה</w:t>
      </w:r>
      <w:r w:rsidRPr="00582A43">
        <w:rPr>
          <w:rFonts w:cs="FrankRuehl" w:hint="cs"/>
          <w:sz w:val="18"/>
          <w:szCs w:val="22"/>
          <w:rtl/>
          <w:lang w:eastAsia="he-IL"/>
        </w:rPr>
        <w:t xml:space="preserve">. עוד ציינה הנציבות כי </w:t>
      </w:r>
      <w:r w:rsidRPr="00582A43">
        <w:rPr>
          <w:rFonts w:cs="FrankRuehl" w:hint="cs"/>
          <w:b/>
          <w:bCs/>
          <w:sz w:val="18"/>
          <w:szCs w:val="22"/>
          <w:rtl/>
          <w:lang w:eastAsia="he-IL"/>
        </w:rPr>
        <w:t xml:space="preserve">"כיום, לאור הרפורמה, נציבות שירות המדינה בתפיסתה החדשה אמורה להתמקד בפיתוח תורתי ובקביעת מדיניות ומתודולוגיות" </w:t>
      </w:r>
      <w:r w:rsidRPr="00582A43">
        <w:rPr>
          <w:rFonts w:cs="FrankRuehl" w:hint="cs"/>
          <w:sz w:val="18"/>
          <w:szCs w:val="22"/>
          <w:rtl/>
          <w:lang w:eastAsia="he-IL"/>
        </w:rPr>
        <w:t>(הדגשה לא במקור). אשר על כן, הנציבות סבורה ש</w:t>
      </w:r>
      <w:r w:rsidRPr="00582A43">
        <w:rPr>
          <w:rFonts w:cs="FrankRuehl" w:hint="eastAsia"/>
          <w:sz w:val="18"/>
          <w:szCs w:val="22"/>
          <w:rtl/>
          <w:lang w:eastAsia="he-IL"/>
        </w:rPr>
        <w:t>יש</w:t>
      </w:r>
      <w:r w:rsidRPr="00582A43">
        <w:rPr>
          <w:rFonts w:cs="FrankRuehl"/>
          <w:sz w:val="18"/>
          <w:szCs w:val="22"/>
          <w:rtl/>
          <w:lang w:eastAsia="he-IL"/>
        </w:rPr>
        <w:t xml:space="preserve"> </w:t>
      </w:r>
      <w:r w:rsidRPr="00582A43">
        <w:rPr>
          <w:rFonts w:cs="FrankRuehl" w:hint="eastAsia"/>
          <w:sz w:val="18"/>
          <w:szCs w:val="22"/>
          <w:rtl/>
          <w:lang w:eastAsia="he-IL"/>
        </w:rPr>
        <w:t>מקום</w:t>
      </w:r>
      <w:r w:rsidRPr="00582A43">
        <w:rPr>
          <w:rFonts w:cs="FrankRuehl"/>
          <w:sz w:val="18"/>
          <w:szCs w:val="22"/>
          <w:rtl/>
          <w:lang w:eastAsia="he-IL"/>
        </w:rPr>
        <w:t xml:space="preserve"> </w:t>
      </w:r>
      <w:r w:rsidRPr="00582A43">
        <w:rPr>
          <w:rFonts w:cs="FrankRuehl" w:hint="eastAsia"/>
          <w:sz w:val="18"/>
          <w:szCs w:val="22"/>
          <w:rtl/>
          <w:lang w:eastAsia="he-IL"/>
        </w:rPr>
        <w:t>שה</w:t>
      </w:r>
      <w:r w:rsidRPr="00582A43">
        <w:rPr>
          <w:rFonts w:cs="FrankRuehl" w:hint="cs"/>
          <w:sz w:val="18"/>
          <w:szCs w:val="22"/>
          <w:rtl/>
          <w:lang w:eastAsia="he-IL"/>
        </w:rPr>
        <w:t>יא</w:t>
      </w:r>
      <w:r w:rsidRPr="00582A43">
        <w:rPr>
          <w:rFonts w:cs="FrankRuehl"/>
          <w:sz w:val="18"/>
          <w:szCs w:val="22"/>
          <w:rtl/>
          <w:lang w:eastAsia="he-IL"/>
        </w:rPr>
        <w:t xml:space="preserve"> </w:t>
      </w:r>
      <w:r w:rsidRPr="00582A43">
        <w:rPr>
          <w:rFonts w:cs="FrankRuehl" w:hint="eastAsia"/>
          <w:sz w:val="18"/>
          <w:szCs w:val="22"/>
          <w:rtl/>
          <w:lang w:eastAsia="he-IL"/>
        </w:rPr>
        <w:t>תעסוק</w:t>
      </w:r>
      <w:r w:rsidRPr="00582A43">
        <w:rPr>
          <w:rFonts w:cs="FrankRuehl"/>
          <w:sz w:val="18"/>
          <w:szCs w:val="22"/>
          <w:rtl/>
          <w:lang w:eastAsia="he-IL"/>
        </w:rPr>
        <w:t xml:space="preserve"> </w:t>
      </w:r>
      <w:r w:rsidRPr="00582A43">
        <w:rPr>
          <w:rFonts w:cs="FrankRuehl" w:hint="eastAsia"/>
          <w:sz w:val="18"/>
          <w:szCs w:val="22"/>
          <w:rtl/>
          <w:lang w:eastAsia="he-IL"/>
        </w:rPr>
        <w:t>בפיתוח</w:t>
      </w:r>
      <w:r w:rsidRPr="00582A43">
        <w:rPr>
          <w:rFonts w:cs="FrankRuehl"/>
          <w:sz w:val="18"/>
          <w:szCs w:val="22"/>
          <w:rtl/>
          <w:lang w:eastAsia="he-IL"/>
        </w:rPr>
        <w:t xml:space="preserve"> </w:t>
      </w:r>
      <w:r w:rsidRPr="00582A43">
        <w:rPr>
          <w:rFonts w:cs="FrankRuehl" w:hint="eastAsia"/>
          <w:sz w:val="18"/>
          <w:szCs w:val="22"/>
          <w:rtl/>
          <w:lang w:eastAsia="he-IL"/>
        </w:rPr>
        <w:t>תורת</w:t>
      </w:r>
      <w:r w:rsidRPr="00582A43">
        <w:rPr>
          <w:rFonts w:cs="FrankRuehl"/>
          <w:sz w:val="18"/>
          <w:szCs w:val="22"/>
          <w:rtl/>
          <w:lang w:eastAsia="he-IL"/>
        </w:rPr>
        <w:t xml:space="preserve"> </w:t>
      </w:r>
      <w:r w:rsidRPr="00582A43">
        <w:rPr>
          <w:rFonts w:cs="FrankRuehl" w:hint="eastAsia"/>
          <w:sz w:val="18"/>
          <w:szCs w:val="22"/>
          <w:rtl/>
          <w:lang w:eastAsia="he-IL"/>
        </w:rPr>
        <w:t>הניהול</w:t>
      </w:r>
      <w:r w:rsidRPr="00582A43">
        <w:rPr>
          <w:rFonts w:cs="FrankRuehl"/>
          <w:sz w:val="18"/>
          <w:szCs w:val="22"/>
          <w:rtl/>
          <w:lang w:eastAsia="he-IL"/>
        </w:rPr>
        <w:t xml:space="preserve"> </w:t>
      </w:r>
      <w:r w:rsidRPr="00582A43">
        <w:rPr>
          <w:rFonts w:cs="FrankRuehl" w:hint="eastAsia"/>
          <w:sz w:val="18"/>
          <w:szCs w:val="22"/>
          <w:rtl/>
          <w:lang w:eastAsia="he-IL"/>
        </w:rPr>
        <w:t>בכללותה</w:t>
      </w:r>
      <w:r w:rsidRPr="00582A43">
        <w:rPr>
          <w:rFonts w:cs="FrankRuehl"/>
          <w:sz w:val="18"/>
          <w:szCs w:val="22"/>
          <w:rtl/>
          <w:lang w:eastAsia="he-IL"/>
        </w:rPr>
        <w:t xml:space="preserve"> </w:t>
      </w:r>
      <w:r w:rsidRPr="00582A43">
        <w:rPr>
          <w:rFonts w:cs="FrankRuehl" w:hint="cs"/>
          <w:sz w:val="18"/>
          <w:szCs w:val="22"/>
          <w:rtl/>
          <w:lang w:eastAsia="he-IL"/>
        </w:rPr>
        <w:t xml:space="preserve">בד בבד עם </w:t>
      </w:r>
      <w:r w:rsidRPr="00582A43">
        <w:rPr>
          <w:rFonts w:cs="FrankRuehl" w:hint="eastAsia"/>
          <w:sz w:val="18"/>
          <w:szCs w:val="22"/>
          <w:rtl/>
          <w:lang w:eastAsia="he-IL"/>
        </w:rPr>
        <w:t>תורת</w:t>
      </w:r>
      <w:r w:rsidRPr="00582A43">
        <w:rPr>
          <w:rFonts w:cs="FrankRuehl"/>
          <w:sz w:val="18"/>
          <w:szCs w:val="22"/>
          <w:rtl/>
          <w:lang w:eastAsia="he-IL"/>
        </w:rPr>
        <w:t xml:space="preserve"> </w:t>
      </w:r>
      <w:r w:rsidRPr="00582A43">
        <w:rPr>
          <w:rFonts w:cs="FrankRuehl" w:hint="eastAsia"/>
          <w:sz w:val="18"/>
          <w:szCs w:val="22"/>
          <w:rtl/>
          <w:lang w:eastAsia="he-IL"/>
        </w:rPr>
        <w:t>ניהול</w:t>
      </w:r>
      <w:r w:rsidRPr="00582A43">
        <w:rPr>
          <w:rFonts w:cs="FrankRuehl"/>
          <w:sz w:val="18"/>
          <w:szCs w:val="22"/>
          <w:rtl/>
          <w:lang w:eastAsia="he-IL"/>
        </w:rPr>
        <w:t xml:space="preserve"> </w:t>
      </w:r>
      <w:r w:rsidRPr="00582A43">
        <w:rPr>
          <w:rFonts w:cs="FrankRuehl" w:hint="eastAsia"/>
          <w:sz w:val="18"/>
          <w:szCs w:val="22"/>
          <w:rtl/>
          <w:lang w:eastAsia="he-IL"/>
        </w:rPr>
        <w:t>ההון</w:t>
      </w:r>
      <w:r w:rsidRPr="00582A43">
        <w:rPr>
          <w:rFonts w:cs="FrankRuehl"/>
          <w:sz w:val="18"/>
          <w:szCs w:val="22"/>
          <w:rtl/>
          <w:lang w:eastAsia="he-IL"/>
        </w:rPr>
        <w:t xml:space="preserve"> </w:t>
      </w:r>
      <w:r w:rsidRPr="00582A43">
        <w:rPr>
          <w:rFonts w:cs="FrankRuehl" w:hint="eastAsia"/>
          <w:sz w:val="18"/>
          <w:szCs w:val="22"/>
          <w:rtl/>
          <w:lang w:eastAsia="he-IL"/>
        </w:rPr>
        <w:t>האנושי</w:t>
      </w:r>
      <w:r w:rsidRPr="00582A43">
        <w:rPr>
          <w:rFonts w:cs="FrankRuehl" w:hint="cs"/>
          <w:sz w:val="18"/>
          <w:szCs w:val="22"/>
          <w:rtl/>
          <w:lang w:eastAsia="he-IL"/>
        </w:rPr>
        <w:t xml:space="preserve">. </w:t>
      </w:r>
    </w:p>
    <w:p w:rsidR="00E97EDA" w:rsidRPr="00582A43" w:rsidP="00F41E78">
      <w:pPr>
        <w:spacing w:after="120" w:line="230" w:lineRule="exact"/>
        <w:jc w:val="both"/>
        <w:rPr>
          <w:rFonts w:cs="FrankRuehl"/>
          <w:b/>
          <w:bCs/>
          <w:sz w:val="18"/>
          <w:szCs w:val="22"/>
          <w:rtl/>
          <w:lang w:eastAsia="he-IL"/>
        </w:rPr>
      </w:pPr>
    </w:p>
    <w:p w:rsidR="00E97EDA" w:rsidRPr="00582A43" w:rsidP="008D3837">
      <w:pPr>
        <w:pStyle w:val="KOT5"/>
        <w:rPr>
          <w:rtl/>
          <w:lang w:eastAsia="he-IL"/>
        </w:rPr>
      </w:pPr>
      <w:r w:rsidRPr="00582A43">
        <w:rPr>
          <w:rFonts w:hint="cs"/>
          <w:rtl/>
          <w:lang w:eastAsia="he-IL"/>
        </w:rPr>
        <w:t>ליקויים בעבודת המטה להתוויית מדיניות הדיור הממשלתית וליישומה</w:t>
      </w:r>
    </w:p>
    <w:p w:rsidR="00E97EDA" w:rsidRPr="00582A43" w:rsidP="008D3837">
      <w:pPr>
        <w:pStyle w:val="KOT6"/>
        <w:rPr>
          <w:rtl/>
          <w:lang w:eastAsia="he-IL"/>
        </w:rPr>
      </w:pPr>
      <w:r w:rsidRPr="00582A43">
        <w:rPr>
          <w:rtl/>
        </w:rPr>
        <w:t xml:space="preserve">יעדי מדיניות </w:t>
      </w:r>
      <w:r w:rsidRPr="00582A43">
        <w:rPr>
          <w:rFonts w:hint="eastAsia"/>
          <w:rtl/>
        </w:rPr>
        <w:t>ה</w:t>
      </w:r>
      <w:r w:rsidRPr="00582A43">
        <w:rPr>
          <w:rtl/>
        </w:rPr>
        <w:t xml:space="preserve">דיור </w:t>
      </w:r>
      <w:r w:rsidRPr="00582A43">
        <w:rPr>
          <w:rFonts w:hint="eastAsia"/>
          <w:rtl/>
        </w:rPr>
        <w:t>ה</w:t>
      </w:r>
      <w:r w:rsidRPr="00582A43">
        <w:rPr>
          <w:rtl/>
        </w:rPr>
        <w:t>ממשלתית:</w:t>
      </w:r>
      <w:r w:rsidRPr="00582A43">
        <w:rPr>
          <w:rFonts w:hint="cs"/>
          <w:rtl/>
          <w:lang w:eastAsia="he-IL"/>
        </w:rPr>
        <w:t xml:space="preserve"> </w:t>
      </w:r>
    </w:p>
    <w:p w:rsidR="00D22B16" w:rsidRPr="00582A43" w:rsidP="00D22B16">
      <w:pPr>
        <w:pStyle w:val="RESHET"/>
        <w:keepLines/>
        <w:rPr>
          <w:rtl/>
        </w:rPr>
      </w:pPr>
      <w:r w:rsidRPr="00582A43">
        <w:rPr>
          <w:rFonts w:hint="eastAsia"/>
          <w:rtl/>
        </w:rPr>
        <w:t>למדיניות</w:t>
      </w:r>
      <w:r w:rsidRPr="00582A43">
        <w:rPr>
          <w:rtl/>
        </w:rPr>
        <w:t xml:space="preserve"> הדיור מתלווה בהכרח הגדרה </w:t>
      </w:r>
      <w:r w:rsidRPr="00582A43">
        <w:rPr>
          <w:rFonts w:hint="eastAsia"/>
          <w:rtl/>
        </w:rPr>
        <w:t>של</w:t>
      </w:r>
      <w:r w:rsidRPr="00582A43">
        <w:rPr>
          <w:rtl/>
        </w:rPr>
        <w:t xml:space="preserve"> יעדים שהיא נועדה להשיג או של </w:t>
      </w:r>
      <w:r w:rsidRPr="00582A43">
        <w:rPr>
          <w:rFonts w:hint="eastAsia"/>
          <w:rtl/>
        </w:rPr>
        <w:t>הבעיות</w:t>
      </w:r>
      <w:r w:rsidRPr="00582A43">
        <w:rPr>
          <w:rtl/>
        </w:rPr>
        <w:t xml:space="preserve"> שהיא נועדה לפתור.</w:t>
      </w:r>
      <w:r w:rsidRPr="00582A43">
        <w:rPr>
          <w:rFonts w:hint="cs"/>
          <w:rtl/>
        </w:rPr>
        <w:t xml:space="preserve"> בביקורת עלה כי לא נקבעו יעדים מפורשים ומדידים שנדרש להשיגם במסגרת מדיניות דיור ממשלתית. לדוגמה, בהחלטת ממשלה מס' 1980 מיולי 2010 נקבע כי יש "לקיים מדיניות שמטרתה הורדת מחירי הדירות, תוך שימת דגש על דירות לצעירים (משפחות ויחידים) הרוכשים את דירתם הראשונה"; אולם לא נקבעו בהחלטה יעדים שהשגתם אכן תאפשר להוריד את מחירי הדיור, ובראש וראשונה לא נקבע מהו השיעור הרצוי של הורדת המחירים. יוצא אפוא שמדובר בהצהרת כוונות ומטרות, אך לא במדיניות בעלת יעדים ברורים אשר מאפשרים לכלל הגורמים הנוגעים בדבר לקבוע דרכי יישומה, הן ברמה האסטרטגית - התכנונית והן ברמה הטקטית - הביצועית. </w:t>
      </w:r>
    </w:p>
    <w:p w:rsidR="00D22B16" w:rsidRPr="00F41E78" w:rsidP="00D22B16">
      <w:pPr>
        <w:pStyle w:val="RESHET"/>
        <w:keepLines/>
        <w:rPr>
          <w:rtl/>
        </w:rPr>
      </w:pPr>
      <w:r w:rsidRPr="00F41E78">
        <w:rPr>
          <w:rFonts w:hint="cs"/>
          <w:rtl/>
        </w:rPr>
        <w:t xml:space="preserve">יודגש כי בהחלטת ממשלה מס' 2213 מאוגוסט 2007 נקבע </w:t>
      </w:r>
      <w:r w:rsidRPr="00F41E78">
        <w:rPr>
          <w:rFonts w:hint="eastAsia"/>
          <w:rtl/>
        </w:rPr>
        <w:t>כי</w:t>
      </w:r>
      <w:r w:rsidRPr="00F41E78">
        <w:rPr>
          <w:rtl/>
        </w:rPr>
        <w:t xml:space="preserve"> </w:t>
      </w:r>
      <w:r w:rsidRPr="00F41E78">
        <w:rPr>
          <w:rFonts w:hint="eastAsia"/>
          <w:rtl/>
        </w:rPr>
        <w:t>יש</w:t>
      </w:r>
      <w:r w:rsidRPr="00F41E78">
        <w:rPr>
          <w:rFonts w:hint="cs"/>
          <w:rtl/>
        </w:rPr>
        <w:t>נו</w:t>
      </w:r>
      <w:r w:rsidRPr="00F41E78">
        <w:rPr>
          <w:rtl/>
        </w:rPr>
        <w:t xml:space="preserve"> </w:t>
      </w:r>
      <w:r w:rsidRPr="00F41E78">
        <w:rPr>
          <w:rFonts w:hint="eastAsia"/>
          <w:rtl/>
        </w:rPr>
        <w:t>צורך</w:t>
      </w:r>
      <w:r w:rsidRPr="00F41E78">
        <w:rPr>
          <w:rtl/>
        </w:rPr>
        <w:t xml:space="preserve"> </w:t>
      </w:r>
      <w:r w:rsidRPr="00F41E78">
        <w:rPr>
          <w:rFonts w:hint="eastAsia"/>
          <w:rtl/>
        </w:rPr>
        <w:t>לקבוע</w:t>
      </w:r>
      <w:r w:rsidRPr="00F41E78">
        <w:rPr>
          <w:rtl/>
        </w:rPr>
        <w:t xml:space="preserve"> </w:t>
      </w:r>
      <w:r w:rsidRPr="00F41E78">
        <w:rPr>
          <w:rFonts w:hint="eastAsia"/>
          <w:rtl/>
        </w:rPr>
        <w:t>יעדים</w:t>
      </w:r>
      <w:r w:rsidRPr="00F41E78">
        <w:rPr>
          <w:rtl/>
        </w:rPr>
        <w:t xml:space="preserve"> </w:t>
      </w:r>
      <w:r w:rsidRPr="00F41E78">
        <w:rPr>
          <w:rFonts w:hint="eastAsia"/>
          <w:rtl/>
        </w:rPr>
        <w:t>כמותיים</w:t>
      </w:r>
      <w:r w:rsidRPr="00F41E78">
        <w:rPr>
          <w:rtl/>
        </w:rPr>
        <w:t xml:space="preserve"> </w:t>
      </w:r>
      <w:r w:rsidRPr="00F41E78">
        <w:rPr>
          <w:rFonts w:hint="cs"/>
          <w:rtl/>
        </w:rPr>
        <w:t>שנתיים בנוגע למספר יח"ד למגורים בתכניות מתאר ובתכניות מפורטות שיאשרו</w:t>
      </w:r>
      <w:r w:rsidRPr="00F41E78">
        <w:rPr>
          <w:rtl/>
        </w:rPr>
        <w:t xml:space="preserve"> </w:t>
      </w:r>
      <w:r w:rsidRPr="00F41E78">
        <w:rPr>
          <w:rFonts w:hint="eastAsia"/>
          <w:rtl/>
        </w:rPr>
        <w:t>מוסדות</w:t>
      </w:r>
      <w:r w:rsidRPr="00F41E78">
        <w:rPr>
          <w:rtl/>
        </w:rPr>
        <w:t xml:space="preserve"> </w:t>
      </w:r>
      <w:r w:rsidRPr="00F41E78">
        <w:rPr>
          <w:rFonts w:hint="eastAsia"/>
          <w:rtl/>
        </w:rPr>
        <w:t>התכנון</w:t>
      </w:r>
      <w:r w:rsidRPr="00F41E78">
        <w:rPr>
          <w:rtl/>
        </w:rPr>
        <w:t xml:space="preserve"> (ועדות </w:t>
      </w:r>
      <w:r w:rsidRPr="00F41E78">
        <w:rPr>
          <w:rFonts w:hint="eastAsia"/>
          <w:rtl/>
        </w:rPr>
        <w:t>מחוזיות</w:t>
      </w:r>
      <w:r w:rsidRPr="00F41E78">
        <w:rPr>
          <w:rtl/>
        </w:rPr>
        <w:t xml:space="preserve"> </w:t>
      </w:r>
      <w:r w:rsidRPr="00F41E78">
        <w:rPr>
          <w:rFonts w:hint="eastAsia"/>
          <w:rtl/>
        </w:rPr>
        <w:t>ומקומיות</w:t>
      </w:r>
      <w:r w:rsidRPr="00F41E78">
        <w:rPr>
          <w:rtl/>
        </w:rPr>
        <w:t>)</w:t>
      </w:r>
      <w:r w:rsidRPr="00F41E78">
        <w:rPr>
          <w:rFonts w:hint="cs"/>
          <w:rtl/>
        </w:rPr>
        <w:t xml:space="preserve">; אולם ההחלטה לא יושמה. בהחלטות אחרות של הממשלה אכן נקבעו יעדי תכנון ושיווק </w:t>
      </w:r>
      <w:r w:rsidRPr="00F41E78">
        <w:rPr>
          <w:rFonts w:hint="eastAsia"/>
          <w:rtl/>
        </w:rPr>
        <w:t>כמותיים</w:t>
      </w:r>
      <w:r w:rsidRPr="00F41E78">
        <w:rPr>
          <w:rFonts w:hint="cs"/>
          <w:rtl/>
        </w:rPr>
        <w:t xml:space="preserve"> אך הם לא הושגו. אשר ליעדי תכנון ושיווק שנקבעו בהחלטות הממשלה במסגרת יישום המלצות ועדת טרכטנברג, ציין מנכ"ל משרד ראש הממשלה </w:t>
      </w:r>
      <w:r w:rsidRPr="00F41E78">
        <w:rPr>
          <w:rFonts w:hint="eastAsia"/>
          <w:rtl/>
        </w:rPr>
        <w:t>בהסבריו</w:t>
      </w:r>
      <w:r w:rsidRPr="00F41E78">
        <w:rPr>
          <w:rFonts w:hint="cs"/>
          <w:rtl/>
        </w:rPr>
        <w:t xml:space="preserve"> מנובמבר 2013 כי </w:t>
      </w:r>
      <w:r w:rsidRPr="00F41E78">
        <w:rPr>
          <w:rtl/>
        </w:rPr>
        <w:t xml:space="preserve">"לוחות הזמנים להשגת היעדים כפי שנמסרו לוועדת טרכטנברג בידי גופים אלה [משרד הבינוי, </w:t>
      </w:r>
      <w:r w:rsidRPr="00F41E78">
        <w:rPr>
          <w:rFonts w:hint="eastAsia"/>
          <w:rtl/>
        </w:rPr>
        <w:t>מינהל</w:t>
      </w:r>
      <w:r w:rsidRPr="00F41E78">
        <w:rPr>
          <w:rtl/>
        </w:rPr>
        <w:t xml:space="preserve"> התכנון ורשות מקרקעי ישראל] </w:t>
      </w:r>
      <w:r w:rsidRPr="00F41E78">
        <w:rPr>
          <w:rFonts w:hint="eastAsia"/>
          <w:rtl/>
        </w:rPr>
        <w:t>התבררו</w:t>
      </w:r>
      <w:r w:rsidRPr="00F41E78">
        <w:rPr>
          <w:rtl/>
        </w:rPr>
        <w:t xml:space="preserve"> </w:t>
      </w:r>
      <w:r w:rsidRPr="00F41E78">
        <w:rPr>
          <w:rFonts w:hint="eastAsia"/>
          <w:rtl/>
        </w:rPr>
        <w:t>כלא</w:t>
      </w:r>
      <w:r w:rsidRPr="00F41E78">
        <w:rPr>
          <w:rtl/>
        </w:rPr>
        <w:t xml:space="preserve"> </w:t>
      </w:r>
      <w:r w:rsidRPr="00F41E78">
        <w:rPr>
          <w:rFonts w:hint="eastAsia"/>
          <w:rtl/>
        </w:rPr>
        <w:t>ריאליים</w:t>
      </w:r>
      <w:r w:rsidRPr="00F41E78">
        <w:rPr>
          <w:rFonts w:hint="cs"/>
          <w:rtl/>
        </w:rPr>
        <w:t>"; כלומר, נבצר מהגופים האמורים שהפעילו את שרשרת הייצור באותה עת מלעמוד בלוחות הזמנים להשגת יעדים שהממשלה קבעה על בסיס המלצות הוועדה.</w:t>
      </w:r>
    </w:p>
    <w:p w:rsidR="00E97EDA" w:rsidRPr="00F41E78" w:rsidP="00A7557B">
      <w:pPr>
        <w:spacing w:before="180" w:after="240" w:line="230" w:lineRule="exact"/>
        <w:jc w:val="both"/>
        <w:rPr>
          <w:rFonts w:cs="FrankRuehl"/>
          <w:sz w:val="18"/>
          <w:szCs w:val="22"/>
          <w:rtl/>
          <w:lang w:eastAsia="he-IL"/>
        </w:rPr>
      </w:pPr>
      <w:r w:rsidRPr="00F41E78">
        <w:rPr>
          <w:rFonts w:cs="FrankRuehl"/>
          <w:bCs/>
          <w:spacing w:val="40"/>
          <w:sz w:val="18"/>
          <w:szCs w:val="22"/>
          <w:rtl/>
        </w:rPr>
        <w:t>תכנית פעולה אסטרטגית להשגת יעדי מדיניות הדיור:</w:t>
      </w:r>
      <w:r w:rsidRPr="00F41E78">
        <w:rPr>
          <w:rFonts w:cs="FrankRuehl" w:hint="cs"/>
          <w:sz w:val="18"/>
          <w:szCs w:val="22"/>
          <w:rtl/>
          <w:lang w:eastAsia="he-IL"/>
        </w:rPr>
        <w:t xml:space="preserve"> על הממשלה להחליט, בהתבסס על יעדי המדיניות שנקבעו, מהן דרכי הפעולה המיטביות להשגת יעדים אלו, במסגרת טווח הזמן שנקבע. דרכי פעולה אלו הן התכנית האסטרטגית להשגת יעדי המדיניות</w:t>
      </w:r>
      <w:r>
        <w:rPr>
          <w:rFonts w:cs="FrankRuehl"/>
          <w:sz w:val="18"/>
          <w:szCs w:val="22"/>
          <w:vertAlign w:val="superscript"/>
          <w:rtl/>
          <w:lang w:eastAsia="he-IL"/>
        </w:rPr>
        <w:footnoteReference w:id="98"/>
      </w:r>
      <w:r w:rsidRPr="00F41E78">
        <w:rPr>
          <w:rFonts w:cs="FrankRuehl" w:hint="cs"/>
          <w:sz w:val="18"/>
          <w:szCs w:val="22"/>
          <w:rtl/>
          <w:lang w:eastAsia="he-IL"/>
        </w:rPr>
        <w:t>.</w:t>
      </w:r>
    </w:p>
    <w:p w:rsidR="00D22B16" w:rsidRPr="00582A43" w:rsidP="00D22B16">
      <w:pPr>
        <w:pStyle w:val="RESHET"/>
        <w:keepLines/>
        <w:rPr>
          <w:rtl/>
        </w:rPr>
      </w:pPr>
      <w:r w:rsidRPr="00F41E78">
        <w:rPr>
          <w:rFonts w:hint="cs"/>
          <w:rtl/>
        </w:rPr>
        <w:t xml:space="preserve">נמצא כי בתקופה שנסקרה בביקורת, דהיינו בשנים 2012-2005, פעלו משרדי ממשלה ומוסדות המדינה בלא תכנית פעולה אסטרטגית להשגת יעדי מדיניות הדיור הממשלתית, וכל משרד פעל לעתים בנפרד, על פי סדרי העדיפויות שקבע וללא כל תיאום בין-משרדי. הדבר צוין למשל בדברי ההסבר שצורפו להצעת החלטת ממשלה מס' 2215 </w:t>
      </w:r>
      <w:r w:rsidRPr="00582A43">
        <w:rPr>
          <w:rFonts w:hint="cs"/>
          <w:rtl/>
        </w:rPr>
        <w:t>מאוגוסט 2007</w:t>
      </w:r>
      <w:r w:rsidRPr="00582A43" w:rsidR="009111F9">
        <w:rPr>
          <w:rFonts w:hint="cs"/>
          <w:rtl/>
        </w:rPr>
        <w:t xml:space="preserve"> לגבי השנים שקדמו להצעת ההחלטה</w:t>
      </w:r>
      <w:r w:rsidRPr="00582A43">
        <w:rPr>
          <w:rFonts w:hint="cs"/>
          <w:rtl/>
        </w:rPr>
        <w:t xml:space="preserve">. </w:t>
      </w:r>
    </w:p>
    <w:p w:rsidR="00E97EDA" w:rsidRPr="00F41E78" w:rsidP="00A7557B">
      <w:pPr>
        <w:spacing w:before="180" w:after="240" w:line="230" w:lineRule="exact"/>
        <w:jc w:val="both"/>
        <w:rPr>
          <w:rFonts w:cs="FrankRuehl"/>
          <w:sz w:val="18"/>
          <w:szCs w:val="22"/>
          <w:rtl/>
          <w:lang w:eastAsia="he-IL"/>
        </w:rPr>
      </w:pPr>
      <w:r w:rsidRPr="00F41E78">
        <w:rPr>
          <w:rFonts w:cs="FrankRuehl"/>
          <w:bCs/>
          <w:spacing w:val="40"/>
          <w:sz w:val="18"/>
          <w:szCs w:val="22"/>
          <w:rtl/>
        </w:rPr>
        <w:t>שפה משותפת:</w:t>
      </w:r>
      <w:r w:rsidRPr="00F41E78">
        <w:rPr>
          <w:rFonts w:cs="FrankRuehl" w:hint="cs"/>
          <w:sz w:val="18"/>
          <w:szCs w:val="22"/>
          <w:rtl/>
          <w:lang w:eastAsia="he-IL"/>
        </w:rPr>
        <w:t xml:space="preserve"> כדי להבטיח שעבודת המטה של משרדי הממשלה והמוסדות האחרים תהיה מתואמת נדרש מהם בראש וראשונה לפעול על בסיס משותף ובמונחים אחידים.</w:t>
      </w:r>
    </w:p>
    <w:p w:rsidR="00D22B16" w:rsidRPr="00F41E78" w:rsidP="00D22B16">
      <w:pPr>
        <w:pStyle w:val="RESHET"/>
        <w:keepLines/>
        <w:rPr>
          <w:rtl/>
        </w:rPr>
      </w:pPr>
      <w:r w:rsidRPr="00F41E78">
        <w:rPr>
          <w:rFonts w:hint="cs"/>
          <w:rtl/>
        </w:rPr>
        <w:t xml:space="preserve">למרות זאת, עלה כי המונחים שגורמי התכנון השונים וגורמים אחרים העוסקים בתחום הבנייה והדיור משתמשים בהם אינם אחידים. לדוגמה, כדי לאמוד את מלאי הדיור ואת רמות הביקוש למגורים משתמשת תמ"א 35 בעיקר במונחים של שטח לנפש אולם, בשונה מכך משרדי ממשלה משתמשים במונחים של יח"ד עבור משקי בית. </w:t>
      </w:r>
      <w:r w:rsidRPr="00F41E78">
        <w:rPr>
          <w:rFonts w:hint="eastAsia"/>
          <w:rtl/>
        </w:rPr>
        <w:t>כמו</w:t>
      </w:r>
      <w:r w:rsidRPr="00F41E78">
        <w:rPr>
          <w:rtl/>
        </w:rPr>
        <w:t xml:space="preserve"> </w:t>
      </w:r>
      <w:r w:rsidRPr="00F41E78">
        <w:rPr>
          <w:rFonts w:hint="eastAsia"/>
          <w:rtl/>
        </w:rPr>
        <w:t>כן</w:t>
      </w:r>
      <w:r w:rsidRPr="00F41E78">
        <w:rPr>
          <w:rtl/>
        </w:rPr>
        <w:t xml:space="preserve">, </w:t>
      </w:r>
      <w:r w:rsidRPr="00F41E78">
        <w:rPr>
          <w:rFonts w:hint="eastAsia"/>
          <w:rtl/>
        </w:rPr>
        <w:t>ישנה</w:t>
      </w:r>
      <w:r w:rsidRPr="00F41E78">
        <w:rPr>
          <w:rtl/>
        </w:rPr>
        <w:t xml:space="preserve"> שונות בהגדרת המונח "דיור בר השגה", למשל בנוגע לשטח הדירה</w:t>
      </w:r>
      <w:r w:rsidRPr="00F41E78">
        <w:rPr>
          <w:rFonts w:hint="cs"/>
          <w:rtl/>
        </w:rPr>
        <w:t xml:space="preserve"> (ראו פירוט נוסף בשער הרביעי)</w:t>
      </w:r>
      <w:r w:rsidRPr="00F41E78">
        <w:rPr>
          <w:rtl/>
        </w:rPr>
        <w:t>.</w:t>
      </w:r>
      <w:r w:rsidRPr="00F41E78">
        <w:rPr>
          <w:rFonts w:hint="cs"/>
          <w:rtl/>
        </w:rPr>
        <w:t xml:space="preserve"> </w:t>
      </w:r>
    </w:p>
    <w:p w:rsidR="00D22B16" w:rsidRPr="00F41E78" w:rsidP="00D22B16">
      <w:pPr>
        <w:pStyle w:val="RESHET"/>
        <w:keepLines/>
        <w:rPr>
          <w:rtl/>
        </w:rPr>
      </w:pPr>
      <w:r w:rsidRPr="00F41E78">
        <w:rPr>
          <w:rFonts w:hint="eastAsia"/>
          <w:rtl/>
        </w:rPr>
        <w:t>לדעת</w:t>
      </w:r>
      <w:r w:rsidRPr="00F41E78">
        <w:rPr>
          <w:rtl/>
        </w:rPr>
        <w:t xml:space="preserve"> משרד מבקר המדינה, אין מדובר בבעיה "סמנטית" בלבד</w:t>
      </w:r>
      <w:r w:rsidRPr="00F41E78">
        <w:rPr>
          <w:rFonts w:hint="cs"/>
          <w:rtl/>
        </w:rPr>
        <w:t>.</w:t>
      </w:r>
      <w:r w:rsidRPr="00F41E78">
        <w:rPr>
          <w:rtl/>
        </w:rPr>
        <w:t xml:space="preserve"> שונות </w:t>
      </w:r>
      <w:r w:rsidRPr="00F41E78">
        <w:rPr>
          <w:rFonts w:hint="cs"/>
          <w:rtl/>
        </w:rPr>
        <w:t>ה</w:t>
      </w:r>
      <w:r w:rsidRPr="00F41E78">
        <w:rPr>
          <w:rtl/>
        </w:rPr>
        <w:t xml:space="preserve">שימוש במונחים מעידה על </w:t>
      </w:r>
      <w:r w:rsidRPr="00F41E78">
        <w:rPr>
          <w:rFonts w:hint="cs"/>
          <w:rtl/>
        </w:rPr>
        <w:t>חוסר תיאום</w:t>
      </w:r>
      <w:r w:rsidRPr="00F41E78">
        <w:rPr>
          <w:rtl/>
        </w:rPr>
        <w:t xml:space="preserve"> </w:t>
      </w:r>
      <w:r w:rsidRPr="00F41E78">
        <w:rPr>
          <w:rFonts w:hint="cs"/>
          <w:rtl/>
        </w:rPr>
        <w:t xml:space="preserve">בין </w:t>
      </w:r>
      <w:r w:rsidRPr="00F41E78">
        <w:rPr>
          <w:rtl/>
        </w:rPr>
        <w:t xml:space="preserve">הגופים הממשלתיים המעצבים את מדיניות הדיור הלאומית ואחראים </w:t>
      </w:r>
      <w:r w:rsidRPr="00F41E78">
        <w:rPr>
          <w:rFonts w:hint="cs"/>
          <w:rtl/>
        </w:rPr>
        <w:t>ליישומה</w:t>
      </w:r>
      <w:r w:rsidRPr="00F41E78">
        <w:rPr>
          <w:rtl/>
        </w:rPr>
        <w:t>.</w:t>
      </w:r>
    </w:p>
    <w:p w:rsidR="00E97EDA" w:rsidRPr="00F41E78" w:rsidP="00A7557B">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אשר להיעדר האחידות בנוגע לשטח הדירות ציין משרד הפנים בתשובתו מאפריל 2014 כי בתיקון לחוק הווד"לים מדצמבר 2013 </w:t>
      </w:r>
      <w:r w:rsidRPr="00F41E78">
        <w:rPr>
          <w:rFonts w:cs="FrankRuehl"/>
          <w:sz w:val="18"/>
          <w:szCs w:val="22"/>
          <w:rtl/>
          <w:lang w:eastAsia="he-IL"/>
        </w:rPr>
        <w:t>טופל</w:t>
      </w:r>
      <w:r w:rsidRPr="00F41E78">
        <w:rPr>
          <w:rFonts w:cs="FrankRuehl" w:hint="cs"/>
          <w:sz w:val="18"/>
          <w:szCs w:val="22"/>
          <w:rtl/>
          <w:lang w:eastAsia="he-IL"/>
        </w:rPr>
        <w:t xml:space="preserve"> ליקוי זה. </w:t>
      </w:r>
    </w:p>
    <w:p w:rsidR="00E97EDA" w:rsidRPr="00F41E78" w:rsidP="00A7557B">
      <w:pPr>
        <w:spacing w:after="240" w:line="230" w:lineRule="exact"/>
        <w:jc w:val="both"/>
        <w:rPr>
          <w:rFonts w:cs="FrankRuehl"/>
          <w:sz w:val="18"/>
          <w:szCs w:val="22"/>
          <w:rtl/>
          <w:lang w:eastAsia="he-IL"/>
        </w:rPr>
      </w:pPr>
      <w:r w:rsidRPr="00F41E78">
        <w:rPr>
          <w:rFonts w:cs="FrankRuehl"/>
          <w:bCs/>
          <w:spacing w:val="40"/>
          <w:sz w:val="18"/>
          <w:szCs w:val="22"/>
          <w:rtl/>
        </w:rPr>
        <w:t xml:space="preserve">בסיס נתונים </w:t>
      </w:r>
      <w:r w:rsidRPr="00F41E78">
        <w:rPr>
          <w:rFonts w:cs="FrankRuehl" w:hint="eastAsia"/>
          <w:bCs/>
          <w:spacing w:val="40"/>
          <w:sz w:val="18"/>
          <w:szCs w:val="22"/>
          <w:rtl/>
        </w:rPr>
        <w:t>על</w:t>
      </w:r>
      <w:r w:rsidRPr="00F41E78">
        <w:rPr>
          <w:rFonts w:cs="FrankRuehl"/>
          <w:bCs/>
          <w:spacing w:val="40"/>
          <w:sz w:val="18"/>
          <w:szCs w:val="22"/>
          <w:rtl/>
        </w:rPr>
        <w:t xml:space="preserve"> שוק הדיור:</w:t>
      </w:r>
      <w:r w:rsidRPr="00F41E78">
        <w:rPr>
          <w:rFonts w:cs="FrankRuehl" w:hint="cs"/>
          <w:sz w:val="18"/>
          <w:szCs w:val="22"/>
          <w:rtl/>
          <w:lang w:eastAsia="he-IL"/>
        </w:rPr>
        <w:t xml:space="preserve"> בחינה וניתוח של המידע ושל הנתונים אודות שוק הדיור הן חלק מעבודת המטה שנדרש לעשותו במסגרת התוויית מדיניות הדיור </w:t>
      </w:r>
      <w:r w:rsidRPr="00F41E78">
        <w:rPr>
          <w:rFonts w:cs="FrankRuehl" w:hint="eastAsia"/>
          <w:sz w:val="18"/>
          <w:szCs w:val="22"/>
          <w:rtl/>
          <w:lang w:eastAsia="he-IL"/>
        </w:rPr>
        <w:t>הממשלתית</w:t>
      </w:r>
      <w:r w:rsidRPr="00F41E78">
        <w:rPr>
          <w:rFonts w:cs="FrankRuehl" w:hint="cs"/>
          <w:sz w:val="18"/>
          <w:szCs w:val="22"/>
          <w:rtl/>
          <w:lang w:eastAsia="he-IL"/>
        </w:rPr>
        <w:t>. על מידע ונתונים אלו להיות שלמים ותקפים, ככל שניתן.</w:t>
      </w:r>
    </w:p>
    <w:p w:rsidR="00D22B16" w:rsidRPr="00F41E78" w:rsidP="00D22B16">
      <w:pPr>
        <w:pStyle w:val="RESHET"/>
        <w:keepLines/>
        <w:rPr>
          <w:rtl/>
        </w:rPr>
      </w:pPr>
      <w:r w:rsidRPr="00F41E78">
        <w:rPr>
          <w:rFonts w:hint="cs"/>
          <w:rtl/>
        </w:rPr>
        <w:t>כאמור בשער הראשון, לגופים שלטוניים חסרים מידע ונתונים חיוניים על שוק הדיור, אף שהם נדרשים למקבלי ההחלטות לצורך התוויית מדיניות הדיור ולצורך פיתוח כלים שיאפשרו לגורמים הרלוונטיים להתמודד עם משבר הדיור.</w:t>
      </w:r>
    </w:p>
    <w:p w:rsidR="00D22B16" w:rsidRPr="00F41E78" w:rsidP="00D22B16">
      <w:pPr>
        <w:pStyle w:val="RESHET"/>
        <w:keepLines/>
        <w:rPr>
          <w:rtl/>
        </w:rPr>
      </w:pPr>
      <w:r w:rsidRPr="00F41E78">
        <w:rPr>
          <w:rFonts w:hint="cs"/>
          <w:rtl/>
        </w:rPr>
        <w:t>ליקויים מהותיים אלה באו לידי ביטוי במלוא חריפותם בעבודת המטה שקדמה לקבלת שורה של החלטות הממשלה ה-32 בדבר יישום המלצות ועדת טרכטנברג; בהחלטות אלה נקבעו</w:t>
      </w:r>
      <w:r w:rsidRPr="00F41E78">
        <w:rPr>
          <w:rtl/>
        </w:rPr>
        <w:t xml:space="preserve"> יעד</w:t>
      </w:r>
      <w:r w:rsidRPr="00F41E78">
        <w:rPr>
          <w:rFonts w:hint="eastAsia"/>
          <w:rtl/>
        </w:rPr>
        <w:t>י</w:t>
      </w:r>
      <w:r w:rsidRPr="00F41E78">
        <w:rPr>
          <w:rtl/>
        </w:rPr>
        <w:t xml:space="preserve"> </w:t>
      </w:r>
      <w:r w:rsidRPr="00F41E78">
        <w:rPr>
          <w:rFonts w:hint="eastAsia"/>
          <w:rtl/>
        </w:rPr>
        <w:t>התכנון</w:t>
      </w:r>
      <w:r w:rsidRPr="00F41E78">
        <w:rPr>
          <w:rtl/>
        </w:rPr>
        <w:t xml:space="preserve"> </w:t>
      </w:r>
      <w:r w:rsidRPr="00F41E78">
        <w:rPr>
          <w:rFonts w:hint="eastAsia"/>
          <w:rtl/>
        </w:rPr>
        <w:t>והשיווק</w:t>
      </w:r>
      <w:r w:rsidRPr="00F41E78">
        <w:rPr>
          <w:rtl/>
        </w:rPr>
        <w:t xml:space="preserve"> </w:t>
      </w:r>
      <w:r w:rsidRPr="00F41E78">
        <w:rPr>
          <w:rFonts w:hint="eastAsia"/>
          <w:rtl/>
        </w:rPr>
        <w:t>של</w:t>
      </w:r>
      <w:r w:rsidRPr="00F41E78">
        <w:rPr>
          <w:rtl/>
        </w:rPr>
        <w:t xml:space="preserve"> </w:t>
      </w:r>
      <w:r w:rsidRPr="00F41E78">
        <w:rPr>
          <w:rFonts w:hint="eastAsia"/>
          <w:rtl/>
        </w:rPr>
        <w:t>קרקעות</w:t>
      </w:r>
      <w:r w:rsidRPr="00F41E78">
        <w:rPr>
          <w:rtl/>
        </w:rPr>
        <w:t xml:space="preserve"> </w:t>
      </w:r>
      <w:r w:rsidRPr="00F41E78">
        <w:rPr>
          <w:rFonts w:hint="eastAsia"/>
          <w:rtl/>
        </w:rPr>
        <w:t>המדינה</w:t>
      </w:r>
      <w:r w:rsidRPr="00F41E78">
        <w:rPr>
          <w:rtl/>
        </w:rPr>
        <w:t xml:space="preserve">, </w:t>
      </w:r>
      <w:r w:rsidRPr="00F41E78">
        <w:rPr>
          <w:rFonts w:hint="cs"/>
          <w:rtl/>
        </w:rPr>
        <w:t xml:space="preserve">בהסתמך על נתוני </w:t>
      </w:r>
      <w:r w:rsidRPr="00F41E78">
        <w:rPr>
          <w:rFonts w:hint="eastAsia"/>
          <w:rtl/>
        </w:rPr>
        <w:t>רמ</w:t>
      </w:r>
      <w:r w:rsidRPr="00F41E78">
        <w:rPr>
          <w:rFonts w:hint="cs"/>
          <w:rtl/>
        </w:rPr>
        <w:t>"</w:t>
      </w:r>
      <w:r w:rsidRPr="00F41E78">
        <w:rPr>
          <w:rFonts w:hint="eastAsia"/>
          <w:rtl/>
        </w:rPr>
        <w:t>י</w:t>
      </w:r>
      <w:r w:rsidRPr="00F41E78">
        <w:rPr>
          <w:rtl/>
        </w:rPr>
        <w:t xml:space="preserve">, משרד הבינוי </w:t>
      </w:r>
      <w:r w:rsidRPr="00F41E78">
        <w:rPr>
          <w:rFonts w:hint="eastAsia"/>
          <w:rtl/>
        </w:rPr>
        <w:t>ומינהל</w:t>
      </w:r>
      <w:r w:rsidRPr="00F41E78">
        <w:rPr>
          <w:rtl/>
        </w:rPr>
        <w:t xml:space="preserve"> התכנון</w:t>
      </w:r>
      <w:r w:rsidRPr="00F41E78">
        <w:rPr>
          <w:rFonts w:hint="cs"/>
          <w:rtl/>
        </w:rPr>
        <w:t>. בהמשך ה</w:t>
      </w:r>
      <w:r w:rsidRPr="00F41E78">
        <w:rPr>
          <w:rFonts w:hint="eastAsia"/>
          <w:rtl/>
        </w:rPr>
        <w:t>תבררו</w:t>
      </w:r>
      <w:r w:rsidRPr="00F41E78">
        <w:rPr>
          <w:rtl/>
        </w:rPr>
        <w:t xml:space="preserve"> </w:t>
      </w:r>
      <w:r w:rsidRPr="00F41E78">
        <w:rPr>
          <w:rFonts w:hint="cs"/>
          <w:rtl/>
        </w:rPr>
        <w:t xml:space="preserve">היעדים האמורים </w:t>
      </w:r>
      <w:r w:rsidRPr="00F41E78">
        <w:rPr>
          <w:rFonts w:hint="eastAsia"/>
          <w:rtl/>
        </w:rPr>
        <w:t>כ</w:t>
      </w:r>
      <w:r w:rsidRPr="00F41E78">
        <w:rPr>
          <w:rFonts w:hint="cs"/>
          <w:rtl/>
        </w:rPr>
        <w:t>"</w:t>
      </w:r>
      <w:r w:rsidRPr="00F41E78">
        <w:rPr>
          <w:rFonts w:hint="eastAsia"/>
          <w:rtl/>
        </w:rPr>
        <w:t>לא</w:t>
      </w:r>
      <w:r w:rsidRPr="00F41E78">
        <w:rPr>
          <w:rtl/>
        </w:rPr>
        <w:t xml:space="preserve"> </w:t>
      </w:r>
      <w:r w:rsidRPr="00F41E78">
        <w:rPr>
          <w:rFonts w:hint="eastAsia"/>
          <w:rtl/>
        </w:rPr>
        <w:t>ריאליים</w:t>
      </w:r>
      <w:r w:rsidRPr="00F41E78">
        <w:rPr>
          <w:rFonts w:hint="cs"/>
          <w:rtl/>
        </w:rPr>
        <w:t>", כפי שתואר לעיל.</w:t>
      </w:r>
    </w:p>
    <w:p w:rsidR="00E97EDA" w:rsidRPr="00F41E78" w:rsidP="00A7557B">
      <w:pPr>
        <w:spacing w:before="180" w:after="120" w:line="230" w:lineRule="exact"/>
        <w:jc w:val="both"/>
        <w:rPr>
          <w:rFonts w:cs="FrankRuehl"/>
          <w:sz w:val="18"/>
          <w:szCs w:val="22"/>
          <w:rtl/>
          <w:lang w:eastAsia="he-IL"/>
        </w:rPr>
      </w:pPr>
      <w:r w:rsidRPr="00F41E78">
        <w:rPr>
          <w:rFonts w:cs="FrankRuehl"/>
          <w:bCs/>
          <w:spacing w:val="40"/>
          <w:sz w:val="18"/>
          <w:szCs w:val="22"/>
          <w:rtl/>
        </w:rPr>
        <w:t>מנגנון מובנה של ניהול סיכונים:</w:t>
      </w:r>
      <w:r w:rsidRPr="00F41E78">
        <w:rPr>
          <w:rFonts w:cs="FrankRuehl" w:hint="cs"/>
          <w:sz w:val="18"/>
          <w:szCs w:val="22"/>
          <w:rtl/>
          <w:lang w:eastAsia="he-IL"/>
        </w:rPr>
        <w:t xml:space="preserve"> במסגרת התהליך לקביעת מדיניות ממשלתית נדרש להתייחס גם לניהול סיכונים, דהיינו למפות את </w:t>
      </w:r>
      <w:r w:rsidRPr="00F41E78">
        <w:rPr>
          <w:rFonts w:cs="FrankRuehl" w:hint="cs"/>
          <w:b/>
          <w:bCs/>
          <w:sz w:val="18"/>
          <w:szCs w:val="22"/>
          <w:rtl/>
          <w:lang w:eastAsia="he-IL"/>
        </w:rPr>
        <w:t xml:space="preserve">ההתרחשויות האפשריות החריגות בשוק הדיור </w:t>
      </w:r>
      <w:r w:rsidRPr="00F41E78">
        <w:rPr>
          <w:rFonts w:cs="FrankRuehl" w:hint="cs"/>
          <w:sz w:val="18"/>
          <w:szCs w:val="22"/>
          <w:rtl/>
          <w:lang w:eastAsia="he-IL"/>
        </w:rPr>
        <w:t>אשר עשויות להשפיע השפעה מהותית על יעדי המדיניות ואף לסכן את השגתם, ובהתאם לכך לקבוע את "ארגז הכלים" שיעשה בו שימוש בעת הצורך.</w:t>
      </w:r>
    </w:p>
    <w:p w:rsidR="00E97EDA" w:rsidRPr="00243E7C" w:rsidP="00F41E78">
      <w:pPr>
        <w:spacing w:after="120" w:line="230" w:lineRule="exact"/>
        <w:ind w:left="-1"/>
        <w:jc w:val="both"/>
        <w:rPr>
          <w:sz w:val="32"/>
          <w:szCs w:val="32"/>
          <w:rtl/>
          <w:lang w:eastAsia="he-IL"/>
        </w:rPr>
      </w:pPr>
      <w:r w:rsidRPr="00F41E78">
        <w:rPr>
          <w:rFonts w:cs="FrankRuehl" w:hint="cs"/>
          <w:sz w:val="18"/>
          <w:szCs w:val="22"/>
          <w:rtl/>
          <w:lang w:eastAsia="he-IL"/>
        </w:rPr>
        <w:t xml:space="preserve">אשר לקביעת מדיניות הדיור </w:t>
      </w:r>
      <w:r w:rsidRPr="00F41E78">
        <w:rPr>
          <w:rFonts w:cs="FrankRuehl" w:hint="eastAsia"/>
          <w:sz w:val="18"/>
          <w:szCs w:val="22"/>
          <w:rtl/>
          <w:lang w:eastAsia="he-IL"/>
        </w:rPr>
        <w:t>הממשלתית</w:t>
      </w:r>
      <w:r w:rsidRPr="00F41E78">
        <w:rPr>
          <w:rFonts w:cs="FrankRuehl" w:hint="cs"/>
          <w:sz w:val="18"/>
          <w:szCs w:val="22"/>
          <w:rtl/>
          <w:lang w:eastAsia="he-IL"/>
        </w:rPr>
        <w:t xml:space="preserve">, </w:t>
      </w:r>
      <w:r w:rsidRPr="00F41E78">
        <w:rPr>
          <w:rFonts w:cs="FrankRuehl" w:hint="eastAsia"/>
          <w:sz w:val="18"/>
          <w:szCs w:val="22"/>
          <w:rtl/>
          <w:lang w:eastAsia="he-IL"/>
        </w:rPr>
        <w:t>ראוי</w:t>
      </w:r>
      <w:r w:rsidRPr="00F41E78">
        <w:rPr>
          <w:rFonts w:cs="FrankRuehl"/>
          <w:sz w:val="18"/>
          <w:szCs w:val="22"/>
          <w:rtl/>
          <w:lang w:eastAsia="he-IL"/>
        </w:rPr>
        <w:t xml:space="preserve"> </w:t>
      </w:r>
      <w:r w:rsidRPr="00F41E78">
        <w:rPr>
          <w:rFonts w:cs="FrankRuehl" w:hint="eastAsia"/>
          <w:sz w:val="18"/>
          <w:szCs w:val="22"/>
          <w:rtl/>
          <w:lang w:eastAsia="he-IL"/>
        </w:rPr>
        <w:t>להזכיר</w:t>
      </w:r>
      <w:r w:rsidRPr="00F41E78">
        <w:rPr>
          <w:rFonts w:cs="FrankRuehl"/>
          <w:sz w:val="18"/>
          <w:szCs w:val="22"/>
          <w:rtl/>
          <w:lang w:eastAsia="he-IL"/>
        </w:rPr>
        <w:t xml:space="preserve"> </w:t>
      </w:r>
      <w:r w:rsidRPr="00F41E78">
        <w:rPr>
          <w:rFonts w:cs="FrankRuehl" w:hint="eastAsia"/>
          <w:sz w:val="18"/>
          <w:szCs w:val="22"/>
          <w:rtl/>
          <w:lang w:eastAsia="he-IL"/>
        </w:rPr>
        <w:t>את</w:t>
      </w:r>
      <w:r w:rsidRPr="00F41E78">
        <w:rPr>
          <w:rFonts w:cs="FrankRuehl"/>
          <w:sz w:val="18"/>
          <w:szCs w:val="22"/>
          <w:rtl/>
          <w:lang w:eastAsia="he-IL"/>
        </w:rPr>
        <w:t xml:space="preserve"> </w:t>
      </w:r>
      <w:r w:rsidRPr="00F41E78">
        <w:rPr>
          <w:rFonts w:cs="FrankRuehl" w:hint="eastAsia"/>
          <w:sz w:val="18"/>
          <w:szCs w:val="22"/>
          <w:rtl/>
          <w:lang w:eastAsia="he-IL"/>
        </w:rPr>
        <w:t>דברי</w:t>
      </w:r>
      <w:r w:rsidRPr="00F41E78">
        <w:rPr>
          <w:rFonts w:cs="FrankRuehl" w:hint="cs"/>
          <w:sz w:val="18"/>
          <w:szCs w:val="22"/>
          <w:rtl/>
          <w:lang w:eastAsia="he-IL"/>
        </w:rPr>
        <w:t>ו של</w:t>
      </w:r>
      <w:r w:rsidRPr="00F41E78">
        <w:rPr>
          <w:rFonts w:cs="FrankRuehl"/>
          <w:sz w:val="18"/>
          <w:szCs w:val="22"/>
          <w:rtl/>
          <w:lang w:eastAsia="he-IL"/>
        </w:rPr>
        <w:t xml:space="preserve"> </w:t>
      </w:r>
      <w:r w:rsidRPr="00F41E78">
        <w:rPr>
          <w:rFonts w:cs="FrankRuehl" w:hint="eastAsia"/>
          <w:sz w:val="18"/>
          <w:szCs w:val="22"/>
          <w:rtl/>
          <w:lang w:eastAsia="he-IL"/>
        </w:rPr>
        <w:t>פרופ</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eastAsia"/>
          <w:sz w:val="18"/>
          <w:szCs w:val="22"/>
          <w:rtl/>
          <w:lang w:eastAsia="he-IL"/>
        </w:rPr>
        <w:t>יוג</w:t>
      </w:r>
      <w:r w:rsidRPr="00F41E78">
        <w:rPr>
          <w:rFonts w:cs="FrankRuehl"/>
          <w:sz w:val="18"/>
          <w:szCs w:val="22"/>
          <w:rtl/>
          <w:lang w:eastAsia="he-IL"/>
        </w:rPr>
        <w:t xml:space="preserve">'ין </w:t>
      </w:r>
      <w:r w:rsidRPr="00F41E78">
        <w:rPr>
          <w:rFonts w:cs="FrankRuehl" w:hint="eastAsia"/>
          <w:sz w:val="18"/>
          <w:szCs w:val="22"/>
          <w:rtl/>
          <w:lang w:eastAsia="he-IL"/>
        </w:rPr>
        <w:t>קנדל</w:t>
      </w:r>
      <w:r w:rsidRPr="00F41E78">
        <w:rPr>
          <w:rFonts w:cs="FrankRuehl"/>
          <w:sz w:val="18"/>
          <w:szCs w:val="22"/>
          <w:rtl/>
          <w:lang w:eastAsia="he-IL"/>
        </w:rPr>
        <w:t xml:space="preserve">, </w:t>
      </w:r>
      <w:r w:rsidRPr="00F41E78">
        <w:rPr>
          <w:rFonts w:cs="FrankRuehl" w:hint="eastAsia"/>
          <w:sz w:val="18"/>
          <w:szCs w:val="22"/>
          <w:rtl/>
          <w:lang w:eastAsia="he-IL"/>
        </w:rPr>
        <w:t>ראש</w:t>
      </w:r>
      <w:r w:rsidRPr="00F41E78">
        <w:rPr>
          <w:rFonts w:cs="FrankRuehl"/>
          <w:sz w:val="18"/>
          <w:szCs w:val="22"/>
          <w:rtl/>
          <w:lang w:eastAsia="he-IL"/>
        </w:rPr>
        <w:t xml:space="preserve"> </w:t>
      </w:r>
      <w:r w:rsidRPr="00F41E78">
        <w:rPr>
          <w:rFonts w:cs="FrankRuehl" w:hint="eastAsia"/>
          <w:sz w:val="18"/>
          <w:szCs w:val="22"/>
          <w:rtl/>
          <w:lang w:eastAsia="he-IL"/>
        </w:rPr>
        <w:t>המועצה</w:t>
      </w:r>
      <w:r w:rsidRPr="00F41E78">
        <w:rPr>
          <w:rFonts w:cs="FrankRuehl"/>
          <w:sz w:val="18"/>
          <w:szCs w:val="22"/>
          <w:rtl/>
          <w:lang w:eastAsia="he-IL"/>
        </w:rPr>
        <w:t xml:space="preserve"> </w:t>
      </w:r>
      <w:r w:rsidRPr="00F41E78">
        <w:rPr>
          <w:rFonts w:cs="FrankRuehl" w:hint="eastAsia"/>
          <w:sz w:val="18"/>
          <w:szCs w:val="22"/>
          <w:rtl/>
          <w:lang w:eastAsia="he-IL"/>
        </w:rPr>
        <w:t>הלאומית</w:t>
      </w:r>
      <w:r w:rsidRPr="00F41E78">
        <w:rPr>
          <w:rFonts w:cs="FrankRuehl"/>
          <w:sz w:val="18"/>
          <w:szCs w:val="22"/>
          <w:rtl/>
          <w:lang w:eastAsia="he-IL"/>
        </w:rPr>
        <w:t xml:space="preserve"> </w:t>
      </w:r>
      <w:r w:rsidRPr="00F41E78">
        <w:rPr>
          <w:rFonts w:cs="FrankRuehl" w:hint="eastAsia"/>
          <w:sz w:val="18"/>
          <w:szCs w:val="22"/>
          <w:rtl/>
          <w:lang w:eastAsia="he-IL"/>
        </w:rPr>
        <w:t>לכלכלה</w:t>
      </w:r>
      <w:r>
        <w:rPr>
          <w:rFonts w:cs="FrankRuehl"/>
          <w:sz w:val="18"/>
          <w:szCs w:val="22"/>
          <w:vertAlign w:val="superscript"/>
          <w:rtl/>
          <w:lang w:eastAsia="he-IL"/>
        </w:rPr>
        <w:footnoteReference w:id="99"/>
      </w:r>
      <w:r w:rsidRPr="00F41E78">
        <w:rPr>
          <w:rFonts w:cs="FrankRuehl"/>
          <w:sz w:val="18"/>
          <w:szCs w:val="22"/>
          <w:rtl/>
          <w:lang w:eastAsia="he-IL"/>
        </w:rPr>
        <w:t xml:space="preserve">, </w:t>
      </w:r>
      <w:r w:rsidRPr="00F41E78">
        <w:rPr>
          <w:rFonts w:cs="FrankRuehl" w:hint="cs"/>
          <w:sz w:val="18"/>
          <w:szCs w:val="22"/>
          <w:rtl/>
          <w:lang w:eastAsia="he-IL"/>
        </w:rPr>
        <w:t>ו</w:t>
      </w:r>
      <w:r w:rsidRPr="00F41E78">
        <w:rPr>
          <w:rFonts w:cs="FrankRuehl"/>
          <w:sz w:val="18"/>
          <w:szCs w:val="22"/>
          <w:rtl/>
          <w:lang w:eastAsia="he-IL"/>
        </w:rPr>
        <w:t>לפיהם "מאחר ובנ</w:t>
      </w:r>
      <w:r w:rsidRPr="00F41E78">
        <w:rPr>
          <w:rFonts w:cs="FrankRuehl" w:hint="cs"/>
          <w:sz w:val="18"/>
          <w:szCs w:val="22"/>
          <w:rtl/>
          <w:lang w:eastAsia="he-IL"/>
        </w:rPr>
        <w:t>ג</w:t>
      </w:r>
      <w:r w:rsidRPr="00F41E78">
        <w:rPr>
          <w:rFonts w:cs="FrankRuehl"/>
          <w:sz w:val="18"/>
          <w:szCs w:val="22"/>
          <w:rtl/>
          <w:lang w:eastAsia="he-IL"/>
        </w:rPr>
        <w:t xml:space="preserve">וד למדינות אחרות בישראל מצב ייחודי שחצי מהשוק נשלט על ידי המדינה, </w:t>
      </w:r>
      <w:r w:rsidRPr="00F41E78">
        <w:rPr>
          <w:rFonts w:cs="FrankRuehl" w:hint="eastAsia"/>
          <w:b/>
          <w:bCs/>
          <w:sz w:val="18"/>
          <w:szCs w:val="22"/>
          <w:rtl/>
          <w:lang w:eastAsia="he-IL"/>
        </w:rPr>
        <w:t>קיימת</w:t>
      </w:r>
      <w:r w:rsidRPr="00F41E78">
        <w:rPr>
          <w:rFonts w:cs="FrankRuehl"/>
          <w:b/>
          <w:bCs/>
          <w:sz w:val="18"/>
          <w:szCs w:val="22"/>
          <w:rtl/>
          <w:lang w:eastAsia="he-IL"/>
        </w:rPr>
        <w:t xml:space="preserve"> </w:t>
      </w:r>
      <w:r w:rsidRPr="00F41E78">
        <w:rPr>
          <w:rFonts w:cs="FrankRuehl" w:hint="eastAsia"/>
          <w:b/>
          <w:bCs/>
          <w:sz w:val="18"/>
          <w:szCs w:val="22"/>
          <w:rtl/>
          <w:lang w:eastAsia="he-IL"/>
        </w:rPr>
        <w:t>חובה</w:t>
      </w:r>
      <w:r w:rsidRPr="00F41E78">
        <w:rPr>
          <w:rFonts w:cs="FrankRuehl"/>
          <w:sz w:val="18"/>
          <w:szCs w:val="22"/>
          <w:rtl/>
          <w:lang w:eastAsia="he-IL"/>
        </w:rPr>
        <w:t xml:space="preserve"> ליישם מדיניות ניהול סיכונים בשוק הדיור לצמצום תנודתיות המחירים בשוק, על ידי יצירת מלאי תכנוני זמין לשיווק שיישמר לעתות משבר</w:t>
      </w:r>
      <w:r w:rsidRPr="00F41E78">
        <w:rPr>
          <w:rFonts w:cs="FrankRuehl" w:hint="cs"/>
          <w:sz w:val="18"/>
          <w:szCs w:val="22"/>
          <w:rtl/>
          <w:lang w:eastAsia="he-IL"/>
        </w:rPr>
        <w:t>" (ה</w:t>
      </w:r>
      <w:r w:rsidRPr="00F41E78">
        <w:rPr>
          <w:rFonts w:cs="FrankRuehl"/>
          <w:sz w:val="18"/>
          <w:szCs w:val="22"/>
          <w:rtl/>
          <w:lang w:eastAsia="he-IL"/>
        </w:rPr>
        <w:t xml:space="preserve">הדגשה </w:t>
      </w:r>
      <w:r w:rsidRPr="00F41E78">
        <w:rPr>
          <w:rFonts w:cs="FrankRuehl" w:hint="cs"/>
          <w:sz w:val="18"/>
          <w:szCs w:val="22"/>
          <w:rtl/>
          <w:lang w:eastAsia="he-IL"/>
        </w:rPr>
        <w:t>אינה</w:t>
      </w:r>
      <w:r w:rsidRPr="00F41E78">
        <w:rPr>
          <w:rFonts w:cs="FrankRuehl"/>
          <w:sz w:val="18"/>
          <w:szCs w:val="22"/>
          <w:rtl/>
          <w:lang w:eastAsia="he-IL"/>
        </w:rPr>
        <w:t xml:space="preserve"> במקור</w:t>
      </w:r>
      <w:r w:rsidRPr="00F41E78">
        <w:rPr>
          <w:rFonts w:cs="FrankRuehl" w:hint="cs"/>
          <w:sz w:val="18"/>
          <w:szCs w:val="22"/>
          <w:rtl/>
          <w:lang w:eastAsia="he-IL"/>
        </w:rPr>
        <w:t>)</w:t>
      </w:r>
      <w:r w:rsidRPr="00F41E78">
        <w:rPr>
          <w:rFonts w:cs="FrankRuehl"/>
          <w:sz w:val="18"/>
          <w:szCs w:val="22"/>
          <w:rtl/>
          <w:lang w:eastAsia="he-IL"/>
        </w:rPr>
        <w:t xml:space="preserve">. </w:t>
      </w:r>
    </w:p>
    <w:p w:rsidR="00E97EDA" w:rsidRPr="00F41E78" w:rsidP="00A7557B">
      <w:pPr>
        <w:spacing w:after="240" w:line="230" w:lineRule="exact"/>
        <w:ind w:left="-1"/>
        <w:jc w:val="both"/>
        <w:rPr>
          <w:rFonts w:cs="FrankRuehl"/>
          <w:sz w:val="18"/>
          <w:szCs w:val="22"/>
          <w:rtl/>
          <w:lang w:eastAsia="he-IL"/>
        </w:rPr>
      </w:pPr>
      <w:r w:rsidRPr="00F41E78">
        <w:rPr>
          <w:rFonts w:cs="FrankRuehl" w:hint="cs"/>
          <w:sz w:val="18"/>
          <w:szCs w:val="22"/>
          <w:rtl/>
          <w:lang w:eastAsia="he-IL"/>
        </w:rPr>
        <w:t>בתשובתו ממאי 2014 למשרד מבקר המדינה הדגיש ראש המועצה הלאומית לכלכלה כי "תפיסת ניהול סיכונים זו מטרתה התכנונית לקראת המשבר הבא ואינה רלבנטית בטווח הזמן הקצר, קרי למשבר הנוכחי. מאמצי הממשלה מוקדשים בעת הזו להורדת רמות המחירים הגבוהות והיא משווקת כל יח"ד הניתנת לשיווק. יצירת המלאי התכנוני תתאפשר רק לאחר שרמות המחירים תחזורנה לרמה סבירה וניתן יהיה לתכנן מעבר לצרכים המידיים".</w:t>
      </w:r>
    </w:p>
    <w:p w:rsidR="00D22B16" w:rsidRPr="00F41E78" w:rsidP="00D22B16">
      <w:pPr>
        <w:pStyle w:val="RESHET"/>
        <w:keepLines/>
        <w:rPr>
          <w:rtl/>
        </w:rPr>
      </w:pPr>
      <w:r w:rsidRPr="00F41E78">
        <w:rPr>
          <w:rFonts w:hint="cs"/>
          <w:rtl/>
        </w:rPr>
        <w:t>בשנים שקדמו למשבר הדיור הנוכחי ובמהלכו לא הורתה הממשלה למשרדים הנוגעים בדבר לגבש מבעוד מועד "תכניות מגירה" או "ליישם מדיניות ניהול סיכונים", כלשון ראש המועצה הלאומית לכלכלה, ולמותר לציין כי אמצעי מדיניות זה לא הופעל בפרוץ משבר הדיור בשנת 2008.</w:t>
      </w:r>
    </w:p>
    <w:p w:rsidR="00E97EDA" w:rsidRPr="00F41E78" w:rsidP="00A7557B">
      <w:pPr>
        <w:spacing w:before="180" w:after="120" w:line="230" w:lineRule="exact"/>
        <w:jc w:val="both"/>
        <w:rPr>
          <w:rFonts w:cs="FrankRuehl"/>
          <w:sz w:val="18"/>
          <w:szCs w:val="22"/>
          <w:rtl/>
          <w:lang w:eastAsia="he-IL"/>
        </w:rPr>
      </w:pPr>
      <w:r w:rsidRPr="00F41E78">
        <w:rPr>
          <w:rFonts w:cs="FrankRuehl" w:hint="eastAsia"/>
          <w:bCs/>
          <w:spacing w:val="40"/>
          <w:sz w:val="18"/>
          <w:szCs w:val="22"/>
          <w:rtl/>
        </w:rPr>
        <w:t>פיקוח</w:t>
      </w:r>
      <w:r w:rsidRPr="00F41E78">
        <w:rPr>
          <w:rFonts w:cs="FrankRuehl"/>
          <w:bCs/>
          <w:spacing w:val="40"/>
          <w:sz w:val="18"/>
          <w:szCs w:val="22"/>
          <w:rtl/>
        </w:rPr>
        <w:t>, מעקב ודיווח בנושא השגת יעדי מדיניות הדיור:</w:t>
      </w:r>
      <w:r w:rsidRPr="00F41E78">
        <w:rPr>
          <w:rFonts w:cs="FrankRuehl" w:hint="cs"/>
          <w:sz w:val="18"/>
          <w:szCs w:val="22"/>
          <w:rtl/>
          <w:lang w:eastAsia="he-IL"/>
        </w:rPr>
        <w:t xml:space="preserve"> פיקוח</w:t>
      </w:r>
      <w:r w:rsidRPr="00F41E78">
        <w:rPr>
          <w:rFonts w:cs="FrankRuehl"/>
          <w:sz w:val="18"/>
          <w:szCs w:val="22"/>
          <w:rtl/>
          <w:lang w:eastAsia="he-IL"/>
        </w:rPr>
        <w:t xml:space="preserve"> </w:t>
      </w:r>
      <w:r w:rsidRPr="00F41E78">
        <w:rPr>
          <w:rFonts w:cs="FrankRuehl" w:hint="cs"/>
          <w:sz w:val="18"/>
          <w:szCs w:val="22"/>
          <w:rtl/>
          <w:lang w:eastAsia="he-IL"/>
        </w:rPr>
        <w:t>על השגת יעדיהן של תכניות</w:t>
      </w:r>
      <w:r w:rsidRPr="00F41E78">
        <w:rPr>
          <w:rFonts w:cs="FrankRuehl" w:hint="eastAsia"/>
          <w:sz w:val="18"/>
          <w:szCs w:val="22"/>
          <w:rtl/>
          <w:lang w:eastAsia="he-IL"/>
        </w:rPr>
        <w:t xml:space="preserve"> ומעקב</w:t>
      </w:r>
      <w:r w:rsidRPr="00F41E78">
        <w:rPr>
          <w:rFonts w:cs="FrankRuehl" w:hint="cs"/>
          <w:sz w:val="18"/>
          <w:szCs w:val="22"/>
          <w:rtl/>
          <w:lang w:eastAsia="he-IL"/>
        </w:rPr>
        <w:t xml:space="preserve"> אחריו הם מרכיב הכרחי בביצוע של תכניות. פיקוח ובקרה חשוב שיתבססו על מדידה תקפה ומהימנה של מידת השגת יעדי המדיניות. ככלל, דרג המטה מופקד גם על תהליכי היזון חוזר בין הדרג המדיני לדרג הביצועי. עליו </w:t>
      </w:r>
      <w:r w:rsidRPr="00F41E78">
        <w:rPr>
          <w:rFonts w:cs="FrankRuehl" w:hint="eastAsia"/>
          <w:sz w:val="18"/>
          <w:szCs w:val="22"/>
          <w:rtl/>
          <w:lang w:eastAsia="he-IL"/>
        </w:rPr>
        <w:t>לפקח</w:t>
      </w:r>
      <w:r w:rsidRPr="00F41E78">
        <w:rPr>
          <w:rFonts w:cs="FrankRuehl" w:hint="cs"/>
          <w:sz w:val="18"/>
          <w:szCs w:val="22"/>
          <w:rtl/>
          <w:lang w:eastAsia="he-IL"/>
        </w:rPr>
        <w:t xml:space="preserve"> על אופן הביצוע</w:t>
      </w:r>
      <w:r w:rsidRPr="00F41E78">
        <w:rPr>
          <w:rFonts w:cs="FrankRuehl"/>
          <w:sz w:val="18"/>
          <w:szCs w:val="22"/>
          <w:rtl/>
          <w:lang w:eastAsia="he-IL"/>
        </w:rPr>
        <w:t xml:space="preserve"> </w:t>
      </w:r>
      <w:r w:rsidRPr="00F41E78">
        <w:rPr>
          <w:rFonts w:cs="FrankRuehl" w:hint="cs"/>
          <w:sz w:val="18"/>
          <w:szCs w:val="22"/>
          <w:rtl/>
          <w:lang w:eastAsia="he-IL"/>
        </w:rPr>
        <w:t xml:space="preserve">ולעקוב אחריו, למפות ולנהל את הסיכונים ולדווח לדרג המדיני על מידת השגת יעדי מדיניות ועל הצורך בעדכונים ושינויים, אם עולה צורך בכך. </w:t>
      </w:r>
    </w:p>
    <w:p w:rsidR="00E97EDA" w:rsidRPr="00A7557B" w:rsidP="00F41E78">
      <w:pPr>
        <w:spacing w:after="120" w:line="230" w:lineRule="exact"/>
        <w:jc w:val="both"/>
        <w:rPr>
          <w:rFonts w:cs="FrankRuehl"/>
          <w:spacing w:val="-2"/>
          <w:sz w:val="18"/>
          <w:szCs w:val="22"/>
          <w:rtl/>
          <w:lang w:eastAsia="he-IL"/>
        </w:rPr>
      </w:pPr>
      <w:r w:rsidRPr="00A7557B">
        <w:rPr>
          <w:rFonts w:cs="FrankRuehl" w:hint="cs"/>
          <w:spacing w:val="-2"/>
          <w:sz w:val="18"/>
          <w:szCs w:val="22"/>
          <w:rtl/>
          <w:lang w:eastAsia="he-IL"/>
        </w:rPr>
        <w:t xml:space="preserve">מאחר שבשנים 2012-2005 מדיניות הדיור </w:t>
      </w:r>
      <w:r w:rsidRPr="00A7557B">
        <w:rPr>
          <w:rFonts w:cs="FrankRuehl" w:hint="eastAsia"/>
          <w:spacing w:val="-2"/>
          <w:sz w:val="18"/>
          <w:szCs w:val="22"/>
          <w:rtl/>
          <w:lang w:eastAsia="he-IL"/>
        </w:rPr>
        <w:t>הממשלתית</w:t>
      </w:r>
      <w:r w:rsidRPr="00A7557B">
        <w:rPr>
          <w:rFonts w:cs="FrankRuehl" w:hint="cs"/>
          <w:spacing w:val="-2"/>
          <w:sz w:val="18"/>
          <w:szCs w:val="22"/>
          <w:rtl/>
          <w:lang w:eastAsia="he-IL"/>
        </w:rPr>
        <w:t xml:space="preserve"> באה לידי ביטוי, בעיקר בהחלטות הממשלה, המעקב אחר יישומן היה הכרחי לקבלת תמונת מצב בנוגע לאופן יישום המדיניות והשגת יעדיה. </w:t>
      </w:r>
    </w:p>
    <w:p w:rsidR="00E97EDA" w:rsidRPr="00F41E78" w:rsidP="00A7557B">
      <w:pPr>
        <w:spacing w:after="240" w:line="230" w:lineRule="exact"/>
        <w:jc w:val="both"/>
        <w:rPr>
          <w:rFonts w:cs="FrankRuehl"/>
          <w:sz w:val="18"/>
          <w:szCs w:val="22"/>
          <w:rtl/>
          <w:lang w:eastAsia="he-IL"/>
        </w:rPr>
      </w:pPr>
      <w:r w:rsidRPr="00F41E78">
        <w:rPr>
          <w:rFonts w:cs="FrankRuehl" w:hint="cs"/>
          <w:sz w:val="18"/>
          <w:szCs w:val="22"/>
          <w:rtl/>
          <w:lang w:eastAsia="he-IL"/>
        </w:rPr>
        <w:t>על פי תקנונים של הממשלות ה-31 וה-32</w:t>
      </w:r>
      <w:r>
        <w:rPr>
          <w:rFonts w:cs="FrankRuehl"/>
          <w:sz w:val="18"/>
          <w:szCs w:val="22"/>
          <w:vertAlign w:val="superscript"/>
          <w:rtl/>
          <w:lang w:eastAsia="he-IL"/>
        </w:rPr>
        <w:footnoteReference w:id="100"/>
      </w:r>
      <w:r w:rsidRPr="00F41E78">
        <w:rPr>
          <w:rFonts w:cs="FrankRuehl" w:hint="cs"/>
          <w:sz w:val="18"/>
          <w:szCs w:val="22"/>
          <w:rtl/>
          <w:lang w:eastAsia="he-IL"/>
        </w:rPr>
        <w:t xml:space="preserve">, תפקידו של מזכיר הממשלה לרכז את המעקב אחר יישום החלטות הממשלה שעל פי מהותן טעונות ביצוע. במסגרת תפקידו זה עליו לפנות אל השרים מדי פעם בפעם, אך לא פחות מאחת לחודשיים, ולבקש מהם למסור לו בתוך חודש דיווחים בכתב על יישום ההחלטות הנוגעות למשרדיהם. אשר לנושאים שקבע ראש הממשלה, על מזכיר הממשלה לפנות אל השרים הנוגעים בדבר אחת לשבועיים ולקבל מהם, בתוך שבוע, דיווח בעניינם. </w:t>
      </w:r>
    </w:p>
    <w:p w:rsidR="00D22B16" w:rsidRPr="00F41E78" w:rsidP="00D22B16">
      <w:pPr>
        <w:pStyle w:val="RESHET"/>
        <w:keepLines/>
        <w:rPr>
          <w:rtl/>
        </w:rPr>
      </w:pPr>
      <w:r w:rsidRPr="00F41E78">
        <w:rPr>
          <w:rFonts w:hint="cs"/>
          <w:rtl/>
        </w:rPr>
        <w:t xml:space="preserve">בדיקה של תהליכי </w:t>
      </w:r>
      <w:r w:rsidRPr="00F41E78">
        <w:rPr>
          <w:rFonts w:hint="eastAsia"/>
          <w:rtl/>
        </w:rPr>
        <w:t>המעקב</w:t>
      </w:r>
      <w:r w:rsidRPr="00F41E78">
        <w:rPr>
          <w:rFonts w:hint="cs"/>
          <w:rtl/>
        </w:rPr>
        <w:t xml:space="preserve"> אחר יישום החלטות הממשלה שהתקבלו בשנים 2012-2005 הנוגעות למדיניות הדיור </w:t>
      </w:r>
      <w:r w:rsidRPr="00F41E78">
        <w:rPr>
          <w:rFonts w:hint="eastAsia"/>
          <w:rtl/>
        </w:rPr>
        <w:t>הממשלתית</w:t>
      </w:r>
      <w:r w:rsidRPr="00F41E78">
        <w:rPr>
          <w:rFonts w:hint="cs"/>
          <w:rtl/>
        </w:rPr>
        <w:t xml:space="preserve"> העלתה כי לעתים הן לא יושמו במסגרת תהליך שיטתי שניהל מזכיר הממשלה.</w:t>
      </w:r>
    </w:p>
    <w:p w:rsidR="00E97EDA" w:rsidRPr="00F41E78" w:rsidP="00A7557B">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בתשובתו מאפריל 2014 ציין מזכיר הממשלה כי "אין ביכולתו של מזכיר הממשלה ואין בידיו את הכלים, הידע ואף הסמכות, להיכנס ל'נעליו' של השר הממונה או מנכ"ל המשרד ולעקוב אחר הנעשה במשרדו בהקשר של המטלות שהוטלו עליו על ידי הממשלה... המעקב הינו בעל אופי 'דיווחי' וכפי שצוין הממשלה מצויה כל העת בתמונת העניין". </w:t>
      </w:r>
    </w:p>
    <w:p w:rsidR="00E97EDA" w:rsidRPr="00F41E78" w:rsidP="00A7557B">
      <w:pPr>
        <w:spacing w:after="240" w:line="230" w:lineRule="exact"/>
        <w:ind w:left="-1"/>
        <w:jc w:val="both"/>
        <w:rPr>
          <w:rFonts w:cs="FrankRuehl"/>
          <w:sz w:val="18"/>
          <w:szCs w:val="22"/>
          <w:rtl/>
          <w:lang w:eastAsia="he-IL"/>
        </w:rPr>
      </w:pPr>
      <w:r w:rsidRPr="00F41E78">
        <w:rPr>
          <w:rFonts w:cs="FrankRuehl" w:hint="cs"/>
          <w:sz w:val="18"/>
          <w:szCs w:val="22"/>
          <w:rtl/>
          <w:lang w:eastAsia="he-IL"/>
        </w:rPr>
        <w:t xml:space="preserve">מנכ"ל משרד ראש הממשלה ציין בתשובתו מדצמבר 2013 כי "גם כשנקבעה בחוק או בתקנון עבודת הממשלה הוראה ביחס למעקב על ביצוע החלטות הממשלה, אין כל הוראה בעלת תוכן אופרטיבי, שנועדה לתת מענה למקרים שבהם שרים אינם מבצעים את החלטות הממשלה. </w:t>
      </w:r>
      <w:r w:rsidRPr="00F41E78">
        <w:rPr>
          <w:rFonts w:cs="FrankRuehl" w:hint="eastAsia"/>
          <w:b/>
          <w:bCs/>
          <w:sz w:val="18"/>
          <w:szCs w:val="22"/>
          <w:rtl/>
          <w:lang w:eastAsia="he-IL"/>
        </w:rPr>
        <w:t>המעקב</w:t>
      </w:r>
      <w:r w:rsidRPr="00F41E78">
        <w:rPr>
          <w:rFonts w:cs="FrankRuehl"/>
          <w:b/>
          <w:bCs/>
          <w:sz w:val="18"/>
          <w:szCs w:val="22"/>
          <w:rtl/>
          <w:lang w:eastAsia="he-IL"/>
        </w:rPr>
        <w:t xml:space="preserve"> </w:t>
      </w:r>
      <w:r w:rsidRPr="00F41E78">
        <w:rPr>
          <w:rFonts w:cs="FrankRuehl" w:hint="eastAsia"/>
          <w:b/>
          <w:bCs/>
          <w:sz w:val="18"/>
          <w:szCs w:val="22"/>
          <w:rtl/>
          <w:lang w:eastAsia="he-IL"/>
        </w:rPr>
        <w:t>אחר</w:t>
      </w:r>
      <w:r w:rsidRPr="00F41E78">
        <w:rPr>
          <w:rFonts w:cs="FrankRuehl"/>
          <w:b/>
          <w:bCs/>
          <w:sz w:val="18"/>
          <w:szCs w:val="22"/>
          <w:rtl/>
          <w:lang w:eastAsia="he-IL"/>
        </w:rPr>
        <w:t xml:space="preserve"> </w:t>
      </w:r>
      <w:r w:rsidRPr="00F41E78">
        <w:rPr>
          <w:rFonts w:cs="FrankRuehl" w:hint="eastAsia"/>
          <w:b/>
          <w:bCs/>
          <w:sz w:val="18"/>
          <w:szCs w:val="22"/>
          <w:rtl/>
          <w:lang w:eastAsia="he-IL"/>
        </w:rPr>
        <w:t>ביצוע</w:t>
      </w:r>
      <w:r w:rsidRPr="00F41E78">
        <w:rPr>
          <w:rFonts w:cs="FrankRuehl"/>
          <w:b/>
          <w:bCs/>
          <w:sz w:val="18"/>
          <w:szCs w:val="22"/>
          <w:rtl/>
          <w:lang w:eastAsia="he-IL"/>
        </w:rPr>
        <w:t xml:space="preserve"> </w:t>
      </w:r>
      <w:r w:rsidRPr="00F41E78">
        <w:rPr>
          <w:rFonts w:cs="FrankRuehl" w:hint="eastAsia"/>
          <w:b/>
          <w:bCs/>
          <w:sz w:val="18"/>
          <w:szCs w:val="22"/>
          <w:rtl/>
          <w:lang w:eastAsia="he-IL"/>
        </w:rPr>
        <w:t>החלטות</w:t>
      </w:r>
      <w:r w:rsidRPr="00F41E78">
        <w:rPr>
          <w:rFonts w:cs="FrankRuehl"/>
          <w:b/>
          <w:bCs/>
          <w:sz w:val="18"/>
          <w:szCs w:val="22"/>
          <w:rtl/>
          <w:lang w:eastAsia="he-IL"/>
        </w:rPr>
        <w:t xml:space="preserve"> </w:t>
      </w:r>
      <w:r w:rsidRPr="00F41E78">
        <w:rPr>
          <w:rFonts w:cs="FrankRuehl" w:hint="eastAsia"/>
          <w:b/>
          <w:bCs/>
          <w:sz w:val="18"/>
          <w:szCs w:val="22"/>
          <w:rtl/>
          <w:lang w:eastAsia="he-IL"/>
        </w:rPr>
        <w:t>הממשלה</w:t>
      </w:r>
      <w:r w:rsidRPr="00F41E78">
        <w:rPr>
          <w:rFonts w:cs="FrankRuehl"/>
          <w:b/>
          <w:bCs/>
          <w:sz w:val="18"/>
          <w:szCs w:val="22"/>
          <w:rtl/>
          <w:lang w:eastAsia="he-IL"/>
        </w:rPr>
        <w:t xml:space="preserve"> </w:t>
      </w:r>
      <w:r w:rsidRPr="00F41E78">
        <w:rPr>
          <w:rFonts w:cs="FrankRuehl" w:hint="eastAsia"/>
          <w:b/>
          <w:bCs/>
          <w:sz w:val="18"/>
          <w:szCs w:val="22"/>
          <w:rtl/>
          <w:lang w:eastAsia="he-IL"/>
        </w:rPr>
        <w:t>הוא</w:t>
      </w:r>
      <w:r w:rsidRPr="00F41E78">
        <w:rPr>
          <w:rFonts w:cs="FrankRuehl"/>
          <w:b/>
          <w:bCs/>
          <w:sz w:val="18"/>
          <w:szCs w:val="22"/>
          <w:rtl/>
          <w:lang w:eastAsia="he-IL"/>
        </w:rPr>
        <w:t xml:space="preserve"> </w:t>
      </w:r>
      <w:r w:rsidRPr="00F41E78">
        <w:rPr>
          <w:rFonts w:cs="FrankRuehl" w:hint="eastAsia"/>
          <w:b/>
          <w:bCs/>
          <w:sz w:val="18"/>
          <w:szCs w:val="22"/>
          <w:rtl/>
          <w:lang w:eastAsia="he-IL"/>
        </w:rPr>
        <w:t>בעל</w:t>
      </w:r>
      <w:r w:rsidRPr="00F41E78">
        <w:rPr>
          <w:rFonts w:cs="FrankRuehl"/>
          <w:b/>
          <w:bCs/>
          <w:sz w:val="18"/>
          <w:szCs w:val="22"/>
          <w:rtl/>
          <w:lang w:eastAsia="he-IL"/>
        </w:rPr>
        <w:t xml:space="preserve"> </w:t>
      </w:r>
      <w:r w:rsidRPr="00F41E78">
        <w:rPr>
          <w:rFonts w:cs="FrankRuehl" w:hint="eastAsia"/>
          <w:b/>
          <w:bCs/>
          <w:sz w:val="18"/>
          <w:szCs w:val="22"/>
          <w:rtl/>
          <w:lang w:eastAsia="he-IL"/>
        </w:rPr>
        <w:t>אופי</w:t>
      </w:r>
      <w:r w:rsidRPr="00F41E78">
        <w:rPr>
          <w:rFonts w:cs="FrankRuehl"/>
          <w:b/>
          <w:bCs/>
          <w:sz w:val="18"/>
          <w:szCs w:val="22"/>
          <w:rtl/>
          <w:lang w:eastAsia="he-IL"/>
        </w:rPr>
        <w:t xml:space="preserve"> 'דיווחי' </w:t>
      </w:r>
      <w:r w:rsidRPr="00F41E78">
        <w:rPr>
          <w:rFonts w:cs="FrankRuehl" w:hint="eastAsia"/>
          <w:b/>
          <w:bCs/>
          <w:sz w:val="18"/>
          <w:szCs w:val="22"/>
          <w:rtl/>
          <w:lang w:eastAsia="he-IL"/>
        </w:rPr>
        <w:t>ולא</w:t>
      </w:r>
      <w:r w:rsidRPr="00F41E78">
        <w:rPr>
          <w:rFonts w:cs="FrankRuehl"/>
          <w:b/>
          <w:bCs/>
          <w:sz w:val="18"/>
          <w:szCs w:val="22"/>
          <w:rtl/>
          <w:lang w:eastAsia="he-IL"/>
        </w:rPr>
        <w:t xml:space="preserve"> </w:t>
      </w:r>
      <w:r w:rsidRPr="00F41E78">
        <w:rPr>
          <w:rFonts w:cs="FrankRuehl" w:hint="eastAsia"/>
          <w:b/>
          <w:bCs/>
          <w:sz w:val="18"/>
          <w:szCs w:val="22"/>
          <w:rtl/>
          <w:lang w:eastAsia="he-IL"/>
        </w:rPr>
        <w:t>מעבר</w:t>
      </w:r>
      <w:r w:rsidRPr="00F41E78">
        <w:rPr>
          <w:rFonts w:cs="FrankRuehl"/>
          <w:b/>
          <w:bCs/>
          <w:sz w:val="18"/>
          <w:szCs w:val="22"/>
          <w:rtl/>
          <w:lang w:eastAsia="he-IL"/>
        </w:rPr>
        <w:t xml:space="preserve"> </w:t>
      </w:r>
      <w:r w:rsidRPr="00F41E78">
        <w:rPr>
          <w:rFonts w:cs="FrankRuehl" w:hint="eastAsia"/>
          <w:b/>
          <w:bCs/>
          <w:sz w:val="18"/>
          <w:szCs w:val="22"/>
          <w:rtl/>
          <w:lang w:eastAsia="he-IL"/>
        </w:rPr>
        <w:t>לכך</w:t>
      </w:r>
      <w:r w:rsidRPr="00F41E78">
        <w:rPr>
          <w:rFonts w:cs="FrankRuehl"/>
          <w:b/>
          <w:bCs/>
          <w:sz w:val="18"/>
          <w:szCs w:val="22"/>
          <w:rtl/>
          <w:lang w:eastAsia="he-IL"/>
        </w:rPr>
        <w:t xml:space="preserve">. </w:t>
      </w:r>
      <w:r w:rsidRPr="00F41E78">
        <w:rPr>
          <w:rFonts w:cs="FrankRuehl" w:hint="eastAsia"/>
          <w:b/>
          <w:bCs/>
          <w:sz w:val="18"/>
          <w:szCs w:val="22"/>
          <w:rtl/>
          <w:lang w:eastAsia="he-IL"/>
        </w:rPr>
        <w:t>לאף</w:t>
      </w:r>
      <w:r w:rsidRPr="00F41E78">
        <w:rPr>
          <w:rFonts w:cs="FrankRuehl"/>
          <w:b/>
          <w:bCs/>
          <w:sz w:val="18"/>
          <w:szCs w:val="22"/>
          <w:rtl/>
          <w:lang w:eastAsia="he-IL"/>
        </w:rPr>
        <w:t xml:space="preserve"> </w:t>
      </w:r>
      <w:r w:rsidRPr="00F41E78">
        <w:rPr>
          <w:rFonts w:cs="FrankRuehl" w:hint="eastAsia"/>
          <w:b/>
          <w:bCs/>
          <w:sz w:val="18"/>
          <w:szCs w:val="22"/>
          <w:rtl/>
          <w:lang w:eastAsia="he-IL"/>
        </w:rPr>
        <w:t>גורם</w:t>
      </w:r>
      <w:r w:rsidRPr="00F41E78">
        <w:rPr>
          <w:rFonts w:cs="FrankRuehl"/>
          <w:b/>
          <w:bCs/>
          <w:sz w:val="18"/>
          <w:szCs w:val="22"/>
          <w:rtl/>
          <w:lang w:eastAsia="he-IL"/>
        </w:rPr>
        <w:t xml:space="preserve"> </w:t>
      </w:r>
      <w:r w:rsidRPr="00F41E78">
        <w:rPr>
          <w:rFonts w:cs="FrankRuehl" w:hint="eastAsia"/>
          <w:b/>
          <w:bCs/>
          <w:sz w:val="18"/>
          <w:szCs w:val="22"/>
          <w:rtl/>
          <w:lang w:eastAsia="he-IL"/>
        </w:rPr>
        <w:t>לא</w:t>
      </w:r>
      <w:r w:rsidRPr="00F41E78">
        <w:rPr>
          <w:rFonts w:cs="FrankRuehl"/>
          <w:b/>
          <w:bCs/>
          <w:sz w:val="18"/>
          <w:szCs w:val="22"/>
          <w:rtl/>
          <w:lang w:eastAsia="he-IL"/>
        </w:rPr>
        <w:t xml:space="preserve"> </w:t>
      </w:r>
      <w:r w:rsidRPr="00F41E78">
        <w:rPr>
          <w:rFonts w:cs="FrankRuehl" w:hint="eastAsia"/>
          <w:b/>
          <w:bCs/>
          <w:sz w:val="18"/>
          <w:szCs w:val="22"/>
          <w:rtl/>
          <w:lang w:eastAsia="he-IL"/>
        </w:rPr>
        <w:t>הוקנתה</w:t>
      </w:r>
      <w:r w:rsidRPr="00F41E78">
        <w:rPr>
          <w:rFonts w:cs="FrankRuehl"/>
          <w:b/>
          <w:bCs/>
          <w:sz w:val="18"/>
          <w:szCs w:val="22"/>
          <w:rtl/>
          <w:lang w:eastAsia="he-IL"/>
        </w:rPr>
        <w:t xml:space="preserve"> </w:t>
      </w:r>
      <w:r w:rsidRPr="00F41E78">
        <w:rPr>
          <w:rFonts w:cs="FrankRuehl" w:hint="eastAsia"/>
          <w:b/>
          <w:bCs/>
          <w:sz w:val="18"/>
          <w:szCs w:val="22"/>
          <w:rtl/>
          <w:lang w:eastAsia="he-IL"/>
        </w:rPr>
        <w:t>סמכות</w:t>
      </w:r>
      <w:r w:rsidRPr="00F41E78">
        <w:rPr>
          <w:rFonts w:cs="FrankRuehl"/>
          <w:b/>
          <w:bCs/>
          <w:sz w:val="18"/>
          <w:szCs w:val="22"/>
          <w:rtl/>
          <w:lang w:eastAsia="he-IL"/>
        </w:rPr>
        <w:t xml:space="preserve"> </w:t>
      </w:r>
      <w:r w:rsidRPr="00F41E78">
        <w:rPr>
          <w:rFonts w:cs="FrankRuehl" w:hint="eastAsia"/>
          <w:b/>
          <w:bCs/>
          <w:sz w:val="18"/>
          <w:szCs w:val="22"/>
          <w:rtl/>
          <w:lang w:eastAsia="he-IL"/>
        </w:rPr>
        <w:t>לאכוף</w:t>
      </w:r>
      <w:r w:rsidRPr="00F41E78">
        <w:rPr>
          <w:rFonts w:cs="FrankRuehl"/>
          <w:b/>
          <w:bCs/>
          <w:sz w:val="18"/>
          <w:szCs w:val="22"/>
          <w:rtl/>
          <w:lang w:eastAsia="he-IL"/>
        </w:rPr>
        <w:t xml:space="preserve"> </w:t>
      </w:r>
      <w:r w:rsidRPr="00F41E78">
        <w:rPr>
          <w:rFonts w:cs="FrankRuehl" w:hint="eastAsia"/>
          <w:b/>
          <w:bCs/>
          <w:sz w:val="18"/>
          <w:szCs w:val="22"/>
          <w:rtl/>
          <w:lang w:eastAsia="he-IL"/>
        </w:rPr>
        <w:t>את</w:t>
      </w:r>
      <w:r w:rsidRPr="00F41E78">
        <w:rPr>
          <w:rFonts w:cs="FrankRuehl"/>
          <w:b/>
          <w:bCs/>
          <w:sz w:val="18"/>
          <w:szCs w:val="22"/>
          <w:rtl/>
          <w:lang w:eastAsia="he-IL"/>
        </w:rPr>
        <w:t xml:space="preserve"> </w:t>
      </w:r>
      <w:r w:rsidRPr="00F41E78">
        <w:rPr>
          <w:rFonts w:cs="FrankRuehl" w:hint="eastAsia"/>
          <w:b/>
          <w:bCs/>
          <w:sz w:val="18"/>
          <w:szCs w:val="22"/>
          <w:rtl/>
          <w:lang w:eastAsia="he-IL"/>
        </w:rPr>
        <w:t>ביצוע</w:t>
      </w:r>
      <w:r w:rsidRPr="00F41E78">
        <w:rPr>
          <w:rFonts w:cs="FrankRuehl"/>
          <w:b/>
          <w:bCs/>
          <w:sz w:val="18"/>
          <w:szCs w:val="22"/>
          <w:rtl/>
          <w:lang w:eastAsia="he-IL"/>
        </w:rPr>
        <w:t xml:space="preserve"> </w:t>
      </w:r>
      <w:r w:rsidRPr="00F41E78">
        <w:rPr>
          <w:rFonts w:cs="FrankRuehl" w:hint="eastAsia"/>
          <w:b/>
          <w:bCs/>
          <w:sz w:val="18"/>
          <w:szCs w:val="22"/>
          <w:rtl/>
          <w:lang w:eastAsia="he-IL"/>
        </w:rPr>
        <w:t>החלטות</w:t>
      </w:r>
      <w:r w:rsidRPr="00F41E78">
        <w:rPr>
          <w:rFonts w:cs="FrankRuehl"/>
          <w:b/>
          <w:bCs/>
          <w:sz w:val="18"/>
          <w:szCs w:val="22"/>
          <w:rtl/>
          <w:lang w:eastAsia="he-IL"/>
        </w:rPr>
        <w:t xml:space="preserve"> </w:t>
      </w:r>
      <w:r w:rsidRPr="00F41E78">
        <w:rPr>
          <w:rFonts w:cs="FrankRuehl" w:hint="eastAsia"/>
          <w:b/>
          <w:bCs/>
          <w:sz w:val="18"/>
          <w:szCs w:val="22"/>
          <w:rtl/>
          <w:lang w:eastAsia="he-IL"/>
        </w:rPr>
        <w:t>הממשלה</w:t>
      </w:r>
      <w:r w:rsidRPr="00F41E78">
        <w:rPr>
          <w:rFonts w:cs="FrankRuehl"/>
          <w:b/>
          <w:bCs/>
          <w:sz w:val="18"/>
          <w:szCs w:val="22"/>
          <w:rtl/>
          <w:lang w:eastAsia="he-IL"/>
        </w:rPr>
        <w:t xml:space="preserve"> </w:t>
      </w:r>
      <w:r w:rsidRPr="00F41E78">
        <w:rPr>
          <w:rFonts w:cs="FrankRuehl" w:hint="eastAsia"/>
          <w:b/>
          <w:bCs/>
          <w:sz w:val="18"/>
          <w:szCs w:val="22"/>
          <w:rtl/>
          <w:lang w:eastAsia="he-IL"/>
        </w:rPr>
        <w:t>שלא</w:t>
      </w:r>
      <w:r w:rsidRPr="00F41E78">
        <w:rPr>
          <w:rFonts w:cs="FrankRuehl"/>
          <w:b/>
          <w:bCs/>
          <w:sz w:val="18"/>
          <w:szCs w:val="22"/>
          <w:rtl/>
          <w:lang w:eastAsia="he-IL"/>
        </w:rPr>
        <w:t xml:space="preserve"> </w:t>
      </w:r>
      <w:r w:rsidRPr="00F41E78">
        <w:rPr>
          <w:rFonts w:cs="FrankRuehl" w:hint="eastAsia"/>
          <w:b/>
          <w:bCs/>
          <w:sz w:val="18"/>
          <w:szCs w:val="22"/>
          <w:rtl/>
          <w:lang w:eastAsia="he-IL"/>
        </w:rPr>
        <w:t>בוצעו</w:t>
      </w:r>
      <w:r w:rsidRPr="00F41E78">
        <w:rPr>
          <w:rFonts w:cs="FrankRuehl" w:hint="cs"/>
          <w:sz w:val="18"/>
          <w:szCs w:val="22"/>
          <w:rtl/>
          <w:lang w:eastAsia="he-IL"/>
        </w:rPr>
        <w:t>. המעקב נותן תמונת מצב ועשוי להמריץ ביצוע בשל עצם קיומו, אך לא מעבר לכך... אין הוראת חוק המאפשרת לממשלה או לראש הממשלה להיכנס לחצרי משרדו של שר על מנת לוודא או לפקח על ביצוע עבודתו, או על ביצוע החלטות הממשלה שהוטלו עליו... על פי השיטה הנוהגת במדינת ישראל, השר אחראי כלפי ראש הממשלה לתפקידים שעליהם הוא ממונה, והממשלה כולה אחראית בפני הכנסת</w:t>
      </w:r>
      <w:r>
        <w:rPr>
          <w:rFonts w:cs="FrankRuehl"/>
          <w:sz w:val="18"/>
          <w:szCs w:val="22"/>
          <w:vertAlign w:val="superscript"/>
          <w:rtl/>
          <w:lang w:eastAsia="he-IL"/>
        </w:rPr>
        <w:footnoteReference w:id="101"/>
      </w:r>
      <w:r w:rsidRPr="00F41E78">
        <w:rPr>
          <w:rFonts w:cs="FrankRuehl" w:hint="cs"/>
          <w:sz w:val="18"/>
          <w:szCs w:val="22"/>
          <w:rtl/>
          <w:lang w:eastAsia="he-IL"/>
        </w:rPr>
        <w:t>. לראש הממשלה אין כל אמצעי לבוא בחשבון עם שר כזה, זולת פיטוריו" (ההדגשות אינן במקור).</w:t>
      </w:r>
    </w:p>
    <w:p w:rsidR="00D22B16" w:rsidRPr="00F41E78" w:rsidP="00D22B16">
      <w:pPr>
        <w:pStyle w:val="RESHET"/>
        <w:keepLines/>
        <w:rPr>
          <w:rtl/>
        </w:rPr>
      </w:pPr>
      <w:r w:rsidRPr="00F41E78">
        <w:rPr>
          <w:rtl/>
        </w:rPr>
        <w:t xml:space="preserve">משרד מבקר המדינה מעיר לעניין זה כי </w:t>
      </w:r>
      <w:r w:rsidRPr="00F41E78">
        <w:rPr>
          <w:rFonts w:hint="cs"/>
          <w:rtl/>
        </w:rPr>
        <w:t>ל</w:t>
      </w:r>
      <w:r w:rsidRPr="00F41E78">
        <w:rPr>
          <w:rtl/>
        </w:rPr>
        <w:t xml:space="preserve">נוכח תפקידיה ואחריותה </w:t>
      </w:r>
      <w:r w:rsidRPr="00F41E78">
        <w:rPr>
          <w:rFonts w:hint="cs"/>
          <w:rtl/>
        </w:rPr>
        <w:t>והיות ש</w:t>
      </w:r>
      <w:r w:rsidRPr="00F41E78">
        <w:rPr>
          <w:rtl/>
        </w:rPr>
        <w:t>מדובר באחריות המשליכה על חייו של כל פרט ופרט בחברה</w:t>
      </w:r>
      <w:r w:rsidRPr="00F41E78">
        <w:rPr>
          <w:rFonts w:hint="cs"/>
          <w:rtl/>
        </w:rPr>
        <w:t>,</w:t>
      </w:r>
      <w:r w:rsidRPr="00F41E78">
        <w:rPr>
          <w:rtl/>
        </w:rPr>
        <w:t xml:space="preserve"> הממשלה חייבת </w:t>
      </w:r>
      <w:r w:rsidRPr="00F41E78">
        <w:rPr>
          <w:rFonts w:hint="cs"/>
          <w:rtl/>
        </w:rPr>
        <w:t>לעקוב אחר</w:t>
      </w:r>
      <w:r w:rsidRPr="00F41E78">
        <w:rPr>
          <w:rtl/>
        </w:rPr>
        <w:t xml:space="preserve"> </w:t>
      </w:r>
      <w:r w:rsidRPr="00F41E78">
        <w:rPr>
          <w:rFonts w:hint="cs"/>
          <w:rtl/>
        </w:rPr>
        <w:t>יישום</w:t>
      </w:r>
      <w:r w:rsidRPr="00F41E78">
        <w:rPr>
          <w:rtl/>
        </w:rPr>
        <w:t xml:space="preserve"> החלטות</w:t>
      </w:r>
      <w:r w:rsidRPr="00F41E78">
        <w:rPr>
          <w:rFonts w:hint="cs"/>
          <w:rtl/>
        </w:rPr>
        <w:t>יה</w:t>
      </w:r>
      <w:r w:rsidRPr="00F41E78">
        <w:rPr>
          <w:rtl/>
        </w:rPr>
        <w:t xml:space="preserve"> </w:t>
      </w:r>
      <w:r w:rsidRPr="00F41E78">
        <w:rPr>
          <w:rFonts w:hint="cs"/>
          <w:rtl/>
        </w:rPr>
        <w:t>כדי</w:t>
      </w:r>
      <w:r w:rsidRPr="00F41E78">
        <w:rPr>
          <w:rtl/>
        </w:rPr>
        <w:t xml:space="preserve"> שת</w:t>
      </w:r>
      <w:r w:rsidRPr="00F41E78">
        <w:rPr>
          <w:rFonts w:hint="cs"/>
          <w:rtl/>
        </w:rPr>
        <w:t>חזיק</w:t>
      </w:r>
      <w:r w:rsidRPr="00F41E78">
        <w:rPr>
          <w:rtl/>
        </w:rPr>
        <w:t xml:space="preserve"> בידה תמונת מצב מהימנה על פעולותיה</w:t>
      </w:r>
      <w:r w:rsidRPr="00F41E78">
        <w:rPr>
          <w:rFonts w:hint="cs"/>
          <w:rtl/>
        </w:rPr>
        <w:t>.</w:t>
      </w:r>
      <w:r w:rsidRPr="00F41E78">
        <w:rPr>
          <w:rtl/>
        </w:rPr>
        <w:t xml:space="preserve"> עליה לעמוד על כך שהיא תקבל דיווח </w:t>
      </w:r>
      <w:r w:rsidRPr="00F41E78">
        <w:rPr>
          <w:rFonts w:hint="cs"/>
          <w:rtl/>
        </w:rPr>
        <w:t xml:space="preserve">על אופן </w:t>
      </w:r>
      <w:r w:rsidRPr="00F41E78">
        <w:rPr>
          <w:rtl/>
        </w:rPr>
        <w:t xml:space="preserve">השגת היעדים שנקבעו בהחלטות </w:t>
      </w:r>
      <w:r w:rsidRPr="00F41E78">
        <w:rPr>
          <w:rFonts w:hint="cs"/>
          <w:rtl/>
        </w:rPr>
        <w:t xml:space="preserve">ולהחליט אילו </w:t>
      </w:r>
      <w:r w:rsidRPr="00F41E78">
        <w:rPr>
          <w:rtl/>
        </w:rPr>
        <w:t xml:space="preserve">פעולות נוספות </w:t>
      </w:r>
      <w:r w:rsidRPr="00F41E78">
        <w:rPr>
          <w:rFonts w:hint="cs"/>
          <w:rtl/>
        </w:rPr>
        <w:t>עליה להשלים</w:t>
      </w:r>
      <w:r w:rsidRPr="00F41E78">
        <w:rPr>
          <w:rtl/>
        </w:rPr>
        <w:t>.</w:t>
      </w:r>
    </w:p>
    <w:p w:rsidR="00BD048C" w:rsidRPr="00F41E78" w:rsidP="00A7557B">
      <w:pPr>
        <w:spacing w:after="120" w:line="230" w:lineRule="exact"/>
        <w:jc w:val="both"/>
        <w:rPr>
          <w:rFonts w:cs="FrankRuehl"/>
          <w:b/>
          <w:bCs/>
          <w:sz w:val="18"/>
          <w:szCs w:val="22"/>
          <w:rtl/>
          <w:lang w:eastAsia="he-IL"/>
        </w:rPr>
      </w:pPr>
    </w:p>
    <w:p w:rsidR="00E97EDA" w:rsidRPr="00E97EDA" w:rsidP="00A7557B">
      <w:pPr>
        <w:pStyle w:val="KOT5"/>
        <w:rPr>
          <w:rtl/>
          <w:lang w:eastAsia="he-IL"/>
        </w:rPr>
      </w:pPr>
      <w:r w:rsidRPr="00E97EDA">
        <w:rPr>
          <w:rFonts w:hint="cs"/>
          <w:rtl/>
          <w:lang w:eastAsia="he-IL"/>
        </w:rPr>
        <w:t xml:space="preserve">פעולותיו של משרד ראש הממשלה בתחום מדיניות הדיור הממשלתית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אשר למעורבות משרד ראש הממשלה בתהליכי התוויית מדיניות הדיור </w:t>
      </w:r>
      <w:r w:rsidRPr="00F41E78">
        <w:rPr>
          <w:rFonts w:cs="FrankRuehl" w:hint="eastAsia"/>
          <w:sz w:val="18"/>
          <w:szCs w:val="22"/>
          <w:rtl/>
          <w:lang w:eastAsia="he-IL"/>
        </w:rPr>
        <w:t>הממשלתית</w:t>
      </w:r>
      <w:r w:rsidRPr="00F41E78">
        <w:rPr>
          <w:rFonts w:cs="FrankRuehl" w:hint="cs"/>
          <w:sz w:val="18"/>
          <w:szCs w:val="22"/>
          <w:rtl/>
          <w:lang w:eastAsia="he-IL"/>
        </w:rPr>
        <w:t xml:space="preserve"> ובמעקב אחר ביצועה, ציין מנכ"ל משרד ראש הממשלה בתגובותיו מדצמבר 2013 וממאי 2014 כי "במשטר שבו אנו פועלים כל שר אחראי על תחום פעילות משרדו, ואין גורם אחד בממשלה, שלו שליטה מלאה על מסלול ייצור הדירה (לצורך הרחבת ההיצע) או על הביקוש לה. גם ראש הממשלה ומשרדו פועלים בתוך מסגרת סמכות מוגדרת: בראש ובראשונה, המשרד עוסק בסוגיות שהממשלה הטילה עליו, בין שהן אסטרטגיות ובין שהן נקודתיות". עוד ציין כי "צבר החלטות הממשלה הכרוכות זו בזו שקיבלו הממשלות ה-32 וה-33 מבטאות מדיניות. בהחלטות אלו נקבעו דרכי פעולה ליישומן".</w:t>
      </w:r>
    </w:p>
    <w:p w:rsidR="00E97EDA" w:rsidRPr="00F41E78" w:rsidP="00A7557B">
      <w:pPr>
        <w:spacing w:after="240" w:line="230" w:lineRule="exact"/>
        <w:jc w:val="both"/>
        <w:rPr>
          <w:rFonts w:cs="FrankRuehl"/>
          <w:sz w:val="18"/>
          <w:szCs w:val="22"/>
          <w:rtl/>
          <w:lang w:eastAsia="he-IL"/>
        </w:rPr>
      </w:pPr>
      <w:r w:rsidRPr="00F41E78">
        <w:rPr>
          <w:rFonts w:cs="FrankRuehl" w:hint="cs"/>
          <w:sz w:val="18"/>
          <w:szCs w:val="22"/>
          <w:rtl/>
          <w:lang w:eastAsia="he-IL"/>
        </w:rPr>
        <w:t xml:space="preserve">בתשובתו גם פירט מנכ"ל משרד ראש הממשלה את הפעולות והיזמות שנקט המשרד: "בהתייחס לפעולות אסטרטגיות במסגרת הסמכה פורמאלית [הפעולות שהוטלו על משרד ראש הממשלה מכוח החלטות הממשלה </w:t>
      </w:r>
      <w:r w:rsidRPr="00F41E78">
        <w:rPr>
          <w:rFonts w:cs="FrankRuehl"/>
          <w:sz w:val="18"/>
          <w:szCs w:val="22"/>
          <w:rtl/>
          <w:lang w:eastAsia="he-IL"/>
        </w:rPr>
        <w:t xml:space="preserve">- </w:t>
      </w:r>
      <w:r w:rsidRPr="00F41E78">
        <w:rPr>
          <w:rFonts w:cs="FrankRuehl" w:hint="eastAsia"/>
          <w:sz w:val="18"/>
          <w:szCs w:val="22"/>
          <w:rtl/>
          <w:lang w:eastAsia="he-IL"/>
        </w:rPr>
        <w:t>להלן</w:t>
      </w:r>
      <w:r w:rsidRPr="00F41E78">
        <w:rPr>
          <w:rFonts w:cs="FrankRuehl"/>
          <w:sz w:val="18"/>
          <w:szCs w:val="22"/>
          <w:rtl/>
          <w:lang w:eastAsia="he-IL"/>
        </w:rPr>
        <w:t xml:space="preserve">: </w:t>
      </w:r>
      <w:r w:rsidRPr="00F41E78">
        <w:rPr>
          <w:rFonts w:cs="FrankRuehl" w:hint="eastAsia"/>
          <w:sz w:val="18"/>
          <w:szCs w:val="22"/>
          <w:rtl/>
          <w:lang w:eastAsia="he-IL"/>
        </w:rPr>
        <w:t>ההסמכה</w:t>
      </w:r>
      <w:r w:rsidRPr="00F41E78">
        <w:rPr>
          <w:rFonts w:cs="FrankRuehl"/>
          <w:sz w:val="18"/>
          <w:szCs w:val="22"/>
          <w:rtl/>
          <w:lang w:eastAsia="he-IL"/>
        </w:rPr>
        <w:t xml:space="preserve"> </w:t>
      </w:r>
      <w:r w:rsidRPr="00F41E78">
        <w:rPr>
          <w:rFonts w:cs="FrankRuehl" w:hint="eastAsia"/>
          <w:sz w:val="18"/>
          <w:szCs w:val="22"/>
          <w:rtl/>
          <w:lang w:eastAsia="he-IL"/>
        </w:rPr>
        <w:t>הפורמאלית</w:t>
      </w:r>
      <w:r w:rsidRPr="00F41E78">
        <w:rPr>
          <w:rFonts w:cs="FrankRuehl" w:hint="cs"/>
          <w:sz w:val="18"/>
          <w:szCs w:val="22"/>
          <w:rtl/>
          <w:lang w:eastAsia="he-IL"/>
        </w:rPr>
        <w:t xml:space="preserve">], ראוי לציין גם את התכנית למינוף מעבר בסיסי צה"ל לנגב - לרבות ביסוס העיר באר שבע כמרכז ייחודי בתחום הסייבר; ההסכם למימון טיהור המים במתחם תע"ש אשר אפשר את הפקדת התכנית למגורים שם; הסיכום להפרטת תע"ש, הכולל הקדמת הפינוי של ארבעת בסיסי צה"ל מאזורי ביקוש לשנת 2014; וקידום החלטות ממשלה לעידוד התיישבות, ההשכלה והתעסוקה בפריפריה, כגון מפת העדיפות הלאומית, שנת לימודים חינם בפריפריה ועוד... בהתייחס לפעולות טקטיות, במסגרת הסמכה פורמאלית, יש לציין את פעולות ועדת החסמים". הוא פירט גם פעולות אסטרטגיות שביצע משרדו מעבר "להסמכה הפורמאלית", כמו גיבוש תכנית שיווק ותכנון אחידה וחקיקת חוק הווד"לים. </w:t>
      </w:r>
    </w:p>
    <w:p w:rsidR="00D22B16" w:rsidRPr="00A7557B" w:rsidP="00D22B16">
      <w:pPr>
        <w:pStyle w:val="RESHET"/>
        <w:keepLines/>
        <w:rPr>
          <w:spacing w:val="-2"/>
          <w:rtl/>
        </w:rPr>
      </w:pPr>
      <w:r w:rsidRPr="00A7557B">
        <w:rPr>
          <w:rFonts w:hint="cs"/>
          <w:spacing w:val="-2"/>
          <w:rtl/>
        </w:rPr>
        <w:t xml:space="preserve">משרד מבקר המדינה מעיר כי הפעולות האסטרטגיות והטקטיות האמורות חיוניות, אך מדובר בפעולות מבוזרות שלא התבססו, כאמור לעיל, על מדיניות ממשלתית כוללת וארוכת טווח בתחום הדיור. אין די במתן ביטוי לקווי מדיניות הדיור </w:t>
      </w:r>
      <w:r w:rsidRPr="00A7557B">
        <w:rPr>
          <w:rFonts w:hint="eastAsia"/>
          <w:spacing w:val="-2"/>
          <w:rtl/>
        </w:rPr>
        <w:t>הממשלתית</w:t>
      </w:r>
      <w:r w:rsidRPr="00A7557B">
        <w:rPr>
          <w:rFonts w:hint="cs"/>
          <w:spacing w:val="-2"/>
          <w:rtl/>
        </w:rPr>
        <w:t xml:space="preserve"> באמצעות "צבר החלטות הכרוכות אחת בשנייה". לעשיית עבודת מטה יעילה ואפקטיבית של כל הגורמים הנוגעים, ראוי להגדיר את מכלול המרכיבים הנדרשים ובהם תכנית פעולה אסטרטגית, יעדים, לוחות זמנים, משאבים, מנגנון ניהול סיכונים ומתכונת לדיווח על ממצאי הפיקוח וה</w:t>
      </w:r>
      <w:r w:rsidRPr="00A7557B">
        <w:rPr>
          <w:rFonts w:hint="eastAsia"/>
          <w:spacing w:val="-2"/>
          <w:rtl/>
        </w:rPr>
        <w:t>מעקב</w:t>
      </w:r>
      <w:r w:rsidRPr="00A7557B">
        <w:rPr>
          <w:rFonts w:hint="cs"/>
          <w:spacing w:val="-2"/>
          <w:rtl/>
        </w:rPr>
        <w:t xml:space="preserve">. נוסף על כך, יש להגדיר את הגורם המתכלל שבאחריותו להוביל את עבודת המטה לגיבוש המדיניות וליישומה. נמצא כי פעולות אלו כלל לא נעשו או שנעשו באופן חלקי ולקוי. </w:t>
      </w:r>
    </w:p>
    <w:p w:rsidR="00EC0D7D" w:rsidRPr="00EC0D7D" w:rsidP="00EC0D7D">
      <w:pPr>
        <w:spacing w:after="120" w:line="230" w:lineRule="exact"/>
        <w:jc w:val="both"/>
        <w:rPr>
          <w:rFonts w:cs="FrankRuehl"/>
          <w:sz w:val="18"/>
          <w:szCs w:val="22"/>
          <w:rtl/>
          <w:lang w:eastAsia="he-IL"/>
        </w:rPr>
      </w:pPr>
    </w:p>
    <w:p w:rsidR="00EC0D7D" w:rsidRPr="00EC0D7D" w:rsidP="00EC0D7D">
      <w:pPr>
        <w:spacing w:after="120" w:line="230" w:lineRule="exact"/>
        <w:jc w:val="both"/>
        <w:rPr>
          <w:rFonts w:cs="FrankRuehl"/>
          <w:sz w:val="18"/>
          <w:szCs w:val="22"/>
          <w:rtl/>
          <w:lang w:eastAsia="he-IL"/>
        </w:rPr>
      </w:pPr>
    </w:p>
    <w:p w:rsidR="00E97EDA" w:rsidRPr="00243E7C" w:rsidP="00A7557B">
      <w:pPr>
        <w:pStyle w:val="KOT4"/>
        <w:rPr>
          <w:rtl/>
          <w:lang w:eastAsia="he-IL"/>
        </w:rPr>
      </w:pPr>
      <w:r w:rsidRPr="00243E7C">
        <w:rPr>
          <w:rFonts w:hint="cs"/>
          <w:rtl/>
          <w:lang w:eastAsia="he-IL"/>
        </w:rPr>
        <w:t>החלטות ופעולות של קבינט הדיור</w:t>
      </w:r>
    </w:p>
    <w:p w:rsidR="00E97EDA" w:rsidRPr="00F41E78" w:rsidP="00303DAA">
      <w:pPr>
        <w:spacing w:after="120" w:line="230" w:lineRule="exact"/>
        <w:jc w:val="both"/>
        <w:rPr>
          <w:rFonts w:cs="FrankRuehl"/>
          <w:sz w:val="18"/>
          <w:szCs w:val="22"/>
          <w:rtl/>
          <w:lang w:eastAsia="he-IL"/>
        </w:rPr>
      </w:pPr>
      <w:r w:rsidRPr="00F41E78">
        <w:rPr>
          <w:rFonts w:cs="FrankRuehl" w:hint="cs"/>
          <w:sz w:val="18"/>
          <w:szCs w:val="22"/>
          <w:rtl/>
          <w:lang w:eastAsia="he-IL"/>
        </w:rPr>
        <w:t xml:space="preserve">כאמור, בהחלטה מס' 23 של הממשלה ה-33, הממשלה הנוכחית, שקמה במרץ 2013 נקבע כי יוקם קבינט דיור בראשותו של שר האוצר מר יאיר לפיד. בהחלטה נקבעו סמכויות הוועדה והן התוויית מדיניות </w:t>
      </w:r>
      <w:r w:rsidRPr="00F41E78">
        <w:rPr>
          <w:rFonts w:cs="FrankRuehl" w:hint="eastAsia"/>
          <w:sz w:val="18"/>
          <w:szCs w:val="22"/>
          <w:rtl/>
          <w:lang w:eastAsia="he-IL"/>
        </w:rPr>
        <w:t>ממשלתית</w:t>
      </w:r>
      <w:r w:rsidRPr="00F41E78">
        <w:rPr>
          <w:rFonts w:cs="FrankRuehl" w:hint="cs"/>
          <w:sz w:val="18"/>
          <w:szCs w:val="22"/>
          <w:rtl/>
          <w:lang w:eastAsia="he-IL"/>
        </w:rPr>
        <w:t xml:space="preserve"> בתחום הדיור; אישור וקידום של רפורמות ושינויים מבניים לייעול מדיניות הממשלה בתחום המקרקעין, התכנון והבנייה למגורים, </w:t>
      </w:r>
      <w:r w:rsidRPr="00582A43">
        <w:rPr>
          <w:rFonts w:cs="FrankRuehl" w:hint="cs"/>
          <w:sz w:val="18"/>
          <w:szCs w:val="22"/>
          <w:rtl/>
          <w:lang w:eastAsia="he-IL"/>
        </w:rPr>
        <w:t>ומעקב אחר יישומם; וקידום</w:t>
      </w:r>
      <w:r w:rsidRPr="00F41E78">
        <w:rPr>
          <w:rFonts w:cs="FrankRuehl" w:hint="cs"/>
          <w:sz w:val="18"/>
          <w:szCs w:val="22"/>
          <w:rtl/>
          <w:lang w:eastAsia="he-IL"/>
        </w:rPr>
        <w:t xml:space="preserve"> פרויקטים בתחום הבנייה למגורים, בין היתר לדיור להשכרה לטווח ארוך, ופרויקטים של התחדשות עירונית ופינוי בינוי. </w:t>
      </w:r>
    </w:p>
    <w:p w:rsidR="00BD048C" w:rsidRPr="00F41E78" w:rsidP="00A7557B">
      <w:pPr>
        <w:spacing w:after="60" w:line="230" w:lineRule="exact"/>
        <w:jc w:val="both"/>
        <w:rPr>
          <w:rFonts w:cs="FrankRuehl"/>
          <w:sz w:val="18"/>
          <w:szCs w:val="22"/>
          <w:rtl/>
          <w:lang w:eastAsia="he-IL"/>
        </w:rPr>
      </w:pPr>
    </w:p>
    <w:p w:rsidR="00E97EDA" w:rsidRPr="00E97EDA" w:rsidP="00A7557B">
      <w:pPr>
        <w:pStyle w:val="KOT5"/>
        <w:rPr>
          <w:rtl/>
          <w:lang w:eastAsia="he-IL"/>
        </w:rPr>
      </w:pPr>
      <w:r w:rsidRPr="00E97EDA">
        <w:rPr>
          <w:rFonts w:hint="cs"/>
          <w:rtl/>
          <w:lang w:eastAsia="he-IL"/>
        </w:rPr>
        <w:t>החלטות קבינט הדיור</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מאז הקמתו באפריל 2013 עד מועד סיום הביקורת, דצמבר 2013, החליט קבינט הדיור 26 החלטות הנוגעות לתחומי מדיניות הדיור שקיבלו תוקף של החלטות ממשלה. בין השאר עסקו ההחלטות </w:t>
      </w:r>
      <w:r w:rsidRPr="00F41E78">
        <w:rPr>
          <w:rFonts w:cs="FrankRuehl" w:hint="cs"/>
          <w:sz w:val="18"/>
          <w:szCs w:val="22"/>
          <w:rtl/>
          <w:lang w:eastAsia="he-IL"/>
        </w:rPr>
        <w:t xml:space="preserve">בתחומים האלו: פיתוח שוק הדירות להשכרה באמצעות הפרויקט הלאומי לדיור בהיקף של </w:t>
      </w:r>
      <w:r w:rsidR="00A7557B">
        <w:rPr>
          <w:rFonts w:cs="FrankRuehl"/>
          <w:sz w:val="18"/>
          <w:szCs w:val="22"/>
          <w:rtl/>
          <w:lang w:eastAsia="he-IL"/>
        </w:rPr>
        <w:br/>
      </w:r>
      <w:r w:rsidRPr="00F41E78">
        <w:rPr>
          <w:rFonts w:cs="FrankRuehl" w:hint="cs"/>
          <w:sz w:val="18"/>
          <w:szCs w:val="22"/>
          <w:rtl/>
          <w:lang w:eastAsia="he-IL"/>
        </w:rPr>
        <w:t xml:space="preserve">כ-150,000 יח"ד, חלקן בשכר דירה מופחת, המתוכננות לבנייה במשך עשור; חיזוק הפריפריה ופיזור אוכלוסין באמצעים </w:t>
      </w:r>
      <w:r w:rsidRPr="00F41E78">
        <w:rPr>
          <w:rFonts w:cs="FrankRuehl" w:hint="eastAsia"/>
          <w:sz w:val="18"/>
          <w:szCs w:val="22"/>
          <w:rtl/>
          <w:lang w:eastAsia="he-IL"/>
        </w:rPr>
        <w:t>מגוונים</w:t>
      </w:r>
      <w:r w:rsidRPr="00F41E78">
        <w:rPr>
          <w:rFonts w:cs="FrankRuehl"/>
          <w:sz w:val="18"/>
          <w:szCs w:val="22"/>
          <w:rtl/>
          <w:lang w:eastAsia="he-IL"/>
        </w:rPr>
        <w:t xml:space="preserve"> ש</w:t>
      </w:r>
      <w:r w:rsidRPr="00F41E78">
        <w:rPr>
          <w:rFonts w:cs="FrankRuehl" w:hint="eastAsia"/>
          <w:sz w:val="18"/>
          <w:szCs w:val="22"/>
          <w:rtl/>
          <w:lang w:eastAsia="he-IL"/>
        </w:rPr>
        <w:t>העיקרי</w:t>
      </w:r>
      <w:r w:rsidRPr="00F41E78">
        <w:rPr>
          <w:rFonts w:cs="FrankRuehl" w:hint="cs"/>
          <w:sz w:val="18"/>
          <w:szCs w:val="22"/>
          <w:rtl/>
          <w:lang w:eastAsia="he-IL"/>
        </w:rPr>
        <w:t xml:space="preserve"> בהם הוא מעבר מחנות צה"ל לנגב; ייעולה של שרשרת הייצור באמצעות הרפורמות והסרת חסמים תכנוניים ורגולטורים לאורך כל שלביה, לרבות מתן רשת ביטחון לפרויקטים בעלי חשיבות ועדיפות לאומית כמו הפרויקט הלאומי לדיור; קידום התחדשות עירונית באמצעות שני מסלולים עיקריים: שדרוג המבנים הקיימים במסגרת תמ"א 38 והקמת מבנים חדשים באמצעות פרויקטים של פינוי-בינוי; פעולות לשיפור עבודת המטה כמו קביעת גורם שיוביל את מדיניות הדיור הלאומית ארוכת הטווח; וקביעת יעדים כמותיים.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לאחר סיום הביקורת, בחודשים ינואר-יולי 2014, קיבל קבינט הדיור לפחות עשר החלטות נוספות שגם הן קיבלו תוקף של החלטות ממשלה. ההחלטות עסקו בין השאר בנושאים האלו: "מע"מ אפס לרוכשי דירה ראשונה" - תזכיר חוק שהפיץ שר האוצר, ולפיו עסקה למכירת דירת מגורים שנמכרת לראשונה מקבלן לזכאים, שתבוצע מיום כניסת החוק לתוקף, תזכה בהטבה של מע"ם בשיעור אפס לעניין עסקה זו; "הסדרת יחסי משכיר-שוכר בדירת מגורים" - הפצת תזכיר חוק שנועד להסדרת היחסים בין משכיר דירת מגורים לשוכר הדירה וליצירת מסגרת חוקית מתאימה להבטחת ההגינות, הסבירות והוודאות ביחסים משפטיים בין הצדדים; ו"שיווק יחידות הדיור במתכונת 'מחיר מטרה'" - תכנית שיכין צוות בין-משרדי, בראשותו של שר האוצר, לצורך פרסום מכרזים לבנייה למגורים ובהם ייקבע מחיר מרבי לדירה הנמוך בכ-20% ממחירי השוק. </w:t>
      </w:r>
    </w:p>
    <w:p w:rsidR="00E97EDA" w:rsidRPr="00F41E78" w:rsidP="000449EE">
      <w:pPr>
        <w:spacing w:after="120" w:line="230" w:lineRule="exact"/>
        <w:jc w:val="both"/>
        <w:rPr>
          <w:rFonts w:cs="FrankRuehl"/>
          <w:sz w:val="18"/>
          <w:szCs w:val="22"/>
          <w:rtl/>
          <w:lang w:eastAsia="he-IL"/>
        </w:rPr>
      </w:pPr>
      <w:r w:rsidRPr="00F41E78">
        <w:rPr>
          <w:rFonts w:cs="FrankRuehl" w:hint="cs"/>
          <w:sz w:val="18"/>
          <w:szCs w:val="22"/>
          <w:rtl/>
          <w:lang w:eastAsia="he-IL"/>
        </w:rPr>
        <w:t>ההחלטות דלעיל לא נבדקו במסגרת הביקורת הנוכחית, למעט התייחסות של משרד מבקר המדינה לנושאים עקרוניים אחדים, כמפורט להלן:</w:t>
      </w:r>
    </w:p>
    <w:p w:rsidR="00BD048C" w:rsidRPr="00F41E78" w:rsidP="00A7557B">
      <w:pPr>
        <w:spacing w:after="60" w:line="230" w:lineRule="exact"/>
        <w:jc w:val="both"/>
        <w:rPr>
          <w:rFonts w:cs="FrankRuehl"/>
          <w:sz w:val="18"/>
          <w:szCs w:val="22"/>
          <w:rtl/>
          <w:lang w:eastAsia="he-IL"/>
        </w:rPr>
      </w:pPr>
    </w:p>
    <w:p w:rsidR="00E97EDA" w:rsidRPr="00E97EDA" w:rsidP="00A7557B">
      <w:pPr>
        <w:pStyle w:val="KOT5"/>
        <w:rPr>
          <w:rtl/>
          <w:lang w:eastAsia="he-IL"/>
        </w:rPr>
      </w:pPr>
      <w:r w:rsidRPr="00E97EDA">
        <w:rPr>
          <w:rFonts w:hint="cs"/>
          <w:rtl/>
          <w:lang w:eastAsia="he-IL"/>
        </w:rPr>
        <w:t xml:space="preserve">הטלת אחריות על שר הבינוי והשיכון להוביל גיבוש מדיניות דיור ארוכת טווח </w:t>
      </w:r>
    </w:p>
    <w:p w:rsidR="00E97EDA" w:rsidRPr="00F41E78" w:rsidP="00A7557B">
      <w:pPr>
        <w:spacing w:after="240" w:line="230" w:lineRule="exact"/>
        <w:jc w:val="both"/>
        <w:rPr>
          <w:rFonts w:cs="FrankRuehl"/>
          <w:sz w:val="18"/>
          <w:szCs w:val="22"/>
          <w:rtl/>
          <w:lang w:eastAsia="he-IL"/>
        </w:rPr>
      </w:pPr>
      <w:r w:rsidRPr="00F41E78">
        <w:rPr>
          <w:rFonts w:cs="FrankRuehl" w:hint="cs"/>
          <w:sz w:val="18"/>
          <w:szCs w:val="22"/>
          <w:rtl/>
          <w:lang w:eastAsia="he-IL"/>
        </w:rPr>
        <w:t xml:space="preserve">על חשיבות גיבושה של מדיניות דיור ארוכת טווח ועל היעדרה עמדו גם קבינט הדיור והממשלה, וביוני 2013 קיבלה הממשלה את החלטה מס' 367 ולפיה הוטל על שר הבינוי והשיכון "להוביל גיבוש מדיניות דיור ארוכת טווח". </w:t>
      </w:r>
    </w:p>
    <w:p w:rsidR="00D22B16" w:rsidRPr="00F41E78" w:rsidP="00D22B16">
      <w:pPr>
        <w:pStyle w:val="RESHET"/>
        <w:keepLines/>
        <w:rPr>
          <w:rtl/>
        </w:rPr>
      </w:pPr>
      <w:r w:rsidRPr="00F41E78">
        <w:rPr>
          <w:rFonts w:hint="cs"/>
          <w:rtl/>
        </w:rPr>
        <w:t xml:space="preserve">כאמור, ממועד סיום הביקורת עד יולי 2014 החליטה הממשלה החלטות רבות הנוגעות לשוק הדיור; אולם בפרק הזמן האמור שר הבינוי והשיכון עדיין לא קבע מדיניות דיור ארוכת טווח אף שהממשלה הטילה זאת עליו. </w:t>
      </w:r>
    </w:p>
    <w:p w:rsidR="00E97EDA" w:rsidRPr="00F41E78" w:rsidP="00A7557B">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בתשובתו מדצמבר 2013 הבהיר מנכ"ל משרד הבינוי מר בן אליהו כי "תמ"א 35 מהווה מדיניות ממשלתית </w:t>
      </w:r>
      <w:r w:rsidRPr="00F41E78">
        <w:rPr>
          <w:rFonts w:cs="FrankRuehl" w:hint="eastAsia"/>
          <w:b/>
          <w:bCs/>
          <w:sz w:val="18"/>
          <w:szCs w:val="22"/>
          <w:rtl/>
          <w:lang w:eastAsia="he-IL"/>
        </w:rPr>
        <w:t>בתחום</w:t>
      </w:r>
      <w:r w:rsidRPr="00F41E78">
        <w:rPr>
          <w:rFonts w:cs="FrankRuehl"/>
          <w:b/>
          <w:bCs/>
          <w:sz w:val="18"/>
          <w:szCs w:val="22"/>
          <w:rtl/>
          <w:lang w:eastAsia="he-IL"/>
        </w:rPr>
        <w:t xml:space="preserve"> </w:t>
      </w:r>
      <w:r w:rsidRPr="00F41E78">
        <w:rPr>
          <w:rFonts w:cs="FrankRuehl" w:hint="eastAsia"/>
          <w:b/>
          <w:bCs/>
          <w:sz w:val="18"/>
          <w:szCs w:val="22"/>
          <w:rtl/>
          <w:lang w:eastAsia="he-IL"/>
        </w:rPr>
        <w:t>התכנון</w:t>
      </w:r>
      <w:r w:rsidRPr="00F41E78">
        <w:rPr>
          <w:rFonts w:cs="FrankRuehl"/>
          <w:b/>
          <w:bCs/>
          <w:sz w:val="18"/>
          <w:szCs w:val="22"/>
          <w:rtl/>
          <w:lang w:eastAsia="he-IL"/>
        </w:rPr>
        <w:t xml:space="preserve"> </w:t>
      </w:r>
      <w:r w:rsidRPr="00F41E78">
        <w:rPr>
          <w:rFonts w:cs="FrankRuehl" w:hint="eastAsia"/>
          <w:b/>
          <w:bCs/>
          <w:sz w:val="18"/>
          <w:szCs w:val="22"/>
          <w:rtl/>
          <w:lang w:eastAsia="he-IL"/>
        </w:rPr>
        <w:t>בלבד</w:t>
      </w:r>
      <w:r w:rsidRPr="00F41E78">
        <w:rPr>
          <w:rFonts w:cs="FrankRuehl" w:hint="cs"/>
          <w:sz w:val="18"/>
          <w:szCs w:val="22"/>
          <w:rtl/>
          <w:lang w:eastAsia="he-IL"/>
        </w:rPr>
        <w:t>... מימוש החלטת קבינט הדיור [החלטת ממשלה מס' 367], הקובעת כי שר הבינוי והשיכון אחראי לקביעת מדיניות הדיור הלאומית, מתממשת בכך שהמשרד יוזם החלטות העולות להצבעה בקבינט הדיור, ורותם את כלל השותפים להסכמה בנושא" (ההדגשה אינה במקור).</w:t>
      </w:r>
    </w:p>
    <w:p w:rsidR="00D22B16" w:rsidRPr="00F41E78" w:rsidP="00D22B16">
      <w:pPr>
        <w:pStyle w:val="RESHET"/>
        <w:keepLines/>
        <w:rPr>
          <w:rtl/>
        </w:rPr>
      </w:pPr>
      <w:r w:rsidRPr="00F41E78">
        <w:rPr>
          <w:rFonts w:hint="cs"/>
          <w:rtl/>
        </w:rPr>
        <w:t xml:space="preserve">משרד מבקר המדינה מעיר לעניין הבהרתו של מנכ"ל משרד הבינוי כי בייזום החלטות בידי המשרד ובאישורן בקבינט הדיור אין די כדי לייתר את הצורך בגיבוש מדיניות דיור כוללת וארוכת טווח שעליה יבססו כל משרדי הממשלה ומוסדותיה את דרכי הפעולה ליישומה. </w:t>
      </w:r>
    </w:p>
    <w:p w:rsidR="00BD048C" w:rsidRPr="00F41E78" w:rsidP="00A7557B">
      <w:pPr>
        <w:spacing w:after="120" w:line="230" w:lineRule="exact"/>
        <w:jc w:val="both"/>
        <w:rPr>
          <w:rFonts w:cs="FrankRuehl"/>
          <w:b/>
          <w:bCs/>
          <w:sz w:val="18"/>
          <w:szCs w:val="22"/>
          <w:rtl/>
          <w:lang w:eastAsia="he-IL"/>
        </w:rPr>
      </w:pPr>
    </w:p>
    <w:p w:rsidR="00E97EDA" w:rsidRPr="00E97EDA" w:rsidP="00A7557B">
      <w:pPr>
        <w:pStyle w:val="KOT5"/>
        <w:rPr>
          <w:rtl/>
          <w:lang w:eastAsia="he-IL"/>
        </w:rPr>
      </w:pPr>
      <w:r w:rsidRPr="00E97EDA">
        <w:rPr>
          <w:rFonts w:hint="cs"/>
          <w:rtl/>
          <w:lang w:eastAsia="he-IL"/>
        </w:rPr>
        <w:t>הפעלת הפרויקט הלאומי לדיור</w:t>
      </w:r>
    </w:p>
    <w:p w:rsidR="00E97EDA" w:rsidRPr="00F41E78" w:rsidP="00A7557B">
      <w:pPr>
        <w:spacing w:after="120" w:line="230" w:lineRule="exact"/>
        <w:jc w:val="both"/>
        <w:rPr>
          <w:rFonts w:cs="FrankRuehl"/>
          <w:sz w:val="18"/>
          <w:szCs w:val="22"/>
          <w:rtl/>
          <w:lang w:eastAsia="he-IL"/>
        </w:rPr>
      </w:pPr>
      <w:r w:rsidRPr="00F41E78">
        <w:rPr>
          <w:rFonts w:cs="FrankRuehl"/>
          <w:bCs/>
          <w:spacing w:val="40"/>
          <w:sz w:val="18"/>
          <w:szCs w:val="22"/>
          <w:rtl/>
        </w:rPr>
        <w:t xml:space="preserve">צוות 90 ימים: </w:t>
      </w:r>
      <w:r w:rsidRPr="00F41E78">
        <w:rPr>
          <w:rFonts w:cs="FrankRuehl" w:hint="cs"/>
          <w:sz w:val="18"/>
          <w:szCs w:val="22"/>
          <w:rtl/>
        </w:rPr>
        <w:t>בהחלטת ממשלה מס' 301 ממאי 2013 נקבע כי יוקם צוות בין-משרדי שיגבש את התכנית הממשלתית להרחבת ההיצע בשוק הדיור באמצעות בנייתן של כ-150,000 דירות להשכרה במשך עשור (להלן - הפרויקט הלאומי לדיור).</w:t>
      </w:r>
      <w:r w:rsidRPr="00F41E78">
        <w:rPr>
          <w:rFonts w:cs="FrankRuehl" w:hint="cs"/>
          <w:sz w:val="18"/>
          <w:szCs w:val="22"/>
          <w:rtl/>
          <w:lang w:eastAsia="he-IL"/>
        </w:rPr>
        <w:t xml:space="preserve"> בנובמבר 2013 הגיש הצוות את המלצותיו. בהחלטת ממשלה מס' 987 מנובמבר 2013 אומצו המלצותיו בין היתר בתחומים האלו: המלאי התכנוני הדרוש, סדרי איתור מתחמים, קביעת הליך תכנוני ייחודי לפרויקט הלאומי לדיור, הסדרי קניין ופיתוח עבור הפרויקט, מודל השיווק.</w:t>
      </w:r>
    </w:p>
    <w:p w:rsidR="00E97EDA" w:rsidRPr="00F41E78" w:rsidP="00A7557B">
      <w:pPr>
        <w:spacing w:after="120" w:line="230" w:lineRule="exact"/>
        <w:jc w:val="both"/>
        <w:rPr>
          <w:rFonts w:cs="FrankRuehl"/>
          <w:sz w:val="18"/>
          <w:szCs w:val="22"/>
          <w:rtl/>
          <w:lang w:eastAsia="he-IL"/>
        </w:rPr>
      </w:pPr>
      <w:r w:rsidRPr="00F41E78">
        <w:rPr>
          <w:rFonts w:cs="FrankRuehl"/>
          <w:bCs/>
          <w:spacing w:val="40"/>
          <w:sz w:val="18"/>
          <w:szCs w:val="22"/>
          <w:rtl/>
        </w:rPr>
        <w:t>ה</w:t>
      </w:r>
      <w:r w:rsidRPr="00F41E78">
        <w:rPr>
          <w:rFonts w:cs="FrankRuehl" w:hint="eastAsia"/>
          <w:bCs/>
          <w:spacing w:val="40"/>
          <w:sz w:val="18"/>
          <w:szCs w:val="22"/>
          <w:rtl/>
        </w:rPr>
        <w:t>י</w:t>
      </w:r>
      <w:r w:rsidRPr="00F41E78">
        <w:rPr>
          <w:rFonts w:cs="FrankRuehl"/>
          <w:bCs/>
          <w:spacing w:val="40"/>
          <w:sz w:val="18"/>
          <w:szCs w:val="22"/>
          <w:rtl/>
        </w:rPr>
        <w:t>ערכות ארגונית להפעלת הפרויקט:</w:t>
      </w:r>
      <w:r w:rsidRPr="00F41E78">
        <w:rPr>
          <w:rFonts w:cs="FrankRuehl" w:hint="cs"/>
          <w:sz w:val="18"/>
          <w:szCs w:val="22"/>
          <w:rtl/>
          <w:lang w:eastAsia="he-IL"/>
        </w:rPr>
        <w:t xml:space="preserve"> מעיון בהחלטות קבינט הדיור שקיבלו תוקף של החלטות ממשלה עולה שנקבעה היערכות ארגונית של הדרגים המעורבים בפרויקט הדיור הלאומי</w:t>
      </w:r>
      <w:r w:rsidRPr="00F41E78">
        <w:rPr>
          <w:rFonts w:cs="FrankRuehl"/>
          <w:sz w:val="18"/>
          <w:szCs w:val="22"/>
          <w:rtl/>
          <w:lang w:eastAsia="he-IL"/>
        </w:rPr>
        <w:t xml:space="preserve">, </w:t>
      </w:r>
      <w:r w:rsidRPr="00F41E78">
        <w:rPr>
          <w:rFonts w:cs="FrankRuehl" w:hint="eastAsia"/>
          <w:sz w:val="18"/>
          <w:szCs w:val="22"/>
          <w:rtl/>
          <w:lang w:eastAsia="he-IL"/>
        </w:rPr>
        <w:t>כדלקמן</w:t>
      </w:r>
      <w:r w:rsidRPr="00F41E78">
        <w:rPr>
          <w:rFonts w:cs="FrankRuehl"/>
          <w:sz w:val="18"/>
          <w:szCs w:val="22"/>
          <w:rtl/>
          <w:lang w:eastAsia="he-IL"/>
        </w:rPr>
        <w:t>:</w:t>
      </w:r>
      <w:r w:rsidRPr="00F41E78">
        <w:rPr>
          <w:rFonts w:cs="FrankRuehl" w:hint="cs"/>
          <w:sz w:val="18"/>
          <w:szCs w:val="22"/>
          <w:rtl/>
          <w:lang w:eastAsia="he-IL"/>
        </w:rPr>
        <w:t xml:space="preserve"> </w:t>
      </w:r>
    </w:p>
    <w:p w:rsidR="00E97EDA" w:rsidRPr="00F41E78" w:rsidP="00A7557B">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 xml:space="preserve">1. </w:t>
      </w:r>
      <w:r w:rsidRPr="00F41E78">
        <w:rPr>
          <w:rFonts w:cs="FrankRuehl" w:hint="cs"/>
          <w:sz w:val="18"/>
          <w:szCs w:val="22"/>
          <w:rtl/>
          <w:lang w:eastAsia="he-IL"/>
        </w:rPr>
        <w:tab/>
        <w:t xml:space="preserve">הממשלה וקבינט הדיור הם הדרג השלטוני הקובע את מדיניות הדיור, לרבות המדיניות בתחום הדיור להשכרה </w:t>
      </w:r>
      <w:r w:rsidRPr="00F41E78">
        <w:rPr>
          <w:rFonts w:cs="FrankRuehl" w:hint="eastAsia"/>
          <w:sz w:val="18"/>
          <w:szCs w:val="22"/>
          <w:rtl/>
          <w:lang w:eastAsia="he-IL"/>
        </w:rPr>
        <w:t>ארוכת</w:t>
      </w:r>
      <w:r w:rsidRPr="00F41E78">
        <w:rPr>
          <w:rFonts w:cs="FrankRuehl"/>
          <w:sz w:val="18"/>
          <w:szCs w:val="22"/>
          <w:rtl/>
          <w:lang w:eastAsia="he-IL"/>
        </w:rPr>
        <w:t xml:space="preserve"> </w:t>
      </w:r>
      <w:r w:rsidRPr="00F41E78">
        <w:rPr>
          <w:rFonts w:cs="FrankRuehl" w:hint="eastAsia"/>
          <w:sz w:val="18"/>
          <w:szCs w:val="22"/>
          <w:rtl/>
          <w:lang w:eastAsia="he-IL"/>
        </w:rPr>
        <w:t>טווח</w:t>
      </w:r>
      <w:r w:rsidRPr="00F41E78">
        <w:rPr>
          <w:rFonts w:cs="FrankRuehl" w:hint="cs"/>
          <w:sz w:val="18"/>
          <w:szCs w:val="22"/>
          <w:rtl/>
          <w:lang w:eastAsia="he-IL"/>
        </w:rPr>
        <w:t>.</w:t>
      </w:r>
    </w:p>
    <w:p w:rsidR="00E97EDA" w:rsidRPr="00F41E78" w:rsidP="00A7557B">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 xml:space="preserve">2. </w:t>
      </w:r>
      <w:r w:rsidRPr="00F41E78">
        <w:rPr>
          <w:rFonts w:cs="FrankRuehl" w:hint="cs"/>
          <w:sz w:val="18"/>
          <w:szCs w:val="22"/>
          <w:rtl/>
          <w:lang w:eastAsia="he-IL"/>
        </w:rPr>
        <w:tab/>
        <w:t xml:space="preserve">לדרג המטה נוספה יחידה חדשה במשרד האוצר הכפופה לשר - </w:t>
      </w:r>
      <w:r w:rsidRPr="00F41E78">
        <w:rPr>
          <w:rFonts w:cs="FrankRuehl" w:hint="cs"/>
          <w:sz w:val="18"/>
          <w:szCs w:val="22"/>
          <w:rtl/>
        </w:rPr>
        <w:t>מטה הדיור הלאומי</w:t>
      </w:r>
      <w:r w:rsidRPr="00F41E78">
        <w:rPr>
          <w:rFonts w:cs="FrankRuehl" w:hint="cs"/>
          <w:sz w:val="18"/>
          <w:szCs w:val="22"/>
          <w:rtl/>
          <w:lang w:eastAsia="he-IL"/>
        </w:rPr>
        <w:t xml:space="preserve">. מטה הדיור הלאומי אמור להבטיח את יישום מדיניות הממשלה במסגרת תכנית הדיור הלאומית לקידום דיור להשכרה (החלטת ממשלה מס' 300 ממאי 2013). </w:t>
      </w:r>
    </w:p>
    <w:p w:rsidR="00E97EDA" w:rsidRPr="00F41E78" w:rsidP="00A7557B">
      <w:pPr>
        <w:spacing w:after="240" w:line="230" w:lineRule="exact"/>
        <w:ind w:left="340" w:hanging="340"/>
        <w:jc w:val="both"/>
        <w:rPr>
          <w:rFonts w:cs="FrankRuehl"/>
          <w:sz w:val="18"/>
          <w:szCs w:val="22"/>
          <w:rtl/>
          <w:lang w:eastAsia="he-IL"/>
        </w:rPr>
      </w:pPr>
      <w:r w:rsidRPr="00F41E78">
        <w:rPr>
          <w:rFonts w:cs="FrankRuehl" w:hint="cs"/>
          <w:sz w:val="18"/>
          <w:szCs w:val="22"/>
          <w:rtl/>
        </w:rPr>
        <w:t xml:space="preserve">3. </w:t>
      </w:r>
      <w:r w:rsidRPr="00F41E78">
        <w:rPr>
          <w:rFonts w:cs="FrankRuehl" w:hint="cs"/>
          <w:sz w:val="18"/>
          <w:szCs w:val="22"/>
          <w:rtl/>
        </w:rPr>
        <w:tab/>
        <w:t>לדרג הביצועי נוספה חברה ממשלתית חדשה בשם "דירה להשכיר - החברה הממשלתית לדיור להשכרה בע"מ" (להלן - החברה "דירה להשכיר"), שתפקידה לקדם דיור להשכרה</w:t>
      </w:r>
      <w:r w:rsidRPr="00F41E78">
        <w:rPr>
          <w:rFonts w:cs="FrankRuehl" w:hint="cs"/>
          <w:sz w:val="18"/>
          <w:szCs w:val="22"/>
          <w:rtl/>
          <w:lang w:eastAsia="he-IL"/>
        </w:rPr>
        <w:t xml:space="preserve"> </w:t>
      </w:r>
      <w:r w:rsidRPr="00F41E78">
        <w:rPr>
          <w:rFonts w:cs="FrankRuehl"/>
          <w:sz w:val="18"/>
          <w:szCs w:val="22"/>
          <w:rtl/>
          <w:lang w:eastAsia="he-IL"/>
        </w:rPr>
        <w:t xml:space="preserve">(החלטת ממשלה מס' 770 מאוקטובר 2013; </w:t>
      </w:r>
      <w:r w:rsidRPr="00F41E78">
        <w:rPr>
          <w:rFonts w:cs="FrankRuehl" w:hint="eastAsia"/>
          <w:sz w:val="18"/>
          <w:szCs w:val="22"/>
          <w:rtl/>
        </w:rPr>
        <w:t>החלטות</w:t>
      </w:r>
      <w:r w:rsidRPr="00F41E78">
        <w:rPr>
          <w:rFonts w:cs="FrankRuehl"/>
          <w:sz w:val="18"/>
          <w:szCs w:val="22"/>
          <w:rtl/>
        </w:rPr>
        <w:t xml:space="preserve"> ממשלה מס' </w:t>
      </w:r>
      <w:r w:rsidRPr="00F41E78">
        <w:rPr>
          <w:rFonts w:cs="FrankRuehl"/>
          <w:sz w:val="18"/>
          <w:szCs w:val="22"/>
          <w:rtl/>
          <w:lang w:eastAsia="he-IL"/>
        </w:rPr>
        <w:t xml:space="preserve">987 </w:t>
      </w:r>
      <w:r w:rsidRPr="00F41E78">
        <w:rPr>
          <w:rFonts w:cs="FrankRuehl" w:hint="eastAsia"/>
          <w:sz w:val="18"/>
          <w:szCs w:val="22"/>
          <w:rtl/>
          <w:lang w:eastAsia="he-IL"/>
        </w:rPr>
        <w:t>ומס</w:t>
      </w:r>
      <w:r w:rsidRPr="00F41E78">
        <w:rPr>
          <w:rFonts w:cs="FrankRuehl"/>
          <w:sz w:val="18"/>
          <w:szCs w:val="22"/>
          <w:rtl/>
          <w:lang w:eastAsia="he-IL"/>
        </w:rPr>
        <w:t xml:space="preserve">' 988 </w:t>
      </w:r>
      <w:r w:rsidRPr="00F41E78">
        <w:rPr>
          <w:rFonts w:cs="FrankRuehl" w:hint="eastAsia"/>
          <w:sz w:val="18"/>
          <w:szCs w:val="22"/>
          <w:rtl/>
          <w:lang w:eastAsia="he-IL"/>
        </w:rPr>
        <w:t>מנובמבר</w:t>
      </w:r>
      <w:r w:rsidRPr="00F41E78">
        <w:rPr>
          <w:rFonts w:cs="FrankRuehl"/>
          <w:sz w:val="18"/>
          <w:szCs w:val="22"/>
          <w:rtl/>
          <w:lang w:eastAsia="he-IL"/>
        </w:rPr>
        <w:t xml:space="preserve"> 2013)</w:t>
      </w:r>
      <w:r w:rsidRPr="00F41E78">
        <w:rPr>
          <w:rFonts w:cs="FrankRuehl" w:hint="cs"/>
          <w:sz w:val="18"/>
          <w:szCs w:val="22"/>
          <w:rtl/>
          <w:lang w:eastAsia="he-IL"/>
        </w:rPr>
        <w:t xml:space="preserve">. </w:t>
      </w:r>
    </w:p>
    <w:p w:rsidR="00D22B16" w:rsidRPr="00F41E78" w:rsidP="00D22B16">
      <w:pPr>
        <w:pStyle w:val="RESHET"/>
        <w:keepLines/>
        <w:rPr>
          <w:rtl/>
        </w:rPr>
      </w:pPr>
      <w:r w:rsidRPr="00F41E78">
        <w:rPr>
          <w:rFonts w:hint="cs"/>
          <w:rtl/>
        </w:rPr>
        <w:t xml:space="preserve">עד מועד סיום הביקורת, וגם עד מאי 2014, </w:t>
      </w:r>
      <w:r w:rsidRPr="00F41E78">
        <w:rPr>
          <w:rtl/>
        </w:rPr>
        <w:t>טרם הוקם מטה הדיור הלאומי</w:t>
      </w:r>
      <w:r w:rsidRPr="00F41E78">
        <w:rPr>
          <w:rFonts w:hint="cs"/>
          <w:rtl/>
        </w:rPr>
        <w:t>,</w:t>
      </w:r>
      <w:r w:rsidRPr="00F41E78">
        <w:rPr>
          <w:rtl/>
        </w:rPr>
        <w:t xml:space="preserve"> אף ש</w:t>
      </w:r>
      <w:r w:rsidRPr="00F41E78">
        <w:rPr>
          <w:rFonts w:hint="cs"/>
          <w:rtl/>
        </w:rPr>
        <w:t>כבר הוחל בקידומו של ה</w:t>
      </w:r>
      <w:r w:rsidRPr="00F41E78">
        <w:rPr>
          <w:rtl/>
        </w:rPr>
        <w:t>פרויקט הלאומי</w:t>
      </w:r>
      <w:r w:rsidRPr="00F41E78">
        <w:rPr>
          <w:rFonts w:hint="cs"/>
          <w:rtl/>
        </w:rPr>
        <w:t xml:space="preserve"> לדיור</w:t>
      </w:r>
      <w:r w:rsidRPr="00F41E78">
        <w:rPr>
          <w:rtl/>
        </w:rPr>
        <w:t xml:space="preserve">. </w:t>
      </w:r>
      <w:r w:rsidRPr="00F41E78">
        <w:rPr>
          <w:rFonts w:hint="cs"/>
          <w:rtl/>
        </w:rPr>
        <w:t>יוצא אפוא ש</w:t>
      </w:r>
      <w:r w:rsidRPr="00F41E78">
        <w:rPr>
          <w:rtl/>
        </w:rPr>
        <w:t xml:space="preserve">אף </w:t>
      </w:r>
      <w:r w:rsidRPr="00F41E78">
        <w:rPr>
          <w:rFonts w:hint="cs"/>
          <w:rtl/>
        </w:rPr>
        <w:t xml:space="preserve">כי </w:t>
      </w:r>
      <w:r w:rsidRPr="00F41E78">
        <w:rPr>
          <w:rtl/>
        </w:rPr>
        <w:t xml:space="preserve">מדובר באחד </w:t>
      </w:r>
      <w:r w:rsidRPr="00F41E78">
        <w:rPr>
          <w:rFonts w:hint="cs"/>
          <w:rtl/>
        </w:rPr>
        <w:t>מ</w:t>
      </w:r>
      <w:r w:rsidRPr="00F41E78">
        <w:rPr>
          <w:rtl/>
        </w:rPr>
        <w:t>הפרויקטים הגדולים וה</w:t>
      </w:r>
      <w:r w:rsidRPr="00F41E78">
        <w:rPr>
          <w:rFonts w:hint="cs"/>
          <w:rtl/>
        </w:rPr>
        <w:t>חשובים</w:t>
      </w:r>
      <w:r w:rsidRPr="00F41E78">
        <w:rPr>
          <w:rtl/>
        </w:rPr>
        <w:t xml:space="preserve"> שבהם תעסוק הממשלה בעשור הקרוב, הוא פועל ללא </w:t>
      </w:r>
      <w:r w:rsidRPr="00F41E78">
        <w:rPr>
          <w:rFonts w:hint="cs"/>
          <w:rtl/>
        </w:rPr>
        <w:t xml:space="preserve">כל גוף </w:t>
      </w:r>
      <w:r w:rsidRPr="00F41E78">
        <w:rPr>
          <w:rtl/>
        </w:rPr>
        <w:t>מטה</w:t>
      </w:r>
      <w:r w:rsidRPr="00F41E78">
        <w:rPr>
          <w:rFonts w:hint="cs"/>
          <w:rtl/>
        </w:rPr>
        <w:t xml:space="preserve"> </w:t>
      </w:r>
      <w:r w:rsidRPr="00F41E78">
        <w:rPr>
          <w:rtl/>
        </w:rPr>
        <w:t>מתאם, מפקח</w:t>
      </w:r>
      <w:r w:rsidRPr="00F41E78">
        <w:rPr>
          <w:rFonts w:hint="cs"/>
          <w:rtl/>
        </w:rPr>
        <w:t xml:space="preserve"> ו</w:t>
      </w:r>
      <w:r w:rsidRPr="00F41E78">
        <w:rPr>
          <w:rtl/>
        </w:rPr>
        <w:t>עוקב</w:t>
      </w:r>
      <w:r w:rsidRPr="00F41E78">
        <w:rPr>
          <w:rFonts w:hint="cs"/>
          <w:rtl/>
        </w:rPr>
        <w:t xml:space="preserve"> אחר יישום מדיניות הממשלה בתחום הדיור להשכרה</w:t>
      </w:r>
      <w:r w:rsidRPr="00F41E78">
        <w:rPr>
          <w:rtl/>
        </w:rPr>
        <w:t xml:space="preserve">. </w:t>
      </w:r>
    </w:p>
    <w:p w:rsidR="00E97EDA" w:rsidRPr="00F41E78" w:rsidP="00A7557B">
      <w:pPr>
        <w:spacing w:before="180" w:after="240" w:line="230" w:lineRule="exact"/>
        <w:jc w:val="both"/>
        <w:rPr>
          <w:rFonts w:cs="FrankRuehl"/>
          <w:sz w:val="18"/>
          <w:szCs w:val="22"/>
          <w:rtl/>
        </w:rPr>
      </w:pPr>
      <w:r w:rsidRPr="00F41E78">
        <w:rPr>
          <w:rFonts w:cs="FrankRuehl" w:hint="cs"/>
          <w:sz w:val="18"/>
          <w:szCs w:val="22"/>
          <w:rtl/>
        </w:rPr>
        <w:t xml:space="preserve">בתשובתו ממאי 2014 הסתמך אג"ת על מכתבו של שר האוצר למבקר המדינה מאוקטובר 2013 וטען כי "כפי שעולה במכתבו של השר, הגוף אשר אמון על מימוש הפרויקט הלאומי לדיור הוא החברה הממשלתית לדיור להשכרה". </w:t>
      </w:r>
    </w:p>
    <w:p w:rsidR="00D22B16" w:rsidRPr="00F41E78" w:rsidP="00D22B16">
      <w:pPr>
        <w:pStyle w:val="RESHET"/>
        <w:keepLines/>
        <w:rPr>
          <w:rtl/>
        </w:rPr>
      </w:pPr>
      <w:r w:rsidRPr="00F41E78">
        <w:rPr>
          <w:rFonts w:hint="cs"/>
          <w:rtl/>
        </w:rPr>
        <w:t xml:space="preserve">משרד מבקר המדינה מעיר לאג"ת כי תפקידי החברה "דירה להשכיר", כפי שהוגדרו בהחלטת הממשלה מס' 770 </w:t>
      </w:r>
      <w:r w:rsidRPr="00F41E78">
        <w:rPr>
          <w:rFonts w:hint="eastAsia"/>
          <w:rtl/>
        </w:rPr>
        <w:t>ו</w:t>
      </w:r>
      <w:r w:rsidRPr="00F41E78">
        <w:rPr>
          <w:rFonts w:hint="cs"/>
          <w:rtl/>
        </w:rPr>
        <w:t>כפי ש</w:t>
      </w:r>
      <w:r w:rsidRPr="00F41E78">
        <w:rPr>
          <w:rFonts w:hint="eastAsia"/>
          <w:rtl/>
        </w:rPr>
        <w:t>פורט</w:t>
      </w:r>
      <w:r w:rsidRPr="00F41E78">
        <w:rPr>
          <w:rFonts w:hint="cs"/>
          <w:rtl/>
        </w:rPr>
        <w:t>ו</w:t>
      </w:r>
      <w:r w:rsidRPr="00F41E78">
        <w:rPr>
          <w:rtl/>
        </w:rPr>
        <w:t xml:space="preserve"> במכתבו של השר</w:t>
      </w:r>
      <w:r w:rsidRPr="00F41E78">
        <w:rPr>
          <w:rFonts w:hint="cs"/>
          <w:rtl/>
        </w:rPr>
        <w:t>,</w:t>
      </w:r>
      <w:r w:rsidRPr="00F41E78">
        <w:rPr>
          <w:rtl/>
        </w:rPr>
        <w:t xml:space="preserve"> הם בעיקר תפקידים ניהוליים-משימתיים</w:t>
      </w:r>
      <w:r w:rsidRPr="00F41E78">
        <w:rPr>
          <w:rFonts w:hint="cs"/>
          <w:rtl/>
        </w:rPr>
        <w:t xml:space="preserve"> כמו</w:t>
      </w:r>
      <w:r w:rsidRPr="00F41E78">
        <w:rPr>
          <w:rtl/>
        </w:rPr>
        <w:t xml:space="preserve"> איתור של מתחמי קרקע לפיתוח, קידום </w:t>
      </w:r>
      <w:r w:rsidRPr="00F41E78">
        <w:rPr>
          <w:rFonts w:hint="cs"/>
          <w:rtl/>
        </w:rPr>
        <w:t xml:space="preserve">של </w:t>
      </w:r>
      <w:r w:rsidRPr="00F41E78">
        <w:rPr>
          <w:rtl/>
        </w:rPr>
        <w:t xml:space="preserve">תכנון סטטוטורי ואישורו במוסדות התכנון, ביצוע הסדרי קניין ופדיון קרקע </w:t>
      </w:r>
      <w:r w:rsidRPr="00F41E78">
        <w:rPr>
          <w:rFonts w:hint="cs"/>
          <w:rtl/>
        </w:rPr>
        <w:t>ו</w:t>
      </w:r>
      <w:r w:rsidRPr="00F41E78">
        <w:rPr>
          <w:rtl/>
        </w:rPr>
        <w:t xml:space="preserve">ניהול פיתוח המתחמים. הקמת </w:t>
      </w:r>
      <w:r w:rsidRPr="00F41E78">
        <w:rPr>
          <w:rFonts w:hint="cs"/>
          <w:rtl/>
        </w:rPr>
        <w:t>ה</w:t>
      </w:r>
      <w:r w:rsidRPr="00F41E78">
        <w:rPr>
          <w:rtl/>
        </w:rPr>
        <w:t xml:space="preserve">חברה </w:t>
      </w:r>
      <w:r w:rsidRPr="00F41E78">
        <w:rPr>
          <w:rFonts w:hint="cs"/>
          <w:rtl/>
        </w:rPr>
        <w:t>ה</w:t>
      </w:r>
      <w:r w:rsidRPr="00F41E78">
        <w:rPr>
          <w:rtl/>
        </w:rPr>
        <w:t xml:space="preserve">ממשלתית </w:t>
      </w:r>
      <w:r w:rsidRPr="00F41E78">
        <w:rPr>
          <w:rFonts w:hint="cs"/>
          <w:rtl/>
        </w:rPr>
        <w:t>ה</w:t>
      </w:r>
      <w:r w:rsidRPr="00F41E78">
        <w:rPr>
          <w:rtl/>
        </w:rPr>
        <w:t xml:space="preserve">חדשה לא זו בלבד </w:t>
      </w:r>
      <w:r w:rsidRPr="00F41E78">
        <w:rPr>
          <w:rFonts w:hint="cs"/>
          <w:rtl/>
        </w:rPr>
        <w:t>שאינה</w:t>
      </w:r>
      <w:r w:rsidRPr="00F41E78">
        <w:rPr>
          <w:rtl/>
        </w:rPr>
        <w:t xml:space="preserve"> מייתרת</w:t>
      </w:r>
      <w:r w:rsidRPr="00F41E78">
        <w:rPr>
          <w:rFonts w:hint="cs"/>
          <w:rtl/>
        </w:rPr>
        <w:t>,</w:t>
      </w:r>
      <w:r w:rsidRPr="00F41E78">
        <w:rPr>
          <w:rtl/>
        </w:rPr>
        <w:t xml:space="preserve"> אלא אף מחזקת את הצורך </w:t>
      </w:r>
      <w:r w:rsidRPr="00F41E78">
        <w:rPr>
          <w:rFonts w:hint="cs"/>
          <w:rtl/>
        </w:rPr>
        <w:t xml:space="preserve">בהקמת </w:t>
      </w:r>
      <w:r w:rsidRPr="00F41E78">
        <w:rPr>
          <w:rFonts w:hint="eastAsia"/>
          <w:rtl/>
        </w:rPr>
        <w:t>מטה</w:t>
      </w:r>
      <w:r w:rsidRPr="00F41E78">
        <w:rPr>
          <w:rtl/>
        </w:rPr>
        <w:t xml:space="preserve"> </w:t>
      </w:r>
      <w:r>
        <w:rPr>
          <w:rFonts w:hint="cs"/>
          <w:rtl/>
        </w:rPr>
        <w:t>ה</w:t>
      </w:r>
      <w:r w:rsidRPr="00F41E78">
        <w:rPr>
          <w:rtl/>
        </w:rPr>
        <w:t xml:space="preserve">דיור הלאומי </w:t>
      </w:r>
      <w:r w:rsidRPr="00F41E78">
        <w:rPr>
          <w:rFonts w:hint="cs"/>
          <w:rtl/>
        </w:rPr>
        <w:t>(כפי שנקבע בהחלטת ממשלה מס' 300), שמתפקידו בין היתר לתאם ולתכלל את פעולותיהם של משרדי הממשלה ושל גופי השלטון הנוגעים בדבר ולפקח עליה</w:t>
      </w:r>
      <w:r>
        <w:rPr>
          <w:rFonts w:hint="cs"/>
          <w:rtl/>
        </w:rPr>
        <w:t>ם</w:t>
      </w:r>
      <w:r w:rsidRPr="00F41E78">
        <w:rPr>
          <w:rFonts w:hint="cs"/>
          <w:rtl/>
        </w:rPr>
        <w:t>, כדי להבטיח</w:t>
      </w:r>
      <w:r w:rsidRPr="00F41E78">
        <w:rPr>
          <w:rtl/>
        </w:rPr>
        <w:t xml:space="preserve"> </w:t>
      </w:r>
      <w:r w:rsidRPr="00F41E78">
        <w:rPr>
          <w:rFonts w:hint="cs"/>
          <w:rtl/>
        </w:rPr>
        <w:t>ש</w:t>
      </w:r>
      <w:r w:rsidRPr="00F41E78">
        <w:rPr>
          <w:rtl/>
        </w:rPr>
        <w:t>מדיניות המ</w:t>
      </w:r>
      <w:r w:rsidRPr="00F41E78">
        <w:rPr>
          <w:rFonts w:hint="eastAsia"/>
          <w:rtl/>
        </w:rPr>
        <w:t>משלה</w:t>
      </w:r>
      <w:r w:rsidRPr="00F41E78">
        <w:rPr>
          <w:rFonts w:hint="cs"/>
          <w:rtl/>
        </w:rPr>
        <w:t xml:space="preserve"> תיושם</w:t>
      </w:r>
      <w:r w:rsidRPr="00F41E78">
        <w:rPr>
          <w:rtl/>
        </w:rPr>
        <w:t xml:space="preserve"> </w:t>
      </w:r>
      <w:r w:rsidRPr="00F41E78">
        <w:rPr>
          <w:rFonts w:hint="cs"/>
          <w:rtl/>
        </w:rPr>
        <w:t xml:space="preserve">ויושגו כל מטרותיה </w:t>
      </w:r>
      <w:r w:rsidRPr="00F41E78">
        <w:rPr>
          <w:rFonts w:hint="eastAsia"/>
          <w:rtl/>
        </w:rPr>
        <w:t>במסגרת</w:t>
      </w:r>
      <w:r w:rsidRPr="00F41E78">
        <w:rPr>
          <w:rtl/>
        </w:rPr>
        <w:t xml:space="preserve"> </w:t>
      </w:r>
      <w:r w:rsidRPr="00F41E78">
        <w:rPr>
          <w:rFonts w:hint="eastAsia"/>
          <w:rtl/>
        </w:rPr>
        <w:t>תכנית</w:t>
      </w:r>
      <w:r w:rsidRPr="00F41E78">
        <w:rPr>
          <w:rtl/>
        </w:rPr>
        <w:t xml:space="preserve"> </w:t>
      </w:r>
      <w:r w:rsidRPr="00F41E78">
        <w:rPr>
          <w:rFonts w:hint="eastAsia"/>
          <w:rtl/>
        </w:rPr>
        <w:t>הדיור</w:t>
      </w:r>
      <w:r w:rsidRPr="00F41E78">
        <w:rPr>
          <w:rtl/>
        </w:rPr>
        <w:t xml:space="preserve"> </w:t>
      </w:r>
      <w:r w:rsidRPr="00F41E78">
        <w:rPr>
          <w:rFonts w:hint="eastAsia"/>
          <w:rtl/>
        </w:rPr>
        <w:t>הלאומית</w:t>
      </w:r>
      <w:r w:rsidRPr="00F41E78">
        <w:rPr>
          <w:rFonts w:hint="cs"/>
          <w:rtl/>
        </w:rPr>
        <w:t xml:space="preserve"> והפרויקט הלאומי לדיור.</w:t>
      </w:r>
    </w:p>
    <w:p w:rsidR="00BD048C" w:rsidRPr="003966EF" w:rsidP="00A7557B">
      <w:pPr>
        <w:spacing w:after="120" w:line="230" w:lineRule="exact"/>
        <w:jc w:val="both"/>
        <w:rPr>
          <w:rFonts w:cs="FrankRuehl"/>
          <w:sz w:val="18"/>
          <w:szCs w:val="22"/>
          <w:rtl/>
          <w:lang w:eastAsia="he-IL"/>
        </w:rPr>
      </w:pPr>
    </w:p>
    <w:p w:rsidR="00E97EDA" w:rsidRPr="00E97EDA" w:rsidP="00A7557B">
      <w:pPr>
        <w:pStyle w:val="KOT5"/>
        <w:rPr>
          <w:rtl/>
          <w:lang w:eastAsia="he-IL"/>
        </w:rPr>
      </w:pPr>
      <w:r w:rsidRPr="00E97EDA">
        <w:rPr>
          <w:rFonts w:hint="cs"/>
          <w:rtl/>
          <w:lang w:eastAsia="he-IL"/>
        </w:rPr>
        <w:t xml:space="preserve">השפעותיו של הפרויקט הלאומי לדיור על משק המדינה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הפרויקט הלאומי לדיור הוא פרויקט לאומי רחב היקף המשפיע על משק המדינה בכלל ועל שוק הדיור בפרט. על פי החלטת ממשלה מס' 987 מנובמבר 2013 מעורבות המדינה בפרויקט גדולה מאוד. הממשלה נדרשת לבצע שינויי חקיקה כדי לאפשר את הפעלתו, לקדם את התכנון הסטטוטורי במוסדות התכנון, להוציא את הפרויקט לפועל באמצעות קיום מכרזים, לקבוע הסדרים קנייניים בנוגע לפדיון קרקע לטובת בניית הדירות במסגרת הפרויקט ו</w:t>
      </w:r>
      <w:r w:rsidRPr="00F41E78">
        <w:rPr>
          <w:rFonts w:cs="FrankRuehl" w:hint="eastAsia"/>
          <w:sz w:val="18"/>
          <w:szCs w:val="22"/>
          <w:rtl/>
          <w:lang w:eastAsia="he-IL"/>
        </w:rPr>
        <w:t>לפקח</w:t>
      </w:r>
      <w:r w:rsidRPr="00F41E78">
        <w:rPr>
          <w:rFonts w:cs="FrankRuehl" w:hint="cs"/>
          <w:sz w:val="18"/>
          <w:szCs w:val="22"/>
          <w:rtl/>
          <w:lang w:eastAsia="he-IL"/>
        </w:rPr>
        <w:t xml:space="preserve"> אחר הביצוע.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להפעלת הפרויקט ישנם גם היבטים תקציביים מהותיים העשויים להשפיע על הכנסות המדינה ועל תקציבה, וזאת בין השאר משום שנדרש לעודד גורמים עסקיים להתמודד במכרזים ולבצע את הפרויקט. מדובר גם בשיווק של קרקעות המדינה במחיר מוזל, במתן רשת ביטחון תקציבית לגורמים העסקיים שתבטיח להם כדאיות כלכלית ובמתן הנחות ופטורים ממסים ומאגרות לזוכים במכרזים. נוסף על כך, לצורך ביצוע הפרויקט נדרש מימון שוטף, לרבות מימון תקורות מינהליות כמו העסקת יועצים חיצוניים, וכן נדרשות הקמתה של החברה הממשלתית החדשה והפעלתה.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כדי לאפשר קיומו של תהליך קבלת החלטות מיטביות בנוגע להיקף המשאבים הציבוריים שיוקצה לתכניות ולפרויקטים השונים המופעלים ביזמה ממשלתית, יש לבדוק בטרם יופעלו אם הם אכן כדאיים למשק המדינה. למשל, ישנן הנחיות של אג"ת בנוגע "לבדיקת כדאיות כלכלית של פרויקטים בתחבורה יבשתית", שלפיהן יזם הפרויקט (משרד ממשלתי או מוסד המדינה) נדרש לבצע סדרת בדיקות על פי מתודולוגיה מוגדרת כדי לקבוע מהי החלופה המועדפת לפרויקט בהשוואה לחלופות אחרות שנבחנו. בבדיקה ייכללו תיאור של יעדי הפרויקט, מתודולוגיית הבדיקה ונתוני רקע, ממצאים </w:t>
      </w:r>
      <w:r w:rsidRPr="00F41E78">
        <w:rPr>
          <w:rFonts w:cs="FrankRuehl" w:hint="cs"/>
          <w:sz w:val="18"/>
          <w:szCs w:val="22"/>
          <w:rtl/>
        </w:rPr>
        <w:t xml:space="preserve">על רגישותו של הפרויקט לתנאיו המשתנים של המשק </w:t>
      </w:r>
      <w:r w:rsidRPr="00F41E78">
        <w:rPr>
          <w:rFonts w:cs="FrankRuehl" w:hint="eastAsia"/>
          <w:sz w:val="18"/>
          <w:szCs w:val="22"/>
          <w:rtl/>
        </w:rPr>
        <w:t>הלאומי</w:t>
      </w:r>
      <w:r w:rsidRPr="00F41E78">
        <w:rPr>
          <w:rFonts w:cs="FrankRuehl" w:hint="cs"/>
          <w:sz w:val="18"/>
          <w:szCs w:val="22"/>
          <w:rtl/>
        </w:rPr>
        <w:t xml:space="preserve"> והעולמי, כמו ריבית, אינפלציה ושער חליפין</w:t>
      </w:r>
      <w:r w:rsidRPr="00F41E78">
        <w:rPr>
          <w:rFonts w:cs="FrankRuehl" w:hint="cs"/>
          <w:sz w:val="18"/>
          <w:szCs w:val="22"/>
          <w:rtl/>
          <w:lang w:eastAsia="he-IL"/>
        </w:rPr>
        <w:t xml:space="preserve">, כן התועלות והעלויות של כל חלופה בנפרד. </w:t>
      </w:r>
    </w:p>
    <w:p w:rsidR="00E97EDA" w:rsidRPr="00F41E78" w:rsidP="00A7557B">
      <w:pPr>
        <w:spacing w:after="240" w:line="230" w:lineRule="exact"/>
        <w:jc w:val="both"/>
        <w:rPr>
          <w:rFonts w:cs="FrankRuehl"/>
          <w:sz w:val="18"/>
          <w:szCs w:val="22"/>
          <w:rtl/>
          <w:lang w:eastAsia="he-IL"/>
        </w:rPr>
      </w:pPr>
      <w:r w:rsidRPr="00F41E78">
        <w:rPr>
          <w:rFonts w:cs="FrankRuehl" w:hint="cs"/>
          <w:sz w:val="18"/>
          <w:szCs w:val="22"/>
          <w:rtl/>
          <w:lang w:eastAsia="he-IL"/>
        </w:rPr>
        <w:t xml:space="preserve">הצורך בבחינת ההשפעות של הפרויקט הלאומי לדיור על משק המדינה, בייחוד שהוצאתו לפועל תתבסס על בנייה להשכרה ארוכת טווח, מתחדד לנוכח תוצאות המכרזים של פרויקטים שמשרד הבינוי כבר ביצע כפיילוט לקראת הפעלת הפרויקט הלאומי לדיור, </w:t>
      </w:r>
      <w:r w:rsidRPr="00F41E78">
        <w:rPr>
          <w:rFonts w:cs="FrankRuehl" w:hint="eastAsia"/>
          <w:sz w:val="18"/>
          <w:szCs w:val="22"/>
          <w:rtl/>
          <w:lang w:eastAsia="he-IL"/>
        </w:rPr>
        <w:t>כגון</w:t>
      </w:r>
      <w:r w:rsidRPr="00F41E78">
        <w:rPr>
          <w:rFonts w:cs="FrankRuehl"/>
          <w:sz w:val="18"/>
          <w:szCs w:val="22"/>
          <w:rtl/>
          <w:lang w:eastAsia="he-IL"/>
        </w:rPr>
        <w:t xml:space="preserve"> </w:t>
      </w:r>
      <w:r w:rsidRPr="00F41E78">
        <w:rPr>
          <w:rFonts w:cs="FrankRuehl" w:hint="eastAsia"/>
          <w:sz w:val="18"/>
          <w:szCs w:val="22"/>
          <w:rtl/>
          <w:lang w:eastAsia="he-IL"/>
        </w:rPr>
        <w:t>פרויקט</w:t>
      </w:r>
      <w:r w:rsidRPr="00F41E78">
        <w:rPr>
          <w:rFonts w:cs="FrankRuehl"/>
          <w:sz w:val="18"/>
          <w:szCs w:val="22"/>
          <w:rtl/>
          <w:lang w:eastAsia="he-IL"/>
        </w:rPr>
        <w:t xml:space="preserve"> </w:t>
      </w:r>
      <w:r w:rsidRPr="00F41E78">
        <w:rPr>
          <w:rFonts w:cs="FrankRuehl" w:hint="eastAsia"/>
          <w:sz w:val="18"/>
          <w:szCs w:val="22"/>
          <w:rtl/>
          <w:lang w:eastAsia="he-IL"/>
        </w:rPr>
        <w:t>להשכרה</w:t>
      </w:r>
      <w:r w:rsidRPr="00F41E78">
        <w:rPr>
          <w:rFonts w:cs="FrankRuehl"/>
          <w:sz w:val="18"/>
          <w:szCs w:val="22"/>
          <w:rtl/>
          <w:lang w:eastAsia="he-IL"/>
        </w:rPr>
        <w:t xml:space="preserve"> </w:t>
      </w:r>
      <w:r w:rsidRPr="00F41E78">
        <w:rPr>
          <w:rFonts w:cs="FrankRuehl" w:hint="eastAsia"/>
          <w:sz w:val="18"/>
          <w:szCs w:val="22"/>
          <w:rtl/>
          <w:lang w:eastAsia="he-IL"/>
        </w:rPr>
        <w:t>ברעננה</w:t>
      </w:r>
      <w:r w:rsidRPr="00F41E78">
        <w:rPr>
          <w:rFonts w:cs="FrankRuehl"/>
          <w:sz w:val="18"/>
          <w:szCs w:val="22"/>
          <w:rtl/>
          <w:lang w:eastAsia="he-IL"/>
        </w:rPr>
        <w:t xml:space="preserve"> (ראו </w:t>
      </w:r>
      <w:r w:rsidRPr="00F41E78">
        <w:rPr>
          <w:rFonts w:cs="FrankRuehl" w:hint="eastAsia"/>
          <w:sz w:val="18"/>
          <w:szCs w:val="22"/>
          <w:rtl/>
          <w:lang w:eastAsia="he-IL"/>
        </w:rPr>
        <w:t>בעניין</w:t>
      </w:r>
      <w:r w:rsidRPr="00F41E78">
        <w:rPr>
          <w:rFonts w:cs="FrankRuehl"/>
          <w:sz w:val="18"/>
          <w:szCs w:val="22"/>
          <w:rtl/>
          <w:lang w:eastAsia="he-IL"/>
        </w:rPr>
        <w:t xml:space="preserve"> </w:t>
      </w:r>
      <w:r w:rsidRPr="00F41E78">
        <w:rPr>
          <w:rFonts w:cs="FrankRuehl" w:hint="eastAsia"/>
          <w:sz w:val="18"/>
          <w:szCs w:val="22"/>
          <w:rtl/>
          <w:lang w:eastAsia="he-IL"/>
        </w:rPr>
        <w:t>זה</w:t>
      </w:r>
      <w:r w:rsidRPr="00F41E78">
        <w:rPr>
          <w:rFonts w:cs="FrankRuehl"/>
          <w:sz w:val="18"/>
          <w:szCs w:val="22"/>
          <w:rtl/>
          <w:lang w:eastAsia="he-IL"/>
        </w:rPr>
        <w:t xml:space="preserve"> </w:t>
      </w:r>
      <w:r w:rsidRPr="00F41E78">
        <w:rPr>
          <w:rFonts w:cs="FrankRuehl" w:hint="eastAsia"/>
          <w:sz w:val="18"/>
          <w:szCs w:val="22"/>
          <w:rtl/>
          <w:lang w:eastAsia="he-IL"/>
        </w:rPr>
        <w:t>בשער</w:t>
      </w:r>
      <w:r w:rsidRPr="00F41E78">
        <w:rPr>
          <w:rFonts w:cs="FrankRuehl"/>
          <w:sz w:val="18"/>
          <w:szCs w:val="22"/>
          <w:rtl/>
          <w:lang w:eastAsia="he-IL"/>
        </w:rPr>
        <w:t xml:space="preserve"> </w:t>
      </w:r>
      <w:r w:rsidRPr="00F41E78">
        <w:rPr>
          <w:rFonts w:cs="FrankRuehl" w:hint="eastAsia"/>
          <w:sz w:val="18"/>
          <w:szCs w:val="22"/>
          <w:rtl/>
          <w:lang w:eastAsia="he-IL"/>
        </w:rPr>
        <w:t>הרביעי</w:t>
      </w:r>
      <w:r w:rsidRPr="00F41E78">
        <w:rPr>
          <w:rFonts w:cs="FrankRuehl"/>
          <w:sz w:val="18"/>
          <w:szCs w:val="22"/>
          <w:rtl/>
          <w:lang w:eastAsia="he-IL"/>
        </w:rPr>
        <w:t xml:space="preserve"> </w:t>
      </w:r>
      <w:r w:rsidRPr="00F41E78">
        <w:rPr>
          <w:rFonts w:cs="FrankRuehl" w:hint="eastAsia"/>
          <w:sz w:val="18"/>
          <w:szCs w:val="22"/>
          <w:rtl/>
          <w:lang w:eastAsia="he-IL"/>
        </w:rPr>
        <w:t>לדוח</w:t>
      </w:r>
      <w:r w:rsidRPr="00F41E78">
        <w:rPr>
          <w:rFonts w:cs="FrankRuehl"/>
          <w:sz w:val="18"/>
          <w:szCs w:val="22"/>
          <w:rtl/>
          <w:lang w:eastAsia="he-IL"/>
        </w:rPr>
        <w:t xml:space="preserve"> </w:t>
      </w:r>
      <w:r w:rsidRPr="00F41E78">
        <w:rPr>
          <w:rFonts w:cs="FrankRuehl" w:hint="eastAsia"/>
          <w:sz w:val="18"/>
          <w:szCs w:val="22"/>
          <w:rtl/>
          <w:lang w:eastAsia="he-IL"/>
        </w:rPr>
        <w:t>זה</w:t>
      </w:r>
      <w:r w:rsidRPr="00F41E78">
        <w:rPr>
          <w:rFonts w:cs="FrankRuehl"/>
          <w:sz w:val="18"/>
          <w:szCs w:val="22"/>
          <w:rtl/>
          <w:lang w:eastAsia="he-IL"/>
        </w:rPr>
        <w:t xml:space="preserve"> </w:t>
      </w:r>
      <w:r w:rsidRPr="00F41E78">
        <w:rPr>
          <w:rFonts w:cs="FrankRuehl" w:hint="eastAsia"/>
          <w:sz w:val="18"/>
          <w:szCs w:val="22"/>
          <w:rtl/>
          <w:lang w:eastAsia="he-IL"/>
        </w:rPr>
        <w:t>בפרק</w:t>
      </w:r>
      <w:r w:rsidRPr="00F41E78">
        <w:rPr>
          <w:rFonts w:cs="FrankRuehl"/>
          <w:sz w:val="18"/>
          <w:szCs w:val="22"/>
          <w:rtl/>
          <w:lang w:eastAsia="he-IL"/>
        </w:rPr>
        <w:t xml:space="preserve"> </w:t>
      </w:r>
      <w:r w:rsidRPr="00F41E78">
        <w:rPr>
          <w:rFonts w:cs="FrankRuehl" w:hint="eastAsia"/>
          <w:sz w:val="18"/>
          <w:szCs w:val="22"/>
          <w:rtl/>
          <w:lang w:eastAsia="he-IL"/>
        </w:rPr>
        <w:t>על</w:t>
      </w:r>
      <w:r w:rsidRPr="00F41E78">
        <w:rPr>
          <w:rFonts w:cs="FrankRuehl"/>
          <w:sz w:val="18"/>
          <w:szCs w:val="22"/>
          <w:rtl/>
          <w:lang w:eastAsia="he-IL"/>
        </w:rPr>
        <w:t xml:space="preserve"> </w:t>
      </w:r>
      <w:r w:rsidRPr="00F41E78">
        <w:rPr>
          <w:rFonts w:cs="FrankRuehl" w:hint="eastAsia"/>
          <w:sz w:val="18"/>
          <w:szCs w:val="22"/>
          <w:rtl/>
          <w:lang w:eastAsia="he-IL"/>
        </w:rPr>
        <w:t>בנייה</w:t>
      </w:r>
      <w:r w:rsidRPr="00F41E78">
        <w:rPr>
          <w:rFonts w:cs="FrankRuehl"/>
          <w:sz w:val="18"/>
          <w:szCs w:val="22"/>
          <w:rtl/>
          <w:lang w:eastAsia="he-IL"/>
        </w:rPr>
        <w:t xml:space="preserve"> </w:t>
      </w:r>
      <w:r w:rsidRPr="00F41E78">
        <w:rPr>
          <w:rFonts w:cs="FrankRuehl" w:hint="eastAsia"/>
          <w:sz w:val="18"/>
          <w:szCs w:val="22"/>
          <w:rtl/>
          <w:lang w:eastAsia="he-IL"/>
        </w:rPr>
        <w:t>להשכרה</w:t>
      </w:r>
      <w:r w:rsidRPr="00F41E78">
        <w:rPr>
          <w:rFonts w:cs="FrankRuehl"/>
          <w:sz w:val="18"/>
          <w:szCs w:val="22"/>
          <w:rtl/>
          <w:lang w:eastAsia="he-IL"/>
        </w:rPr>
        <w:t xml:space="preserve"> </w:t>
      </w:r>
      <w:r w:rsidRPr="00F41E78">
        <w:rPr>
          <w:rFonts w:cs="FrankRuehl" w:hint="eastAsia"/>
          <w:sz w:val="18"/>
          <w:szCs w:val="22"/>
          <w:rtl/>
          <w:lang w:eastAsia="he-IL"/>
        </w:rPr>
        <w:t>ארוכת</w:t>
      </w:r>
      <w:r w:rsidRPr="00F41E78">
        <w:rPr>
          <w:rFonts w:cs="FrankRuehl"/>
          <w:sz w:val="18"/>
          <w:szCs w:val="22"/>
          <w:rtl/>
          <w:lang w:eastAsia="he-IL"/>
        </w:rPr>
        <w:t xml:space="preserve"> </w:t>
      </w:r>
      <w:r w:rsidRPr="00F41E78">
        <w:rPr>
          <w:rFonts w:cs="FrankRuehl" w:hint="eastAsia"/>
          <w:sz w:val="18"/>
          <w:szCs w:val="22"/>
          <w:rtl/>
          <w:lang w:eastAsia="he-IL"/>
        </w:rPr>
        <w:t>טווח</w:t>
      </w:r>
      <w:r w:rsidRPr="00F41E78">
        <w:rPr>
          <w:rFonts w:cs="FrankRuehl"/>
          <w:sz w:val="18"/>
          <w:szCs w:val="22"/>
          <w:rtl/>
          <w:lang w:eastAsia="he-IL"/>
        </w:rPr>
        <w:t>).</w:t>
      </w:r>
      <w:r w:rsidRPr="00F41E78">
        <w:rPr>
          <w:rFonts w:cs="FrankRuehl" w:hint="cs"/>
          <w:sz w:val="18"/>
          <w:szCs w:val="22"/>
          <w:rtl/>
          <w:lang w:eastAsia="he-IL"/>
        </w:rPr>
        <w:t xml:space="preserve"> </w:t>
      </w:r>
    </w:p>
    <w:p w:rsidR="00D22B16" w:rsidRPr="00F41E78" w:rsidP="00D22B16">
      <w:pPr>
        <w:pStyle w:val="RESHET"/>
        <w:keepLines/>
        <w:rPr>
          <w:rtl/>
        </w:rPr>
      </w:pPr>
      <w:r w:rsidRPr="00F41E78">
        <w:rPr>
          <w:rFonts w:hint="cs"/>
          <w:rtl/>
        </w:rPr>
        <w:t>הביקורת העלתה כי ההחלטה ליישם את הפרויקט הלאומי לדיור התקבלה בלי שנבחנה כדאיותו הכלכלית למשק המדינה, בהסתמך על תפוקותיו העתידיות</w:t>
      </w:r>
      <w:r w:rsidR="003D6B99">
        <w:rPr>
          <w:rFonts w:hint="cs"/>
          <w:rtl/>
        </w:rPr>
        <w:t xml:space="preserve"> </w:t>
      </w:r>
      <w:r w:rsidRPr="00F41E78">
        <w:rPr>
          <w:rFonts w:hint="cs"/>
          <w:rtl/>
        </w:rPr>
        <w:t>- הרחבת ההיצע בשוק הדיור, ובייחוד הדיור להשכרה.</w:t>
      </w:r>
    </w:p>
    <w:p w:rsidR="00E97EDA" w:rsidRPr="00F41E78" w:rsidP="00A7557B">
      <w:pPr>
        <w:spacing w:before="180" w:after="120" w:line="224" w:lineRule="exact"/>
        <w:jc w:val="both"/>
        <w:rPr>
          <w:rFonts w:cs="FrankRuehl"/>
          <w:sz w:val="18"/>
          <w:szCs w:val="22"/>
          <w:rtl/>
          <w:lang w:eastAsia="he-IL"/>
        </w:rPr>
      </w:pPr>
      <w:r w:rsidRPr="00F41E78">
        <w:rPr>
          <w:rFonts w:cs="FrankRuehl" w:hint="cs"/>
          <w:sz w:val="18"/>
          <w:szCs w:val="22"/>
          <w:rtl/>
          <w:lang w:eastAsia="he-IL"/>
        </w:rPr>
        <w:t>בתשובתו מפברואר 2014 ציין אג"ת כי "בנייה להשכרה נדונה בפורומים ממשלתיים שונים מאז החלטת מועצת מקרקעי ישראל מס' 1240, מנובמבר 2011, שעניינה הקצאת קרקע לבניית דירות להשכרה... בחינה של פרויקטים ספציפיים, כולל קיום פיילוט בעיר רעננה, ובחינה של ההיתכנות להקמת פרויקטים להשכרה ארוכת טווח והמשמעות של קיום מכרזים מיועדים להשכרה, מבוצעת מזה כשנתיים באגף התקציבים, באגף החשב הכללי, רשות המיסים ובמשרדי הממשלה הרלבנטיים, תוך ליווי על ידי יועצים מקצועיים. בנוסף כללה עבודת המטה סקר ביקושים, בדיקת היתכנות כלכלית ובחינת יכולתם של גופים עסקיים להשתתף בייזום ומימון הפרויקטים".</w:t>
      </w:r>
    </w:p>
    <w:p w:rsidR="00E97EDA" w:rsidRPr="00F41E78" w:rsidP="00A7557B">
      <w:pPr>
        <w:spacing w:after="120" w:line="224" w:lineRule="exact"/>
        <w:jc w:val="both"/>
        <w:rPr>
          <w:rFonts w:cs="FrankRuehl"/>
          <w:sz w:val="18"/>
          <w:szCs w:val="22"/>
          <w:rtl/>
          <w:lang w:eastAsia="he-IL"/>
        </w:rPr>
      </w:pPr>
      <w:r w:rsidRPr="00F41E78">
        <w:rPr>
          <w:rFonts w:cs="FrankRuehl" w:hint="cs"/>
          <w:sz w:val="18"/>
          <w:szCs w:val="22"/>
          <w:rtl/>
          <w:lang w:eastAsia="he-IL"/>
        </w:rPr>
        <w:t xml:space="preserve">בתשובתו הנוספת מאפריל 2014 הוא ציין כי "חשוב להדגיש, כי ההחלטה בדבר הגברת שיווקי הקרקע למגורים במודל של שכירות ארוכת טווח על פני שיווקים למגורים בבעלות, הינה החלטת מדיניות של הדרג המדיני. לאור זאת, על מנת להפוך את החלטת המדיניות לתכנית פעולה סדורה, החלטת הקבינט הראשונה בנושא קבעה כי יוקם צוות מקצועי אשר יבחן את הנושאים המפורטים בהחלטה" (הכוונה לצוות 90 הימים). אגף התקציבים הוסיף וציין, כי "בקרב חברי צוות 90 הימים שרתה הבנה כי לא כל 150,000 הדירות שיקודמו במסגרת הפרויקט הלאומי לדיור, יהיו לדיור להשכרה וזאת מסיבות תכנוניות, כלכליות, חברתיות ותקציביות. שיעור הדירות להשכרה ארוכת </w:t>
      </w:r>
      <w:r w:rsidRPr="00F41E78">
        <w:rPr>
          <w:rFonts w:cs="FrankRuehl" w:hint="cs"/>
          <w:sz w:val="18"/>
          <w:szCs w:val="22"/>
          <w:rtl/>
          <w:lang w:eastAsia="he-IL"/>
        </w:rPr>
        <w:t>טווח מבין הדירות שיקודמו במסגרת הפרויקט איננו נקבע, והוחלט כי ההחלטה תישאר לשלב שיווק הקרקע".</w:t>
      </w:r>
    </w:p>
    <w:p w:rsidR="00E97EDA" w:rsidRPr="00F41E78" w:rsidP="00A7557B">
      <w:pPr>
        <w:spacing w:after="240" w:line="224" w:lineRule="exact"/>
        <w:ind w:left="-1"/>
        <w:jc w:val="both"/>
        <w:rPr>
          <w:rFonts w:cs="FrankRuehl"/>
          <w:sz w:val="18"/>
          <w:szCs w:val="22"/>
          <w:rtl/>
          <w:lang w:eastAsia="he-IL"/>
        </w:rPr>
      </w:pPr>
      <w:r w:rsidRPr="00F41E78">
        <w:rPr>
          <w:rFonts w:cs="FrankRuehl" w:hint="cs"/>
          <w:sz w:val="18"/>
          <w:szCs w:val="22"/>
          <w:rtl/>
          <w:lang w:eastAsia="he-IL"/>
        </w:rPr>
        <w:t>אשר להבחנה בין מוצר ציבורי ובין הפרויקט הלאומי לדיור ציין אג"ת כי "קיים הבדל מהותי בין השניים. שכן, את הראשון על המדינה לספק לאזרחיה ובשני על המדינה לייצר את התשתית הרגולטורית והכלכלית בכדי לגרום להתפתחותו של שוק שכירות קונצרני. בהתאם לכך, הבדיקות אותם עורך אג"ת שונות בתכלית. כאשר מדובר במוצר ציבורי, הבדיקה מתמקדת בעלויות התקציביות, המקורות למימון ובחלופות השונות להספקת הציבור. לעומת זאת בפרויקט מסוגו של הפרויקט הלאומי לדיור, הבחינה הכלכלית מתמקדת בהיתכנות הכלכלית של כל פרויקט ופרויקט, לגופו של עניין"</w:t>
      </w:r>
      <w:r w:rsidRPr="00F41E78">
        <w:rPr>
          <w:rFonts w:cs="FrankRuehl"/>
          <w:sz w:val="18"/>
          <w:szCs w:val="22"/>
          <w:rtl/>
          <w:lang w:eastAsia="he-IL"/>
        </w:rPr>
        <w:t>.</w:t>
      </w:r>
    </w:p>
    <w:p w:rsidR="00D22B16" w:rsidRPr="00F41E78" w:rsidP="00D22B16">
      <w:pPr>
        <w:pStyle w:val="RESHET"/>
        <w:keepLines/>
        <w:spacing w:line="224" w:lineRule="exact"/>
        <w:rPr>
          <w:rtl/>
        </w:rPr>
      </w:pPr>
      <w:r w:rsidRPr="00F41E78">
        <w:rPr>
          <w:rFonts w:hint="cs"/>
          <w:rtl/>
        </w:rPr>
        <w:t xml:space="preserve">משרד מבקר המדינה מעיר לאג"ת כי אחד מתפקידיו הוא לנתח את ההשפעות הכלכליות והתקציביות הצפויות של החלטות שהממשלה מבקשת לקבל, ולהביאן לידיעת מקבלי ההחלטות (קרי, השרים) לפני קבלתן. מאחר שמדובר בפרויקט חדשני ומורכב שטרם נוסה בארץ, ולפרויקט עשויות להיות השפעות מהותיות הן על תקציב המדינה הן על החברה כולה, ראוי היה שאג"ת יבחן בין השאר את תפוקותיו מבחינת מספר יח"ד שייבנו במסגרתו, את השקעות המדינה לצורך זה, את היקף האוכלוסייה שתיהנה מהשקעות אלו, את התנאים הנדרשים ליישום ההחלטה ואת התמהיל הרצוי של שכונות מגורים שבהן גם דירות להשכרה וגם דירות למכירה. היעדר בחינה מקיפה ושיטתית שכזאת, לרבות היעדר בחינה של חלופות לפרויקט עצמו וחלופות לאופן יישומו, והיעדר קיום בדיקה בנוגע לרגישותו לתנאי המשק המקומי והעולמי המשתנים כל הזמן הם בגדר עבודת מטה לקויה של אג"ת, המעלה ספק בנוגע לאיזון שבין השקעת המשאבים שתידרש מהמדינה ליישום הפרויקט ובין תפוקותיו. </w:t>
      </w:r>
    </w:p>
    <w:p w:rsidR="00A7557B" w:rsidP="00A7557B">
      <w:pPr>
        <w:spacing w:after="60" w:line="230" w:lineRule="exact"/>
        <w:jc w:val="both"/>
        <w:rPr>
          <w:rFonts w:cs="FrankRuehl"/>
          <w:sz w:val="22"/>
          <w:szCs w:val="22"/>
          <w:rtl/>
        </w:rPr>
      </w:pPr>
    </w:p>
    <w:p w:rsidR="00A7557B" w:rsidP="00A7557B">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A7557B" w:rsidP="00A7557B">
      <w:pPr>
        <w:spacing w:after="60" w:line="230" w:lineRule="exact"/>
        <w:jc w:val="both"/>
        <w:rPr>
          <w:rFonts w:cs="FrankRuehl"/>
          <w:sz w:val="22"/>
          <w:szCs w:val="22"/>
          <w:rtl/>
        </w:rPr>
      </w:pPr>
    </w:p>
    <w:p w:rsidR="00D22B16" w:rsidRPr="00F41E78" w:rsidP="00D22B16">
      <w:pPr>
        <w:pStyle w:val="RESHET"/>
        <w:keepLines/>
        <w:spacing w:line="224" w:lineRule="exact"/>
        <w:rPr>
          <w:rtl/>
        </w:rPr>
      </w:pPr>
      <w:r w:rsidRPr="00F41E78">
        <w:rPr>
          <w:rFonts w:hint="cs"/>
          <w:rtl/>
        </w:rPr>
        <w:t xml:space="preserve">יכולת ההשפעה של המדינה ומוסדותיה על שוק הדיור בישראל הייתה ונשארה מכרעת, בעיקר משום שהיא מחזיקה בכלים ובמשאבים רבי עצמה ורחבי היקף ומשום שבבעלותה מרב קרקעות ישראל. לצורך מיצוי השימוש בכלים ובמשאבים משרדי ממשלה ומוסדות המדינה נדרשים לפעול בתיאום ביניהם ומתוך ראייה מערכתית וארוכת טווח של שוק הדיור, על בסיס מדיניות דיור ממשלתית שתכליתה לקבוע את היקפה ואופייה של ההתערבות הממשלתית בשוק הדיור כדי להשיג את יעדי הממשלה. </w:t>
      </w:r>
    </w:p>
    <w:p w:rsidR="00D22B16" w:rsidRPr="00F41E78" w:rsidP="00D22B16">
      <w:pPr>
        <w:pStyle w:val="RESHET"/>
        <w:keepLines/>
        <w:rPr>
          <w:rtl/>
        </w:rPr>
      </w:pPr>
      <w:r w:rsidRPr="00F41E78">
        <w:rPr>
          <w:rFonts w:hint="cs"/>
          <w:rtl/>
        </w:rPr>
        <w:t xml:space="preserve">צבר ממצאי הביקורת בנושא התוויית מדיניות הדיור </w:t>
      </w:r>
      <w:r w:rsidRPr="00F41E78">
        <w:rPr>
          <w:rFonts w:hint="eastAsia"/>
          <w:rtl/>
        </w:rPr>
        <w:t>הממשלתית</w:t>
      </w:r>
      <w:r w:rsidRPr="00F41E78">
        <w:rPr>
          <w:rFonts w:hint="cs"/>
          <w:rtl/>
        </w:rPr>
        <w:t xml:space="preserve"> בשנים 2012-2005, לפני פרוץ משבר הדיור הנוכחי ובמהלכו, מלמד על פגמים מהותיים בפעולות הממשלתיות לייזום התכנון ולפיתוחה של הקרקע למגורים, הן בשגרה הן בעתות משבר חמור בשוק הדיור שפרץ בשנת 2008. הדבר בא לידי ביטוי בהיעדר ראייה אסטרטגית כוללת ומשולבת של ממשלת ישראל בנוגע לכיוונים וליעדי הפיתוח והדיור הרצויים למדינה. עקב כך פעלו משרדי הממשלה ומוסדותיה ללא תיאום כולל של סדרי העדיפויות ושל המטרות הרצויות. מאחר שהממשלה לא קבעה יעדים ברורים ועקביים ליישום מדיניות הדיור הלאומית נותרה עמימות בנוגע ליעדים הרצויים, אשר פוגעת ביכולת להשיגם וביכולת להפעיל ביקורת ציבורית על מידת השגתם. </w:t>
      </w:r>
    </w:p>
    <w:p w:rsidR="00D22B16" w:rsidRPr="00F41E78" w:rsidP="00D22B16">
      <w:pPr>
        <w:pStyle w:val="RESHET"/>
        <w:keepLines/>
        <w:rPr>
          <w:rtl/>
        </w:rPr>
      </w:pPr>
      <w:r w:rsidRPr="00F41E78">
        <w:rPr>
          <w:rFonts w:hint="cs"/>
          <w:rtl/>
        </w:rPr>
        <w:t>הביקורת הנוכחית עסקה אמנם בעיקר בשנים שקדמו להקמת קבינט הדיור באפריל 2013, בראשותו של שר האוצר מר יאיר לפיד, אך מצופה ממשרדי הממשלה ומהרשויות הנוגעות בדבר כי ממצאי הביקורת העיקריים יילמדו ויופקו מהם הלקחים המתבקשים. בין השאר, על משרדי הממשלה להביא בחשבון את הצורך שבקביעת מדיניות דיור לאומית כוללת וארוכת טווח, ובכלל זה - הגדרת יעדים ברורים ולוחות זמנים בני מימוש להשגתם, הפעלת דרג מטה שמתפקידיו לתכלל את תהליך התוויית מדיניות הדיור הלאומית ולשמש מישק בין הדרג המדיני הקובע את מדיניות הדיור ובין הדרג הביצועי המפעיל את שרשרת הייצור של דירות.</w:t>
      </w:r>
    </w:p>
    <w:p w:rsidR="00E97EDA" w:rsidP="00A7557B">
      <w:pPr>
        <w:spacing w:after="120" w:line="230" w:lineRule="exact"/>
        <w:jc w:val="both"/>
        <w:rPr>
          <w:rFonts w:cs="FrankRuehl"/>
          <w:b/>
          <w:bCs/>
          <w:sz w:val="18"/>
          <w:szCs w:val="22"/>
          <w:lang w:eastAsia="he-IL"/>
        </w:rPr>
      </w:pPr>
    </w:p>
    <w:p w:rsidR="00D501CA" w:rsidP="00A7557B">
      <w:pPr>
        <w:spacing w:after="120" w:line="230" w:lineRule="exact"/>
        <w:jc w:val="both"/>
        <w:rPr>
          <w:rFonts w:cs="FrankRuehl"/>
          <w:b/>
          <w:bCs/>
          <w:sz w:val="18"/>
          <w:szCs w:val="22"/>
          <w:rtl/>
          <w:lang w:eastAsia="he-IL"/>
        </w:rPr>
        <w:sectPr w:rsidSect="009F1012">
          <w:footnotePr>
            <w:numRestart w:val="eachSect"/>
          </w:footnotePr>
          <w:pgSz w:w="11906" w:h="16838" w:code="9"/>
          <w:pgMar w:top="1758" w:right="2552" w:bottom="4253" w:left="2552" w:header="1247" w:footer="1134" w:gutter="0"/>
          <w:cols w:space="720"/>
          <w:rtlGutter/>
        </w:sectPr>
      </w:pPr>
    </w:p>
    <w:p w:rsidR="00A7557B" w:rsidRPr="00F41E78" w:rsidP="00A7557B">
      <w:pPr>
        <w:spacing w:after="120" w:line="230" w:lineRule="exact"/>
        <w:jc w:val="both"/>
        <w:rPr>
          <w:rFonts w:cs="FrankRuehl"/>
          <w:b/>
          <w:bCs/>
          <w:sz w:val="18"/>
          <w:szCs w:val="22"/>
          <w:rtl/>
          <w:lang w:eastAsia="he-IL"/>
        </w:rPr>
      </w:pPr>
    </w:p>
    <w:p w:rsidR="00D501CA" w:rsidP="00A7557B">
      <w:pPr>
        <w:pStyle w:val="KOT2"/>
        <w:rPr>
          <w:b w:val="0"/>
          <w:bCs w:val="0"/>
          <w:noProof/>
          <w:sz w:val="28"/>
          <w:szCs w:val="28"/>
          <w:rtl/>
        </w:rPr>
        <w:sectPr w:rsidSect="00D501CA">
          <w:footnotePr>
            <w:numRestart w:val="eachSect"/>
          </w:footnotePr>
          <w:pgSz w:w="11906" w:h="16838" w:code="9"/>
          <w:pgMar w:top="1758" w:right="2552" w:bottom="4253" w:left="2552" w:header="1247" w:footer="1134" w:gutter="0"/>
          <w:cols w:space="720"/>
          <w:titlePg/>
          <w:rtlGutter/>
        </w:sectPr>
      </w:pPr>
    </w:p>
    <w:p w:rsidR="00E97EDA" w:rsidRPr="006237A1" w:rsidP="00A7557B">
      <w:pPr>
        <w:pStyle w:val="KOT2"/>
        <w:rPr>
          <w:noProof/>
          <w:rtl/>
        </w:rPr>
      </w:pPr>
      <w:r w:rsidRPr="003966EF">
        <w:rPr>
          <w:rFonts w:hint="cs"/>
          <w:b w:val="0"/>
          <w:bCs w:val="0"/>
          <w:noProof/>
          <w:sz w:val="28"/>
          <w:szCs w:val="28"/>
          <w:rtl/>
        </w:rPr>
        <w:t>פרק שני</w:t>
      </w:r>
      <w:r w:rsidRPr="003966EF">
        <w:rPr>
          <w:b w:val="0"/>
          <w:bCs w:val="0"/>
          <w:noProof/>
          <w:sz w:val="28"/>
          <w:szCs w:val="28"/>
          <w:rtl/>
        </w:rPr>
        <w:br/>
      </w:r>
      <w:r w:rsidRPr="006237A1">
        <w:rPr>
          <w:rFonts w:hint="cs"/>
          <w:noProof/>
          <w:rtl/>
        </w:rPr>
        <w:t>היבטים במימון בשוק הדיור</w:t>
      </w:r>
    </w:p>
    <w:p w:rsidR="00E97EDA" w:rsidRPr="006237A1" w:rsidP="00A7557B">
      <w:pPr>
        <w:pStyle w:val="KOT4"/>
        <w:rPr>
          <w:rtl/>
          <w:lang w:eastAsia="he-IL"/>
        </w:rPr>
      </w:pPr>
      <w:r w:rsidRPr="006237A1">
        <w:rPr>
          <w:rFonts w:hint="cs"/>
          <w:rtl/>
          <w:lang w:eastAsia="he-IL"/>
        </w:rPr>
        <w:t>מבוא</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rPr>
        <w:t>מטרות</w:t>
      </w:r>
      <w:r w:rsidRPr="00F41E78">
        <w:rPr>
          <w:rFonts w:cs="FrankRuehl"/>
          <w:sz w:val="18"/>
          <w:szCs w:val="22"/>
          <w:rtl/>
        </w:rPr>
        <w:t xml:space="preserve"> </w:t>
      </w:r>
      <w:r w:rsidRPr="00F41E78">
        <w:rPr>
          <w:rFonts w:cs="FrankRuehl" w:hint="cs"/>
          <w:sz w:val="18"/>
          <w:szCs w:val="22"/>
          <w:rtl/>
        </w:rPr>
        <w:t>בנק</w:t>
      </w:r>
      <w:r w:rsidRPr="00F41E78">
        <w:rPr>
          <w:rFonts w:cs="FrankRuehl"/>
          <w:sz w:val="18"/>
          <w:szCs w:val="22"/>
          <w:rtl/>
        </w:rPr>
        <w:t xml:space="preserve"> </w:t>
      </w:r>
      <w:r w:rsidRPr="00F41E78">
        <w:rPr>
          <w:rFonts w:cs="FrankRuehl" w:hint="cs"/>
          <w:sz w:val="18"/>
          <w:szCs w:val="22"/>
          <w:rtl/>
        </w:rPr>
        <w:t>ישראל</w:t>
      </w:r>
      <w:r w:rsidRPr="00F41E78">
        <w:rPr>
          <w:rFonts w:cs="FrankRuehl"/>
          <w:sz w:val="18"/>
          <w:szCs w:val="22"/>
          <w:rtl/>
        </w:rPr>
        <w:t xml:space="preserve"> </w:t>
      </w:r>
      <w:r w:rsidRPr="00F41E78">
        <w:rPr>
          <w:rFonts w:cs="FrankRuehl" w:hint="cs"/>
          <w:sz w:val="18"/>
          <w:szCs w:val="22"/>
          <w:rtl/>
        </w:rPr>
        <w:t>מוגדרות</w:t>
      </w:r>
      <w:r w:rsidRPr="00F41E78">
        <w:rPr>
          <w:rFonts w:cs="FrankRuehl"/>
          <w:sz w:val="18"/>
          <w:szCs w:val="22"/>
          <w:rtl/>
        </w:rPr>
        <w:t xml:space="preserve"> </w:t>
      </w:r>
      <w:r w:rsidRPr="00F41E78">
        <w:rPr>
          <w:rFonts w:cs="FrankRuehl" w:hint="cs"/>
          <w:sz w:val="18"/>
          <w:szCs w:val="22"/>
          <w:rtl/>
        </w:rPr>
        <w:t>בחוק</w:t>
      </w:r>
      <w:r w:rsidRPr="00F41E78">
        <w:rPr>
          <w:rFonts w:cs="FrankRuehl"/>
          <w:sz w:val="18"/>
          <w:szCs w:val="22"/>
          <w:rtl/>
        </w:rPr>
        <w:t xml:space="preserve"> </w:t>
      </w:r>
      <w:r w:rsidRPr="00F41E78">
        <w:rPr>
          <w:rFonts w:cs="FrankRuehl" w:hint="cs"/>
          <w:sz w:val="18"/>
          <w:szCs w:val="22"/>
          <w:rtl/>
        </w:rPr>
        <w:t>בנק</w:t>
      </w:r>
      <w:r w:rsidRPr="00F41E78">
        <w:rPr>
          <w:rFonts w:cs="FrankRuehl"/>
          <w:sz w:val="18"/>
          <w:szCs w:val="22"/>
          <w:rtl/>
        </w:rPr>
        <w:t xml:space="preserve"> </w:t>
      </w:r>
      <w:r w:rsidRPr="00F41E78">
        <w:rPr>
          <w:rFonts w:cs="FrankRuehl" w:hint="cs"/>
          <w:sz w:val="18"/>
          <w:szCs w:val="22"/>
          <w:rtl/>
        </w:rPr>
        <w:t>ישראל</w:t>
      </w:r>
      <w:r w:rsidRPr="00F41E78">
        <w:rPr>
          <w:rFonts w:cs="FrankRuehl"/>
          <w:sz w:val="18"/>
          <w:szCs w:val="22"/>
          <w:rtl/>
        </w:rPr>
        <w:t xml:space="preserve">, </w:t>
      </w:r>
      <w:r w:rsidRPr="00F41E78">
        <w:rPr>
          <w:rFonts w:cs="FrankRuehl" w:hint="cs"/>
          <w:sz w:val="18"/>
          <w:szCs w:val="22"/>
          <w:rtl/>
        </w:rPr>
        <w:t>התש</w:t>
      </w:r>
      <w:r w:rsidRPr="00F41E78">
        <w:rPr>
          <w:rFonts w:cs="FrankRuehl"/>
          <w:sz w:val="18"/>
          <w:szCs w:val="22"/>
          <w:rtl/>
        </w:rPr>
        <w:t xml:space="preserve">"ע-2010 (להלן - </w:t>
      </w:r>
      <w:r w:rsidRPr="00F41E78">
        <w:rPr>
          <w:rFonts w:cs="FrankRuehl" w:hint="cs"/>
          <w:sz w:val="18"/>
          <w:szCs w:val="22"/>
          <w:rtl/>
        </w:rPr>
        <w:t>חוק</w:t>
      </w:r>
      <w:r w:rsidRPr="00F41E78">
        <w:rPr>
          <w:rFonts w:cs="FrankRuehl"/>
          <w:sz w:val="18"/>
          <w:szCs w:val="22"/>
          <w:rtl/>
        </w:rPr>
        <w:t xml:space="preserve"> </w:t>
      </w:r>
      <w:r w:rsidRPr="00F41E78">
        <w:rPr>
          <w:rFonts w:cs="FrankRuehl" w:hint="cs"/>
          <w:sz w:val="18"/>
          <w:szCs w:val="22"/>
          <w:rtl/>
        </w:rPr>
        <w:t>בנק</w:t>
      </w:r>
      <w:r w:rsidRPr="00F41E78">
        <w:rPr>
          <w:rFonts w:cs="FrankRuehl"/>
          <w:sz w:val="18"/>
          <w:szCs w:val="22"/>
          <w:rtl/>
        </w:rPr>
        <w:t xml:space="preserve"> </w:t>
      </w:r>
      <w:r w:rsidRPr="00F41E78">
        <w:rPr>
          <w:rFonts w:cs="FrankRuehl" w:hint="cs"/>
          <w:sz w:val="18"/>
          <w:szCs w:val="22"/>
          <w:rtl/>
        </w:rPr>
        <w:t>ישראל</w:t>
      </w:r>
      <w:r w:rsidRPr="00F41E78">
        <w:rPr>
          <w:rFonts w:cs="FrankRuehl"/>
          <w:sz w:val="18"/>
          <w:szCs w:val="22"/>
          <w:rtl/>
        </w:rPr>
        <w:t>).</w:t>
      </w:r>
      <w:r w:rsidRPr="00F41E78">
        <w:rPr>
          <w:rFonts w:cs="FrankRuehl" w:hint="cs"/>
          <w:b/>
          <w:bCs/>
          <w:sz w:val="18"/>
          <w:szCs w:val="22"/>
          <w:rtl/>
        </w:rPr>
        <w:t xml:space="preserve"> </w:t>
      </w:r>
      <w:r w:rsidRPr="00F41E78">
        <w:rPr>
          <w:rFonts w:cs="FrankRuehl" w:hint="cs"/>
          <w:sz w:val="18"/>
          <w:szCs w:val="22"/>
          <w:rtl/>
          <w:lang w:eastAsia="he-IL"/>
        </w:rPr>
        <w:t xml:space="preserve">בחוק נקבע שמטרתו המרכזית של הבנק היא לשמור על יציבות המחירים במשק. עוד נקבע כי על הבנק לתמוך במטרות אחרות של המדיניות הכלכלית של הממשלה, ובייחוד צמיחה, תעסוקה וצמצום פערים חברתיים, בתנאי שלדעת הוועדה המוניטרית הדבר לא יפגע בהשגת יציבות המחירים לאורך זמן. נוסף על כך, נקבע כי על הבנק לתמוך ביציבותה של המערכת הפיננסית ובפעילותה הסדירה.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כדי לעמוד במטרותיו הקבועות בחוק, בנק ישראל נוקט כלי מדיניות שונים שלהם השפעה גם על הביקוש וההיצע בתחום הדיור. הכלים ה</w:t>
      </w:r>
      <w:r w:rsidRPr="00F41E78">
        <w:rPr>
          <w:rFonts w:cs="FrankRuehl" w:hint="eastAsia"/>
          <w:sz w:val="18"/>
          <w:szCs w:val="22"/>
          <w:rtl/>
          <w:lang w:eastAsia="he-IL"/>
        </w:rPr>
        <w:t>עיקר</w:t>
      </w:r>
      <w:r w:rsidRPr="00F41E78">
        <w:rPr>
          <w:rFonts w:cs="FrankRuehl" w:hint="cs"/>
          <w:sz w:val="18"/>
          <w:szCs w:val="22"/>
          <w:rtl/>
          <w:lang w:eastAsia="he-IL"/>
        </w:rPr>
        <w:t xml:space="preserve">יים הם קביעת שיעור הריבית המוניטרית על פי החלטות הוועדה המוניטרית וכן הוראות הפיקוח על הבנקים בבנק ישראל (להלן - הפיקוח על הבנקים) הנוגעות למגבלות האשראי של הבנקים ולמשכנתאות. נוסף על כך, על פי החוק נגיד הבנק משמש יועץ לממשלה בעניינים כלכליים. </w:t>
      </w:r>
    </w:p>
    <w:p w:rsidR="00711180" w:rsidRPr="00F41E78" w:rsidP="00A7557B">
      <w:pPr>
        <w:spacing w:after="120" w:line="230" w:lineRule="exact"/>
        <w:jc w:val="both"/>
        <w:rPr>
          <w:rFonts w:cs="FrankRuehl"/>
          <w:sz w:val="18"/>
          <w:szCs w:val="22"/>
          <w:rtl/>
          <w:lang w:eastAsia="he-IL"/>
        </w:rPr>
      </w:pPr>
    </w:p>
    <w:p w:rsidR="00711180" w:rsidRPr="00F41E78" w:rsidP="00A7557B">
      <w:pPr>
        <w:spacing w:after="120" w:line="230" w:lineRule="exact"/>
        <w:jc w:val="both"/>
        <w:rPr>
          <w:rFonts w:cs="FrankRuehl"/>
          <w:sz w:val="18"/>
          <w:szCs w:val="22"/>
          <w:rtl/>
          <w:lang w:eastAsia="he-IL"/>
        </w:rPr>
      </w:pPr>
    </w:p>
    <w:p w:rsidR="00E97EDA" w:rsidRPr="006237A1" w:rsidP="00A7557B">
      <w:pPr>
        <w:pStyle w:val="KOT4"/>
        <w:rPr>
          <w:rtl/>
          <w:lang w:eastAsia="he-IL"/>
        </w:rPr>
      </w:pPr>
      <w:r w:rsidRPr="006237A1">
        <w:rPr>
          <w:rFonts w:hint="cs"/>
          <w:rtl/>
          <w:lang w:eastAsia="he-IL"/>
        </w:rPr>
        <w:t>השלכותיה של מדיניות בנק ישראל על שוק הדיור</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בתהליך קביעת הריבית החודשית על ידי הוועדה המוניטרית מתקיימים בבנק ישראל שני דיונים - דיון בפורום רחב ודיון בפורום מצומצם. בדיון בפורום הרחב משתתפים, נוסף לחברי הוועדה, עובדים בדרגים שונים בבנק המציגים את תנאי הרקע הכלכליים הרלוונטיים להחלטה, דהיינו את ההתפתחויות במשק הישראלי מהפן הריאלי ומהפן הפיננסי-מוניטרי ואת ההתפתחויות בכלכלה העולמית. בדיון בפורום המצומצם משתתפים חברי הוועדה המוניטרית ושני מנהלי החטיבות הכלכליות (המחקר והשווקים) המציגים את המלצותיהם בנוגע לשיעור הריבית שעל הבנק לקבוע</w:t>
      </w:r>
      <w:r w:rsidRPr="00F41E78">
        <w:rPr>
          <w:rFonts w:cs="FrankRuehl" w:hint="eastAsia"/>
          <w:sz w:val="18"/>
          <w:szCs w:val="22"/>
          <w:rtl/>
          <w:lang w:eastAsia="he-IL"/>
        </w:rPr>
        <w:t xml:space="preserve"> </w:t>
      </w:r>
      <w:r w:rsidRPr="00F41E78">
        <w:rPr>
          <w:rFonts w:cs="FrankRuehl" w:hint="cs"/>
          <w:sz w:val="18"/>
          <w:szCs w:val="22"/>
          <w:rtl/>
          <w:lang w:eastAsia="he-IL"/>
        </w:rPr>
        <w:t>(</w:t>
      </w:r>
      <w:r w:rsidRPr="00F41E78">
        <w:rPr>
          <w:rFonts w:cs="FrankRuehl" w:hint="eastAsia"/>
          <w:sz w:val="18"/>
          <w:szCs w:val="22"/>
          <w:rtl/>
          <w:lang w:eastAsia="he-IL"/>
        </w:rPr>
        <w:t>החלטת</w:t>
      </w:r>
      <w:r w:rsidRPr="00F41E78">
        <w:rPr>
          <w:rFonts w:cs="FrankRuehl"/>
          <w:sz w:val="18"/>
          <w:szCs w:val="22"/>
          <w:rtl/>
          <w:lang w:eastAsia="he-IL"/>
        </w:rPr>
        <w:t xml:space="preserve"> </w:t>
      </w:r>
      <w:r w:rsidRPr="00F41E78">
        <w:rPr>
          <w:rFonts w:cs="FrankRuehl" w:hint="eastAsia"/>
          <w:sz w:val="18"/>
          <w:szCs w:val="22"/>
          <w:rtl/>
          <w:lang w:eastAsia="he-IL"/>
        </w:rPr>
        <w:t>הריבית</w:t>
      </w:r>
      <w:r w:rsidRPr="00F41E78">
        <w:rPr>
          <w:rFonts w:cs="FrankRuehl" w:hint="cs"/>
          <w:sz w:val="18"/>
          <w:szCs w:val="22"/>
          <w:rtl/>
          <w:lang w:eastAsia="he-IL"/>
        </w:rPr>
        <w:t xml:space="preserve">). לאחר מכן מתקיים דיון חופשי בנושא, ולאחריו הצבעה של חברי הוועדה המוניטרית בנוגע לשיעור הריבית. לפי חוק בנק ישראל, החלטות הוועדה מתקבלות ברוב קולות של חברי הוועדה המשתתפים בהצבעה. אם הקולות שקולים, יו"ר הוועדה (הנגיד) הוא המכריע. </w:t>
      </w:r>
    </w:p>
    <w:p w:rsidR="00E97EDA" w:rsidRPr="00F41E78" w:rsidP="00A7557B">
      <w:pPr>
        <w:spacing w:after="240" w:line="230" w:lineRule="exact"/>
        <w:jc w:val="both"/>
        <w:rPr>
          <w:rFonts w:cs="FrankRuehl"/>
          <w:sz w:val="18"/>
          <w:szCs w:val="22"/>
          <w:rtl/>
          <w:lang w:eastAsia="he-IL"/>
        </w:rPr>
      </w:pPr>
      <w:r w:rsidRPr="00F41E78">
        <w:rPr>
          <w:rFonts w:cs="FrankRuehl" w:hint="cs"/>
          <w:sz w:val="18"/>
          <w:szCs w:val="22"/>
          <w:rtl/>
          <w:lang w:eastAsia="he-IL"/>
        </w:rPr>
        <w:t>להלן בתרשים 1 השינויים בריבית בנק ישראל, בשיעור התשואה הנומינלית לפדיון אג"ח שחר</w:t>
      </w:r>
      <w:r>
        <w:rPr>
          <w:rFonts w:cs="FrankRuehl"/>
          <w:sz w:val="18"/>
          <w:szCs w:val="22"/>
          <w:vertAlign w:val="superscript"/>
          <w:rtl/>
          <w:lang w:eastAsia="he-IL"/>
        </w:rPr>
        <w:footnoteReference w:id="102"/>
      </w:r>
      <w:r w:rsidRPr="00F41E78">
        <w:rPr>
          <w:rFonts w:cs="FrankRuehl" w:hint="cs"/>
          <w:sz w:val="18"/>
          <w:szCs w:val="22"/>
          <w:rtl/>
          <w:lang w:eastAsia="he-IL"/>
        </w:rPr>
        <w:t xml:space="preserve"> </w:t>
      </w:r>
      <w:r w:rsidRPr="00F41E78">
        <w:rPr>
          <w:rFonts w:cs="FrankRuehl" w:hint="eastAsia"/>
          <w:sz w:val="18"/>
          <w:szCs w:val="22"/>
          <w:rtl/>
          <w:lang w:eastAsia="he-IL"/>
        </w:rPr>
        <w:t>לתקופה</w:t>
      </w:r>
      <w:r w:rsidRPr="00F41E78">
        <w:rPr>
          <w:rFonts w:cs="FrankRuehl"/>
          <w:sz w:val="18"/>
          <w:szCs w:val="22"/>
          <w:rtl/>
          <w:lang w:eastAsia="he-IL"/>
        </w:rPr>
        <w:t xml:space="preserve"> של </w:t>
      </w:r>
      <w:r w:rsidRPr="00F41E78">
        <w:rPr>
          <w:rFonts w:cs="FrankRuehl" w:hint="eastAsia"/>
          <w:sz w:val="18"/>
          <w:szCs w:val="22"/>
          <w:rtl/>
          <w:lang w:eastAsia="he-IL"/>
        </w:rPr>
        <w:t>עשר</w:t>
      </w:r>
      <w:r w:rsidRPr="00F41E78">
        <w:rPr>
          <w:rFonts w:cs="FrankRuehl"/>
          <w:sz w:val="18"/>
          <w:szCs w:val="22"/>
          <w:rtl/>
          <w:lang w:eastAsia="he-IL"/>
        </w:rPr>
        <w:t xml:space="preserve"> </w:t>
      </w:r>
      <w:r w:rsidRPr="00F41E78">
        <w:rPr>
          <w:rFonts w:cs="FrankRuehl" w:hint="eastAsia"/>
          <w:sz w:val="18"/>
          <w:szCs w:val="22"/>
          <w:rtl/>
          <w:lang w:eastAsia="he-IL"/>
        </w:rPr>
        <w:t>שנים</w:t>
      </w:r>
      <w:r w:rsidRPr="00F41E78">
        <w:rPr>
          <w:rFonts w:cs="FrankRuehl" w:hint="cs"/>
          <w:sz w:val="18"/>
          <w:szCs w:val="22"/>
          <w:rtl/>
          <w:lang w:eastAsia="he-IL"/>
        </w:rPr>
        <w:t xml:space="preserve"> ובמדד מחירי הדירות בבעלות </w:t>
      </w:r>
      <w:r w:rsidRPr="00F41E78">
        <w:rPr>
          <w:rFonts w:cs="FrankRuehl" w:hint="eastAsia"/>
          <w:sz w:val="18"/>
          <w:szCs w:val="22"/>
          <w:rtl/>
          <w:lang w:eastAsia="he-IL"/>
        </w:rPr>
        <w:t>בשנים</w:t>
      </w:r>
      <w:r w:rsidRPr="00F41E78">
        <w:rPr>
          <w:rFonts w:cs="FrankRuehl"/>
          <w:sz w:val="18"/>
          <w:szCs w:val="22"/>
          <w:rtl/>
          <w:lang w:eastAsia="he-IL"/>
        </w:rPr>
        <w:t xml:space="preserve"> 2012-2002</w:t>
      </w:r>
      <w:r w:rsidRPr="00F41E78">
        <w:rPr>
          <w:rFonts w:cs="FrankRuehl" w:hint="cs"/>
          <w:sz w:val="18"/>
          <w:szCs w:val="22"/>
          <w:rtl/>
          <w:lang w:eastAsia="he-IL"/>
        </w:rPr>
        <w:t xml:space="preserve">*: </w:t>
      </w:r>
    </w:p>
    <w:p w:rsidR="00143E57" w:rsidRPr="00EC0156" w:rsidP="00A7557B">
      <w:pPr>
        <w:spacing w:after="240" w:line="240" w:lineRule="atLeast"/>
        <w:ind w:left="-1"/>
        <w:jc w:val="center"/>
        <w:rPr>
          <w:rFonts w:ascii="Arial" w:hAnsi="Arial" w:cs="Arial"/>
          <w:szCs w:val="20"/>
          <w:rtl/>
          <w:lang w:eastAsia="he-IL"/>
        </w:rPr>
      </w:pPr>
      <w:r>
        <w:rPr>
          <w:rFonts w:ascii="Arial" w:hAnsi="Arial" w:cs="Arial"/>
          <w:szCs w:val="20"/>
          <w:lang w:eastAsia="he-IL"/>
        </w:rPr>
        <w:pict>
          <v:shape id="_x0000_i1040" type="#_x0000_t75" style="width:340pt;height:214pt">
            <v:imagedata r:id="rId28" o:title="B1-1-C9"/>
          </v:shape>
        </w:pic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מהתרשים עולה כי בעוד </w:t>
      </w:r>
      <w:r w:rsidRPr="00F41E78">
        <w:rPr>
          <w:rFonts w:cs="FrankRuehl" w:hint="eastAsia"/>
          <w:sz w:val="18"/>
          <w:szCs w:val="22"/>
          <w:rtl/>
          <w:lang w:eastAsia="he-IL"/>
        </w:rPr>
        <w:t>שבשנים</w:t>
      </w:r>
      <w:r w:rsidRPr="00F41E78">
        <w:rPr>
          <w:rFonts w:cs="FrankRuehl"/>
          <w:sz w:val="18"/>
          <w:szCs w:val="22"/>
          <w:rtl/>
          <w:lang w:eastAsia="he-IL"/>
        </w:rPr>
        <w:t xml:space="preserve"> </w:t>
      </w:r>
      <w:r w:rsidRPr="00F41E78">
        <w:rPr>
          <w:rFonts w:cs="FrankRuehl" w:hint="eastAsia"/>
          <w:sz w:val="18"/>
          <w:szCs w:val="22"/>
          <w:rtl/>
          <w:lang w:eastAsia="he-IL"/>
        </w:rPr>
        <w:t>האחרונות</w:t>
      </w:r>
      <w:r w:rsidRPr="00F41E78">
        <w:rPr>
          <w:rFonts w:cs="FrankRuehl" w:hint="cs"/>
          <w:sz w:val="18"/>
          <w:szCs w:val="22"/>
          <w:rtl/>
          <w:lang w:eastAsia="he-IL"/>
        </w:rPr>
        <w:t xml:space="preserve"> שיעור הריבית המוניטרית ושיעור התשואה למשקיעים בהשקעות אלטרנטיביות לשוק הדיור, כמו אג"ח שחר לעשר שנים, נמצאים במגמת ירידה, מדד מחירי הדירות נמצא במגמת עלייה, בעיקר בשנים 2010-2009. אולם כפי שיתואר להלן, אין קשר מובהק בין משתנים אלו כאשר בוחנים את הדברים על פני שנים רבות, והדבר תלוי במשתנים נוספים.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בדוח בנק ישראל לשנת 2010</w:t>
      </w:r>
      <w:r>
        <w:rPr>
          <w:rFonts w:cs="FrankRuehl"/>
          <w:sz w:val="18"/>
          <w:szCs w:val="22"/>
          <w:vertAlign w:val="superscript"/>
          <w:rtl/>
          <w:lang w:eastAsia="he-IL"/>
        </w:rPr>
        <w:footnoteReference w:id="103"/>
      </w:r>
      <w:r w:rsidRPr="00F41E78">
        <w:rPr>
          <w:rFonts w:cs="FrankRuehl" w:hint="cs"/>
          <w:sz w:val="18"/>
          <w:szCs w:val="22"/>
          <w:rtl/>
          <w:lang w:eastAsia="he-IL"/>
        </w:rPr>
        <w:t xml:space="preserve"> צוין כי הקצב המהיר של עליית מחירי הדירות בשנים 2010-2009 מוסבר במידה רבה בירידת הריביות במשק על רקע משבר הדיור. עוד צוין</w:t>
      </w:r>
      <w:r>
        <w:rPr>
          <w:rFonts w:cs="FrankRuehl"/>
          <w:sz w:val="18"/>
          <w:szCs w:val="22"/>
          <w:vertAlign w:val="superscript"/>
          <w:rtl/>
          <w:lang w:eastAsia="he-IL"/>
        </w:rPr>
        <w:footnoteReference w:id="104"/>
      </w:r>
      <w:r w:rsidRPr="00F41E78">
        <w:rPr>
          <w:rFonts w:cs="FrankRuehl" w:hint="cs"/>
          <w:sz w:val="18"/>
          <w:szCs w:val="22"/>
          <w:rtl/>
          <w:lang w:eastAsia="he-IL"/>
        </w:rPr>
        <w:t xml:space="preserve"> כי "במחקר נוסף שבחן את הגורמים לעליית המחירים בעשור האחרון... נמצא כי הריבית המוניטרית שהורדה בגלל המשבר, מסבירה כדי מחצית מעליית המחירים בשנתיים האחרונות, ואילו החסר בדירות... מסביר כחמישית בלבד מעלייתם". </w:t>
      </w:r>
      <w:r w:rsidRPr="00F41E78">
        <w:rPr>
          <w:rFonts w:cs="FrankRuehl"/>
          <w:sz w:val="18"/>
          <w:szCs w:val="22"/>
          <w:rtl/>
          <w:lang w:eastAsia="he-IL"/>
        </w:rPr>
        <w:t>בדוח בנק ישראל לשנת 2011 צוין כי במחקר שנעשה בבנק נמצא שהעלאת הריבית ב-1.25 נקודות אחוז תביא לירידה של 7.8% במחירי הדירות. עוד צוין כי על פי מודל נוסף שפותח בבנק</w:t>
      </w:r>
      <w:r w:rsidRPr="00F41E78">
        <w:rPr>
          <w:rFonts w:cs="FrankRuehl" w:hint="cs"/>
          <w:sz w:val="18"/>
          <w:szCs w:val="22"/>
          <w:rtl/>
          <w:lang w:eastAsia="he-IL"/>
        </w:rPr>
        <w:t>,</w:t>
      </w:r>
      <w:r w:rsidRPr="00F41E78">
        <w:rPr>
          <w:rFonts w:cs="FrankRuehl"/>
          <w:sz w:val="18"/>
          <w:szCs w:val="22"/>
          <w:rtl/>
          <w:lang w:eastAsia="he-IL"/>
        </w:rPr>
        <w:t xml:space="preserve"> המשתמש בהיוון זרמי התשלומים במשכנת</w:t>
      </w:r>
      <w:r w:rsidRPr="00F41E78">
        <w:rPr>
          <w:rFonts w:cs="FrankRuehl" w:hint="cs"/>
          <w:sz w:val="18"/>
          <w:szCs w:val="22"/>
          <w:rtl/>
          <w:lang w:eastAsia="he-IL"/>
        </w:rPr>
        <w:t>ה</w:t>
      </w:r>
      <w:r w:rsidRPr="00F41E78">
        <w:rPr>
          <w:rFonts w:cs="FrankRuehl"/>
          <w:sz w:val="18"/>
          <w:szCs w:val="22"/>
          <w:rtl/>
          <w:lang w:eastAsia="he-IL"/>
        </w:rPr>
        <w:t xml:space="preserve">, עבור הלוואה לתקופות של 10 ו-20 שנים, מתקבל כי שיעור הירידה במחיר הדירה המפצה על העלאה </w:t>
      </w:r>
      <w:r w:rsidRPr="00F41E78">
        <w:rPr>
          <w:rFonts w:cs="FrankRuehl" w:hint="cs"/>
          <w:sz w:val="18"/>
          <w:szCs w:val="22"/>
          <w:rtl/>
          <w:lang w:eastAsia="he-IL"/>
        </w:rPr>
        <w:t>כזאת</w:t>
      </w:r>
      <w:r w:rsidRPr="00F41E78">
        <w:rPr>
          <w:rFonts w:cs="FrankRuehl"/>
          <w:sz w:val="18"/>
          <w:szCs w:val="22"/>
          <w:rtl/>
          <w:lang w:eastAsia="he-IL"/>
        </w:rPr>
        <w:t xml:space="preserve"> של הריבית היא 6.2% ו-12.1%, בהתאמה.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בדוח בנק ישראל לשנת 2012 נקבע כי החל מינואר 2008 ועד </w:t>
      </w:r>
      <w:r w:rsidRPr="00F41E78">
        <w:rPr>
          <w:rFonts w:cs="FrankRuehl" w:hint="eastAsia"/>
          <w:sz w:val="18"/>
          <w:szCs w:val="22"/>
          <w:rtl/>
          <w:lang w:eastAsia="he-IL"/>
        </w:rPr>
        <w:t>סוף</w:t>
      </w:r>
      <w:r w:rsidRPr="00F41E78">
        <w:rPr>
          <w:rFonts w:cs="FrankRuehl" w:hint="cs"/>
          <w:sz w:val="18"/>
          <w:szCs w:val="22"/>
          <w:rtl/>
          <w:lang w:eastAsia="he-IL"/>
        </w:rPr>
        <w:t xml:space="preserve"> 2012 העלייה בשכר הדירה, המשקפת ביקוש לשירותי דיור, מסבירה יותר ממחצית מהעלייה במחירי הדירות, וחלק מהיתרה מיוחסת לירידת התשואות הריאליות האלטרנטיביות.</w:t>
      </w:r>
      <w:r w:rsidRPr="00F41E78">
        <w:rPr>
          <w:rFonts w:cs="FrankRuehl"/>
          <w:sz w:val="18"/>
          <w:szCs w:val="22"/>
          <w:rtl/>
          <w:lang w:eastAsia="he-IL"/>
        </w:rPr>
        <w:t xml:space="preserve"> </w:t>
      </w:r>
      <w:r w:rsidRPr="00F41E78">
        <w:rPr>
          <w:rFonts w:cs="FrankRuehl" w:hint="cs"/>
          <w:sz w:val="18"/>
          <w:szCs w:val="22"/>
          <w:rtl/>
          <w:lang w:eastAsia="he-IL"/>
        </w:rPr>
        <w:t>עוד צוין ש</w:t>
      </w:r>
      <w:r w:rsidRPr="00F41E78">
        <w:rPr>
          <w:rFonts w:cs="FrankRuehl"/>
          <w:sz w:val="18"/>
          <w:szCs w:val="22"/>
          <w:rtl/>
          <w:lang w:eastAsia="he-IL"/>
        </w:rPr>
        <w:t>לצד שיעורי הריבית גם זמינות האשראי משפיעה על הביקוש לדירות, המשתקפת בתנאים למתן אשראי שהבנקים מציבים לרוכשי הדירות</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מאחר</w:t>
      </w:r>
      <w:r w:rsidRPr="00F41E78">
        <w:rPr>
          <w:rFonts w:cs="FrankRuehl"/>
          <w:sz w:val="18"/>
          <w:szCs w:val="22"/>
          <w:rtl/>
          <w:lang w:eastAsia="he-IL"/>
        </w:rPr>
        <w:t xml:space="preserve"> שהיצע הדירות במשק הוא קשיח בטווח הקצר ואף הבינוני, שינוי בביקוש יתבטא קודם כ</w:t>
      </w:r>
      <w:r w:rsidRPr="00F41E78">
        <w:rPr>
          <w:rFonts w:cs="FrankRuehl" w:hint="cs"/>
          <w:sz w:val="18"/>
          <w:szCs w:val="22"/>
          <w:rtl/>
          <w:lang w:eastAsia="he-IL"/>
        </w:rPr>
        <w:t>ו</w:t>
      </w:r>
      <w:r w:rsidRPr="00F41E78">
        <w:rPr>
          <w:rFonts w:cs="FrankRuehl"/>
          <w:sz w:val="18"/>
          <w:szCs w:val="22"/>
          <w:rtl/>
          <w:lang w:eastAsia="he-IL"/>
        </w:rPr>
        <w:t xml:space="preserve">ל במחיר הדירה ורק בהמשך </w:t>
      </w:r>
      <w:r w:rsidRPr="00F41E78">
        <w:rPr>
          <w:rFonts w:cs="FrankRuehl" w:hint="cs"/>
          <w:sz w:val="18"/>
          <w:szCs w:val="22"/>
          <w:rtl/>
          <w:lang w:eastAsia="he-IL"/>
        </w:rPr>
        <w:t>ישפיע</w:t>
      </w:r>
      <w:r w:rsidRPr="00F41E78">
        <w:rPr>
          <w:rFonts w:cs="FrankRuehl"/>
          <w:sz w:val="18"/>
          <w:szCs w:val="22"/>
          <w:rtl/>
          <w:lang w:eastAsia="he-IL"/>
        </w:rPr>
        <w:t xml:space="preserve"> על היקף הבנייה. יוצא אפוא שככל ששיעור הריבית יורד הביקוש לדירות עולה</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ו</w:t>
      </w:r>
      <w:r w:rsidRPr="00F41E78">
        <w:rPr>
          <w:rFonts w:cs="FrankRuehl"/>
          <w:sz w:val="18"/>
          <w:szCs w:val="22"/>
          <w:rtl/>
          <w:lang w:eastAsia="he-IL"/>
        </w:rPr>
        <w:t xml:space="preserve">בהיעדר גידול בהיצע הדירות </w:t>
      </w:r>
      <w:r w:rsidRPr="00F41E78">
        <w:rPr>
          <w:rFonts w:cs="FrankRuehl" w:hint="cs"/>
          <w:sz w:val="18"/>
          <w:szCs w:val="22"/>
          <w:rtl/>
          <w:lang w:eastAsia="he-IL"/>
        </w:rPr>
        <w:t>לפי הנדרש</w:t>
      </w:r>
      <w:r w:rsidRPr="00F41E78">
        <w:rPr>
          <w:rFonts w:cs="FrankRuehl"/>
          <w:sz w:val="18"/>
          <w:szCs w:val="22"/>
          <w:rtl/>
          <w:lang w:eastAsia="he-IL"/>
        </w:rPr>
        <w:t xml:space="preserve"> עולים גם מחירי</w:t>
      </w:r>
      <w:r w:rsidRPr="00F41E78">
        <w:rPr>
          <w:rFonts w:cs="FrankRuehl" w:hint="cs"/>
          <w:sz w:val="18"/>
          <w:szCs w:val="22"/>
          <w:rtl/>
          <w:lang w:eastAsia="he-IL"/>
        </w:rPr>
        <w:t xml:space="preserve"> הדיור</w:t>
      </w:r>
      <w:r w:rsidRPr="00F41E78">
        <w:rPr>
          <w:rFonts w:cs="FrankRuehl"/>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בהופעתו בוועדת הכספים של הכנסת באפריל 2013</w:t>
      </w:r>
      <w:r>
        <w:rPr>
          <w:rFonts w:cs="FrankRuehl"/>
          <w:sz w:val="18"/>
          <w:szCs w:val="22"/>
          <w:vertAlign w:val="superscript"/>
          <w:rtl/>
          <w:lang w:eastAsia="he-IL"/>
        </w:rPr>
        <w:footnoteReference w:id="105"/>
      </w:r>
      <w:r w:rsidRPr="00F41E78">
        <w:rPr>
          <w:rFonts w:cs="FrankRuehl" w:hint="cs"/>
          <w:sz w:val="18"/>
          <w:szCs w:val="22"/>
          <w:rtl/>
          <w:lang w:eastAsia="he-IL"/>
        </w:rPr>
        <w:t xml:space="preserve"> הסביר נגיד בנק ישראל דאז כי עם הגורמים קצרי הטווח המשפיעים על הביקוש לדירות נמנית גם הירידה בריביות ובתשואות האלטרנטיביות במשק, שהביאה גם לידי עלייה בביקוש לדיור כהשקעה. התשואות הנמוכות גורמות לקושי במציאת אפיקי השקעה המניבים תשואה גבוהה, שוק הדיור הופך לחלופת השקעה אטרקטיבית, ובשנים האחרונות נרשמת עלייה בביקוש לדירות מצד משקיעים. </w:t>
      </w:r>
    </w:p>
    <w:p w:rsidR="00E97EDA" w:rsidRPr="00F41E78" w:rsidP="00A7557B">
      <w:pPr>
        <w:spacing w:after="120" w:line="230" w:lineRule="exact"/>
        <w:jc w:val="both"/>
        <w:rPr>
          <w:rFonts w:cs="FrankRuehl"/>
          <w:sz w:val="18"/>
          <w:szCs w:val="22"/>
          <w:rtl/>
          <w:lang w:eastAsia="he-IL"/>
        </w:rPr>
      </w:pPr>
      <w:r w:rsidRPr="00F41E78">
        <w:rPr>
          <w:rFonts w:cs="FrankRuehl"/>
          <w:sz w:val="18"/>
          <w:szCs w:val="22"/>
          <w:rtl/>
          <w:lang w:eastAsia="he-IL"/>
        </w:rPr>
        <w:t>בת</w:t>
      </w:r>
      <w:r w:rsidRPr="00F41E78">
        <w:rPr>
          <w:rFonts w:cs="FrankRuehl" w:hint="cs"/>
          <w:sz w:val="18"/>
          <w:szCs w:val="22"/>
          <w:rtl/>
          <w:lang w:eastAsia="he-IL"/>
        </w:rPr>
        <w:t>ש</w:t>
      </w:r>
      <w:r w:rsidRPr="00F41E78">
        <w:rPr>
          <w:rFonts w:cs="FrankRuehl"/>
          <w:sz w:val="18"/>
          <w:szCs w:val="22"/>
          <w:rtl/>
          <w:lang w:eastAsia="he-IL"/>
        </w:rPr>
        <w:t>ובתה מדצמבר 2013 מסרה נגידת בנק ישראל ד"ר קרנית פלוג כי "תוצאות המודל שאליהן מתייחס המחקר המאוזכר בדוח בנק ישראל לשנת 2010 מצביעות על כך שתרומת ריבית בנק ישראל לעליית מחירי הדירות הגיעה לשיאה בשנים 2009</w:t>
      </w:r>
      <w:r w:rsidRPr="00F41E78">
        <w:rPr>
          <w:rFonts w:cs="FrankRuehl" w:hint="cs"/>
          <w:sz w:val="18"/>
          <w:szCs w:val="22"/>
          <w:rtl/>
          <w:lang w:eastAsia="he-IL"/>
        </w:rPr>
        <w:t>-</w:t>
      </w:r>
      <w:r w:rsidRPr="00F41E78">
        <w:rPr>
          <w:rFonts w:cs="FrankRuehl"/>
          <w:sz w:val="18"/>
          <w:szCs w:val="22"/>
          <w:rtl/>
          <w:lang w:eastAsia="he-IL"/>
        </w:rPr>
        <w:t>2010, בעוד שבשנים 2011-2012 תרומת ריבית בנק ישראל לעליית מחירי הדירות הייתה, בדרך כלל, שלילית או אפסית וגם ב-2013 היא קטנה יחסית".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להלן בלוח 1 דוגמה לעלייה בסכום המשכנתה, הצפויה לחול עם ירידת שיעורי הריבית</w:t>
      </w:r>
      <w:r>
        <w:rPr>
          <w:rFonts w:cs="FrankRuehl"/>
          <w:sz w:val="18"/>
          <w:szCs w:val="22"/>
          <w:vertAlign w:val="superscript"/>
          <w:rtl/>
          <w:lang w:eastAsia="he-IL"/>
        </w:rPr>
        <w:footnoteReference w:id="106"/>
      </w:r>
      <w:r w:rsidRPr="00F41E78">
        <w:rPr>
          <w:rFonts w:cs="FrankRuehl" w:hint="cs"/>
          <w:sz w:val="18"/>
          <w:szCs w:val="22"/>
          <w:rtl/>
          <w:lang w:eastAsia="he-IL"/>
        </w:rPr>
        <w:t xml:space="preserve"> כפי שהיא באה לידי ביטוי במחירי הדיור.</w:t>
      </w:r>
    </w:p>
    <w:p w:rsidR="00E97EDA" w:rsidRPr="006237A1" w:rsidP="005D58C9">
      <w:pPr>
        <w:pStyle w:val="tab-name"/>
        <w:rPr>
          <w:rtl/>
          <w:lang w:eastAsia="he-IL"/>
        </w:rPr>
      </w:pPr>
      <w:r w:rsidRPr="00A7557B">
        <w:rPr>
          <w:rFonts w:hint="cs"/>
          <w:b w:val="0"/>
          <w:bCs w:val="0"/>
          <w:sz w:val="20"/>
          <w:szCs w:val="20"/>
          <w:rtl/>
          <w:lang w:eastAsia="he-IL"/>
        </w:rPr>
        <w:t xml:space="preserve">לוח </w:t>
      </w:r>
      <w:r w:rsidRPr="00A7557B" w:rsidR="00A7557B">
        <w:rPr>
          <w:rFonts w:hint="cs"/>
          <w:b w:val="0"/>
          <w:bCs w:val="0"/>
          <w:sz w:val="20"/>
          <w:szCs w:val="20"/>
          <w:rtl/>
          <w:lang w:eastAsia="he-IL"/>
        </w:rPr>
        <w:t>1</w:t>
      </w:r>
      <w:r w:rsidRPr="00A7557B" w:rsidR="00A7557B">
        <w:rPr>
          <w:b w:val="0"/>
          <w:bCs w:val="0"/>
          <w:sz w:val="20"/>
          <w:szCs w:val="20"/>
          <w:rtl/>
          <w:lang w:eastAsia="he-IL"/>
        </w:rPr>
        <w:br/>
      </w:r>
      <w:r w:rsidRPr="006237A1">
        <w:rPr>
          <w:rFonts w:hint="cs"/>
          <w:rtl/>
          <w:lang w:eastAsia="he-IL"/>
        </w:rPr>
        <w:t>סכום המשכנתה שתינת</w:t>
      </w:r>
      <w:r w:rsidRPr="006237A1">
        <w:rPr>
          <w:rFonts w:hint="eastAsia"/>
          <w:rtl/>
          <w:lang w:eastAsia="he-IL"/>
        </w:rPr>
        <w:t>ן</w:t>
      </w:r>
      <w:r w:rsidRPr="006237A1">
        <w:rPr>
          <w:rFonts w:hint="cs"/>
          <w:rtl/>
          <w:lang w:eastAsia="he-IL"/>
        </w:rPr>
        <w:t xml:space="preserve"> ללווה המשלם החזר חודשי של 2,600 ש"ח במשך 25 שנים, בשיעורי ריבית שונים*</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000"/>
      </w:tblPr>
      <w:tblGrid>
        <w:gridCol w:w="3310"/>
        <w:gridCol w:w="1127"/>
        <w:gridCol w:w="1127"/>
        <w:gridCol w:w="1127"/>
      </w:tblGrid>
      <w:tr w:rsidTr="00E03D1C">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000"/>
        </w:tblPrEx>
        <w:trPr>
          <w:jc w:val="center"/>
        </w:trPr>
        <w:tc>
          <w:tcPr>
            <w:tcW w:w="0" w:type="auto"/>
            <w:shd w:val="clear" w:color="auto" w:fill="auto"/>
            <w:noWrap/>
            <w:vAlign w:val="bottom"/>
          </w:tcPr>
          <w:p w:rsidR="00E97EDA" w:rsidRPr="00E03D1C" w:rsidP="00E03D1C">
            <w:pPr>
              <w:spacing w:before="60" w:after="60" w:line="200" w:lineRule="exact"/>
              <w:rPr>
                <w:rFonts w:ascii="Arial" w:hAnsi="Arial" w:cs="FrankRuehl"/>
                <w:szCs w:val="20"/>
              </w:rPr>
            </w:pPr>
            <w:r w:rsidRPr="00E03D1C">
              <w:rPr>
                <w:rFonts w:ascii="Arial" w:hAnsi="Arial" w:cs="FrankRuehl" w:hint="cs"/>
                <w:szCs w:val="20"/>
                <w:rtl/>
              </w:rPr>
              <w:t>שיעור הריבית (ב-%)</w:t>
            </w:r>
          </w:p>
        </w:tc>
        <w:tc>
          <w:tcPr>
            <w:tcW w:w="0" w:type="auto"/>
            <w:shd w:val="clear" w:color="auto" w:fill="auto"/>
            <w:noWrap/>
            <w:vAlign w:val="bottom"/>
          </w:tcPr>
          <w:p w:rsidR="00E97EDA" w:rsidRPr="00E03D1C" w:rsidP="00E03D1C">
            <w:pPr>
              <w:spacing w:before="60" w:after="60" w:line="200" w:lineRule="exact"/>
              <w:rPr>
                <w:rFonts w:ascii="Arial" w:hAnsi="Arial" w:cs="FrankRuehl"/>
                <w:szCs w:val="20"/>
              </w:rPr>
            </w:pPr>
            <w:r w:rsidRPr="00E03D1C">
              <w:rPr>
                <w:rFonts w:ascii="Arial" w:hAnsi="Arial" w:cs="FrankRuehl" w:hint="cs"/>
                <w:szCs w:val="20"/>
                <w:rtl/>
              </w:rPr>
              <w:t>2.20%</w:t>
            </w:r>
          </w:p>
        </w:tc>
        <w:tc>
          <w:tcPr>
            <w:tcW w:w="0" w:type="auto"/>
            <w:shd w:val="clear" w:color="auto" w:fill="auto"/>
            <w:noWrap/>
            <w:vAlign w:val="bottom"/>
          </w:tcPr>
          <w:p w:rsidR="00E97EDA" w:rsidRPr="00E03D1C" w:rsidP="00E03D1C">
            <w:pPr>
              <w:spacing w:before="60" w:after="60" w:line="200" w:lineRule="exact"/>
              <w:rPr>
                <w:rFonts w:ascii="Arial" w:hAnsi="Arial" w:cs="FrankRuehl"/>
                <w:szCs w:val="20"/>
              </w:rPr>
            </w:pPr>
            <w:r w:rsidRPr="00E03D1C">
              <w:rPr>
                <w:rFonts w:ascii="Arial" w:hAnsi="Arial" w:cs="FrankRuehl" w:hint="cs"/>
                <w:szCs w:val="20"/>
                <w:rtl/>
              </w:rPr>
              <w:t>4.20%</w:t>
            </w:r>
          </w:p>
        </w:tc>
        <w:tc>
          <w:tcPr>
            <w:tcW w:w="0" w:type="auto"/>
            <w:shd w:val="clear" w:color="auto" w:fill="auto"/>
            <w:noWrap/>
            <w:vAlign w:val="bottom"/>
          </w:tcPr>
          <w:p w:rsidR="00E97EDA" w:rsidRPr="00E03D1C" w:rsidP="00E03D1C">
            <w:pPr>
              <w:spacing w:before="60" w:after="60" w:line="200" w:lineRule="exact"/>
              <w:rPr>
                <w:rFonts w:ascii="Arial" w:hAnsi="Arial" w:cs="FrankRuehl"/>
                <w:szCs w:val="20"/>
              </w:rPr>
            </w:pPr>
            <w:r w:rsidRPr="00E03D1C">
              <w:rPr>
                <w:rFonts w:ascii="Arial" w:hAnsi="Arial" w:cs="FrankRuehl" w:hint="cs"/>
                <w:szCs w:val="20"/>
                <w:rtl/>
              </w:rPr>
              <w:t>6.20%</w:t>
            </w:r>
          </w:p>
        </w:tc>
      </w:tr>
      <w:tr w:rsidTr="00E03D1C">
        <w:tblPrEx>
          <w:tblW w:w="6691" w:type="dxa"/>
          <w:jc w:val="center"/>
          <w:tblLook w:val="0000"/>
        </w:tblPrEx>
        <w:trPr>
          <w:jc w:val="center"/>
        </w:trPr>
        <w:tc>
          <w:tcPr>
            <w:tcW w:w="0" w:type="auto"/>
            <w:shd w:val="clear" w:color="auto" w:fill="auto"/>
            <w:noWrap/>
            <w:vAlign w:val="bottom"/>
          </w:tcPr>
          <w:p w:rsidR="00E97EDA" w:rsidRPr="00E03D1C" w:rsidP="00E03D1C">
            <w:pPr>
              <w:spacing w:before="60" w:after="60" w:line="200" w:lineRule="exact"/>
              <w:rPr>
                <w:rFonts w:ascii="Arial" w:hAnsi="Arial" w:cs="FrankRuehl"/>
                <w:szCs w:val="20"/>
              </w:rPr>
            </w:pPr>
            <w:r w:rsidRPr="00E03D1C">
              <w:rPr>
                <w:rFonts w:ascii="Arial" w:hAnsi="Arial" w:cs="FrankRuehl" w:hint="cs"/>
                <w:szCs w:val="20"/>
                <w:rtl/>
              </w:rPr>
              <w:t xml:space="preserve">סכום המשכנתה (בש"ח, מעוגל) </w:t>
            </w:r>
          </w:p>
        </w:tc>
        <w:tc>
          <w:tcPr>
            <w:tcW w:w="0" w:type="auto"/>
            <w:shd w:val="clear" w:color="auto" w:fill="auto"/>
            <w:noWrap/>
            <w:vAlign w:val="bottom"/>
          </w:tcPr>
          <w:p w:rsidR="00E97EDA" w:rsidRPr="00E03D1C" w:rsidP="00E03D1C">
            <w:pPr>
              <w:spacing w:before="60" w:after="60" w:line="200" w:lineRule="exact"/>
              <w:rPr>
                <w:rFonts w:ascii="Arial" w:hAnsi="Arial" w:cs="FrankRuehl"/>
                <w:szCs w:val="20"/>
              </w:rPr>
            </w:pPr>
            <w:r w:rsidRPr="00E03D1C">
              <w:rPr>
                <w:rFonts w:ascii="Arial" w:hAnsi="Arial" w:cs="FrankRuehl" w:hint="cs"/>
                <w:szCs w:val="20"/>
                <w:rtl/>
              </w:rPr>
              <w:t>600,000</w:t>
            </w:r>
          </w:p>
        </w:tc>
        <w:tc>
          <w:tcPr>
            <w:tcW w:w="0" w:type="auto"/>
            <w:shd w:val="clear" w:color="auto" w:fill="auto"/>
            <w:noWrap/>
            <w:vAlign w:val="bottom"/>
          </w:tcPr>
          <w:p w:rsidR="00E97EDA" w:rsidRPr="00E03D1C" w:rsidP="00E03D1C">
            <w:pPr>
              <w:spacing w:before="60" w:after="60" w:line="200" w:lineRule="exact"/>
              <w:rPr>
                <w:rFonts w:ascii="Arial" w:hAnsi="Arial" w:cs="FrankRuehl"/>
                <w:szCs w:val="20"/>
              </w:rPr>
            </w:pPr>
            <w:r w:rsidRPr="00E03D1C">
              <w:rPr>
                <w:rFonts w:ascii="Arial" w:hAnsi="Arial" w:cs="FrankRuehl" w:hint="cs"/>
                <w:szCs w:val="20"/>
                <w:rtl/>
              </w:rPr>
              <w:t>483,000</w:t>
            </w:r>
          </w:p>
        </w:tc>
        <w:tc>
          <w:tcPr>
            <w:tcW w:w="0" w:type="auto"/>
            <w:shd w:val="clear" w:color="auto" w:fill="auto"/>
            <w:noWrap/>
            <w:vAlign w:val="bottom"/>
          </w:tcPr>
          <w:p w:rsidR="00E97EDA" w:rsidRPr="00E03D1C" w:rsidP="00E03D1C">
            <w:pPr>
              <w:spacing w:before="60" w:after="60" w:line="200" w:lineRule="exact"/>
              <w:rPr>
                <w:rFonts w:ascii="Arial" w:hAnsi="Arial" w:cs="FrankRuehl"/>
                <w:szCs w:val="20"/>
              </w:rPr>
            </w:pPr>
            <w:r w:rsidRPr="00E03D1C">
              <w:rPr>
                <w:rFonts w:ascii="Arial" w:hAnsi="Arial" w:cs="FrankRuehl" w:hint="cs"/>
                <w:szCs w:val="20"/>
                <w:rtl/>
              </w:rPr>
              <w:t>396,000</w:t>
            </w:r>
          </w:p>
        </w:tc>
      </w:tr>
    </w:tbl>
    <w:p w:rsidR="00E97EDA" w:rsidRPr="00E03D1C" w:rsidP="00E03D1C">
      <w:pPr>
        <w:spacing w:before="120" w:after="240" w:line="200" w:lineRule="exact"/>
        <w:ind w:left="397" w:hanging="397"/>
        <w:jc w:val="both"/>
        <w:rPr>
          <w:rFonts w:cs="FrankRuehl"/>
          <w:sz w:val="20"/>
          <w:szCs w:val="20"/>
          <w:rtl/>
        </w:rPr>
      </w:pPr>
      <w:r w:rsidRPr="00E03D1C">
        <w:rPr>
          <w:rFonts w:cs="FrankRuehl"/>
          <w:sz w:val="20"/>
          <w:szCs w:val="20"/>
          <w:rtl/>
        </w:rPr>
        <w:t xml:space="preserve">* </w:t>
      </w:r>
      <w:r w:rsidR="00E03D1C">
        <w:rPr>
          <w:rFonts w:cs="FrankRuehl" w:hint="cs"/>
          <w:sz w:val="20"/>
          <w:szCs w:val="20"/>
          <w:rtl/>
        </w:rPr>
        <w:tab/>
      </w:r>
      <w:r w:rsidRPr="00E03D1C">
        <w:rPr>
          <w:rFonts w:cs="FrankRuehl" w:hint="cs"/>
          <w:sz w:val="20"/>
          <w:szCs w:val="20"/>
          <w:rtl/>
        </w:rPr>
        <w:t>לפי תשובת</w:t>
      </w:r>
      <w:r w:rsidRPr="00E03D1C">
        <w:rPr>
          <w:rFonts w:cs="FrankRuehl"/>
          <w:sz w:val="20"/>
          <w:szCs w:val="20"/>
          <w:rtl/>
        </w:rPr>
        <w:t xml:space="preserve"> </w:t>
      </w:r>
      <w:r w:rsidRPr="00E03D1C">
        <w:rPr>
          <w:rFonts w:cs="FrankRuehl" w:hint="eastAsia"/>
          <w:sz w:val="20"/>
          <w:szCs w:val="20"/>
          <w:rtl/>
        </w:rPr>
        <w:t>בנק</w:t>
      </w:r>
      <w:r w:rsidRPr="00E03D1C">
        <w:rPr>
          <w:rFonts w:cs="FrankRuehl"/>
          <w:sz w:val="20"/>
          <w:szCs w:val="20"/>
          <w:rtl/>
        </w:rPr>
        <w:t xml:space="preserve"> </w:t>
      </w:r>
      <w:r w:rsidRPr="00E03D1C">
        <w:rPr>
          <w:rFonts w:cs="FrankRuehl" w:hint="eastAsia"/>
          <w:sz w:val="20"/>
          <w:szCs w:val="20"/>
          <w:rtl/>
        </w:rPr>
        <w:t>ישראל</w:t>
      </w:r>
      <w:r w:rsidRPr="00E03D1C">
        <w:rPr>
          <w:rFonts w:cs="FrankRuehl"/>
          <w:sz w:val="20"/>
          <w:szCs w:val="20"/>
          <w:rtl/>
        </w:rPr>
        <w:t xml:space="preserve"> </w:t>
      </w:r>
      <w:r w:rsidRPr="00E03D1C">
        <w:rPr>
          <w:rFonts w:cs="FrankRuehl" w:hint="cs"/>
          <w:sz w:val="20"/>
          <w:szCs w:val="20"/>
          <w:rtl/>
        </w:rPr>
        <w:t>מדצמבר 2013.</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מלוח זה עולה כי הירידה בשיעורי הריבית בשנים האחרונות הביאה לעלייה בסכומי המשכנתאות הניתנות בהחזר חודשי זהה אך בשיעורי ריבית שונים. לנוכח עליית הביקוש לדירות וקשיחות רבה בצד ההיצע, ירידת הריבית באה לידי ביטוי בעליית מחירי הדירות.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מעיון בפרוטוקולי</w:t>
      </w:r>
      <w:r w:rsidRPr="00F41E78">
        <w:rPr>
          <w:rFonts w:cs="FrankRuehl" w:hint="eastAsia"/>
          <w:sz w:val="18"/>
          <w:szCs w:val="22"/>
          <w:rtl/>
          <w:lang w:eastAsia="he-IL"/>
        </w:rPr>
        <w:t>ם</w:t>
      </w:r>
      <w:r w:rsidRPr="00F41E78">
        <w:rPr>
          <w:rFonts w:cs="FrankRuehl" w:hint="cs"/>
          <w:sz w:val="18"/>
          <w:szCs w:val="22"/>
          <w:rtl/>
          <w:lang w:eastAsia="he-IL"/>
        </w:rPr>
        <w:t xml:space="preserve"> של הוועדה המוניטרית שפורסמו עולה כי הוועדה בוחנת במסגרת דיוני הריבית גם את שוק הדיור. בחינת שוק הדיור כוללת את </w:t>
      </w:r>
      <w:r w:rsidRPr="00F41E78">
        <w:rPr>
          <w:rFonts w:cs="FrankRuehl" w:hint="eastAsia"/>
          <w:sz w:val="18"/>
          <w:szCs w:val="22"/>
          <w:rtl/>
          <w:lang w:eastAsia="he-IL"/>
        </w:rPr>
        <w:t>התפתחות</w:t>
      </w:r>
      <w:r w:rsidRPr="00F41E78">
        <w:rPr>
          <w:rFonts w:cs="FrankRuehl" w:hint="cs"/>
          <w:sz w:val="18"/>
          <w:szCs w:val="22"/>
          <w:rtl/>
          <w:lang w:eastAsia="he-IL"/>
        </w:rPr>
        <w:t xml:space="preserve"> מחירי הדיור על פי מדד מחירי הדיור, את סעיף הדיור (המתבסס על מחירי שכר הדירה) במדד המחירים לצרכן, את הפעילות בענף הבנייה ואת השפעתה על הגידול בהיצע הדירות וכן היבטים נוספים המשפיעים על הביקוש לדירות. עם זאת, מידת השפעתה של הריבית המוניטרית על מחירי הדיור היא שיקול אחד מתוך מכלול שיקולים ואין היא בהכרח השיקול המרכזי בקביעת הריבית של בנק ישראל. לוועדה מכלול של שיקולים מקרו-כלכליים נוספים.</w:t>
      </w:r>
    </w:p>
    <w:p w:rsidR="00E97EDA" w:rsidRPr="00F41E78" w:rsidP="001A1A18">
      <w:pPr>
        <w:spacing w:after="120" w:line="230" w:lineRule="exact"/>
        <w:jc w:val="both"/>
        <w:rPr>
          <w:rFonts w:cs="FrankRuehl"/>
          <w:sz w:val="18"/>
          <w:szCs w:val="22"/>
          <w:rtl/>
          <w:lang w:eastAsia="he-IL"/>
        </w:rPr>
      </w:pPr>
      <w:r w:rsidRPr="00F41E78">
        <w:rPr>
          <w:rFonts w:cs="FrankRuehl" w:hint="cs"/>
          <w:sz w:val="18"/>
          <w:szCs w:val="22"/>
          <w:rtl/>
          <w:lang w:eastAsia="he-IL"/>
        </w:rPr>
        <w:t>לדוגמה, בדוח האינפלציה לשנת 2010</w:t>
      </w:r>
      <w:r>
        <w:rPr>
          <w:rFonts w:cs="FrankRuehl"/>
          <w:sz w:val="18"/>
          <w:szCs w:val="22"/>
          <w:vertAlign w:val="superscript"/>
          <w:rtl/>
          <w:lang w:eastAsia="he-IL"/>
        </w:rPr>
        <w:footnoteReference w:id="107"/>
      </w:r>
      <w:r w:rsidRPr="00F41E78">
        <w:rPr>
          <w:rFonts w:cs="FrankRuehl" w:hint="cs"/>
          <w:sz w:val="18"/>
          <w:szCs w:val="22"/>
          <w:rtl/>
          <w:lang w:eastAsia="he-IL"/>
        </w:rPr>
        <w:t xml:space="preserve"> צוין כי "</w:t>
      </w:r>
      <w:r w:rsidRPr="00F41E78">
        <w:rPr>
          <w:rFonts w:cs="FrankRuehl" w:hint="cs"/>
          <w:b/>
          <w:bCs/>
          <w:sz w:val="18"/>
          <w:szCs w:val="22"/>
          <w:rtl/>
          <w:lang w:eastAsia="he-IL"/>
        </w:rPr>
        <w:t>בהחלטותיו הביא בנק ישראל בחשבון את סביבת הריביות בעולם, ופעל בהדרגתיות כדי למנוע ייסוף חד</w:t>
      </w:r>
      <w:r w:rsidRPr="00F41E78">
        <w:rPr>
          <w:rFonts w:cs="FrankRuehl"/>
          <w:b/>
          <w:bCs/>
          <w:sz w:val="18"/>
          <w:szCs w:val="22"/>
          <w:vertAlign w:val="superscript"/>
          <w:rtl/>
          <w:lang w:eastAsia="he-IL"/>
        </w:rPr>
        <w:t>[</w:t>
      </w:r>
      <w:r>
        <w:rPr>
          <w:rFonts w:cs="FrankRuehl"/>
          <w:sz w:val="18"/>
          <w:szCs w:val="22"/>
          <w:vertAlign w:val="superscript"/>
          <w:rtl/>
          <w:lang w:eastAsia="he-IL"/>
        </w:rPr>
        <w:footnoteReference w:id="108"/>
      </w:r>
      <w:r w:rsidRPr="00F41E78">
        <w:rPr>
          <w:rFonts w:cs="FrankRuehl"/>
          <w:sz w:val="18"/>
          <w:szCs w:val="22"/>
          <w:vertAlign w:val="superscript"/>
          <w:rtl/>
          <w:lang w:eastAsia="he-IL"/>
        </w:rPr>
        <w:t>]</w:t>
      </w:r>
      <w:r w:rsidRPr="00F41E78">
        <w:rPr>
          <w:rFonts w:cs="FrankRuehl" w:hint="cs"/>
          <w:b/>
          <w:bCs/>
          <w:sz w:val="18"/>
          <w:szCs w:val="22"/>
          <w:rtl/>
          <w:lang w:eastAsia="he-IL"/>
        </w:rPr>
        <w:t>, שיכול להתפתח כתוצאה מהירה של פער ריביות מול חו"ל</w:t>
      </w:r>
      <w:r w:rsidRPr="00F41E78">
        <w:rPr>
          <w:rFonts w:cs="FrankRuehl"/>
          <w:sz w:val="18"/>
          <w:szCs w:val="22"/>
          <w:rtl/>
          <w:lang w:eastAsia="he-IL"/>
        </w:rPr>
        <w:t>.</w:t>
      </w:r>
      <w:r w:rsidRPr="00F41E78">
        <w:rPr>
          <w:rFonts w:cs="FrankRuehl" w:hint="cs"/>
          <w:b/>
          <w:bCs/>
          <w:sz w:val="18"/>
          <w:szCs w:val="22"/>
          <w:rtl/>
          <w:lang w:eastAsia="he-IL"/>
        </w:rPr>
        <w:t xml:space="preserve"> </w:t>
      </w:r>
      <w:r w:rsidRPr="00F41E78">
        <w:rPr>
          <w:rFonts w:cs="FrankRuehl" w:hint="cs"/>
          <w:sz w:val="18"/>
          <w:szCs w:val="22"/>
          <w:rtl/>
          <w:lang w:eastAsia="he-IL"/>
        </w:rPr>
        <w:t>שיעורי הריביות של הבנקים המרכזיים הגדולים (ארה"ב, אירופה, אנגליה, יפן) אפסיים, וההערכה היא כי הם לא יועלו בחודשים הקרובים; לפיכך כל העלאת ריבית על ידי בנק ישראל משיקולים של אינפלציה או התפתחויות בשוק הדיור, מלווה בהתרחבות של פערי הריבית מול חו"ל. התרחבות פערי הריבית מעודדת כניסת הון למשק, הלוחצת לייסוף שער החליפין - התפתחות הפועלת לריסון האינפלציה (בעיקר דרך מחירי היבוא), וגם למיתון הפעילות (בעיקר דרך הפגיעה בתחרותיות היצוא)" (</w:t>
      </w:r>
      <w:r w:rsidRPr="00F41E78">
        <w:rPr>
          <w:rFonts w:cs="FrankRuehl"/>
          <w:sz w:val="18"/>
          <w:szCs w:val="22"/>
          <w:rtl/>
          <w:lang w:eastAsia="he-IL"/>
        </w:rPr>
        <w:t xml:space="preserve">ההדגשה </w:t>
      </w:r>
      <w:r w:rsidRPr="00F41E78">
        <w:rPr>
          <w:rFonts w:cs="FrankRuehl" w:hint="eastAsia"/>
          <w:sz w:val="18"/>
          <w:szCs w:val="22"/>
          <w:rtl/>
          <w:lang w:eastAsia="he-IL"/>
        </w:rPr>
        <w:t>במקור</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 xml:space="preserve">עוד צוין בדוח כי מגזר הייצוא </w:t>
      </w:r>
      <w:r w:rsidRPr="00F41E78">
        <w:rPr>
          <w:rFonts w:cs="FrankRuehl" w:hint="cs"/>
          <w:sz w:val="18"/>
          <w:szCs w:val="22"/>
          <w:rtl/>
          <w:lang w:eastAsia="he-IL"/>
        </w:rPr>
        <w:t>מתמודד גם עם רמת ביקושים נמוכה יחסית בעולם, בעטיו של המשבר העמוק השורר אצל שותפות הסחר העיקריות של ישראל. ביוני 2013 מסרה המשנה לנגיד בנק ישראל דאז לנציגי משרד מבקר המדינה דברים דומים.</w:t>
      </w:r>
      <w:r w:rsidRPr="00F41E78">
        <w:rPr>
          <w:rFonts w:cs="FrankRuehl"/>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נגיד בנק ישראל דאז ציין</w:t>
      </w:r>
      <w:r>
        <w:rPr>
          <w:rFonts w:cs="FrankRuehl"/>
          <w:sz w:val="18"/>
          <w:szCs w:val="22"/>
          <w:vertAlign w:val="superscript"/>
          <w:rtl/>
          <w:lang w:eastAsia="he-IL"/>
        </w:rPr>
        <w:footnoteReference w:id="109"/>
      </w:r>
      <w:r w:rsidRPr="00F41E78">
        <w:rPr>
          <w:rFonts w:cs="FrankRuehl" w:hint="cs"/>
          <w:sz w:val="18"/>
          <w:szCs w:val="22"/>
          <w:rtl/>
          <w:lang w:eastAsia="he-IL"/>
        </w:rPr>
        <w:t xml:space="preserve"> כי "פערי ריביות בין המשק הישראלי לבין חו"ל מביאים לתנועות הון בהיקף נרחב ולייסוף בשער המטבע, ולכן איננו יכולים לאפשר פערי ריבית גבוהים מדי... הריביות הנמוכות ימשיכו לשרור בשווקים העולמיים לעוד זמן רב, עד שיתחילו להופיע סימני צמיחה, או לחילופין סימנים של אינפלציה... נכון להיום, הריביות בעולם צפויות להתחיל לעלות בתחילת 2015. איני רוצה להיכנס לויכוח על מלחמת המטבעות </w:t>
      </w:r>
      <w:r w:rsidRPr="00F41E78">
        <w:rPr>
          <w:rFonts w:cs="FrankRuehl"/>
          <w:sz w:val="18"/>
          <w:szCs w:val="22"/>
          <w:rtl/>
          <w:lang w:eastAsia="he-IL"/>
        </w:rPr>
        <w:t>-</w:t>
      </w:r>
      <w:r w:rsidRPr="00F41E78">
        <w:rPr>
          <w:rFonts w:cs="FrankRuehl" w:hint="cs"/>
          <w:sz w:val="18"/>
          <w:szCs w:val="22"/>
          <w:rtl/>
          <w:lang w:eastAsia="he-IL"/>
        </w:rPr>
        <w:t xml:space="preserve"> ברור שעלינו להמשיך להתמודד עם המצב שבו במשקים העיקריים הריביות נותרות נמוכות לאורך זמן".</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בדיווח לציבור על הדיונים המוניטריים בבנק ישראל לקביעת הריבית לחודש אוקטובר 2013, שהתקיימו בימים 22.9.13 ו-23.9.13, צוין כי שלושה מחברי הוועדה המוניטרית תמכו בהחלטה להוריד את הריבית ושניים הצביעו בעד השארתה ללא שינוי. הדיון בוועדה התמקד בכמה סוגיות עיקריות: רמת הפעילות והביקוש לתוצר המקומי, פעילות ריאלית ופיננסית בחו"ל, האינפלציה ושוק הדיור. בדיון הועלה החשש מפני השפעה ארוכת טווח של רמת ריבית נמוכה על המשך ביקושים גבוהים בשוק הדיור. חברי הוועדה שצידדו בהורדת הריבית טענו בין היתר כי הצעדים שנקט לאחרונה המפקח על הבנקים להקטנת הסיכונים בשוק המשכנתאות יפעלו לקיזוז ההשפעה של הורדת הריבית על שוק זה. חברי הוועדה שצידדו בהשארת הריבית ללא שינוי הדגישו בין היתר את ההשפעות של הורדת הריבית על המשך עליית מחירי הדיור ועל דפוסי החיסכון.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בהודעה על ההחלטה להורדת הריבית הדגישה הוועדה בין היתר כי "נמשכת העלייה במחירי הדירות ונטילת המשכנתאות בהיקפים גבוהים, אולם הנחיות המפקח על הבנקים, המגבילות את שיעור ההחזר מן ההכנסה, חלק ההלוואה שניתן בריבית משתנה ואת התקופה הסופית לפירעון ההלוואה במשכנתאות, צפויות להפחית את הסיכון לציבור נוטלי המשכנתאות ולמערכת הבנקאית..", וכי "בנק ישראל ישתמש בכלים העומדים לרשותו על מנת להשיג את מטרותיו - יציבות מחירים, עידוד התעסוקה והצמיחה, ותמיכה ביציבות המערכת הפיננסית - ובהיבט זה, ימשיך לעקוב אחר ההתפתחויות בשוקי הנכסים ובכלל זה שוק הדיור".</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כאמור, בחוק בנק ישראל נקבע כי הנגיד ישמש יועץ לממשלה בעניינים כלכליים. בפועל, הנגיד או נציגיו משתתפים בישיבות ממשלה, בוועדות הכנסת ובפגישות עם שרים ועם נושאי תפקידים. למשל, </w:t>
      </w:r>
      <w:r w:rsidRPr="00F41E78">
        <w:rPr>
          <w:rFonts w:cs="FrankRuehl" w:hint="eastAsia"/>
          <w:sz w:val="18"/>
          <w:szCs w:val="22"/>
          <w:rtl/>
          <w:lang w:eastAsia="he-IL"/>
        </w:rPr>
        <w:t>במאי</w:t>
      </w:r>
      <w:r w:rsidRPr="00F41E78">
        <w:rPr>
          <w:rFonts w:cs="FrankRuehl"/>
          <w:sz w:val="18"/>
          <w:szCs w:val="22"/>
          <w:rtl/>
          <w:lang w:eastAsia="he-IL"/>
        </w:rPr>
        <w:t xml:space="preserve"> 2011</w:t>
      </w:r>
      <w:r w:rsidRPr="00F41E78">
        <w:rPr>
          <w:rFonts w:cs="FrankRuehl" w:hint="cs"/>
          <w:sz w:val="18"/>
          <w:szCs w:val="22"/>
          <w:rtl/>
          <w:lang w:eastAsia="he-IL"/>
        </w:rPr>
        <w:t xml:space="preserve">, </w:t>
      </w:r>
      <w:r w:rsidRPr="00F41E78">
        <w:rPr>
          <w:rFonts w:cs="FrankRuehl" w:hint="eastAsia"/>
          <w:sz w:val="18"/>
          <w:szCs w:val="22"/>
          <w:rtl/>
          <w:lang w:eastAsia="he-IL"/>
        </w:rPr>
        <w:t>בדיון</w:t>
      </w:r>
      <w:r w:rsidRPr="00F41E78">
        <w:rPr>
          <w:rFonts w:cs="FrankRuehl"/>
          <w:sz w:val="18"/>
          <w:szCs w:val="22"/>
          <w:rtl/>
          <w:lang w:eastAsia="he-IL"/>
        </w:rPr>
        <w:t xml:space="preserve"> </w:t>
      </w:r>
      <w:r w:rsidRPr="00F41E78">
        <w:rPr>
          <w:rFonts w:cs="FrankRuehl" w:hint="eastAsia"/>
          <w:sz w:val="18"/>
          <w:szCs w:val="22"/>
          <w:rtl/>
          <w:lang w:eastAsia="he-IL"/>
        </w:rPr>
        <w:t>בוועדת</w:t>
      </w:r>
      <w:r w:rsidRPr="00F41E78">
        <w:rPr>
          <w:rFonts w:cs="FrankRuehl"/>
          <w:sz w:val="18"/>
          <w:szCs w:val="22"/>
          <w:rtl/>
          <w:lang w:eastAsia="he-IL"/>
        </w:rPr>
        <w:t xml:space="preserve"> </w:t>
      </w:r>
      <w:r w:rsidRPr="00F41E78">
        <w:rPr>
          <w:rFonts w:cs="FrankRuehl" w:hint="eastAsia"/>
          <w:sz w:val="18"/>
          <w:szCs w:val="22"/>
          <w:rtl/>
          <w:lang w:eastAsia="he-IL"/>
        </w:rPr>
        <w:t>הכספים</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הכנסת</w:t>
      </w:r>
      <w:r w:rsidRPr="00F41E78">
        <w:rPr>
          <w:rFonts w:cs="FrankRuehl"/>
          <w:sz w:val="18"/>
          <w:szCs w:val="22"/>
          <w:rtl/>
          <w:lang w:eastAsia="he-IL"/>
        </w:rPr>
        <w:t xml:space="preserve"> </w:t>
      </w:r>
      <w:r w:rsidRPr="00F41E78">
        <w:rPr>
          <w:rFonts w:cs="FrankRuehl" w:hint="eastAsia"/>
          <w:sz w:val="18"/>
          <w:szCs w:val="22"/>
          <w:rtl/>
          <w:lang w:eastAsia="he-IL"/>
        </w:rPr>
        <w:t>בנושא</w:t>
      </w:r>
      <w:r w:rsidRPr="00F41E78">
        <w:rPr>
          <w:rFonts w:cs="FrankRuehl"/>
          <w:sz w:val="18"/>
          <w:szCs w:val="22"/>
          <w:rtl/>
          <w:lang w:eastAsia="he-IL"/>
        </w:rPr>
        <w:t xml:space="preserve"> </w:t>
      </w:r>
      <w:r w:rsidRPr="00F41E78">
        <w:rPr>
          <w:rFonts w:cs="FrankRuehl" w:hint="eastAsia"/>
          <w:sz w:val="18"/>
          <w:szCs w:val="22"/>
          <w:rtl/>
          <w:lang w:eastAsia="he-IL"/>
        </w:rPr>
        <w:t>שוק</w:t>
      </w:r>
      <w:r w:rsidRPr="00F41E78">
        <w:rPr>
          <w:rFonts w:cs="FrankRuehl"/>
          <w:sz w:val="18"/>
          <w:szCs w:val="22"/>
          <w:rtl/>
          <w:lang w:eastAsia="he-IL"/>
        </w:rPr>
        <w:t xml:space="preserve"> </w:t>
      </w:r>
      <w:r w:rsidRPr="00F41E78">
        <w:rPr>
          <w:rFonts w:cs="FrankRuehl" w:hint="eastAsia"/>
          <w:sz w:val="18"/>
          <w:szCs w:val="22"/>
          <w:rtl/>
          <w:lang w:eastAsia="he-IL"/>
        </w:rPr>
        <w:t>הדיור ציין</w:t>
      </w:r>
      <w:r w:rsidRPr="00F41E78">
        <w:rPr>
          <w:rFonts w:cs="FrankRuehl"/>
          <w:sz w:val="18"/>
          <w:szCs w:val="22"/>
          <w:rtl/>
          <w:lang w:eastAsia="he-IL"/>
        </w:rPr>
        <w:t xml:space="preserve"> </w:t>
      </w:r>
      <w:r w:rsidRPr="00F41E78">
        <w:rPr>
          <w:rFonts w:cs="FrankRuehl" w:hint="eastAsia"/>
          <w:sz w:val="18"/>
          <w:szCs w:val="22"/>
          <w:rtl/>
          <w:lang w:eastAsia="he-IL"/>
        </w:rPr>
        <w:t>הנגיד</w:t>
      </w:r>
      <w:r w:rsidRPr="00F41E78">
        <w:rPr>
          <w:rFonts w:cs="FrankRuehl"/>
          <w:sz w:val="18"/>
          <w:szCs w:val="22"/>
          <w:rtl/>
          <w:lang w:eastAsia="he-IL"/>
        </w:rPr>
        <w:t xml:space="preserve"> </w:t>
      </w:r>
      <w:r w:rsidRPr="00F41E78">
        <w:rPr>
          <w:rFonts w:cs="FrankRuehl" w:hint="eastAsia"/>
          <w:sz w:val="18"/>
          <w:szCs w:val="22"/>
          <w:rtl/>
          <w:lang w:eastAsia="he-IL"/>
        </w:rPr>
        <w:t>דאז</w:t>
      </w:r>
      <w:r w:rsidRPr="00F41E78">
        <w:rPr>
          <w:rFonts w:cs="FrankRuehl" w:hint="cs"/>
          <w:sz w:val="18"/>
          <w:szCs w:val="22"/>
          <w:rtl/>
          <w:lang w:eastAsia="he-IL"/>
        </w:rPr>
        <w:t xml:space="preserve"> </w:t>
      </w:r>
      <w:r w:rsidRPr="00F41E78">
        <w:rPr>
          <w:rFonts w:cs="FrankRuehl" w:hint="eastAsia"/>
          <w:sz w:val="18"/>
          <w:szCs w:val="22"/>
          <w:rtl/>
          <w:lang w:eastAsia="he-IL"/>
        </w:rPr>
        <w:t>כי</w:t>
      </w:r>
      <w:r w:rsidRPr="00F41E78">
        <w:rPr>
          <w:rFonts w:cs="FrankRuehl"/>
          <w:sz w:val="18"/>
          <w:szCs w:val="22"/>
          <w:rtl/>
          <w:lang w:eastAsia="he-IL"/>
        </w:rPr>
        <w:t xml:space="preserve"> הפתרון לבעיות הדיור בטווח הארוך יהיה </w:t>
      </w:r>
      <w:r w:rsidRPr="00F41E78">
        <w:rPr>
          <w:rFonts w:cs="FrankRuehl" w:hint="eastAsia"/>
          <w:sz w:val="18"/>
          <w:szCs w:val="22"/>
          <w:rtl/>
          <w:lang w:eastAsia="he-IL"/>
        </w:rPr>
        <w:t>חייב</w:t>
      </w:r>
      <w:r w:rsidRPr="00F41E78">
        <w:rPr>
          <w:rFonts w:cs="FrankRuehl"/>
          <w:sz w:val="18"/>
          <w:szCs w:val="22"/>
          <w:rtl/>
          <w:lang w:eastAsia="he-IL"/>
        </w:rPr>
        <w:t xml:space="preserve"> </w:t>
      </w:r>
      <w:r w:rsidRPr="00F41E78">
        <w:rPr>
          <w:rFonts w:cs="FrankRuehl" w:hint="eastAsia"/>
          <w:sz w:val="18"/>
          <w:szCs w:val="22"/>
          <w:rtl/>
          <w:lang w:eastAsia="he-IL"/>
        </w:rPr>
        <w:t>לבוא</w:t>
      </w:r>
      <w:r w:rsidRPr="00F41E78">
        <w:rPr>
          <w:rFonts w:cs="FrankRuehl"/>
          <w:sz w:val="18"/>
          <w:szCs w:val="22"/>
          <w:rtl/>
          <w:lang w:eastAsia="he-IL"/>
        </w:rPr>
        <w:t xml:space="preserve"> </w:t>
      </w:r>
      <w:r w:rsidRPr="00F41E78">
        <w:rPr>
          <w:rFonts w:cs="FrankRuehl" w:hint="eastAsia"/>
          <w:sz w:val="18"/>
          <w:szCs w:val="22"/>
          <w:rtl/>
          <w:lang w:eastAsia="he-IL"/>
        </w:rPr>
        <w:t>מצד</w:t>
      </w:r>
      <w:r w:rsidRPr="00F41E78">
        <w:rPr>
          <w:rFonts w:cs="FrankRuehl"/>
          <w:sz w:val="18"/>
          <w:szCs w:val="22"/>
          <w:rtl/>
          <w:lang w:eastAsia="he-IL"/>
        </w:rPr>
        <w:t xml:space="preserve"> </w:t>
      </w:r>
      <w:r w:rsidRPr="00F41E78">
        <w:rPr>
          <w:rFonts w:cs="FrankRuehl" w:hint="eastAsia"/>
          <w:sz w:val="18"/>
          <w:szCs w:val="22"/>
          <w:rtl/>
          <w:lang w:eastAsia="he-IL"/>
        </w:rPr>
        <w:t>ההיצע</w:t>
      </w:r>
      <w:r w:rsidRPr="00F41E78">
        <w:rPr>
          <w:rFonts w:cs="FrankRuehl" w:hint="cs"/>
          <w:sz w:val="18"/>
          <w:szCs w:val="22"/>
          <w:rtl/>
          <w:lang w:eastAsia="he-IL"/>
        </w:rPr>
        <w:t xml:space="preserve"> ופעילותו של בנק ישראל בתחום מוגבלת בעיקר </w:t>
      </w:r>
      <w:r w:rsidRPr="00F41E78">
        <w:rPr>
          <w:rFonts w:cs="FrankRuehl" w:hint="eastAsia"/>
          <w:sz w:val="18"/>
          <w:szCs w:val="22"/>
          <w:rtl/>
          <w:lang w:eastAsia="he-IL"/>
        </w:rPr>
        <w:t>לצד</w:t>
      </w:r>
      <w:r w:rsidRPr="00F41E78">
        <w:rPr>
          <w:rFonts w:cs="FrankRuehl"/>
          <w:sz w:val="18"/>
          <w:szCs w:val="22"/>
          <w:rtl/>
          <w:lang w:eastAsia="he-IL"/>
        </w:rPr>
        <w:t xml:space="preserve"> </w:t>
      </w:r>
      <w:r w:rsidRPr="00F41E78">
        <w:rPr>
          <w:rFonts w:cs="FrankRuehl" w:hint="eastAsia"/>
          <w:sz w:val="18"/>
          <w:szCs w:val="22"/>
          <w:rtl/>
          <w:lang w:eastAsia="he-IL"/>
        </w:rPr>
        <w:t>הביקוש</w:t>
      </w:r>
      <w:r w:rsidR="003966EF">
        <w:rPr>
          <w:rFonts w:cs="FrankRuehl" w:hint="cs"/>
          <w:sz w:val="18"/>
          <w:szCs w:val="22"/>
          <w:rtl/>
          <w:lang w:eastAsia="he-IL"/>
        </w:rPr>
        <w:t>.</w:t>
      </w:r>
      <w:r w:rsidRPr="00F41E78">
        <w:rPr>
          <w:rFonts w:cs="FrankRuehl" w:hint="cs"/>
          <w:sz w:val="18"/>
          <w:szCs w:val="22"/>
          <w:rtl/>
          <w:lang w:eastAsia="he-IL"/>
        </w:rPr>
        <w:t xml:space="preserve"> </w:t>
      </w:r>
      <w:r w:rsidRPr="00F41E78">
        <w:rPr>
          <w:rFonts w:cs="FrankRuehl" w:hint="eastAsia"/>
          <w:sz w:val="18"/>
          <w:szCs w:val="22"/>
          <w:rtl/>
          <w:lang w:eastAsia="he-IL"/>
        </w:rPr>
        <w:t>בנובמבר</w:t>
      </w:r>
      <w:r w:rsidRPr="00F41E78">
        <w:rPr>
          <w:rFonts w:cs="FrankRuehl"/>
          <w:sz w:val="18"/>
          <w:szCs w:val="22"/>
          <w:rtl/>
          <w:lang w:eastAsia="he-IL"/>
        </w:rPr>
        <w:t xml:space="preserve"> 2011 </w:t>
      </w:r>
      <w:r w:rsidRPr="00F41E78">
        <w:rPr>
          <w:rFonts w:cs="FrankRuehl" w:hint="eastAsia"/>
          <w:sz w:val="18"/>
          <w:szCs w:val="22"/>
          <w:rtl/>
          <w:lang w:eastAsia="he-IL"/>
        </w:rPr>
        <w:t>ציין</w:t>
      </w:r>
      <w:r w:rsidRPr="00F41E78">
        <w:rPr>
          <w:rFonts w:cs="FrankRuehl"/>
          <w:sz w:val="18"/>
          <w:szCs w:val="22"/>
          <w:rtl/>
          <w:lang w:eastAsia="he-IL"/>
        </w:rPr>
        <w:t xml:space="preserve"> </w:t>
      </w:r>
      <w:r w:rsidRPr="00F41E78">
        <w:rPr>
          <w:rFonts w:cs="FrankRuehl" w:hint="eastAsia"/>
          <w:sz w:val="18"/>
          <w:szCs w:val="22"/>
          <w:rtl/>
          <w:lang w:eastAsia="he-IL"/>
        </w:rPr>
        <w:t>הנגיד</w:t>
      </w:r>
      <w:r w:rsidRPr="00F41E78">
        <w:rPr>
          <w:rFonts w:cs="FrankRuehl"/>
          <w:sz w:val="18"/>
          <w:szCs w:val="22"/>
          <w:rtl/>
          <w:lang w:eastAsia="he-IL"/>
        </w:rPr>
        <w:t xml:space="preserve"> </w:t>
      </w:r>
      <w:r w:rsidRPr="00F41E78">
        <w:rPr>
          <w:rFonts w:cs="FrankRuehl" w:hint="eastAsia"/>
          <w:sz w:val="18"/>
          <w:szCs w:val="22"/>
          <w:rtl/>
          <w:lang w:eastAsia="he-IL"/>
        </w:rPr>
        <w:t>דאז</w:t>
      </w:r>
      <w:r w:rsidRPr="00F41E78">
        <w:rPr>
          <w:rFonts w:cs="FrankRuehl" w:hint="cs"/>
          <w:sz w:val="18"/>
          <w:szCs w:val="22"/>
          <w:rtl/>
          <w:lang w:eastAsia="he-IL"/>
        </w:rPr>
        <w:t xml:space="preserve"> בוועדת הכספים </w:t>
      </w:r>
      <w:r w:rsidRPr="00F41E78">
        <w:rPr>
          <w:rFonts w:cs="FrankRuehl" w:hint="eastAsia"/>
          <w:sz w:val="18"/>
          <w:szCs w:val="22"/>
          <w:rtl/>
          <w:lang w:eastAsia="he-IL"/>
        </w:rPr>
        <w:t>כי</w:t>
      </w:r>
      <w:r w:rsidRPr="00F41E78">
        <w:rPr>
          <w:rFonts w:cs="FrankRuehl"/>
          <w:sz w:val="18"/>
          <w:szCs w:val="22"/>
          <w:rtl/>
          <w:lang w:eastAsia="he-IL"/>
        </w:rPr>
        <w:t xml:space="preserve"> </w:t>
      </w:r>
      <w:r w:rsidRPr="00F41E78">
        <w:rPr>
          <w:rFonts w:cs="FrankRuehl" w:hint="eastAsia"/>
          <w:sz w:val="18"/>
          <w:szCs w:val="22"/>
          <w:rtl/>
          <w:lang w:eastAsia="he-IL"/>
        </w:rPr>
        <w:t>במדינות</w:t>
      </w:r>
      <w:r w:rsidRPr="00F41E78">
        <w:rPr>
          <w:rFonts w:cs="FrankRuehl"/>
          <w:sz w:val="18"/>
          <w:szCs w:val="22"/>
          <w:rtl/>
          <w:lang w:eastAsia="he-IL"/>
        </w:rPr>
        <w:t xml:space="preserve"> </w:t>
      </w:r>
      <w:r w:rsidRPr="00F41E78">
        <w:rPr>
          <w:rFonts w:cs="FrankRuehl" w:hint="eastAsia"/>
          <w:sz w:val="18"/>
          <w:szCs w:val="22"/>
          <w:rtl/>
          <w:lang w:eastAsia="he-IL"/>
        </w:rPr>
        <w:t>רבות</w:t>
      </w:r>
      <w:r w:rsidRPr="00F41E78">
        <w:rPr>
          <w:rFonts w:cs="FrankRuehl"/>
          <w:sz w:val="18"/>
          <w:szCs w:val="22"/>
          <w:rtl/>
          <w:lang w:eastAsia="he-IL"/>
        </w:rPr>
        <w:t xml:space="preserve"> </w:t>
      </w:r>
      <w:r w:rsidRPr="00F41E78">
        <w:rPr>
          <w:rFonts w:cs="FrankRuehl" w:hint="eastAsia"/>
          <w:sz w:val="18"/>
          <w:szCs w:val="22"/>
          <w:rtl/>
          <w:lang w:eastAsia="he-IL"/>
        </w:rPr>
        <w:t>נמצא</w:t>
      </w:r>
      <w:r w:rsidRPr="00F41E78">
        <w:rPr>
          <w:rFonts w:cs="FrankRuehl"/>
          <w:sz w:val="18"/>
          <w:szCs w:val="22"/>
          <w:rtl/>
          <w:lang w:eastAsia="he-IL"/>
        </w:rPr>
        <w:t xml:space="preserve"> </w:t>
      </w:r>
      <w:r w:rsidRPr="00F41E78">
        <w:rPr>
          <w:rFonts w:cs="FrankRuehl" w:hint="eastAsia"/>
          <w:sz w:val="18"/>
          <w:szCs w:val="22"/>
          <w:rtl/>
          <w:lang w:eastAsia="he-IL"/>
        </w:rPr>
        <w:t>שפגיעה</w:t>
      </w:r>
      <w:r w:rsidRPr="00F41E78">
        <w:rPr>
          <w:rFonts w:cs="FrankRuehl"/>
          <w:sz w:val="18"/>
          <w:szCs w:val="22"/>
          <w:rtl/>
          <w:lang w:eastAsia="he-IL"/>
        </w:rPr>
        <w:t xml:space="preserve"> </w:t>
      </w:r>
      <w:r w:rsidRPr="00F41E78">
        <w:rPr>
          <w:rFonts w:cs="FrankRuehl" w:hint="eastAsia"/>
          <w:sz w:val="18"/>
          <w:szCs w:val="22"/>
          <w:rtl/>
          <w:lang w:eastAsia="he-IL"/>
        </w:rPr>
        <w:t>ביציבות</w:t>
      </w:r>
      <w:r w:rsidRPr="00F41E78">
        <w:rPr>
          <w:rFonts w:cs="FrankRuehl"/>
          <w:sz w:val="18"/>
          <w:szCs w:val="22"/>
          <w:rtl/>
          <w:lang w:eastAsia="he-IL"/>
        </w:rPr>
        <w:t xml:space="preserve"> </w:t>
      </w:r>
      <w:r w:rsidRPr="00F41E78">
        <w:rPr>
          <w:rFonts w:cs="FrankRuehl" w:hint="eastAsia"/>
          <w:sz w:val="18"/>
          <w:szCs w:val="22"/>
          <w:rtl/>
          <w:lang w:eastAsia="he-IL"/>
        </w:rPr>
        <w:t>ענף</w:t>
      </w:r>
      <w:r w:rsidRPr="00F41E78">
        <w:rPr>
          <w:rFonts w:cs="FrankRuehl"/>
          <w:sz w:val="18"/>
          <w:szCs w:val="22"/>
          <w:rtl/>
          <w:lang w:eastAsia="he-IL"/>
        </w:rPr>
        <w:t xml:space="preserve"> </w:t>
      </w:r>
      <w:r w:rsidRPr="00F41E78">
        <w:rPr>
          <w:rFonts w:cs="FrankRuehl" w:hint="eastAsia"/>
          <w:sz w:val="18"/>
          <w:szCs w:val="22"/>
          <w:rtl/>
          <w:lang w:eastAsia="he-IL"/>
        </w:rPr>
        <w:t>הנדל</w:t>
      </w:r>
      <w:r w:rsidRPr="00F41E78">
        <w:rPr>
          <w:rFonts w:cs="FrankRuehl"/>
          <w:sz w:val="18"/>
          <w:szCs w:val="22"/>
          <w:rtl/>
          <w:lang w:eastAsia="he-IL"/>
        </w:rPr>
        <w:t xml:space="preserve">"ן </w:t>
      </w:r>
      <w:r w:rsidRPr="00F41E78">
        <w:rPr>
          <w:rFonts w:cs="FrankRuehl" w:hint="eastAsia"/>
          <w:sz w:val="18"/>
          <w:szCs w:val="22"/>
          <w:rtl/>
          <w:lang w:eastAsia="he-IL"/>
        </w:rPr>
        <w:t>פגעה</w:t>
      </w:r>
      <w:r w:rsidRPr="00F41E78">
        <w:rPr>
          <w:rFonts w:cs="FrankRuehl"/>
          <w:sz w:val="18"/>
          <w:szCs w:val="22"/>
          <w:rtl/>
          <w:lang w:eastAsia="he-IL"/>
        </w:rPr>
        <w:t xml:space="preserve"> </w:t>
      </w:r>
      <w:r w:rsidRPr="00F41E78">
        <w:rPr>
          <w:rFonts w:cs="FrankRuehl" w:hint="eastAsia"/>
          <w:sz w:val="18"/>
          <w:szCs w:val="22"/>
          <w:rtl/>
          <w:lang w:eastAsia="he-IL"/>
        </w:rPr>
        <w:t>קשות</w:t>
      </w:r>
      <w:r w:rsidRPr="00F41E78">
        <w:rPr>
          <w:rFonts w:cs="FrankRuehl"/>
          <w:sz w:val="18"/>
          <w:szCs w:val="22"/>
          <w:rtl/>
          <w:lang w:eastAsia="he-IL"/>
        </w:rPr>
        <w:t xml:space="preserve"> </w:t>
      </w:r>
      <w:r w:rsidRPr="00F41E78">
        <w:rPr>
          <w:rFonts w:cs="FrankRuehl" w:hint="eastAsia"/>
          <w:sz w:val="18"/>
          <w:szCs w:val="22"/>
          <w:rtl/>
          <w:lang w:eastAsia="he-IL"/>
        </w:rPr>
        <w:t>ביציבות</w:t>
      </w:r>
      <w:r w:rsidRPr="00F41E78">
        <w:rPr>
          <w:rFonts w:cs="FrankRuehl"/>
          <w:sz w:val="18"/>
          <w:szCs w:val="22"/>
          <w:rtl/>
          <w:lang w:eastAsia="he-IL"/>
        </w:rPr>
        <w:t xml:space="preserve"> </w:t>
      </w:r>
      <w:r w:rsidRPr="00F41E78">
        <w:rPr>
          <w:rFonts w:cs="FrankRuehl" w:hint="eastAsia"/>
          <w:sz w:val="18"/>
          <w:szCs w:val="22"/>
          <w:rtl/>
          <w:lang w:eastAsia="he-IL"/>
        </w:rPr>
        <w:t>המשק</w:t>
      </w:r>
      <w:r w:rsidRPr="00F41E78">
        <w:rPr>
          <w:rFonts w:cs="FrankRuehl"/>
          <w:sz w:val="18"/>
          <w:szCs w:val="22"/>
          <w:rtl/>
          <w:lang w:eastAsia="he-IL"/>
        </w:rPr>
        <w:t xml:space="preserve">: </w:t>
      </w:r>
      <w:r w:rsidRPr="00F41E78">
        <w:rPr>
          <w:rFonts w:cs="FrankRuehl" w:hint="eastAsia"/>
          <w:sz w:val="18"/>
          <w:szCs w:val="22"/>
          <w:rtl/>
          <w:lang w:eastAsia="he-IL"/>
        </w:rPr>
        <w:t>משקים</w:t>
      </w:r>
      <w:r w:rsidRPr="00F41E78">
        <w:rPr>
          <w:rFonts w:cs="FrankRuehl"/>
          <w:sz w:val="18"/>
          <w:szCs w:val="22"/>
          <w:rtl/>
          <w:lang w:eastAsia="he-IL"/>
        </w:rPr>
        <w:t xml:space="preserve"> </w:t>
      </w:r>
      <w:r w:rsidRPr="00F41E78">
        <w:rPr>
          <w:rFonts w:cs="FrankRuehl" w:hint="eastAsia"/>
          <w:sz w:val="18"/>
          <w:szCs w:val="22"/>
          <w:rtl/>
          <w:lang w:eastAsia="he-IL"/>
        </w:rPr>
        <w:t>שהגיעו</w:t>
      </w:r>
      <w:r w:rsidRPr="00F41E78">
        <w:rPr>
          <w:rFonts w:cs="FrankRuehl"/>
          <w:sz w:val="18"/>
          <w:szCs w:val="22"/>
          <w:rtl/>
          <w:lang w:eastAsia="he-IL"/>
        </w:rPr>
        <w:t xml:space="preserve"> </w:t>
      </w:r>
      <w:r w:rsidRPr="00F41E78">
        <w:rPr>
          <w:rFonts w:cs="FrankRuehl" w:hint="eastAsia"/>
          <w:sz w:val="18"/>
          <w:szCs w:val="22"/>
          <w:rtl/>
          <w:lang w:eastAsia="he-IL"/>
        </w:rPr>
        <w:t>למצב</w:t>
      </w:r>
      <w:r w:rsidRPr="00F41E78">
        <w:rPr>
          <w:rFonts w:cs="FrankRuehl"/>
          <w:sz w:val="18"/>
          <w:szCs w:val="22"/>
          <w:rtl/>
          <w:lang w:eastAsia="he-IL"/>
        </w:rPr>
        <w:t xml:space="preserve"> </w:t>
      </w:r>
      <w:r w:rsidRPr="00F41E78">
        <w:rPr>
          <w:rFonts w:cs="FrankRuehl" w:hint="eastAsia"/>
          <w:sz w:val="18"/>
          <w:szCs w:val="22"/>
          <w:rtl/>
          <w:lang w:eastAsia="he-IL"/>
        </w:rPr>
        <w:t>בו</w:t>
      </w:r>
      <w:r w:rsidRPr="00F41E78">
        <w:rPr>
          <w:rFonts w:cs="FrankRuehl"/>
          <w:sz w:val="18"/>
          <w:szCs w:val="22"/>
          <w:rtl/>
          <w:lang w:eastAsia="he-IL"/>
        </w:rPr>
        <w:t xml:space="preserve"> </w:t>
      </w:r>
      <w:r w:rsidRPr="00F41E78">
        <w:rPr>
          <w:rFonts w:cs="FrankRuehl" w:hint="eastAsia"/>
          <w:sz w:val="18"/>
          <w:szCs w:val="22"/>
          <w:rtl/>
          <w:lang w:eastAsia="he-IL"/>
        </w:rPr>
        <w:t>בנו</w:t>
      </w:r>
      <w:r w:rsidRPr="00F41E78">
        <w:rPr>
          <w:rFonts w:cs="FrankRuehl"/>
          <w:sz w:val="18"/>
          <w:szCs w:val="22"/>
          <w:rtl/>
          <w:lang w:eastAsia="he-IL"/>
        </w:rPr>
        <w:t xml:space="preserve"> </w:t>
      </w:r>
      <w:r w:rsidRPr="00F41E78">
        <w:rPr>
          <w:rFonts w:cs="FrankRuehl" w:hint="eastAsia"/>
          <w:sz w:val="18"/>
          <w:szCs w:val="22"/>
          <w:rtl/>
          <w:lang w:eastAsia="he-IL"/>
        </w:rPr>
        <w:t>בקצב</w:t>
      </w:r>
      <w:r w:rsidRPr="00F41E78">
        <w:rPr>
          <w:rFonts w:cs="FrankRuehl"/>
          <w:sz w:val="18"/>
          <w:szCs w:val="22"/>
          <w:rtl/>
          <w:lang w:eastAsia="he-IL"/>
        </w:rPr>
        <w:t xml:space="preserve"> </w:t>
      </w:r>
      <w:r w:rsidRPr="00F41E78">
        <w:rPr>
          <w:rFonts w:cs="FrankRuehl" w:hint="eastAsia"/>
          <w:sz w:val="18"/>
          <w:szCs w:val="22"/>
          <w:rtl/>
          <w:lang w:eastAsia="he-IL"/>
        </w:rPr>
        <w:t>מהיר</w:t>
      </w:r>
      <w:r w:rsidRPr="00F41E78">
        <w:rPr>
          <w:rFonts w:cs="FrankRuehl"/>
          <w:sz w:val="18"/>
          <w:szCs w:val="22"/>
          <w:rtl/>
          <w:lang w:eastAsia="he-IL"/>
        </w:rPr>
        <w:t xml:space="preserve">, </w:t>
      </w:r>
      <w:r w:rsidRPr="00F41E78">
        <w:rPr>
          <w:rFonts w:cs="FrankRuehl" w:hint="eastAsia"/>
          <w:sz w:val="18"/>
          <w:szCs w:val="22"/>
          <w:rtl/>
          <w:lang w:eastAsia="he-IL"/>
        </w:rPr>
        <w:t>אבל</w:t>
      </w:r>
      <w:r w:rsidRPr="00F41E78">
        <w:rPr>
          <w:rFonts w:cs="FrankRuehl"/>
          <w:sz w:val="18"/>
          <w:szCs w:val="22"/>
          <w:rtl/>
          <w:lang w:eastAsia="he-IL"/>
        </w:rPr>
        <w:t xml:space="preserve"> </w:t>
      </w:r>
      <w:r w:rsidRPr="00F41E78">
        <w:rPr>
          <w:rFonts w:cs="FrankRuehl" w:hint="eastAsia"/>
          <w:sz w:val="18"/>
          <w:szCs w:val="22"/>
          <w:rtl/>
          <w:lang w:eastAsia="he-IL"/>
        </w:rPr>
        <w:t>כשהמצב</w:t>
      </w:r>
      <w:r w:rsidRPr="00F41E78">
        <w:rPr>
          <w:rFonts w:cs="FrankRuehl"/>
          <w:sz w:val="18"/>
          <w:szCs w:val="22"/>
          <w:rtl/>
          <w:lang w:eastAsia="he-IL"/>
        </w:rPr>
        <w:t xml:space="preserve"> </w:t>
      </w:r>
      <w:r w:rsidRPr="00F41E78">
        <w:rPr>
          <w:rFonts w:cs="FrankRuehl" w:hint="eastAsia"/>
          <w:sz w:val="18"/>
          <w:szCs w:val="22"/>
          <w:rtl/>
          <w:lang w:eastAsia="he-IL"/>
        </w:rPr>
        <w:t>השתנה</w:t>
      </w:r>
      <w:r w:rsidRPr="00F41E78">
        <w:rPr>
          <w:rFonts w:cs="FrankRuehl"/>
          <w:sz w:val="18"/>
          <w:szCs w:val="22"/>
          <w:rtl/>
          <w:lang w:eastAsia="he-IL"/>
        </w:rPr>
        <w:t xml:space="preserve"> </w:t>
      </w:r>
      <w:r w:rsidRPr="00F41E78">
        <w:rPr>
          <w:rFonts w:cs="FrankRuehl" w:hint="eastAsia"/>
          <w:sz w:val="18"/>
          <w:szCs w:val="22"/>
          <w:rtl/>
          <w:lang w:eastAsia="he-IL"/>
        </w:rPr>
        <w:t>ענף</w:t>
      </w:r>
      <w:r w:rsidRPr="00F41E78">
        <w:rPr>
          <w:rFonts w:cs="FrankRuehl"/>
          <w:sz w:val="18"/>
          <w:szCs w:val="22"/>
          <w:rtl/>
          <w:lang w:eastAsia="he-IL"/>
        </w:rPr>
        <w:t xml:space="preserve"> </w:t>
      </w:r>
      <w:r w:rsidRPr="00F41E78">
        <w:rPr>
          <w:rFonts w:cs="FrankRuehl" w:hint="eastAsia"/>
          <w:sz w:val="18"/>
          <w:szCs w:val="22"/>
          <w:rtl/>
          <w:lang w:eastAsia="he-IL"/>
        </w:rPr>
        <w:t>הבנייה</w:t>
      </w:r>
      <w:r w:rsidRPr="00F41E78">
        <w:rPr>
          <w:rFonts w:cs="FrankRuehl"/>
          <w:sz w:val="18"/>
          <w:szCs w:val="22"/>
          <w:rtl/>
          <w:lang w:eastAsia="he-IL"/>
        </w:rPr>
        <w:t xml:space="preserve"> </w:t>
      </w:r>
      <w:r w:rsidRPr="00F41E78">
        <w:rPr>
          <w:rFonts w:cs="FrankRuehl" w:hint="eastAsia"/>
          <w:sz w:val="18"/>
          <w:szCs w:val="22"/>
          <w:rtl/>
          <w:lang w:eastAsia="he-IL"/>
        </w:rPr>
        <w:t>נעצר</w:t>
      </w:r>
      <w:r w:rsidRPr="00F41E78">
        <w:rPr>
          <w:rFonts w:cs="FrankRuehl"/>
          <w:sz w:val="18"/>
          <w:szCs w:val="22"/>
          <w:rtl/>
          <w:lang w:eastAsia="he-IL"/>
        </w:rPr>
        <w:t xml:space="preserve"> </w:t>
      </w:r>
      <w:r w:rsidRPr="00F41E78">
        <w:rPr>
          <w:rFonts w:cs="FrankRuehl" w:hint="eastAsia"/>
          <w:sz w:val="18"/>
          <w:szCs w:val="22"/>
          <w:rtl/>
          <w:lang w:eastAsia="he-IL"/>
        </w:rPr>
        <w:t>באופן</w:t>
      </w:r>
      <w:r w:rsidRPr="00F41E78">
        <w:rPr>
          <w:rFonts w:cs="FrankRuehl"/>
          <w:sz w:val="18"/>
          <w:szCs w:val="22"/>
          <w:rtl/>
          <w:lang w:eastAsia="he-IL"/>
        </w:rPr>
        <w:t xml:space="preserve"> </w:t>
      </w:r>
      <w:r w:rsidRPr="00F41E78">
        <w:rPr>
          <w:rFonts w:cs="FrankRuehl" w:hint="eastAsia"/>
          <w:sz w:val="18"/>
          <w:szCs w:val="22"/>
          <w:rtl/>
          <w:lang w:eastAsia="he-IL"/>
        </w:rPr>
        <w:t>פתאומי</w:t>
      </w:r>
      <w:r w:rsidRPr="00F41E78">
        <w:rPr>
          <w:rFonts w:cs="FrankRuehl"/>
          <w:sz w:val="18"/>
          <w:szCs w:val="22"/>
          <w:rtl/>
          <w:lang w:eastAsia="he-IL"/>
        </w:rPr>
        <w:t>.</w:t>
      </w:r>
      <w:r w:rsidRPr="00F41E78">
        <w:rPr>
          <w:rFonts w:cs="FrankRuehl" w:hint="cs"/>
          <w:sz w:val="18"/>
          <w:szCs w:val="22"/>
          <w:rtl/>
          <w:lang w:eastAsia="he-IL"/>
        </w:rPr>
        <w:t xml:space="preserve"> במצב כזה מתרחש משבר בענף הנדל"ן, הפוגע לא רק בענף עצמו וברוכשי הדירות אלא גם במערכת הבנקאית, ביציבות הפיננסית ובציבור כולו. הנגיד דאז תיאר לוועדת הכספים כי בשיחה עם שר הבינוי והשיכון דאז הוא המליץ על קצב שיווק קרקעות לבנייתן של כ-40,000 יח"ד בשנה כדי להימנע מפגיעה ביציבות השוק. </w:t>
      </w:r>
    </w:p>
    <w:p w:rsidR="00E97EDA" w:rsidRPr="00F41E78" w:rsidP="00E03D1C">
      <w:pPr>
        <w:spacing w:after="240" w:line="230" w:lineRule="exact"/>
        <w:jc w:val="both"/>
        <w:rPr>
          <w:rFonts w:cs="FrankRuehl"/>
          <w:sz w:val="18"/>
          <w:szCs w:val="22"/>
          <w:rtl/>
          <w:lang w:eastAsia="he-IL"/>
        </w:rPr>
      </w:pPr>
      <w:r w:rsidRPr="00F41E78">
        <w:rPr>
          <w:rFonts w:cs="FrankRuehl"/>
          <w:sz w:val="18"/>
          <w:szCs w:val="22"/>
          <w:rtl/>
          <w:lang w:eastAsia="he-IL"/>
        </w:rPr>
        <w:t xml:space="preserve">בדיון נוסף בוועדת הכספים בנושא שוק הדיור, באפריל 2013, </w:t>
      </w:r>
      <w:r w:rsidRPr="00F41E78">
        <w:rPr>
          <w:rFonts w:cs="FrankRuehl" w:hint="eastAsia"/>
          <w:sz w:val="18"/>
          <w:szCs w:val="22"/>
          <w:rtl/>
          <w:lang w:eastAsia="he-IL"/>
        </w:rPr>
        <w:t>הציג</w:t>
      </w:r>
      <w:r w:rsidRPr="00F41E78">
        <w:rPr>
          <w:rFonts w:cs="FrankRuehl"/>
          <w:sz w:val="18"/>
          <w:szCs w:val="22"/>
          <w:rtl/>
          <w:lang w:eastAsia="he-IL"/>
        </w:rPr>
        <w:t xml:space="preserve"> </w:t>
      </w:r>
      <w:r w:rsidRPr="00F41E78">
        <w:rPr>
          <w:rFonts w:cs="FrankRuehl" w:hint="eastAsia"/>
          <w:sz w:val="18"/>
          <w:szCs w:val="22"/>
          <w:rtl/>
          <w:lang w:eastAsia="he-IL"/>
        </w:rPr>
        <w:t>הנגיד</w:t>
      </w:r>
      <w:r w:rsidRPr="00F41E78">
        <w:rPr>
          <w:rFonts w:cs="FrankRuehl" w:hint="cs"/>
          <w:sz w:val="18"/>
          <w:szCs w:val="22"/>
          <w:rtl/>
          <w:lang w:eastAsia="he-IL"/>
        </w:rPr>
        <w:t xml:space="preserve"> דאז את המלצות בנק ישראל בנוגע לאמצעים הרצויים שיש לנקוט כדי להשפיע על היצע הדיור. בין היתר הוא המליץ להגדיל את היקף הקרקע הזמינה לבנייה, לפעול לקיצור משך הזמן העובר מתכנון הבנייה עד תחילת הבנייה בפועל ולרסן את הביקושים מצד משקיעים באמצעות צעדי מיסוי, בעיקר בנושא מס השבח.</w:t>
      </w:r>
    </w:p>
    <w:p w:rsidR="00D22B16" w:rsidRPr="00F41E78" w:rsidP="00D22B16">
      <w:pPr>
        <w:pStyle w:val="RESHET"/>
        <w:keepLines/>
        <w:rPr>
          <w:rtl/>
        </w:rPr>
      </w:pPr>
      <w:r w:rsidRPr="00F41E78">
        <w:rPr>
          <w:rFonts w:hint="cs"/>
          <w:rtl/>
        </w:rPr>
        <w:t xml:space="preserve">משרד מבקר המדינה מעיר שתכנית הממשלה להתמודדות עם מחירי הדיור צריכה להתחשב גם במצב שבו שוררת ריבית נמוכה במשך תקופה ארוכה, המביאה בין היתר ללחצי ביקוש לדירות ולעליית מחירי הדיור. </w:t>
      </w:r>
    </w:p>
    <w:p w:rsidR="00E97EDA" w:rsidRPr="00F41E78" w:rsidP="00E03D1C">
      <w:pPr>
        <w:spacing w:before="180" w:after="120" w:line="230" w:lineRule="exact"/>
        <w:jc w:val="both"/>
        <w:rPr>
          <w:rFonts w:cs="FrankRuehl"/>
          <w:sz w:val="18"/>
          <w:szCs w:val="22"/>
          <w:rtl/>
          <w:lang w:eastAsia="he-IL"/>
        </w:rPr>
      </w:pPr>
      <w:r w:rsidRPr="00F41E78">
        <w:rPr>
          <w:rFonts w:cs="FrankRuehl" w:hint="cs"/>
          <w:sz w:val="18"/>
          <w:szCs w:val="22"/>
          <w:rtl/>
          <w:lang w:eastAsia="he-IL"/>
        </w:rPr>
        <w:t>מנתוני בנק ישראל</w:t>
      </w:r>
      <w:r>
        <w:rPr>
          <w:rFonts w:cs="FrankRuehl"/>
          <w:sz w:val="18"/>
          <w:szCs w:val="22"/>
          <w:vertAlign w:val="superscript"/>
          <w:rtl/>
          <w:lang w:eastAsia="he-IL"/>
        </w:rPr>
        <w:footnoteReference w:id="110"/>
      </w:r>
      <w:r w:rsidRPr="00F41E78">
        <w:rPr>
          <w:rFonts w:cs="FrankRuehl" w:hint="cs"/>
          <w:sz w:val="18"/>
          <w:szCs w:val="22"/>
          <w:rtl/>
          <w:lang w:eastAsia="he-IL"/>
        </w:rPr>
        <w:t xml:space="preserve"> בנוגע להשפעות של צעדי המדיניות שנקט בתחום המשכנתאות בשנת 2011 עולה שהצעדים כוונו בעיקר להפחתת הסיכון מתוך רצון להגן על הלווים והמלווים מפני עלייה חדה בסכום התשלום החודשי לנוטלי משכנתה בריבית משתנה, אך בה בעת הם ייקרו את המשכנתאות, והטילו נטל נוסף על זוגות צעירים הרוכשים דירה ראשונה, ש-90% מהם נזקקים למשכנתה לצורך קניית דירה (לעומת 50% מהמשקיעים) ואין ברשותם הון עצמי.</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מניתוח נוסף שעשה בנק ישראל</w:t>
      </w:r>
      <w:r>
        <w:rPr>
          <w:rFonts w:cs="FrankRuehl"/>
          <w:sz w:val="18"/>
          <w:szCs w:val="22"/>
          <w:vertAlign w:val="superscript"/>
          <w:rtl/>
          <w:lang w:eastAsia="he-IL"/>
        </w:rPr>
        <w:footnoteReference w:id="111"/>
      </w:r>
      <w:r w:rsidRPr="00F41E78">
        <w:rPr>
          <w:rFonts w:cs="FrankRuehl" w:hint="cs"/>
          <w:sz w:val="18"/>
          <w:szCs w:val="22"/>
          <w:rtl/>
          <w:lang w:eastAsia="he-IL"/>
        </w:rPr>
        <w:t xml:space="preserve"> עולה שהצעד המקרו-יציבותי</w:t>
      </w:r>
      <w:r>
        <w:rPr>
          <w:rFonts w:cs="FrankRuehl"/>
          <w:sz w:val="18"/>
          <w:szCs w:val="22"/>
          <w:vertAlign w:val="superscript"/>
          <w:rtl/>
          <w:lang w:eastAsia="he-IL"/>
        </w:rPr>
        <w:footnoteReference w:id="112"/>
      </w:r>
      <w:r w:rsidRPr="00F41E78">
        <w:rPr>
          <w:rFonts w:cs="FrankRuehl" w:hint="cs"/>
          <w:sz w:val="18"/>
          <w:szCs w:val="22"/>
          <w:rtl/>
          <w:lang w:eastAsia="he-IL"/>
        </w:rPr>
        <w:t xml:space="preserve"> המגביל את הרכיב של הריבית המשתנה בהלוואה לדירה לשליש משווייה שקול להעלאת הריבית ברבע נקודת אחוז. כמו כן, חיוב הבנקים לבצע הפרשות ולהחזיק כריות הון גדולות יותר, כנגד הלוואות לדיור ששיעורן עולה על 60% משווי הדירה, גורמות לייקור ההלוואות. צעדים אלו של בנק ישראל מביאים לידי מיתון מסוים של הביקוש לדירות.</w:t>
      </w:r>
    </w:p>
    <w:p w:rsidR="00E97EDA" w:rsidRPr="00F41E78" w:rsidP="00A7557B">
      <w:pPr>
        <w:spacing w:after="120" w:line="230" w:lineRule="exact"/>
        <w:ind w:left="-1"/>
        <w:jc w:val="both"/>
        <w:outlineLvl w:val="0"/>
        <w:rPr>
          <w:rFonts w:cs="FrankRuehl"/>
          <w:sz w:val="18"/>
          <w:szCs w:val="22"/>
          <w:rtl/>
          <w:lang w:eastAsia="he-IL"/>
        </w:rPr>
      </w:pPr>
      <w:r w:rsidRPr="00F41E78">
        <w:rPr>
          <w:rFonts w:cs="FrankRuehl" w:hint="cs"/>
          <w:sz w:val="18"/>
          <w:szCs w:val="22"/>
          <w:rtl/>
          <w:lang w:eastAsia="he-IL"/>
        </w:rPr>
        <w:tab/>
        <w:t xml:space="preserve">בתשובתו מסר בנק ישראל כי נקט בשורה של צעדים שמטרתם להקטין את הסיכון הגלום במשכנתאות ללווים ולמלווים. צעדים אלו ננקטו מתוך בחינת האפקטיביות שלהם וממציאת האיזונים ההולמים בבחינת השלכותיהם הצפויות של הצעדים. דווקא במקרים שננקטו צעדים על פי מאפיינים של הלווה ניתנה הקלה בצעדים לרוכשי דירה ראשונה יחסית לאוכלוסיות אחרות (משקיעים או משפרי דיור). כך </w:t>
      </w:r>
      <w:r w:rsidRPr="00F41E78">
        <w:rPr>
          <w:rFonts w:cs="FrankRuehl" w:hint="eastAsia"/>
          <w:sz w:val="18"/>
          <w:szCs w:val="22"/>
          <w:rtl/>
          <w:lang w:eastAsia="he-IL"/>
        </w:rPr>
        <w:t>למשל</w:t>
      </w:r>
      <w:r w:rsidRPr="00F41E78">
        <w:rPr>
          <w:rFonts w:cs="FrankRuehl"/>
          <w:sz w:val="18"/>
          <w:szCs w:val="22"/>
          <w:rtl/>
          <w:lang w:eastAsia="he-IL"/>
        </w:rPr>
        <w:t>, נקבעו בצעדים שנקט הפיקוח הקלות, כגון הצעד שנקט ביום 28.10.10 בו הוחרגו מהדרישה להקצאת הון נוספת הלוואות שסכומן נמוך מ-800,000 ש"ח וכן הצעד שנקט ב-1.11.12 ובמסגרתו נקבע כי שיעור המימון המרבי לדירה ראשונה יהיה 75% מערכה, לעומת שיעור מרבי של 50% לדירות להשקעה</w:t>
      </w:r>
      <w:r w:rsidRPr="00F41E78">
        <w:rPr>
          <w:rFonts w:cs="FrankRuehl" w:hint="cs"/>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eastAsia"/>
          <w:sz w:val="18"/>
          <w:szCs w:val="22"/>
          <w:rtl/>
          <w:lang w:eastAsia="he-IL"/>
        </w:rPr>
        <w:t>יצוין</w:t>
      </w:r>
      <w:r w:rsidRPr="00F41E78">
        <w:rPr>
          <w:rFonts w:cs="FrankRuehl"/>
          <w:sz w:val="18"/>
          <w:szCs w:val="22"/>
          <w:rtl/>
          <w:lang w:eastAsia="he-IL"/>
        </w:rPr>
        <w:t xml:space="preserve"> כי </w:t>
      </w:r>
      <w:r w:rsidRPr="00F41E78">
        <w:rPr>
          <w:rFonts w:cs="FrankRuehl" w:hint="eastAsia"/>
          <w:sz w:val="18"/>
          <w:szCs w:val="22"/>
          <w:rtl/>
          <w:lang w:eastAsia="he-IL"/>
        </w:rPr>
        <w:t>הצעד</w:t>
      </w:r>
      <w:r w:rsidRPr="00F41E78">
        <w:rPr>
          <w:rFonts w:cs="FrankRuehl"/>
          <w:sz w:val="18"/>
          <w:szCs w:val="22"/>
          <w:rtl/>
          <w:lang w:eastAsia="he-IL"/>
        </w:rPr>
        <w:t xml:space="preserve"> </w:t>
      </w:r>
      <w:r w:rsidRPr="00F41E78">
        <w:rPr>
          <w:rFonts w:cs="FrankRuehl" w:hint="eastAsia"/>
          <w:sz w:val="18"/>
          <w:szCs w:val="22"/>
          <w:rtl/>
          <w:lang w:eastAsia="he-IL"/>
        </w:rPr>
        <w:t>שנקט</w:t>
      </w:r>
      <w:r w:rsidRPr="00F41E78">
        <w:rPr>
          <w:rFonts w:cs="FrankRuehl"/>
          <w:sz w:val="18"/>
          <w:szCs w:val="22"/>
          <w:rtl/>
          <w:lang w:eastAsia="he-IL"/>
        </w:rPr>
        <w:t xml:space="preserve"> </w:t>
      </w:r>
      <w:r w:rsidRPr="00F41E78">
        <w:rPr>
          <w:rFonts w:cs="FrankRuehl" w:hint="eastAsia"/>
          <w:sz w:val="18"/>
          <w:szCs w:val="22"/>
          <w:rtl/>
          <w:lang w:eastAsia="he-IL"/>
        </w:rPr>
        <w:t>הפיקוח</w:t>
      </w:r>
      <w:r w:rsidRPr="00F41E78">
        <w:rPr>
          <w:rFonts w:cs="FrankRuehl"/>
          <w:sz w:val="18"/>
          <w:szCs w:val="22"/>
          <w:rtl/>
          <w:lang w:eastAsia="he-IL"/>
        </w:rPr>
        <w:t xml:space="preserve"> </w:t>
      </w:r>
      <w:r w:rsidRPr="00F41E78">
        <w:rPr>
          <w:rFonts w:cs="FrankRuehl" w:hint="eastAsia"/>
          <w:sz w:val="18"/>
          <w:szCs w:val="22"/>
          <w:rtl/>
          <w:lang w:eastAsia="he-IL"/>
        </w:rPr>
        <w:t>על</w:t>
      </w:r>
      <w:r w:rsidRPr="00F41E78">
        <w:rPr>
          <w:rFonts w:cs="FrankRuehl"/>
          <w:sz w:val="18"/>
          <w:szCs w:val="22"/>
          <w:rtl/>
          <w:lang w:eastAsia="he-IL"/>
        </w:rPr>
        <w:t xml:space="preserve"> הבנקים ביום 28.10.10 </w:t>
      </w:r>
      <w:r w:rsidRPr="00F41E78">
        <w:rPr>
          <w:rFonts w:cs="FrankRuehl" w:hint="eastAsia"/>
          <w:sz w:val="18"/>
          <w:szCs w:val="22"/>
          <w:rtl/>
          <w:lang w:eastAsia="he-IL"/>
        </w:rPr>
        <w:t>בו</w:t>
      </w:r>
      <w:r w:rsidRPr="00F41E78">
        <w:rPr>
          <w:rFonts w:cs="FrankRuehl"/>
          <w:sz w:val="18"/>
          <w:szCs w:val="22"/>
          <w:rtl/>
          <w:lang w:eastAsia="he-IL"/>
        </w:rPr>
        <w:t xml:space="preserve"> </w:t>
      </w:r>
      <w:r w:rsidRPr="00F41E78">
        <w:rPr>
          <w:rFonts w:cs="FrankRuehl" w:hint="eastAsia"/>
          <w:sz w:val="18"/>
          <w:szCs w:val="22"/>
          <w:rtl/>
          <w:lang w:eastAsia="he-IL"/>
        </w:rPr>
        <w:t>הוחרגו</w:t>
      </w:r>
      <w:r w:rsidRPr="00F41E78">
        <w:rPr>
          <w:rFonts w:cs="FrankRuehl"/>
          <w:sz w:val="18"/>
          <w:szCs w:val="22"/>
          <w:rtl/>
          <w:lang w:eastAsia="he-IL"/>
        </w:rPr>
        <w:t xml:space="preserve"> </w:t>
      </w:r>
      <w:r w:rsidRPr="00F41E78">
        <w:rPr>
          <w:rFonts w:cs="FrankRuehl" w:hint="eastAsia"/>
          <w:sz w:val="18"/>
          <w:szCs w:val="22"/>
          <w:rtl/>
          <w:lang w:eastAsia="he-IL"/>
        </w:rPr>
        <w:t>מהדרישה</w:t>
      </w:r>
      <w:r w:rsidRPr="00F41E78">
        <w:rPr>
          <w:rFonts w:cs="FrankRuehl"/>
          <w:sz w:val="18"/>
          <w:szCs w:val="22"/>
          <w:rtl/>
          <w:lang w:eastAsia="he-IL"/>
        </w:rPr>
        <w:t xml:space="preserve"> </w:t>
      </w:r>
      <w:r w:rsidRPr="00F41E78">
        <w:rPr>
          <w:rFonts w:cs="FrankRuehl" w:hint="eastAsia"/>
          <w:sz w:val="18"/>
          <w:szCs w:val="22"/>
          <w:rtl/>
          <w:lang w:eastAsia="he-IL"/>
        </w:rPr>
        <w:t>להקצאת</w:t>
      </w:r>
      <w:r w:rsidRPr="00F41E78">
        <w:rPr>
          <w:rFonts w:cs="FrankRuehl"/>
          <w:sz w:val="18"/>
          <w:szCs w:val="22"/>
          <w:rtl/>
          <w:lang w:eastAsia="he-IL"/>
        </w:rPr>
        <w:t xml:space="preserve"> </w:t>
      </w:r>
      <w:r w:rsidRPr="00F41E78">
        <w:rPr>
          <w:rFonts w:cs="FrankRuehl" w:hint="eastAsia"/>
          <w:sz w:val="18"/>
          <w:szCs w:val="22"/>
          <w:rtl/>
          <w:lang w:eastAsia="he-IL"/>
        </w:rPr>
        <w:t>הון</w:t>
      </w:r>
      <w:r w:rsidRPr="00F41E78">
        <w:rPr>
          <w:rFonts w:cs="FrankRuehl"/>
          <w:sz w:val="18"/>
          <w:szCs w:val="22"/>
          <w:rtl/>
          <w:lang w:eastAsia="he-IL"/>
        </w:rPr>
        <w:t xml:space="preserve"> </w:t>
      </w:r>
      <w:r w:rsidRPr="00F41E78">
        <w:rPr>
          <w:rFonts w:cs="FrankRuehl" w:hint="eastAsia"/>
          <w:sz w:val="18"/>
          <w:szCs w:val="22"/>
          <w:rtl/>
          <w:lang w:eastAsia="he-IL"/>
        </w:rPr>
        <w:t>נוספת</w:t>
      </w:r>
      <w:r w:rsidRPr="00F41E78">
        <w:rPr>
          <w:rFonts w:cs="FrankRuehl"/>
          <w:sz w:val="18"/>
          <w:szCs w:val="22"/>
          <w:rtl/>
          <w:lang w:eastAsia="he-IL"/>
        </w:rPr>
        <w:t xml:space="preserve"> </w:t>
      </w:r>
      <w:r w:rsidRPr="00F41E78">
        <w:rPr>
          <w:rFonts w:cs="FrankRuehl" w:hint="eastAsia"/>
          <w:sz w:val="18"/>
          <w:szCs w:val="22"/>
          <w:rtl/>
          <w:lang w:eastAsia="he-IL"/>
        </w:rPr>
        <w:t>הלוואות</w:t>
      </w:r>
      <w:r w:rsidRPr="00F41E78">
        <w:rPr>
          <w:rFonts w:cs="FrankRuehl"/>
          <w:sz w:val="18"/>
          <w:szCs w:val="22"/>
          <w:rtl/>
          <w:lang w:eastAsia="he-IL"/>
        </w:rPr>
        <w:t xml:space="preserve"> </w:t>
      </w:r>
      <w:r w:rsidRPr="00F41E78">
        <w:rPr>
          <w:rFonts w:cs="FrankRuehl" w:hint="eastAsia"/>
          <w:sz w:val="18"/>
          <w:szCs w:val="22"/>
          <w:rtl/>
          <w:lang w:eastAsia="he-IL"/>
        </w:rPr>
        <w:t>לדיור</w:t>
      </w:r>
      <w:r w:rsidRPr="00F41E78">
        <w:rPr>
          <w:rFonts w:cs="FrankRuehl"/>
          <w:sz w:val="18"/>
          <w:szCs w:val="22"/>
          <w:rtl/>
          <w:lang w:eastAsia="he-IL"/>
        </w:rPr>
        <w:t xml:space="preserve"> </w:t>
      </w:r>
      <w:r w:rsidRPr="00F41E78">
        <w:rPr>
          <w:rFonts w:cs="FrankRuehl" w:hint="eastAsia"/>
          <w:sz w:val="18"/>
          <w:szCs w:val="22"/>
          <w:rtl/>
          <w:lang w:eastAsia="he-IL"/>
        </w:rPr>
        <w:t>שניתנו</w:t>
      </w:r>
      <w:r w:rsidRPr="00F41E78">
        <w:rPr>
          <w:rFonts w:cs="FrankRuehl"/>
          <w:sz w:val="18"/>
          <w:szCs w:val="22"/>
          <w:rtl/>
          <w:lang w:eastAsia="he-IL"/>
        </w:rPr>
        <w:t xml:space="preserve"> </w:t>
      </w:r>
      <w:r w:rsidRPr="00F41E78">
        <w:rPr>
          <w:rFonts w:cs="FrankRuehl" w:hint="eastAsia"/>
          <w:sz w:val="18"/>
          <w:szCs w:val="22"/>
          <w:rtl/>
          <w:lang w:eastAsia="he-IL"/>
        </w:rPr>
        <w:t>ללווים</w:t>
      </w:r>
      <w:r w:rsidRPr="00F41E78">
        <w:rPr>
          <w:rFonts w:cs="FrankRuehl"/>
          <w:sz w:val="18"/>
          <w:szCs w:val="22"/>
          <w:rtl/>
          <w:lang w:eastAsia="he-IL"/>
        </w:rPr>
        <w:t xml:space="preserve"> </w:t>
      </w:r>
      <w:r w:rsidRPr="00F41E78">
        <w:rPr>
          <w:rFonts w:cs="FrankRuehl" w:hint="eastAsia"/>
          <w:sz w:val="18"/>
          <w:szCs w:val="22"/>
          <w:rtl/>
          <w:lang w:eastAsia="he-IL"/>
        </w:rPr>
        <w:t>שעומדים</w:t>
      </w:r>
      <w:r w:rsidRPr="00F41E78">
        <w:rPr>
          <w:rFonts w:cs="FrankRuehl"/>
          <w:sz w:val="18"/>
          <w:szCs w:val="22"/>
          <w:rtl/>
          <w:lang w:eastAsia="he-IL"/>
        </w:rPr>
        <w:t xml:space="preserve"> </w:t>
      </w:r>
      <w:r w:rsidRPr="00F41E78">
        <w:rPr>
          <w:rFonts w:cs="FrankRuehl" w:hint="eastAsia"/>
          <w:sz w:val="18"/>
          <w:szCs w:val="22"/>
          <w:rtl/>
          <w:lang w:eastAsia="he-IL"/>
        </w:rPr>
        <w:t>בקריטריונים</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משרד</w:t>
      </w:r>
      <w:r w:rsidRPr="00F41E78">
        <w:rPr>
          <w:rFonts w:cs="FrankRuehl"/>
          <w:sz w:val="18"/>
          <w:szCs w:val="22"/>
          <w:rtl/>
          <w:lang w:eastAsia="he-IL"/>
        </w:rPr>
        <w:t xml:space="preserve"> </w:t>
      </w:r>
      <w:r w:rsidRPr="00F41E78">
        <w:rPr>
          <w:rFonts w:cs="FrankRuehl" w:hint="eastAsia"/>
          <w:sz w:val="18"/>
          <w:szCs w:val="22"/>
          <w:rtl/>
          <w:lang w:eastAsia="he-IL"/>
        </w:rPr>
        <w:t>הבינוי</w:t>
      </w:r>
      <w:r w:rsidRPr="00F41E78">
        <w:rPr>
          <w:rFonts w:cs="FrankRuehl"/>
          <w:sz w:val="18"/>
          <w:szCs w:val="22"/>
          <w:rtl/>
          <w:lang w:eastAsia="he-IL"/>
        </w:rPr>
        <w:t xml:space="preserve"> </w:t>
      </w:r>
      <w:r w:rsidRPr="00F41E78">
        <w:rPr>
          <w:rFonts w:cs="FrankRuehl" w:hint="eastAsia"/>
          <w:sz w:val="18"/>
          <w:szCs w:val="22"/>
          <w:rtl/>
          <w:lang w:eastAsia="he-IL"/>
        </w:rPr>
        <w:t>והשיכון</w:t>
      </w:r>
      <w:r w:rsidRPr="00F41E78">
        <w:rPr>
          <w:rFonts w:cs="FrankRuehl"/>
          <w:sz w:val="18"/>
          <w:szCs w:val="22"/>
          <w:rtl/>
          <w:lang w:eastAsia="he-IL"/>
        </w:rPr>
        <w:t xml:space="preserve"> </w:t>
      </w:r>
      <w:r w:rsidRPr="00F41E78">
        <w:rPr>
          <w:rFonts w:cs="FrankRuehl" w:hint="eastAsia"/>
          <w:sz w:val="18"/>
          <w:szCs w:val="22"/>
          <w:rtl/>
          <w:lang w:eastAsia="he-IL"/>
        </w:rPr>
        <w:t>לקבל</w:t>
      </w:r>
      <w:r w:rsidRPr="00F41E78">
        <w:rPr>
          <w:rFonts w:cs="FrankRuehl"/>
          <w:sz w:val="18"/>
          <w:szCs w:val="22"/>
          <w:rtl/>
          <w:lang w:eastAsia="he-IL"/>
        </w:rPr>
        <w:t xml:space="preserve"> </w:t>
      </w:r>
      <w:r w:rsidRPr="00F41E78">
        <w:rPr>
          <w:rFonts w:cs="FrankRuehl" w:hint="eastAsia"/>
          <w:sz w:val="18"/>
          <w:szCs w:val="22"/>
          <w:rtl/>
          <w:lang w:eastAsia="he-IL"/>
        </w:rPr>
        <w:t>מהמדינה</w:t>
      </w:r>
      <w:r w:rsidRPr="00F41E78">
        <w:rPr>
          <w:rFonts w:cs="FrankRuehl"/>
          <w:sz w:val="18"/>
          <w:szCs w:val="22"/>
          <w:rtl/>
          <w:lang w:eastAsia="he-IL"/>
        </w:rPr>
        <w:t xml:space="preserve"> </w:t>
      </w:r>
      <w:r w:rsidRPr="00F41E78">
        <w:rPr>
          <w:rFonts w:cs="FrankRuehl" w:hint="eastAsia"/>
          <w:sz w:val="18"/>
          <w:szCs w:val="22"/>
          <w:rtl/>
          <w:lang w:eastAsia="he-IL"/>
        </w:rPr>
        <w:t>עזרה</w:t>
      </w:r>
      <w:r w:rsidRPr="00F41E78">
        <w:rPr>
          <w:rFonts w:cs="FrankRuehl"/>
          <w:sz w:val="18"/>
          <w:szCs w:val="22"/>
          <w:rtl/>
          <w:lang w:eastAsia="he-IL"/>
        </w:rPr>
        <w:t xml:space="preserve"> </w:t>
      </w:r>
      <w:r w:rsidRPr="00F41E78">
        <w:rPr>
          <w:rFonts w:cs="FrankRuehl" w:hint="eastAsia"/>
          <w:sz w:val="18"/>
          <w:szCs w:val="22"/>
          <w:rtl/>
          <w:lang w:eastAsia="he-IL"/>
        </w:rPr>
        <w:t>בשיכון</w:t>
      </w:r>
      <w:r w:rsidRPr="00F41E78">
        <w:rPr>
          <w:rFonts w:cs="FrankRuehl"/>
          <w:sz w:val="18"/>
          <w:szCs w:val="22"/>
          <w:rtl/>
          <w:lang w:eastAsia="he-IL"/>
        </w:rPr>
        <w:t xml:space="preserve"> </w:t>
      </w:r>
      <w:r w:rsidRPr="00F41E78">
        <w:rPr>
          <w:rFonts w:cs="FrankRuehl" w:hint="eastAsia"/>
          <w:sz w:val="18"/>
          <w:szCs w:val="22"/>
          <w:rtl/>
          <w:lang w:eastAsia="he-IL"/>
        </w:rPr>
        <w:t>בוטל</w:t>
      </w:r>
      <w:r w:rsidRPr="00F41E78">
        <w:rPr>
          <w:rFonts w:cs="FrankRuehl"/>
          <w:sz w:val="18"/>
          <w:szCs w:val="22"/>
          <w:rtl/>
          <w:lang w:eastAsia="he-IL"/>
        </w:rPr>
        <w:t xml:space="preserve"> </w:t>
      </w:r>
      <w:r w:rsidRPr="00F41E78">
        <w:rPr>
          <w:rFonts w:cs="FrankRuehl" w:hint="eastAsia"/>
          <w:sz w:val="18"/>
          <w:szCs w:val="22"/>
          <w:rtl/>
          <w:lang w:eastAsia="he-IL"/>
        </w:rPr>
        <w:t>על</w:t>
      </w:r>
      <w:r w:rsidRPr="00F41E78">
        <w:rPr>
          <w:rFonts w:cs="FrankRuehl"/>
          <w:sz w:val="18"/>
          <w:szCs w:val="22"/>
          <w:rtl/>
          <w:lang w:eastAsia="he-IL"/>
        </w:rPr>
        <w:t xml:space="preserve"> </w:t>
      </w:r>
      <w:r w:rsidRPr="00F41E78">
        <w:rPr>
          <w:rFonts w:cs="FrankRuehl" w:hint="eastAsia"/>
          <w:sz w:val="18"/>
          <w:szCs w:val="22"/>
          <w:rtl/>
          <w:lang w:eastAsia="he-IL"/>
        </w:rPr>
        <w:t>ידו</w:t>
      </w:r>
      <w:r w:rsidRPr="00F41E78">
        <w:rPr>
          <w:rFonts w:cs="FrankRuehl"/>
          <w:sz w:val="18"/>
          <w:szCs w:val="22"/>
          <w:rtl/>
          <w:lang w:eastAsia="he-IL"/>
        </w:rPr>
        <w:t xml:space="preserve"> </w:t>
      </w:r>
      <w:r w:rsidRPr="00F41E78">
        <w:rPr>
          <w:rFonts w:cs="FrankRuehl" w:hint="eastAsia"/>
          <w:sz w:val="18"/>
          <w:szCs w:val="22"/>
          <w:rtl/>
          <w:lang w:eastAsia="he-IL"/>
        </w:rPr>
        <w:t>במרץ</w:t>
      </w:r>
      <w:r w:rsidRPr="00F41E78">
        <w:rPr>
          <w:rFonts w:cs="FrankRuehl"/>
          <w:sz w:val="18"/>
          <w:szCs w:val="22"/>
          <w:rtl/>
          <w:lang w:eastAsia="he-IL"/>
        </w:rPr>
        <w:t xml:space="preserve"> 2013.</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הקביעה מנובמבר 2012 ולפיה שיעור המימון המרבי לרוכשי דירה ראשונה יהיה 75% עלולה להביא לכך שרוכשי דירה ראשונה בעלי יכולת החזר שוטפת של המשכנתה, אך חסרי הון עצמי מספיק, שלפני הצבת המגבלה יכלו לרכוש דירה בשיעור מימון של 90%, לא יוכלו לרכוש דירה וייאלצו לפנות לשוק השכירות.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מחקר של בנק ישראל הצביע על כך שנטל המשכנתה המוטל על רוכשי דירה למגורים גדול מזה המוטל על רוכשי דירה להשקעה</w:t>
      </w:r>
      <w:r>
        <w:rPr>
          <w:rFonts w:cs="FrankRuehl"/>
          <w:sz w:val="18"/>
          <w:szCs w:val="22"/>
          <w:vertAlign w:val="superscript"/>
          <w:rtl/>
          <w:lang w:eastAsia="he-IL"/>
        </w:rPr>
        <w:footnoteReference w:id="113"/>
      </w:r>
      <w:r w:rsidRPr="00F41E78">
        <w:rPr>
          <w:rFonts w:cs="FrankRuehl" w:hint="cs"/>
          <w:sz w:val="18"/>
          <w:szCs w:val="22"/>
          <w:rtl/>
          <w:lang w:eastAsia="he-IL"/>
        </w:rPr>
        <w:t>.</w:t>
      </w:r>
    </w:p>
    <w:p w:rsidR="00E97EDA" w:rsidRPr="00F41E78" w:rsidP="00A7557B">
      <w:pPr>
        <w:spacing w:after="120" w:line="230" w:lineRule="exact"/>
        <w:jc w:val="both"/>
        <w:rPr>
          <w:rFonts w:cs="FrankRuehl"/>
          <w:b/>
          <w:bCs/>
          <w:sz w:val="18"/>
          <w:szCs w:val="22"/>
          <w:rtl/>
          <w:lang w:eastAsia="he-IL"/>
        </w:rPr>
      </w:pPr>
      <w:r w:rsidRPr="00F41E78">
        <w:rPr>
          <w:rFonts w:cs="FrankRuehl" w:hint="cs"/>
          <w:sz w:val="18"/>
          <w:szCs w:val="22"/>
          <w:rtl/>
          <w:lang w:eastAsia="he-IL"/>
        </w:rPr>
        <w:t>בתשובתו מסר בנק ישראל כי "יש להדגיש שעיקר הגידול בנטל המשכנתאות נובע מעליית מחירי הדירות ולא מהצעדים הפיקוחיים. הצעדים הפיקוחיים נדרשו לשם הקטנת הסיכונים, הן לבנקים והן לנוטלי המשכנתאות, והסיכונים קיימים גם (ואולי בעיקר) לרוכשי דירה ראשונה (להבדיל ממשפרי דיור או משקיעים) ובהתאם הם אלה שנושאים בנטל הנובע מכך"</w:t>
      </w:r>
      <w:r w:rsidRPr="00F41E78">
        <w:rPr>
          <w:rFonts w:cs="FrankRuehl"/>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מהאמור עולה כי הצעדים שבנק ישראל נוקט משפיעים בכיוונים שונים על מחירי הדירות ועל עלויות המימון לרכישתן. מצד אחד, הבנק נוקט מדיניות של ריבית נמוכה כדי לתמוך בפעילות המשקית המשליכה על הגדלת הביקוש ועל העלאת מחירי הדיור, ומצד אחר הצעדים היציבותיים שהבנק נוקט בשוק המשכנתאות במטרה לטפל בהתגברות הסיכונים ללווים ולמלווים ממתנים את הביקוש. כאמור, לנוכח העובדה שבנק ישראל פועל על פי מטרותיו הקבועות בחוק, לא ניתן לצפות אפוא כי הוא ישמש הגורם המרכזי הפועל בתחום הדיור.</w:t>
      </w:r>
    </w:p>
    <w:p w:rsidR="00711180" w:rsidRPr="00F41E78" w:rsidP="00A7557B">
      <w:pPr>
        <w:spacing w:after="120" w:line="230" w:lineRule="exact"/>
        <w:jc w:val="both"/>
        <w:rPr>
          <w:rFonts w:cs="FrankRuehl"/>
          <w:sz w:val="18"/>
          <w:szCs w:val="22"/>
          <w:rtl/>
          <w:lang w:eastAsia="he-IL"/>
        </w:rPr>
      </w:pPr>
    </w:p>
    <w:p w:rsidR="00E97EDA" w:rsidRPr="006237A1" w:rsidP="00A7557B">
      <w:pPr>
        <w:pStyle w:val="KOT5"/>
        <w:rPr>
          <w:rtl/>
          <w:lang w:eastAsia="he-IL"/>
        </w:rPr>
      </w:pPr>
      <w:r w:rsidRPr="006237A1">
        <w:rPr>
          <w:rFonts w:hint="cs"/>
          <w:rtl/>
          <w:lang w:eastAsia="he-IL"/>
        </w:rPr>
        <w:t>הגדלת האשראי הבנקאי לקבלנים באמצעות קרן להחזר מע"ם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הפיקוח על הבנקים מורה לבנקים לדווח על האשראי שהם נותנים על פי חלוקה לענפי משק שונים. לפי הוראה 831</w:t>
      </w:r>
      <w:r>
        <w:rPr>
          <w:rFonts w:cs="FrankRuehl"/>
          <w:sz w:val="18"/>
          <w:szCs w:val="22"/>
          <w:vertAlign w:val="superscript"/>
          <w:rtl/>
          <w:lang w:eastAsia="he-IL"/>
        </w:rPr>
        <w:footnoteReference w:id="114"/>
      </w:r>
      <w:r w:rsidRPr="00F41E78">
        <w:rPr>
          <w:rFonts w:cs="FrankRuehl" w:hint="cs"/>
          <w:sz w:val="18"/>
          <w:szCs w:val="22"/>
          <w:rtl/>
          <w:lang w:eastAsia="he-IL"/>
        </w:rPr>
        <w:t xml:space="preserve">, על הבנק לבחון את ענף המשק שבו פועל הלווה ועל פי הענף לסווג את האשראי הניתן ללווה. מיון ענפי המשק מבוסס על הגדרות הלמ"ס (לפי הסיווג האחיד של ענפי הכלכלה, 1993). עם זאת, לעתים בנק ישראל מאחד לענף אחד כמה ענפים עסקיים, כמו ענפי הבינוי והנדל"ן, כדי לשקף את הסיכון המשותף באותם נושאים.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להלן בלוח 2 יתרת האשראי לענף הבינוי והנדל"ן בקבוצות הבנקאיות הגדולות בשנים </w:t>
      </w:r>
      <w:r w:rsidR="005D58C9">
        <w:rPr>
          <w:rFonts w:cs="FrankRuehl"/>
          <w:sz w:val="18"/>
          <w:szCs w:val="22"/>
          <w:rtl/>
          <w:lang w:eastAsia="he-IL"/>
        </w:rPr>
        <w:br/>
      </w:r>
      <w:r w:rsidRPr="00F41E78">
        <w:rPr>
          <w:rFonts w:cs="FrankRuehl" w:hint="cs"/>
          <w:sz w:val="18"/>
          <w:szCs w:val="22"/>
          <w:rtl/>
          <w:lang w:eastAsia="he-IL"/>
        </w:rPr>
        <w:t xml:space="preserve">2012-2007: </w:t>
      </w:r>
    </w:p>
    <w:p w:rsidR="00E97EDA" w:rsidRPr="006237A1" w:rsidP="005D58C9">
      <w:pPr>
        <w:pStyle w:val="tab-name"/>
        <w:rPr>
          <w:rtl/>
          <w:lang w:eastAsia="he-IL"/>
        </w:rPr>
      </w:pPr>
      <w:r w:rsidRPr="005D58C9">
        <w:rPr>
          <w:rFonts w:hint="cs"/>
          <w:b w:val="0"/>
          <w:bCs w:val="0"/>
          <w:sz w:val="20"/>
          <w:szCs w:val="20"/>
          <w:rtl/>
          <w:lang w:eastAsia="he-IL"/>
        </w:rPr>
        <w:t xml:space="preserve">לוח </w:t>
      </w:r>
      <w:r w:rsidRPr="005D58C9" w:rsidR="00E03D1C">
        <w:rPr>
          <w:rFonts w:hint="cs"/>
          <w:b w:val="0"/>
          <w:bCs w:val="0"/>
          <w:sz w:val="20"/>
          <w:szCs w:val="20"/>
          <w:rtl/>
          <w:lang w:eastAsia="he-IL"/>
        </w:rPr>
        <w:t xml:space="preserve"> 2</w:t>
      </w:r>
      <w:r w:rsidRPr="005D58C9" w:rsidR="00E03D1C">
        <w:rPr>
          <w:b w:val="0"/>
          <w:bCs w:val="0"/>
          <w:sz w:val="20"/>
          <w:szCs w:val="20"/>
          <w:rtl/>
          <w:lang w:eastAsia="he-IL"/>
        </w:rPr>
        <w:br/>
      </w:r>
      <w:r w:rsidRPr="006237A1">
        <w:rPr>
          <w:rFonts w:hint="cs"/>
          <w:rtl/>
          <w:lang w:eastAsia="he-IL"/>
        </w:rPr>
        <w:t>יתרת האשראי לבינוי ונדל"ן בחמש הקבוצות הבנקאיות הגדולות</w:t>
      </w:r>
      <w:r>
        <w:rPr>
          <w:rFonts w:hint="cs"/>
          <w:rtl/>
          <w:lang w:eastAsia="he-IL"/>
        </w:rPr>
        <w:t xml:space="preserve"> (במיליארדי ש"ח)</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000"/>
      </w:tblPr>
      <w:tblGrid>
        <w:gridCol w:w="1116"/>
        <w:gridCol w:w="1115"/>
        <w:gridCol w:w="1115"/>
        <w:gridCol w:w="1115"/>
        <w:gridCol w:w="1115"/>
        <w:gridCol w:w="1115"/>
      </w:tblGrid>
      <w:tr w:rsidTr="005D58C9">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000"/>
        </w:tblPrEx>
        <w:trPr>
          <w:jc w:val="center"/>
        </w:trPr>
        <w:tc>
          <w:tcPr>
            <w:tcW w:w="960" w:type="dxa"/>
            <w:tcBorders>
              <w:top w:val="single" w:sz="12" w:space="0" w:color="auto"/>
              <w:bottom w:val="single" w:sz="12" w:space="0" w:color="auto"/>
            </w:tcBorders>
            <w:shd w:val="pct10" w:color="auto" w:fill="auto"/>
            <w:vAlign w:val="bottom"/>
          </w:tcPr>
          <w:p w:rsidR="00E97EDA" w:rsidRPr="005D58C9" w:rsidP="005D58C9">
            <w:pPr>
              <w:spacing w:before="40" w:after="40" w:line="200" w:lineRule="exact"/>
              <w:jc w:val="center"/>
              <w:rPr>
                <w:rFonts w:ascii="FrankRuehl" w:hAnsi="FrankRuehl" w:cs="FrankRuehl"/>
                <w:b/>
                <w:bCs/>
                <w:sz w:val="20"/>
                <w:szCs w:val="20"/>
              </w:rPr>
            </w:pPr>
            <w:r w:rsidRPr="005D58C9">
              <w:rPr>
                <w:rFonts w:ascii="FrankRuehl" w:hAnsi="FrankRuehl" w:cs="FrankRuehl" w:hint="cs"/>
                <w:b/>
                <w:bCs/>
                <w:sz w:val="20"/>
                <w:szCs w:val="20"/>
              </w:rPr>
              <w:t>2007</w:t>
            </w:r>
          </w:p>
        </w:tc>
        <w:tc>
          <w:tcPr>
            <w:tcW w:w="960" w:type="dxa"/>
            <w:tcBorders>
              <w:top w:val="single" w:sz="12" w:space="0" w:color="auto"/>
              <w:bottom w:val="single" w:sz="12" w:space="0" w:color="auto"/>
            </w:tcBorders>
            <w:shd w:val="pct10" w:color="auto" w:fill="auto"/>
            <w:vAlign w:val="bottom"/>
          </w:tcPr>
          <w:p w:rsidR="00E97EDA" w:rsidRPr="005D58C9" w:rsidP="005D58C9">
            <w:pPr>
              <w:spacing w:before="40" w:after="40" w:line="200" w:lineRule="exact"/>
              <w:jc w:val="center"/>
              <w:rPr>
                <w:rFonts w:ascii="FrankRuehl" w:hAnsi="FrankRuehl" w:cs="FrankRuehl"/>
                <w:b/>
                <w:bCs/>
                <w:sz w:val="20"/>
                <w:szCs w:val="20"/>
              </w:rPr>
            </w:pPr>
            <w:r w:rsidRPr="005D58C9">
              <w:rPr>
                <w:rFonts w:ascii="FrankRuehl" w:hAnsi="FrankRuehl" w:cs="FrankRuehl" w:hint="cs"/>
                <w:b/>
                <w:bCs/>
                <w:sz w:val="20"/>
                <w:szCs w:val="20"/>
              </w:rPr>
              <w:t>2008</w:t>
            </w:r>
          </w:p>
        </w:tc>
        <w:tc>
          <w:tcPr>
            <w:tcW w:w="960" w:type="dxa"/>
            <w:tcBorders>
              <w:top w:val="single" w:sz="12" w:space="0" w:color="auto"/>
              <w:bottom w:val="single" w:sz="12" w:space="0" w:color="auto"/>
            </w:tcBorders>
            <w:shd w:val="pct10" w:color="auto" w:fill="auto"/>
            <w:vAlign w:val="bottom"/>
          </w:tcPr>
          <w:p w:rsidR="00E97EDA" w:rsidRPr="005D58C9" w:rsidP="005D58C9">
            <w:pPr>
              <w:spacing w:before="40" w:after="40" w:line="200" w:lineRule="exact"/>
              <w:jc w:val="center"/>
              <w:rPr>
                <w:rFonts w:ascii="FrankRuehl" w:hAnsi="FrankRuehl" w:cs="FrankRuehl"/>
                <w:b/>
                <w:bCs/>
                <w:sz w:val="20"/>
                <w:szCs w:val="20"/>
              </w:rPr>
            </w:pPr>
            <w:r w:rsidRPr="005D58C9">
              <w:rPr>
                <w:rFonts w:ascii="FrankRuehl" w:hAnsi="FrankRuehl" w:cs="FrankRuehl" w:hint="cs"/>
                <w:b/>
                <w:bCs/>
                <w:sz w:val="20"/>
                <w:szCs w:val="20"/>
              </w:rPr>
              <w:t>2009</w:t>
            </w:r>
          </w:p>
        </w:tc>
        <w:tc>
          <w:tcPr>
            <w:tcW w:w="960" w:type="dxa"/>
            <w:tcBorders>
              <w:top w:val="single" w:sz="12" w:space="0" w:color="auto"/>
              <w:bottom w:val="single" w:sz="12" w:space="0" w:color="auto"/>
            </w:tcBorders>
            <w:shd w:val="pct10" w:color="auto" w:fill="auto"/>
            <w:vAlign w:val="bottom"/>
          </w:tcPr>
          <w:p w:rsidR="00E97EDA" w:rsidRPr="005D58C9" w:rsidP="005D58C9">
            <w:pPr>
              <w:spacing w:before="40" w:after="40" w:line="200" w:lineRule="exact"/>
              <w:jc w:val="center"/>
              <w:rPr>
                <w:rFonts w:ascii="FrankRuehl" w:hAnsi="FrankRuehl" w:cs="FrankRuehl"/>
                <w:b/>
                <w:bCs/>
                <w:sz w:val="20"/>
                <w:szCs w:val="20"/>
              </w:rPr>
            </w:pPr>
            <w:r w:rsidRPr="005D58C9">
              <w:rPr>
                <w:rFonts w:ascii="FrankRuehl" w:hAnsi="FrankRuehl" w:cs="FrankRuehl" w:hint="cs"/>
                <w:b/>
                <w:bCs/>
                <w:sz w:val="20"/>
                <w:szCs w:val="20"/>
              </w:rPr>
              <w:t>2010</w:t>
            </w:r>
          </w:p>
        </w:tc>
        <w:tc>
          <w:tcPr>
            <w:tcW w:w="960" w:type="dxa"/>
            <w:tcBorders>
              <w:top w:val="single" w:sz="12" w:space="0" w:color="auto"/>
              <w:bottom w:val="single" w:sz="12" w:space="0" w:color="auto"/>
            </w:tcBorders>
            <w:shd w:val="pct10" w:color="auto" w:fill="auto"/>
            <w:vAlign w:val="bottom"/>
          </w:tcPr>
          <w:p w:rsidR="00E97EDA" w:rsidRPr="005D58C9" w:rsidP="005D58C9">
            <w:pPr>
              <w:spacing w:before="40" w:after="40" w:line="200" w:lineRule="exact"/>
              <w:jc w:val="center"/>
              <w:rPr>
                <w:rFonts w:ascii="FrankRuehl" w:hAnsi="FrankRuehl" w:cs="FrankRuehl"/>
                <w:b/>
                <w:bCs/>
                <w:sz w:val="20"/>
                <w:szCs w:val="20"/>
              </w:rPr>
            </w:pPr>
            <w:r w:rsidRPr="005D58C9">
              <w:rPr>
                <w:rFonts w:ascii="FrankRuehl" w:hAnsi="FrankRuehl" w:cs="FrankRuehl" w:hint="cs"/>
                <w:b/>
                <w:bCs/>
                <w:sz w:val="20"/>
                <w:szCs w:val="20"/>
              </w:rPr>
              <w:t>2011</w:t>
            </w:r>
          </w:p>
        </w:tc>
        <w:tc>
          <w:tcPr>
            <w:tcW w:w="960" w:type="dxa"/>
            <w:tcBorders>
              <w:top w:val="single" w:sz="12" w:space="0" w:color="auto"/>
              <w:bottom w:val="single" w:sz="12" w:space="0" w:color="auto"/>
            </w:tcBorders>
            <w:shd w:val="pct10" w:color="auto" w:fill="auto"/>
            <w:vAlign w:val="bottom"/>
          </w:tcPr>
          <w:p w:rsidR="00E97EDA" w:rsidRPr="005D58C9" w:rsidP="005D58C9">
            <w:pPr>
              <w:spacing w:before="40" w:after="40" w:line="200" w:lineRule="exact"/>
              <w:jc w:val="center"/>
              <w:rPr>
                <w:rFonts w:ascii="FrankRuehl" w:hAnsi="FrankRuehl" w:cs="FrankRuehl"/>
                <w:b/>
                <w:bCs/>
                <w:sz w:val="20"/>
                <w:szCs w:val="20"/>
              </w:rPr>
            </w:pPr>
            <w:r w:rsidRPr="005D58C9">
              <w:rPr>
                <w:rFonts w:ascii="FrankRuehl" w:hAnsi="FrankRuehl" w:cs="FrankRuehl" w:hint="cs"/>
                <w:b/>
                <w:bCs/>
                <w:sz w:val="20"/>
                <w:szCs w:val="20"/>
              </w:rPr>
              <w:t>2012</w:t>
            </w:r>
          </w:p>
        </w:tc>
      </w:tr>
      <w:tr w:rsidTr="005D58C9">
        <w:tblPrEx>
          <w:tblW w:w="6691" w:type="dxa"/>
          <w:jc w:val="center"/>
          <w:tblLook w:val="0000"/>
        </w:tblPrEx>
        <w:trPr>
          <w:jc w:val="center"/>
        </w:trPr>
        <w:tc>
          <w:tcPr>
            <w:tcW w:w="960" w:type="dxa"/>
            <w:tcBorders>
              <w:top w:val="single" w:sz="12" w:space="0" w:color="auto"/>
            </w:tcBorders>
            <w:vAlign w:val="bottom"/>
          </w:tcPr>
          <w:p w:rsidR="00E97EDA" w:rsidRPr="005D58C9" w:rsidP="005D58C9">
            <w:pPr>
              <w:spacing w:before="40" w:after="40" w:line="200" w:lineRule="exact"/>
              <w:rPr>
                <w:rFonts w:ascii="FrankRuehl" w:hAnsi="FrankRuehl" w:cs="FrankRuehl"/>
                <w:sz w:val="20"/>
                <w:szCs w:val="20"/>
              </w:rPr>
            </w:pPr>
            <w:r w:rsidRPr="005D58C9">
              <w:rPr>
                <w:rFonts w:ascii="FrankRuehl" w:hAnsi="FrankRuehl" w:cs="FrankRuehl" w:hint="cs"/>
                <w:sz w:val="20"/>
                <w:szCs w:val="20"/>
              </w:rPr>
              <w:t>175.9</w:t>
            </w:r>
          </w:p>
        </w:tc>
        <w:tc>
          <w:tcPr>
            <w:tcW w:w="960" w:type="dxa"/>
            <w:tcBorders>
              <w:top w:val="single" w:sz="12" w:space="0" w:color="auto"/>
            </w:tcBorders>
            <w:vAlign w:val="bottom"/>
          </w:tcPr>
          <w:p w:rsidR="00E97EDA" w:rsidRPr="005D58C9" w:rsidP="005D58C9">
            <w:pPr>
              <w:spacing w:before="40" w:after="40" w:line="200" w:lineRule="exact"/>
              <w:rPr>
                <w:rFonts w:ascii="FrankRuehl" w:hAnsi="FrankRuehl" w:cs="FrankRuehl"/>
                <w:sz w:val="20"/>
                <w:szCs w:val="20"/>
              </w:rPr>
            </w:pPr>
            <w:r w:rsidRPr="005D58C9">
              <w:rPr>
                <w:rFonts w:ascii="FrankRuehl" w:hAnsi="FrankRuehl" w:cs="FrankRuehl" w:hint="cs"/>
                <w:sz w:val="20"/>
                <w:szCs w:val="20"/>
              </w:rPr>
              <w:t>190.0</w:t>
            </w:r>
          </w:p>
        </w:tc>
        <w:tc>
          <w:tcPr>
            <w:tcW w:w="960" w:type="dxa"/>
            <w:tcBorders>
              <w:top w:val="single" w:sz="12" w:space="0" w:color="auto"/>
            </w:tcBorders>
            <w:vAlign w:val="bottom"/>
          </w:tcPr>
          <w:p w:rsidR="00E97EDA" w:rsidRPr="005D58C9" w:rsidP="005D58C9">
            <w:pPr>
              <w:spacing w:before="40" w:after="40" w:line="200" w:lineRule="exact"/>
              <w:rPr>
                <w:rFonts w:ascii="FrankRuehl" w:hAnsi="FrankRuehl" w:cs="FrankRuehl"/>
                <w:sz w:val="20"/>
                <w:szCs w:val="20"/>
              </w:rPr>
            </w:pPr>
            <w:r w:rsidRPr="005D58C9">
              <w:rPr>
                <w:rFonts w:ascii="FrankRuehl" w:hAnsi="FrankRuehl" w:cs="FrankRuehl" w:hint="cs"/>
                <w:sz w:val="20"/>
                <w:szCs w:val="20"/>
              </w:rPr>
              <w:t>165.8</w:t>
            </w:r>
          </w:p>
        </w:tc>
        <w:tc>
          <w:tcPr>
            <w:tcW w:w="960" w:type="dxa"/>
            <w:tcBorders>
              <w:top w:val="single" w:sz="12" w:space="0" w:color="auto"/>
            </w:tcBorders>
            <w:vAlign w:val="bottom"/>
          </w:tcPr>
          <w:p w:rsidR="00E97EDA" w:rsidRPr="005D58C9" w:rsidP="005D58C9">
            <w:pPr>
              <w:spacing w:before="40" w:after="40" w:line="200" w:lineRule="exact"/>
              <w:rPr>
                <w:rFonts w:ascii="FrankRuehl" w:hAnsi="FrankRuehl" w:cs="FrankRuehl"/>
                <w:sz w:val="20"/>
                <w:szCs w:val="20"/>
              </w:rPr>
            </w:pPr>
            <w:r w:rsidRPr="005D58C9">
              <w:rPr>
                <w:rFonts w:ascii="FrankRuehl" w:hAnsi="FrankRuehl" w:cs="FrankRuehl" w:hint="cs"/>
                <w:sz w:val="20"/>
                <w:szCs w:val="20"/>
              </w:rPr>
              <w:t>187.1</w:t>
            </w:r>
          </w:p>
        </w:tc>
        <w:tc>
          <w:tcPr>
            <w:tcW w:w="960" w:type="dxa"/>
            <w:tcBorders>
              <w:top w:val="single" w:sz="12" w:space="0" w:color="auto"/>
            </w:tcBorders>
            <w:vAlign w:val="bottom"/>
          </w:tcPr>
          <w:p w:rsidR="00E97EDA" w:rsidRPr="005D58C9" w:rsidP="005D58C9">
            <w:pPr>
              <w:spacing w:before="40" w:after="40" w:line="200" w:lineRule="exact"/>
              <w:rPr>
                <w:rFonts w:ascii="FrankRuehl" w:hAnsi="FrankRuehl" w:cs="FrankRuehl"/>
                <w:sz w:val="20"/>
                <w:szCs w:val="20"/>
              </w:rPr>
            </w:pPr>
            <w:r w:rsidRPr="005D58C9">
              <w:rPr>
                <w:rFonts w:ascii="FrankRuehl" w:hAnsi="FrankRuehl" w:cs="FrankRuehl" w:hint="cs"/>
                <w:sz w:val="20"/>
                <w:szCs w:val="20"/>
              </w:rPr>
              <w:t>202.3</w:t>
            </w:r>
          </w:p>
        </w:tc>
        <w:tc>
          <w:tcPr>
            <w:tcW w:w="960" w:type="dxa"/>
            <w:tcBorders>
              <w:top w:val="single" w:sz="12" w:space="0" w:color="auto"/>
            </w:tcBorders>
            <w:vAlign w:val="bottom"/>
          </w:tcPr>
          <w:p w:rsidR="00E97EDA" w:rsidRPr="005D58C9" w:rsidP="005D58C9">
            <w:pPr>
              <w:spacing w:before="40" w:after="40" w:line="200" w:lineRule="exact"/>
              <w:rPr>
                <w:rFonts w:ascii="FrankRuehl" w:hAnsi="FrankRuehl" w:cs="FrankRuehl"/>
                <w:sz w:val="20"/>
                <w:szCs w:val="20"/>
              </w:rPr>
            </w:pPr>
            <w:r w:rsidRPr="005D58C9">
              <w:rPr>
                <w:rFonts w:ascii="FrankRuehl" w:hAnsi="FrankRuehl" w:cs="FrankRuehl" w:hint="cs"/>
                <w:sz w:val="20"/>
                <w:szCs w:val="20"/>
              </w:rPr>
              <w:t>203.9</w:t>
            </w:r>
          </w:p>
        </w:tc>
      </w:tr>
    </w:tbl>
    <w:p w:rsidR="00E97EDA" w:rsidRPr="005D58C9" w:rsidP="005D58C9">
      <w:pPr>
        <w:spacing w:before="120" w:after="120" w:line="200" w:lineRule="exact"/>
        <w:ind w:left="397" w:hanging="397"/>
        <w:jc w:val="both"/>
        <w:rPr>
          <w:rFonts w:cs="FrankRuehl"/>
          <w:sz w:val="20"/>
          <w:szCs w:val="20"/>
          <w:rtl/>
        </w:rPr>
      </w:pPr>
      <w:r w:rsidRPr="005D58C9">
        <w:rPr>
          <w:rFonts w:cs="FrankRuehl" w:hint="cs"/>
          <w:sz w:val="20"/>
          <w:szCs w:val="20"/>
          <w:rtl/>
        </w:rPr>
        <w:t xml:space="preserve">* </w:t>
      </w:r>
      <w:r w:rsidR="005D58C9">
        <w:rPr>
          <w:rFonts w:cs="FrankRuehl"/>
          <w:sz w:val="20"/>
          <w:szCs w:val="20"/>
          <w:rtl/>
        </w:rPr>
        <w:tab/>
      </w:r>
      <w:r w:rsidRPr="005D58C9">
        <w:rPr>
          <w:rFonts w:cs="FrankRuehl" w:hint="cs"/>
          <w:sz w:val="20"/>
          <w:szCs w:val="20"/>
          <w:rtl/>
        </w:rPr>
        <w:t xml:space="preserve">לפי בנק ישראל, סקירות </w:t>
      </w:r>
      <w:r w:rsidRPr="005D58C9">
        <w:rPr>
          <w:rFonts w:cs="FrankRuehl"/>
          <w:sz w:val="20"/>
          <w:szCs w:val="20"/>
          <w:rtl/>
        </w:rPr>
        <w:t>המפקח על הבנקים, מערכת הבנקאות בישראל</w:t>
      </w:r>
      <w:r w:rsidRPr="005D58C9">
        <w:rPr>
          <w:rFonts w:cs="FrankRuehl" w:hint="cs"/>
          <w:sz w:val="20"/>
          <w:szCs w:val="20"/>
          <w:rtl/>
        </w:rPr>
        <w:t xml:space="preserve"> -</w:t>
      </w:r>
      <w:r w:rsidRPr="005D58C9">
        <w:rPr>
          <w:rFonts w:cs="FrankRuehl"/>
          <w:sz w:val="20"/>
          <w:szCs w:val="20"/>
          <w:rtl/>
        </w:rPr>
        <w:t xml:space="preserve"> סקירות שנתיות </w:t>
      </w:r>
      <w:r w:rsidRPr="005D58C9">
        <w:rPr>
          <w:rFonts w:cs="FrankRuehl" w:hint="cs"/>
          <w:sz w:val="20"/>
          <w:szCs w:val="20"/>
          <w:rtl/>
        </w:rPr>
        <w:t>2012-2007</w:t>
      </w:r>
      <w:r w:rsidRPr="005D58C9">
        <w:rPr>
          <w:rFonts w:cs="FrankRuehl"/>
          <w:sz w:val="20"/>
          <w:szCs w:val="20"/>
          <w:rtl/>
        </w:rPr>
        <w:t>.</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מלוח זה עולה שסך האשראי הבנקאי לענף הבינוי והנדל"ן הסתכם בשנת 2012 בכ-204 מיליארד ש"ח. סכום זה שיעורו כ-16.4% מכלל האשראי שהבנקים נותנים לציבור. </w:t>
      </w:r>
      <w:r w:rsidRPr="00F41E78">
        <w:rPr>
          <w:rFonts w:cs="FrankRuehl" w:hint="eastAsia"/>
          <w:sz w:val="18"/>
          <w:szCs w:val="22"/>
          <w:rtl/>
          <w:lang w:eastAsia="he-IL"/>
        </w:rPr>
        <w:t>ב</w:t>
      </w:r>
      <w:r w:rsidRPr="00F41E78">
        <w:rPr>
          <w:rFonts w:cs="FrankRuehl" w:hint="cs"/>
          <w:sz w:val="18"/>
          <w:szCs w:val="22"/>
          <w:rtl/>
          <w:lang w:eastAsia="he-IL"/>
        </w:rPr>
        <w:t>כל הקשור ל</w:t>
      </w:r>
      <w:r w:rsidRPr="00F41E78">
        <w:rPr>
          <w:rFonts w:cs="FrankRuehl" w:hint="eastAsia"/>
          <w:sz w:val="18"/>
          <w:szCs w:val="22"/>
          <w:rtl/>
          <w:lang w:eastAsia="he-IL"/>
        </w:rPr>
        <w:t>צריכת</w:t>
      </w:r>
      <w:r w:rsidRPr="00F41E78">
        <w:rPr>
          <w:rFonts w:cs="FrankRuehl"/>
          <w:sz w:val="18"/>
          <w:szCs w:val="22"/>
          <w:rtl/>
          <w:lang w:eastAsia="he-IL"/>
        </w:rPr>
        <w:t xml:space="preserve"> </w:t>
      </w:r>
      <w:r w:rsidRPr="00F41E78">
        <w:rPr>
          <w:rFonts w:cs="FrankRuehl" w:hint="eastAsia"/>
          <w:sz w:val="18"/>
          <w:szCs w:val="22"/>
          <w:rtl/>
          <w:lang w:eastAsia="he-IL"/>
        </w:rPr>
        <w:t>האשראי</w:t>
      </w:r>
      <w:r w:rsidRPr="00F41E78">
        <w:rPr>
          <w:rFonts w:cs="FrankRuehl" w:hint="cs"/>
          <w:sz w:val="18"/>
          <w:szCs w:val="22"/>
          <w:rtl/>
          <w:lang w:eastAsia="he-IL"/>
        </w:rPr>
        <w:t>,</w:t>
      </w:r>
      <w:r w:rsidRPr="00F41E78">
        <w:rPr>
          <w:rFonts w:cs="FrankRuehl" w:hint="eastAsia"/>
          <w:sz w:val="18"/>
          <w:szCs w:val="22"/>
          <w:rtl/>
          <w:lang w:eastAsia="he-IL"/>
        </w:rPr>
        <w:t xml:space="preserve"> ענף</w:t>
      </w:r>
      <w:r w:rsidRPr="00F41E78">
        <w:rPr>
          <w:rFonts w:cs="FrankRuehl"/>
          <w:sz w:val="18"/>
          <w:szCs w:val="22"/>
          <w:rtl/>
          <w:lang w:eastAsia="he-IL"/>
        </w:rPr>
        <w:t xml:space="preserve"> </w:t>
      </w:r>
      <w:r w:rsidRPr="00F41E78">
        <w:rPr>
          <w:rFonts w:cs="FrankRuehl" w:hint="eastAsia"/>
          <w:sz w:val="18"/>
          <w:szCs w:val="22"/>
          <w:rtl/>
          <w:lang w:eastAsia="he-IL"/>
        </w:rPr>
        <w:t>הבינוי</w:t>
      </w:r>
      <w:r w:rsidRPr="00F41E78">
        <w:rPr>
          <w:rFonts w:cs="FrankRuehl"/>
          <w:sz w:val="18"/>
          <w:szCs w:val="22"/>
          <w:rtl/>
          <w:lang w:eastAsia="he-IL"/>
        </w:rPr>
        <w:t xml:space="preserve"> </w:t>
      </w:r>
      <w:r w:rsidRPr="00F41E78">
        <w:rPr>
          <w:rFonts w:cs="FrankRuehl" w:hint="eastAsia"/>
          <w:sz w:val="18"/>
          <w:szCs w:val="22"/>
          <w:rtl/>
          <w:lang w:eastAsia="he-IL"/>
        </w:rPr>
        <w:t>והנדל</w:t>
      </w:r>
      <w:r w:rsidRPr="00F41E78">
        <w:rPr>
          <w:rFonts w:cs="FrankRuehl"/>
          <w:sz w:val="18"/>
          <w:szCs w:val="22"/>
          <w:rtl/>
          <w:lang w:eastAsia="he-IL"/>
        </w:rPr>
        <w:t xml:space="preserve">"ן </w:t>
      </w:r>
      <w:r w:rsidRPr="00F41E78">
        <w:rPr>
          <w:rFonts w:cs="FrankRuehl" w:hint="cs"/>
          <w:sz w:val="18"/>
          <w:szCs w:val="22"/>
          <w:rtl/>
          <w:lang w:eastAsia="he-IL"/>
        </w:rPr>
        <w:t>מדורג במקום</w:t>
      </w:r>
      <w:r w:rsidRPr="00F41E78">
        <w:rPr>
          <w:rFonts w:cs="FrankRuehl"/>
          <w:sz w:val="18"/>
          <w:szCs w:val="22"/>
          <w:rtl/>
          <w:lang w:eastAsia="he-IL"/>
        </w:rPr>
        <w:t xml:space="preserve"> </w:t>
      </w:r>
      <w:r w:rsidRPr="00F41E78">
        <w:rPr>
          <w:rFonts w:cs="FrankRuehl" w:hint="eastAsia"/>
          <w:sz w:val="18"/>
          <w:szCs w:val="22"/>
          <w:rtl/>
          <w:lang w:eastAsia="he-IL"/>
        </w:rPr>
        <w:t>השני</w:t>
      </w:r>
      <w:r w:rsidRPr="00F41E78">
        <w:rPr>
          <w:rFonts w:cs="FrankRuehl"/>
          <w:sz w:val="18"/>
          <w:szCs w:val="22"/>
          <w:rtl/>
          <w:lang w:eastAsia="he-IL"/>
        </w:rPr>
        <w:t xml:space="preserve"> </w:t>
      </w:r>
      <w:r w:rsidRPr="00F41E78">
        <w:rPr>
          <w:rFonts w:cs="FrankRuehl" w:hint="eastAsia"/>
          <w:sz w:val="18"/>
          <w:szCs w:val="22"/>
          <w:rtl/>
          <w:lang w:eastAsia="he-IL"/>
        </w:rPr>
        <w:t>במערכת</w:t>
      </w:r>
      <w:r w:rsidRPr="00F41E78">
        <w:rPr>
          <w:rFonts w:cs="FrankRuehl"/>
          <w:sz w:val="18"/>
          <w:szCs w:val="22"/>
          <w:rtl/>
          <w:lang w:eastAsia="he-IL"/>
        </w:rPr>
        <w:t xml:space="preserve"> </w:t>
      </w:r>
      <w:r w:rsidRPr="00F41E78">
        <w:rPr>
          <w:rFonts w:cs="FrankRuehl" w:hint="eastAsia"/>
          <w:sz w:val="18"/>
          <w:szCs w:val="22"/>
          <w:rtl/>
          <w:lang w:eastAsia="he-IL"/>
        </w:rPr>
        <w:t>הבנקאית</w:t>
      </w:r>
      <w:r w:rsidRPr="00F41E78">
        <w:rPr>
          <w:rFonts w:cs="FrankRuehl"/>
          <w:sz w:val="18"/>
          <w:szCs w:val="22"/>
          <w:rtl/>
          <w:lang w:eastAsia="he-IL"/>
        </w:rPr>
        <w:t xml:space="preserve"> </w:t>
      </w:r>
      <w:r w:rsidRPr="00F41E78">
        <w:rPr>
          <w:rFonts w:cs="FrankRuehl" w:hint="cs"/>
          <w:sz w:val="18"/>
          <w:szCs w:val="22"/>
          <w:rtl/>
          <w:lang w:eastAsia="he-IL"/>
        </w:rPr>
        <w:t xml:space="preserve">אחרי </w:t>
      </w:r>
      <w:r w:rsidRPr="00F41E78">
        <w:rPr>
          <w:rFonts w:cs="FrankRuehl" w:hint="eastAsia"/>
          <w:sz w:val="18"/>
          <w:szCs w:val="22"/>
          <w:rtl/>
          <w:lang w:eastAsia="he-IL"/>
        </w:rPr>
        <w:t>אנשים</w:t>
      </w:r>
      <w:r w:rsidRPr="00F41E78">
        <w:rPr>
          <w:rFonts w:cs="FrankRuehl"/>
          <w:sz w:val="18"/>
          <w:szCs w:val="22"/>
          <w:rtl/>
          <w:lang w:eastAsia="he-IL"/>
        </w:rPr>
        <w:t xml:space="preserve"> </w:t>
      </w:r>
      <w:r w:rsidRPr="00F41E78">
        <w:rPr>
          <w:rFonts w:cs="FrankRuehl" w:hint="eastAsia"/>
          <w:sz w:val="18"/>
          <w:szCs w:val="22"/>
          <w:rtl/>
          <w:lang w:eastAsia="he-IL"/>
        </w:rPr>
        <w:t>פרטיים</w:t>
      </w:r>
      <w:r w:rsidRPr="00F41E78">
        <w:rPr>
          <w:rFonts w:cs="FrankRuehl" w:hint="cs"/>
          <w:sz w:val="18"/>
          <w:szCs w:val="22"/>
          <w:rtl/>
          <w:lang w:eastAsia="he-IL"/>
        </w:rPr>
        <w:t xml:space="preserve"> שצריכת האשראי שלהם</w:t>
      </w:r>
      <w:r w:rsidRPr="00F41E78">
        <w:rPr>
          <w:rFonts w:cs="FrankRuehl"/>
          <w:sz w:val="18"/>
          <w:szCs w:val="22"/>
          <w:rtl/>
          <w:lang w:eastAsia="he-IL"/>
        </w:rPr>
        <w:t xml:space="preserve"> </w:t>
      </w:r>
      <w:r w:rsidRPr="00F41E78">
        <w:rPr>
          <w:rFonts w:cs="FrankRuehl" w:hint="cs"/>
          <w:sz w:val="18"/>
          <w:szCs w:val="22"/>
          <w:rtl/>
          <w:lang w:eastAsia="he-IL"/>
        </w:rPr>
        <w:t>היא</w:t>
      </w:r>
      <w:r w:rsidRPr="00F41E78">
        <w:rPr>
          <w:rFonts w:cs="FrankRuehl"/>
          <w:sz w:val="18"/>
          <w:szCs w:val="22"/>
          <w:rtl/>
          <w:lang w:eastAsia="he-IL"/>
        </w:rPr>
        <w:t xml:space="preserve"> </w:t>
      </w:r>
      <w:r w:rsidRPr="00F41E78">
        <w:rPr>
          <w:rFonts w:cs="FrankRuehl" w:hint="eastAsia"/>
          <w:sz w:val="18"/>
          <w:szCs w:val="22"/>
          <w:rtl/>
          <w:lang w:eastAsia="he-IL"/>
        </w:rPr>
        <w:t>כ</w:t>
      </w:r>
      <w:r w:rsidRPr="00F41E78">
        <w:rPr>
          <w:rFonts w:cs="FrankRuehl"/>
          <w:sz w:val="18"/>
          <w:szCs w:val="22"/>
          <w:rtl/>
          <w:lang w:eastAsia="he-IL"/>
        </w:rPr>
        <w:t xml:space="preserve">-36.7% </w:t>
      </w:r>
      <w:r w:rsidRPr="00F41E78">
        <w:rPr>
          <w:rFonts w:cs="FrankRuehl" w:hint="eastAsia"/>
          <w:sz w:val="18"/>
          <w:szCs w:val="22"/>
          <w:rtl/>
          <w:lang w:eastAsia="he-IL"/>
        </w:rPr>
        <w:t>מכלל</w:t>
      </w:r>
      <w:r w:rsidRPr="00F41E78">
        <w:rPr>
          <w:rFonts w:cs="FrankRuehl"/>
          <w:sz w:val="18"/>
          <w:szCs w:val="22"/>
          <w:rtl/>
          <w:lang w:eastAsia="he-IL"/>
        </w:rPr>
        <w:t xml:space="preserve"> </w:t>
      </w:r>
      <w:r w:rsidRPr="00F41E78">
        <w:rPr>
          <w:rFonts w:cs="FrankRuehl" w:hint="eastAsia"/>
          <w:sz w:val="18"/>
          <w:szCs w:val="22"/>
          <w:rtl/>
          <w:lang w:eastAsia="he-IL"/>
        </w:rPr>
        <w:t>האשראי</w:t>
      </w:r>
      <w:r w:rsidRPr="00F41E78">
        <w:rPr>
          <w:rFonts w:cs="FrankRuehl"/>
          <w:sz w:val="18"/>
          <w:szCs w:val="22"/>
          <w:rtl/>
          <w:lang w:eastAsia="he-IL"/>
        </w:rPr>
        <w:t xml:space="preserve"> </w:t>
      </w:r>
      <w:r w:rsidRPr="00F41E78">
        <w:rPr>
          <w:rFonts w:cs="FrankRuehl" w:hint="eastAsia"/>
          <w:sz w:val="18"/>
          <w:szCs w:val="22"/>
          <w:rtl/>
          <w:lang w:eastAsia="he-IL"/>
        </w:rPr>
        <w:t>לציבור</w:t>
      </w:r>
      <w:r w:rsidRPr="00F41E78">
        <w:rPr>
          <w:rFonts w:cs="FrankRuehl"/>
          <w:sz w:val="18"/>
          <w:szCs w:val="22"/>
          <w:rtl/>
          <w:lang w:eastAsia="he-IL"/>
        </w:rPr>
        <w:t xml:space="preserve"> (כ</w:t>
      </w:r>
      <w:r w:rsidRPr="00F41E78">
        <w:rPr>
          <w:rFonts w:cs="FrankRuehl" w:hint="cs"/>
          <w:sz w:val="18"/>
          <w:szCs w:val="22"/>
          <w:rtl/>
          <w:lang w:eastAsia="he-IL"/>
        </w:rPr>
        <w:t>-50%</w:t>
      </w:r>
      <w:r w:rsidRPr="00F41E78">
        <w:rPr>
          <w:rFonts w:cs="FrankRuehl"/>
          <w:sz w:val="18"/>
          <w:szCs w:val="22"/>
          <w:rtl/>
          <w:lang w:eastAsia="he-IL"/>
        </w:rPr>
        <w:t xml:space="preserve"> </w:t>
      </w:r>
      <w:r w:rsidRPr="00F41E78">
        <w:rPr>
          <w:rFonts w:cs="FrankRuehl" w:hint="eastAsia"/>
          <w:sz w:val="18"/>
          <w:szCs w:val="22"/>
          <w:rtl/>
          <w:lang w:eastAsia="he-IL"/>
        </w:rPr>
        <w:t>מהאשראי</w:t>
      </w:r>
      <w:r w:rsidRPr="00F41E78">
        <w:rPr>
          <w:rFonts w:cs="FrankRuehl"/>
          <w:sz w:val="18"/>
          <w:szCs w:val="22"/>
          <w:rtl/>
          <w:lang w:eastAsia="he-IL"/>
        </w:rPr>
        <w:t xml:space="preserve"> </w:t>
      </w:r>
      <w:r w:rsidRPr="00F41E78">
        <w:rPr>
          <w:rFonts w:cs="FrankRuehl" w:hint="eastAsia"/>
          <w:sz w:val="18"/>
          <w:szCs w:val="22"/>
          <w:rtl/>
          <w:lang w:eastAsia="he-IL"/>
        </w:rPr>
        <w:t>לאנשים</w:t>
      </w:r>
      <w:r w:rsidRPr="00F41E78">
        <w:rPr>
          <w:rFonts w:cs="FrankRuehl"/>
          <w:sz w:val="18"/>
          <w:szCs w:val="22"/>
          <w:rtl/>
          <w:lang w:eastAsia="he-IL"/>
        </w:rPr>
        <w:t xml:space="preserve"> </w:t>
      </w:r>
      <w:r w:rsidRPr="00F41E78">
        <w:rPr>
          <w:rFonts w:cs="FrankRuehl" w:hint="eastAsia"/>
          <w:sz w:val="18"/>
          <w:szCs w:val="22"/>
          <w:rtl/>
          <w:lang w:eastAsia="he-IL"/>
        </w:rPr>
        <w:t>פרטיים</w:t>
      </w:r>
      <w:r w:rsidRPr="00F41E78">
        <w:rPr>
          <w:rFonts w:cs="FrankRuehl"/>
          <w:sz w:val="18"/>
          <w:szCs w:val="22"/>
          <w:rtl/>
          <w:lang w:eastAsia="he-IL"/>
        </w:rPr>
        <w:t xml:space="preserve"> </w:t>
      </w:r>
      <w:r w:rsidRPr="00F41E78">
        <w:rPr>
          <w:rFonts w:cs="FrankRuehl" w:hint="cs"/>
          <w:sz w:val="18"/>
          <w:szCs w:val="22"/>
          <w:rtl/>
          <w:lang w:eastAsia="he-IL"/>
        </w:rPr>
        <w:t>הם</w:t>
      </w:r>
      <w:r w:rsidRPr="00F41E78">
        <w:rPr>
          <w:rFonts w:cs="FrankRuehl"/>
          <w:sz w:val="18"/>
          <w:szCs w:val="22"/>
          <w:rtl/>
          <w:lang w:eastAsia="he-IL"/>
        </w:rPr>
        <w:t xml:space="preserve"> </w:t>
      </w:r>
      <w:r w:rsidRPr="00F41E78">
        <w:rPr>
          <w:rFonts w:cs="FrankRuehl" w:hint="eastAsia"/>
          <w:sz w:val="18"/>
          <w:szCs w:val="22"/>
          <w:rtl/>
          <w:lang w:eastAsia="he-IL"/>
        </w:rPr>
        <w:t>הלוואות</w:t>
      </w:r>
      <w:r w:rsidRPr="00F41E78">
        <w:rPr>
          <w:rFonts w:cs="FrankRuehl"/>
          <w:sz w:val="18"/>
          <w:szCs w:val="22"/>
          <w:rtl/>
          <w:lang w:eastAsia="he-IL"/>
        </w:rPr>
        <w:t xml:space="preserve"> </w:t>
      </w:r>
      <w:r w:rsidRPr="00F41E78">
        <w:rPr>
          <w:rFonts w:cs="FrankRuehl" w:hint="eastAsia"/>
          <w:sz w:val="18"/>
          <w:szCs w:val="22"/>
          <w:rtl/>
          <w:lang w:eastAsia="he-IL"/>
        </w:rPr>
        <w:t>לדיור</w:t>
      </w:r>
      <w:r w:rsidRPr="00F41E78">
        <w:rPr>
          <w:rFonts w:cs="FrankRuehl"/>
          <w:sz w:val="18"/>
          <w:szCs w:val="22"/>
          <w:rtl/>
          <w:lang w:eastAsia="he-IL"/>
        </w:rPr>
        <w:t>)</w:t>
      </w:r>
      <w:r w:rsidRPr="00F41E78">
        <w:rPr>
          <w:rFonts w:cs="FrankRuehl" w:hint="cs"/>
          <w:sz w:val="18"/>
          <w:szCs w:val="22"/>
          <w:rtl/>
          <w:lang w:eastAsia="he-IL"/>
        </w:rPr>
        <w:t>. הנתונים על ענף הבינוי והנדל"ן המובאים בדיווחי הבנקים כוללים את האשראי הניתן לקבלנים העוסקים בבינוי (כמו מבני מגורים), לפעילויות נדל"ן למיניהן (כמו מסחר בנדל"ן) ולעבודות הנדסה אזרחית</w:t>
      </w:r>
      <w:r>
        <w:rPr>
          <w:rFonts w:cs="FrankRuehl"/>
          <w:sz w:val="18"/>
          <w:szCs w:val="22"/>
          <w:vertAlign w:val="superscript"/>
          <w:rtl/>
          <w:lang w:eastAsia="he-IL"/>
        </w:rPr>
        <w:footnoteReference w:id="115"/>
      </w:r>
      <w:r w:rsidRPr="00F41E78">
        <w:rPr>
          <w:rFonts w:cs="FrankRuehl" w:hint="cs"/>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sz w:val="18"/>
          <w:szCs w:val="22"/>
          <w:rtl/>
          <w:lang w:eastAsia="he-IL"/>
        </w:rPr>
        <w:t>ח</w:t>
      </w:r>
      <w:r w:rsidRPr="00F41E78">
        <w:rPr>
          <w:rFonts w:cs="FrankRuehl" w:hint="cs"/>
          <w:sz w:val="18"/>
          <w:szCs w:val="22"/>
          <w:rtl/>
          <w:lang w:eastAsia="he-IL"/>
        </w:rPr>
        <w:t xml:space="preserve">וק המכר קובע כאמור כי </w:t>
      </w:r>
      <w:r w:rsidRPr="00F41E78">
        <w:rPr>
          <w:rFonts w:cs="FrankRuehl"/>
          <w:sz w:val="18"/>
          <w:szCs w:val="22"/>
          <w:rtl/>
          <w:lang w:eastAsia="he-IL"/>
        </w:rPr>
        <w:t>לא</w:t>
      </w:r>
      <w:r w:rsidRPr="00F41E78">
        <w:rPr>
          <w:rFonts w:cs="FrankRuehl" w:hint="cs"/>
          <w:sz w:val="18"/>
          <w:szCs w:val="22"/>
          <w:rtl/>
          <w:lang w:eastAsia="he-IL"/>
        </w:rPr>
        <w:t xml:space="preserve"> יקבל מוכר מקונה, על חשבון מחיר הדירה, סכום העולה על 7% מהמחי</w:t>
      </w:r>
      <w:r w:rsidRPr="00F41E78">
        <w:rPr>
          <w:rFonts w:cs="FrankRuehl"/>
          <w:sz w:val="18"/>
          <w:szCs w:val="22"/>
          <w:rtl/>
          <w:lang w:eastAsia="he-IL"/>
        </w:rPr>
        <w:t>ר</w:t>
      </w:r>
      <w:r w:rsidRPr="00F41E78">
        <w:rPr>
          <w:rFonts w:cs="FrankRuehl" w:hint="cs"/>
          <w:sz w:val="18"/>
          <w:szCs w:val="22"/>
          <w:rtl/>
          <w:lang w:eastAsia="he-IL"/>
        </w:rPr>
        <w:t>, אלא אם הבטיח את החזר כספו של הקונה באמצעות מתן בטוחה. בפרויקטים לבניית דירות למגורים, המלווים במימון של הבנקים, במסגרת הסכם ליווי הפרויקט הבנקים נוהגים להמציא לכל רוכש דירה כתב ערבות המבטיח שהבנק יחזיר לרוכש הדירה את הכסף ששילם אם הקבלן לא יוכל להעביר לקונה בעלות או זכות אחרת בדירה כמוסכם בחוזה המכר (להלן - ערבות מכר). ערבות המכר שהבנקים מנפיקים נחשבת (לאחר שקלול לפי מקדם שקבע המפקח על הבנקים) לחלק מהאשראי הניתן לענף הבינוי והנדל"ן. לכל תשלום שהלקוח משלם על חשבון הדירה מתווסף המע"ם שתשלומו מובטח גם הוא באמצעות ערבות המכר.</w:t>
      </w:r>
    </w:p>
    <w:p w:rsidR="00E97EDA" w:rsidRPr="00F41E78" w:rsidP="00A7557B">
      <w:pPr>
        <w:spacing w:after="120" w:line="230" w:lineRule="exact"/>
        <w:jc w:val="both"/>
        <w:rPr>
          <w:rFonts w:cs="FrankRuehl"/>
          <w:sz w:val="18"/>
          <w:szCs w:val="22"/>
          <w:rtl/>
          <w:lang w:eastAsia="he-IL"/>
        </w:rPr>
      </w:pPr>
      <w:r w:rsidRPr="00F41E78">
        <w:rPr>
          <w:rFonts w:cs="FrankRuehl" w:hint="eastAsia"/>
          <w:sz w:val="18"/>
          <w:szCs w:val="22"/>
          <w:rtl/>
          <w:lang w:eastAsia="he-IL"/>
        </w:rPr>
        <w:t>כפי</w:t>
      </w:r>
      <w:r w:rsidRPr="00F41E78">
        <w:rPr>
          <w:rFonts w:cs="FrankRuehl"/>
          <w:sz w:val="18"/>
          <w:szCs w:val="22"/>
          <w:rtl/>
          <w:lang w:eastAsia="he-IL"/>
        </w:rPr>
        <w:t xml:space="preserve"> </w:t>
      </w:r>
      <w:r w:rsidRPr="00F41E78">
        <w:rPr>
          <w:rFonts w:cs="FrankRuehl" w:hint="eastAsia"/>
          <w:sz w:val="18"/>
          <w:szCs w:val="22"/>
          <w:rtl/>
          <w:lang w:eastAsia="he-IL"/>
        </w:rPr>
        <w:t>שעולה</w:t>
      </w:r>
      <w:r w:rsidRPr="00F41E78">
        <w:rPr>
          <w:rFonts w:cs="FrankRuehl"/>
          <w:sz w:val="18"/>
          <w:szCs w:val="22"/>
          <w:rtl/>
          <w:lang w:eastAsia="he-IL"/>
        </w:rPr>
        <w:t xml:space="preserve"> </w:t>
      </w:r>
      <w:r w:rsidRPr="00F41E78">
        <w:rPr>
          <w:rFonts w:cs="FrankRuehl" w:hint="eastAsia"/>
          <w:sz w:val="18"/>
          <w:szCs w:val="22"/>
          <w:rtl/>
          <w:lang w:eastAsia="he-IL"/>
        </w:rPr>
        <w:t>מלוח</w:t>
      </w:r>
      <w:r w:rsidRPr="00F41E78">
        <w:rPr>
          <w:rFonts w:cs="FrankRuehl"/>
          <w:sz w:val="18"/>
          <w:szCs w:val="22"/>
          <w:rtl/>
          <w:lang w:eastAsia="he-IL"/>
        </w:rPr>
        <w:t xml:space="preserve"> </w:t>
      </w:r>
      <w:r w:rsidRPr="00F41E78">
        <w:rPr>
          <w:rFonts w:cs="FrankRuehl" w:hint="cs"/>
          <w:sz w:val="18"/>
          <w:szCs w:val="22"/>
          <w:rtl/>
          <w:lang w:eastAsia="he-IL"/>
        </w:rPr>
        <w:t>3</w:t>
      </w:r>
      <w:r w:rsidRPr="00F41E78">
        <w:rPr>
          <w:rFonts w:cs="FrankRuehl"/>
          <w:sz w:val="18"/>
          <w:szCs w:val="22"/>
          <w:rtl/>
          <w:lang w:eastAsia="he-IL"/>
        </w:rPr>
        <w:t xml:space="preserve"> </w:t>
      </w:r>
      <w:r w:rsidRPr="00F41E78">
        <w:rPr>
          <w:rFonts w:cs="FrankRuehl" w:hint="eastAsia"/>
          <w:sz w:val="18"/>
          <w:szCs w:val="22"/>
          <w:rtl/>
          <w:lang w:eastAsia="he-IL"/>
        </w:rPr>
        <w:t>שלהלן</w:t>
      </w:r>
      <w:r w:rsidRPr="00F41E78">
        <w:rPr>
          <w:rFonts w:cs="FrankRuehl"/>
          <w:sz w:val="18"/>
          <w:szCs w:val="22"/>
          <w:rtl/>
          <w:lang w:eastAsia="he-IL"/>
        </w:rPr>
        <w:t xml:space="preserve">, </w:t>
      </w:r>
      <w:r w:rsidRPr="00F41E78">
        <w:rPr>
          <w:rFonts w:cs="FrankRuehl" w:hint="eastAsia"/>
          <w:sz w:val="18"/>
          <w:szCs w:val="22"/>
          <w:rtl/>
          <w:lang w:eastAsia="he-IL"/>
        </w:rPr>
        <w:t>היקף</w:t>
      </w:r>
      <w:r w:rsidRPr="00F41E78">
        <w:rPr>
          <w:rFonts w:cs="FrankRuehl"/>
          <w:sz w:val="18"/>
          <w:szCs w:val="22"/>
          <w:rtl/>
          <w:lang w:eastAsia="he-IL"/>
        </w:rPr>
        <w:t xml:space="preserve"> </w:t>
      </w:r>
      <w:r w:rsidRPr="00F41E78">
        <w:rPr>
          <w:rFonts w:cs="FrankRuehl" w:hint="eastAsia"/>
          <w:sz w:val="18"/>
          <w:szCs w:val="22"/>
          <w:rtl/>
          <w:lang w:eastAsia="he-IL"/>
        </w:rPr>
        <w:t>ערבויות</w:t>
      </w:r>
      <w:r w:rsidRPr="00F41E78">
        <w:rPr>
          <w:rFonts w:cs="FrankRuehl"/>
          <w:sz w:val="18"/>
          <w:szCs w:val="22"/>
          <w:rtl/>
          <w:lang w:eastAsia="he-IL"/>
        </w:rPr>
        <w:t xml:space="preserve"> </w:t>
      </w:r>
      <w:r w:rsidRPr="00F41E78">
        <w:rPr>
          <w:rFonts w:cs="FrankRuehl" w:hint="eastAsia"/>
          <w:sz w:val="18"/>
          <w:szCs w:val="22"/>
          <w:rtl/>
          <w:lang w:eastAsia="he-IL"/>
        </w:rPr>
        <w:t>המכר</w:t>
      </w:r>
      <w:r w:rsidRPr="00F41E78">
        <w:rPr>
          <w:rFonts w:cs="FrankRuehl"/>
          <w:sz w:val="18"/>
          <w:szCs w:val="22"/>
          <w:rtl/>
          <w:lang w:eastAsia="he-IL"/>
        </w:rPr>
        <w:t xml:space="preserve"> </w:t>
      </w:r>
      <w:r w:rsidRPr="00F41E78">
        <w:rPr>
          <w:rFonts w:cs="FrankRuehl" w:hint="eastAsia"/>
          <w:sz w:val="18"/>
          <w:szCs w:val="22"/>
          <w:rtl/>
          <w:lang w:eastAsia="he-IL"/>
        </w:rPr>
        <w:t>שנתנו</w:t>
      </w:r>
      <w:r w:rsidRPr="00F41E78">
        <w:rPr>
          <w:rFonts w:cs="FrankRuehl"/>
          <w:sz w:val="18"/>
          <w:szCs w:val="22"/>
          <w:rtl/>
          <w:lang w:eastAsia="he-IL"/>
        </w:rPr>
        <w:t xml:space="preserve"> </w:t>
      </w:r>
      <w:r w:rsidRPr="00F41E78">
        <w:rPr>
          <w:rFonts w:cs="FrankRuehl" w:hint="eastAsia"/>
          <w:sz w:val="18"/>
          <w:szCs w:val="22"/>
          <w:rtl/>
          <w:lang w:eastAsia="he-IL"/>
        </w:rPr>
        <w:t>הבנקים</w:t>
      </w:r>
      <w:r w:rsidRPr="00F41E78">
        <w:rPr>
          <w:rFonts w:cs="FrankRuehl"/>
          <w:sz w:val="18"/>
          <w:szCs w:val="22"/>
          <w:rtl/>
          <w:lang w:eastAsia="he-IL"/>
        </w:rPr>
        <w:t xml:space="preserve"> </w:t>
      </w:r>
      <w:r w:rsidRPr="00F41E78">
        <w:rPr>
          <w:rFonts w:cs="FrankRuehl" w:hint="eastAsia"/>
          <w:sz w:val="18"/>
          <w:szCs w:val="22"/>
          <w:rtl/>
          <w:lang w:eastAsia="he-IL"/>
        </w:rPr>
        <w:t>לרוכשי</w:t>
      </w:r>
      <w:r w:rsidRPr="00F41E78">
        <w:rPr>
          <w:rFonts w:cs="FrankRuehl"/>
          <w:sz w:val="18"/>
          <w:szCs w:val="22"/>
          <w:rtl/>
          <w:lang w:eastAsia="he-IL"/>
        </w:rPr>
        <w:t xml:space="preserve"> </w:t>
      </w:r>
      <w:r w:rsidRPr="00F41E78">
        <w:rPr>
          <w:rFonts w:cs="FrankRuehl" w:hint="eastAsia"/>
          <w:sz w:val="18"/>
          <w:szCs w:val="22"/>
          <w:rtl/>
          <w:lang w:eastAsia="he-IL"/>
        </w:rPr>
        <w:t>דירות</w:t>
      </w:r>
      <w:r w:rsidRPr="00F41E78">
        <w:rPr>
          <w:rFonts w:cs="FrankRuehl"/>
          <w:sz w:val="18"/>
          <w:szCs w:val="22"/>
          <w:rtl/>
          <w:lang w:eastAsia="he-IL"/>
        </w:rPr>
        <w:t xml:space="preserve"> </w:t>
      </w:r>
      <w:r w:rsidRPr="00F41E78">
        <w:rPr>
          <w:rFonts w:cs="FrankRuehl" w:hint="eastAsia"/>
          <w:sz w:val="18"/>
          <w:szCs w:val="22"/>
          <w:rtl/>
          <w:lang w:eastAsia="he-IL"/>
        </w:rPr>
        <w:t>בשנים</w:t>
      </w:r>
      <w:r w:rsidRPr="00F41E78">
        <w:rPr>
          <w:rFonts w:cs="FrankRuehl"/>
          <w:sz w:val="18"/>
          <w:szCs w:val="22"/>
          <w:rtl/>
          <w:lang w:eastAsia="he-IL"/>
        </w:rPr>
        <w:t xml:space="preserve"> 2012-2009 </w:t>
      </w:r>
      <w:r w:rsidRPr="00F41E78">
        <w:rPr>
          <w:rFonts w:cs="FrankRuehl" w:hint="eastAsia"/>
          <w:sz w:val="18"/>
          <w:szCs w:val="22"/>
          <w:rtl/>
          <w:lang w:eastAsia="he-IL"/>
        </w:rPr>
        <w:t>גדל</w:t>
      </w:r>
      <w:r w:rsidRPr="00F41E78">
        <w:rPr>
          <w:rFonts w:cs="FrankRuehl"/>
          <w:sz w:val="18"/>
          <w:szCs w:val="22"/>
          <w:rtl/>
          <w:lang w:eastAsia="he-IL"/>
        </w:rPr>
        <w:t xml:space="preserve"> </w:t>
      </w:r>
      <w:r w:rsidRPr="00F41E78">
        <w:rPr>
          <w:rFonts w:cs="FrankRuehl" w:hint="eastAsia"/>
          <w:sz w:val="18"/>
          <w:szCs w:val="22"/>
          <w:rtl/>
          <w:lang w:eastAsia="he-IL"/>
        </w:rPr>
        <w:t>בכ</w:t>
      </w:r>
      <w:r w:rsidRPr="00F41E78">
        <w:rPr>
          <w:rFonts w:cs="FrankRuehl"/>
          <w:sz w:val="18"/>
          <w:szCs w:val="22"/>
          <w:rtl/>
          <w:lang w:eastAsia="he-IL"/>
        </w:rPr>
        <w:t xml:space="preserve">-33% </w:t>
      </w:r>
      <w:r w:rsidRPr="00F41E78">
        <w:rPr>
          <w:rFonts w:cs="FrankRuehl" w:hint="eastAsia"/>
          <w:sz w:val="18"/>
          <w:szCs w:val="22"/>
          <w:rtl/>
          <w:lang w:eastAsia="he-IL"/>
        </w:rPr>
        <w:t>ומסתכם</w:t>
      </w:r>
      <w:r w:rsidRPr="00F41E78">
        <w:rPr>
          <w:rFonts w:cs="FrankRuehl"/>
          <w:sz w:val="18"/>
          <w:szCs w:val="22"/>
          <w:rtl/>
          <w:lang w:eastAsia="he-IL"/>
        </w:rPr>
        <w:t xml:space="preserve"> </w:t>
      </w:r>
      <w:r w:rsidRPr="00F41E78">
        <w:rPr>
          <w:rFonts w:cs="FrankRuehl" w:hint="eastAsia"/>
          <w:sz w:val="18"/>
          <w:szCs w:val="22"/>
          <w:rtl/>
          <w:lang w:eastAsia="he-IL"/>
        </w:rPr>
        <w:t>בכ</w:t>
      </w:r>
      <w:r w:rsidRPr="00F41E78">
        <w:rPr>
          <w:rFonts w:cs="FrankRuehl"/>
          <w:sz w:val="18"/>
          <w:szCs w:val="22"/>
          <w:rtl/>
          <w:lang w:eastAsia="he-IL"/>
        </w:rPr>
        <w:t xml:space="preserve">-40 </w:t>
      </w:r>
      <w:r w:rsidRPr="00F41E78">
        <w:rPr>
          <w:rFonts w:cs="FrankRuehl" w:hint="eastAsia"/>
          <w:sz w:val="18"/>
          <w:szCs w:val="22"/>
          <w:rtl/>
          <w:lang w:eastAsia="he-IL"/>
        </w:rPr>
        <w:t>מיליארד</w:t>
      </w:r>
      <w:r w:rsidRPr="00F41E78">
        <w:rPr>
          <w:rFonts w:cs="FrankRuehl"/>
          <w:sz w:val="18"/>
          <w:szCs w:val="22"/>
          <w:rtl/>
          <w:lang w:eastAsia="he-IL"/>
        </w:rPr>
        <w:t xml:space="preserve"> </w:t>
      </w:r>
      <w:r w:rsidRPr="00F41E78">
        <w:rPr>
          <w:rFonts w:cs="FrankRuehl" w:hint="eastAsia"/>
          <w:sz w:val="18"/>
          <w:szCs w:val="22"/>
          <w:rtl/>
          <w:lang w:eastAsia="he-IL"/>
        </w:rPr>
        <w:t>ש</w:t>
      </w:r>
      <w:r w:rsidRPr="00F41E78">
        <w:rPr>
          <w:rFonts w:cs="FrankRuehl"/>
          <w:sz w:val="18"/>
          <w:szCs w:val="22"/>
          <w:rtl/>
          <w:lang w:eastAsia="he-IL"/>
        </w:rPr>
        <w:t>"ח:</w:t>
      </w:r>
      <w:r w:rsidRPr="00F41E78">
        <w:rPr>
          <w:rFonts w:cs="FrankRuehl" w:hint="cs"/>
          <w:sz w:val="18"/>
          <w:szCs w:val="22"/>
          <w:rtl/>
          <w:lang w:eastAsia="he-IL"/>
        </w:rPr>
        <w:t xml:space="preserve"> </w:t>
      </w:r>
    </w:p>
    <w:p w:rsidR="00E97EDA" w:rsidRPr="006237A1" w:rsidP="005D58C9">
      <w:pPr>
        <w:pStyle w:val="tab-name"/>
        <w:rPr>
          <w:rtl/>
          <w:lang w:eastAsia="he-IL"/>
        </w:rPr>
      </w:pPr>
      <w:r w:rsidRPr="007264BD">
        <w:rPr>
          <w:rFonts w:hint="cs"/>
          <w:b w:val="0"/>
          <w:bCs w:val="0"/>
          <w:sz w:val="20"/>
          <w:szCs w:val="20"/>
          <w:rtl/>
          <w:lang w:eastAsia="he-IL"/>
        </w:rPr>
        <w:t>לוח</w:t>
      </w:r>
      <w:r w:rsidRPr="007264BD" w:rsidR="005D58C9">
        <w:rPr>
          <w:rFonts w:hint="cs"/>
          <w:b w:val="0"/>
          <w:bCs w:val="0"/>
          <w:sz w:val="20"/>
          <w:szCs w:val="20"/>
          <w:rtl/>
          <w:lang w:eastAsia="he-IL"/>
        </w:rPr>
        <w:t xml:space="preserve"> 3</w:t>
      </w:r>
      <w:r w:rsidRPr="007264BD" w:rsidR="005D58C9">
        <w:rPr>
          <w:b w:val="0"/>
          <w:bCs w:val="0"/>
          <w:sz w:val="20"/>
          <w:szCs w:val="20"/>
          <w:rtl/>
          <w:lang w:eastAsia="he-IL"/>
        </w:rPr>
        <w:br/>
      </w:r>
      <w:r w:rsidRPr="006237A1">
        <w:rPr>
          <w:rFonts w:hint="cs"/>
          <w:rtl/>
          <w:lang w:eastAsia="he-IL"/>
        </w:rPr>
        <w:t>סך ערבויות מכר שניתנו לרוכשי דירות בשנים 2012-2009 (במיליארדי ש"ח)*</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
      <w:tblGrid>
        <w:gridCol w:w="3455"/>
        <w:gridCol w:w="763"/>
        <w:gridCol w:w="901"/>
        <w:gridCol w:w="786"/>
        <w:gridCol w:w="786"/>
      </w:tblGrid>
      <w:tr w:rsidTr="007264BD">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Ex>
        <w:trPr>
          <w:jc w:val="center"/>
        </w:trPr>
        <w:tc>
          <w:tcPr>
            <w:tcW w:w="0" w:type="auto"/>
            <w:tcBorders>
              <w:top w:val="single" w:sz="12" w:space="0" w:color="auto"/>
              <w:bottom w:val="single" w:sz="12" w:space="0" w:color="auto"/>
            </w:tcBorders>
            <w:shd w:val="pct10" w:color="auto" w:fill="auto"/>
          </w:tcPr>
          <w:p w:rsidR="00E97EDA" w:rsidRPr="00EC0D7D" w:rsidP="007264BD">
            <w:pPr>
              <w:spacing w:before="40" w:after="40" w:line="200" w:lineRule="exact"/>
              <w:jc w:val="both"/>
              <w:rPr>
                <w:rFonts w:cs="FrankRuehl"/>
                <w:b/>
                <w:bCs/>
                <w:sz w:val="20"/>
                <w:szCs w:val="20"/>
                <w:rtl/>
              </w:rPr>
            </w:pPr>
          </w:p>
        </w:tc>
        <w:tc>
          <w:tcPr>
            <w:tcW w:w="0" w:type="auto"/>
            <w:tcBorders>
              <w:top w:val="single" w:sz="12" w:space="0" w:color="auto"/>
              <w:bottom w:val="single" w:sz="12" w:space="0" w:color="auto"/>
            </w:tcBorders>
            <w:shd w:val="pct10" w:color="auto" w:fill="auto"/>
          </w:tcPr>
          <w:p w:rsidR="00E97EDA" w:rsidRPr="00EC0D7D" w:rsidP="007264BD">
            <w:pPr>
              <w:spacing w:before="40" w:after="40" w:line="200" w:lineRule="exact"/>
              <w:jc w:val="both"/>
              <w:rPr>
                <w:rFonts w:cs="FrankRuehl"/>
                <w:b/>
                <w:bCs/>
                <w:sz w:val="20"/>
                <w:szCs w:val="20"/>
                <w:rtl/>
              </w:rPr>
            </w:pPr>
            <w:r w:rsidRPr="00EC0D7D">
              <w:rPr>
                <w:rFonts w:cs="FrankRuehl" w:hint="cs"/>
                <w:b/>
                <w:bCs/>
                <w:sz w:val="20"/>
                <w:szCs w:val="20"/>
                <w:rtl/>
              </w:rPr>
              <w:t>2009</w:t>
            </w:r>
          </w:p>
        </w:tc>
        <w:tc>
          <w:tcPr>
            <w:tcW w:w="0" w:type="auto"/>
            <w:tcBorders>
              <w:top w:val="single" w:sz="12" w:space="0" w:color="auto"/>
              <w:bottom w:val="single" w:sz="12" w:space="0" w:color="auto"/>
            </w:tcBorders>
            <w:shd w:val="pct10" w:color="auto" w:fill="auto"/>
          </w:tcPr>
          <w:p w:rsidR="00E97EDA" w:rsidRPr="00EC0D7D" w:rsidP="007264BD">
            <w:pPr>
              <w:spacing w:before="40" w:after="40" w:line="200" w:lineRule="exact"/>
              <w:jc w:val="both"/>
              <w:rPr>
                <w:rFonts w:cs="FrankRuehl"/>
                <w:b/>
                <w:bCs/>
                <w:sz w:val="20"/>
                <w:szCs w:val="20"/>
                <w:rtl/>
              </w:rPr>
            </w:pPr>
            <w:r w:rsidRPr="00EC0D7D">
              <w:rPr>
                <w:rFonts w:cs="FrankRuehl" w:hint="cs"/>
                <w:b/>
                <w:bCs/>
                <w:sz w:val="20"/>
                <w:szCs w:val="20"/>
                <w:rtl/>
              </w:rPr>
              <w:t>2010</w:t>
            </w:r>
          </w:p>
        </w:tc>
        <w:tc>
          <w:tcPr>
            <w:tcW w:w="0" w:type="auto"/>
            <w:tcBorders>
              <w:top w:val="single" w:sz="12" w:space="0" w:color="auto"/>
              <w:bottom w:val="single" w:sz="12" w:space="0" w:color="auto"/>
            </w:tcBorders>
            <w:shd w:val="pct10" w:color="auto" w:fill="auto"/>
          </w:tcPr>
          <w:p w:rsidR="00E97EDA" w:rsidRPr="00EC0D7D" w:rsidP="007264BD">
            <w:pPr>
              <w:spacing w:before="40" w:after="40" w:line="200" w:lineRule="exact"/>
              <w:jc w:val="both"/>
              <w:rPr>
                <w:rFonts w:cs="FrankRuehl"/>
                <w:b/>
                <w:bCs/>
                <w:sz w:val="20"/>
                <w:szCs w:val="20"/>
                <w:rtl/>
              </w:rPr>
            </w:pPr>
            <w:r w:rsidRPr="00EC0D7D">
              <w:rPr>
                <w:rFonts w:cs="FrankRuehl" w:hint="cs"/>
                <w:b/>
                <w:bCs/>
                <w:sz w:val="20"/>
                <w:szCs w:val="20"/>
                <w:rtl/>
              </w:rPr>
              <w:t>2011</w:t>
            </w:r>
          </w:p>
        </w:tc>
        <w:tc>
          <w:tcPr>
            <w:tcW w:w="0" w:type="auto"/>
            <w:tcBorders>
              <w:top w:val="single" w:sz="12" w:space="0" w:color="auto"/>
              <w:bottom w:val="single" w:sz="12" w:space="0" w:color="auto"/>
            </w:tcBorders>
            <w:shd w:val="pct10" w:color="auto" w:fill="auto"/>
          </w:tcPr>
          <w:p w:rsidR="00E97EDA" w:rsidRPr="00EC0D7D" w:rsidP="007264BD">
            <w:pPr>
              <w:spacing w:before="40" w:after="40" w:line="200" w:lineRule="exact"/>
              <w:jc w:val="both"/>
              <w:rPr>
                <w:rFonts w:cs="FrankRuehl"/>
                <w:b/>
                <w:bCs/>
                <w:sz w:val="20"/>
                <w:szCs w:val="20"/>
                <w:rtl/>
              </w:rPr>
            </w:pPr>
            <w:r w:rsidRPr="00EC0D7D">
              <w:rPr>
                <w:rFonts w:cs="FrankRuehl" w:hint="cs"/>
                <w:b/>
                <w:bCs/>
                <w:sz w:val="20"/>
                <w:szCs w:val="20"/>
                <w:rtl/>
              </w:rPr>
              <w:t>2012</w:t>
            </w:r>
          </w:p>
        </w:tc>
      </w:tr>
      <w:tr w:rsidTr="007264BD">
        <w:tblPrEx>
          <w:tblW w:w="6691" w:type="dxa"/>
          <w:jc w:val="center"/>
          <w:tblLook w:val="01E0"/>
        </w:tblPrEx>
        <w:trPr>
          <w:jc w:val="center"/>
        </w:trPr>
        <w:tc>
          <w:tcPr>
            <w:tcW w:w="0" w:type="auto"/>
            <w:tcBorders>
              <w:top w:val="single" w:sz="12" w:space="0" w:color="auto"/>
            </w:tcBorders>
            <w:shd w:val="clear" w:color="auto" w:fill="auto"/>
          </w:tcPr>
          <w:p w:rsidR="00E97EDA" w:rsidRPr="00EC0D7D" w:rsidP="007264BD">
            <w:pPr>
              <w:spacing w:before="40" w:after="40" w:line="200" w:lineRule="exact"/>
              <w:jc w:val="both"/>
              <w:rPr>
                <w:rFonts w:cs="FrankRuehl"/>
                <w:sz w:val="20"/>
                <w:szCs w:val="20"/>
                <w:u w:val="single"/>
                <w:rtl/>
              </w:rPr>
            </w:pPr>
            <w:r w:rsidRPr="00EC0D7D">
              <w:rPr>
                <w:rFonts w:cs="FrankRuehl" w:hint="cs"/>
                <w:sz w:val="20"/>
                <w:szCs w:val="20"/>
                <w:rtl/>
              </w:rPr>
              <w:t xml:space="preserve">סך ערבויות מכר לרוכשי דירות </w:t>
            </w:r>
          </w:p>
        </w:tc>
        <w:tc>
          <w:tcPr>
            <w:tcW w:w="0" w:type="auto"/>
            <w:tcBorders>
              <w:top w:val="single" w:sz="12" w:space="0" w:color="auto"/>
            </w:tcBorders>
            <w:shd w:val="clear" w:color="auto" w:fill="auto"/>
          </w:tcPr>
          <w:p w:rsidR="00E97EDA" w:rsidRPr="00EC0D7D" w:rsidP="007264BD">
            <w:pPr>
              <w:spacing w:before="40" w:after="40" w:line="200" w:lineRule="exact"/>
              <w:jc w:val="both"/>
              <w:rPr>
                <w:rFonts w:cs="FrankRuehl"/>
                <w:sz w:val="20"/>
                <w:szCs w:val="20"/>
                <w:rtl/>
              </w:rPr>
            </w:pPr>
            <w:r w:rsidRPr="00EC0D7D">
              <w:rPr>
                <w:rFonts w:cs="FrankRuehl" w:hint="cs"/>
                <w:sz w:val="20"/>
                <w:szCs w:val="20"/>
                <w:rtl/>
              </w:rPr>
              <w:t>30.8</w:t>
            </w:r>
          </w:p>
        </w:tc>
        <w:tc>
          <w:tcPr>
            <w:tcW w:w="0" w:type="auto"/>
            <w:tcBorders>
              <w:top w:val="single" w:sz="12" w:space="0" w:color="auto"/>
            </w:tcBorders>
            <w:shd w:val="clear" w:color="auto" w:fill="auto"/>
          </w:tcPr>
          <w:p w:rsidR="00E97EDA" w:rsidRPr="00EC0D7D" w:rsidP="007264BD">
            <w:pPr>
              <w:spacing w:before="40" w:after="40" w:line="200" w:lineRule="exact"/>
              <w:jc w:val="both"/>
              <w:rPr>
                <w:rFonts w:cs="FrankRuehl"/>
                <w:sz w:val="20"/>
                <w:szCs w:val="20"/>
                <w:rtl/>
              </w:rPr>
            </w:pPr>
            <w:r w:rsidRPr="00EC0D7D">
              <w:rPr>
                <w:rFonts w:cs="FrankRuehl" w:hint="cs"/>
                <w:sz w:val="20"/>
                <w:szCs w:val="20"/>
                <w:rtl/>
              </w:rPr>
              <w:t>35.7</w:t>
            </w:r>
          </w:p>
        </w:tc>
        <w:tc>
          <w:tcPr>
            <w:tcW w:w="0" w:type="auto"/>
            <w:tcBorders>
              <w:top w:val="single" w:sz="12" w:space="0" w:color="auto"/>
            </w:tcBorders>
            <w:shd w:val="clear" w:color="auto" w:fill="auto"/>
          </w:tcPr>
          <w:p w:rsidR="00E97EDA" w:rsidRPr="00EC0D7D" w:rsidP="007264BD">
            <w:pPr>
              <w:spacing w:before="40" w:after="40" w:line="200" w:lineRule="exact"/>
              <w:jc w:val="both"/>
              <w:rPr>
                <w:rFonts w:cs="FrankRuehl"/>
                <w:sz w:val="20"/>
                <w:szCs w:val="20"/>
                <w:rtl/>
              </w:rPr>
            </w:pPr>
            <w:r w:rsidRPr="00EC0D7D">
              <w:rPr>
                <w:rFonts w:cs="FrankRuehl" w:hint="cs"/>
                <w:sz w:val="20"/>
                <w:szCs w:val="20"/>
                <w:rtl/>
              </w:rPr>
              <w:t>37.8</w:t>
            </w:r>
          </w:p>
        </w:tc>
        <w:tc>
          <w:tcPr>
            <w:tcW w:w="0" w:type="auto"/>
            <w:tcBorders>
              <w:top w:val="single" w:sz="12" w:space="0" w:color="auto"/>
            </w:tcBorders>
            <w:shd w:val="clear" w:color="auto" w:fill="auto"/>
          </w:tcPr>
          <w:p w:rsidR="00E97EDA" w:rsidRPr="00EC0D7D" w:rsidP="007264BD">
            <w:pPr>
              <w:spacing w:before="40" w:after="40" w:line="200" w:lineRule="exact"/>
              <w:jc w:val="both"/>
              <w:rPr>
                <w:rFonts w:cs="FrankRuehl"/>
                <w:sz w:val="20"/>
                <w:szCs w:val="20"/>
                <w:rtl/>
              </w:rPr>
            </w:pPr>
            <w:r w:rsidRPr="00EC0D7D">
              <w:rPr>
                <w:rFonts w:cs="FrankRuehl" w:hint="cs"/>
                <w:sz w:val="20"/>
                <w:szCs w:val="20"/>
                <w:rtl/>
              </w:rPr>
              <w:t>40.0</w:t>
            </w:r>
          </w:p>
        </w:tc>
      </w:tr>
      <w:tr w:rsidTr="007264BD">
        <w:tblPrEx>
          <w:tblW w:w="6691" w:type="dxa"/>
          <w:jc w:val="center"/>
          <w:tblLook w:val="01E0"/>
        </w:tblPrEx>
        <w:trPr>
          <w:jc w:val="center"/>
        </w:trPr>
        <w:tc>
          <w:tcPr>
            <w:tcW w:w="0" w:type="auto"/>
            <w:shd w:val="clear" w:color="auto" w:fill="auto"/>
          </w:tcPr>
          <w:p w:rsidR="00E97EDA" w:rsidRPr="00EC0D7D" w:rsidP="007264BD">
            <w:pPr>
              <w:spacing w:before="40" w:after="40" w:line="200" w:lineRule="exact"/>
              <w:jc w:val="both"/>
              <w:rPr>
                <w:rFonts w:cs="FrankRuehl"/>
                <w:sz w:val="20"/>
                <w:szCs w:val="20"/>
                <w:rtl/>
              </w:rPr>
            </w:pPr>
            <w:r w:rsidRPr="00EC0D7D">
              <w:rPr>
                <w:rFonts w:cs="FrankRuehl" w:hint="cs"/>
                <w:sz w:val="20"/>
                <w:szCs w:val="20"/>
                <w:rtl/>
              </w:rPr>
              <w:t xml:space="preserve">שיעור השינוי לעומת השנה הקודמת </w:t>
            </w:r>
          </w:p>
        </w:tc>
        <w:tc>
          <w:tcPr>
            <w:tcW w:w="0" w:type="auto"/>
            <w:shd w:val="clear" w:color="auto" w:fill="auto"/>
          </w:tcPr>
          <w:p w:rsidR="00E97EDA" w:rsidRPr="00EC0D7D" w:rsidP="007264BD">
            <w:pPr>
              <w:spacing w:before="40" w:after="40" w:line="200" w:lineRule="exact"/>
              <w:jc w:val="both"/>
              <w:rPr>
                <w:rFonts w:cs="FrankRuehl"/>
                <w:sz w:val="20"/>
                <w:szCs w:val="20"/>
                <w:rtl/>
              </w:rPr>
            </w:pPr>
          </w:p>
        </w:tc>
        <w:tc>
          <w:tcPr>
            <w:tcW w:w="0" w:type="auto"/>
            <w:shd w:val="clear" w:color="auto" w:fill="auto"/>
          </w:tcPr>
          <w:p w:rsidR="00E97EDA" w:rsidRPr="00EC0D7D" w:rsidP="00267656">
            <w:pPr>
              <w:spacing w:before="40" w:after="40" w:line="200" w:lineRule="exact"/>
              <w:jc w:val="both"/>
              <w:rPr>
                <w:rFonts w:cs="FrankRuehl"/>
                <w:sz w:val="20"/>
                <w:szCs w:val="20"/>
                <w:rtl/>
              </w:rPr>
            </w:pPr>
            <w:r w:rsidRPr="00EC0D7D">
              <w:rPr>
                <w:rFonts w:cs="FrankRuehl" w:hint="cs"/>
                <w:sz w:val="20"/>
                <w:szCs w:val="20"/>
                <w:rtl/>
              </w:rPr>
              <w:t>15.</w:t>
            </w:r>
            <w:r w:rsidRPr="00EC0D7D" w:rsidR="00267656">
              <w:rPr>
                <w:rFonts w:cs="FrankRuehl" w:hint="cs"/>
                <w:sz w:val="20"/>
                <w:szCs w:val="20"/>
                <w:rtl/>
              </w:rPr>
              <w:t>9</w:t>
            </w:r>
            <w:r w:rsidRPr="00EC0D7D">
              <w:rPr>
                <w:rFonts w:cs="FrankRuehl" w:hint="cs"/>
                <w:sz w:val="20"/>
                <w:szCs w:val="20"/>
                <w:rtl/>
              </w:rPr>
              <w:t>%</w:t>
            </w:r>
          </w:p>
        </w:tc>
        <w:tc>
          <w:tcPr>
            <w:tcW w:w="0" w:type="auto"/>
            <w:shd w:val="clear" w:color="auto" w:fill="auto"/>
          </w:tcPr>
          <w:p w:rsidR="00E97EDA" w:rsidRPr="00EC0D7D" w:rsidP="00267656">
            <w:pPr>
              <w:spacing w:before="40" w:after="40" w:line="200" w:lineRule="exact"/>
              <w:jc w:val="both"/>
              <w:rPr>
                <w:rFonts w:cs="FrankRuehl"/>
                <w:sz w:val="20"/>
                <w:szCs w:val="20"/>
                <w:rtl/>
              </w:rPr>
            </w:pPr>
            <w:r w:rsidRPr="00EC0D7D">
              <w:rPr>
                <w:rFonts w:cs="FrankRuehl" w:hint="cs"/>
                <w:sz w:val="20"/>
                <w:szCs w:val="20"/>
                <w:rtl/>
              </w:rPr>
              <w:t>5</w:t>
            </w:r>
            <w:r w:rsidRPr="00EC0D7D">
              <w:rPr>
                <w:rFonts w:cs="FrankRuehl" w:hint="cs"/>
                <w:sz w:val="20"/>
                <w:szCs w:val="20"/>
                <w:rtl/>
              </w:rPr>
              <w:t>.</w:t>
            </w:r>
            <w:r w:rsidRPr="00EC0D7D">
              <w:rPr>
                <w:rFonts w:cs="FrankRuehl" w:hint="cs"/>
                <w:sz w:val="20"/>
                <w:szCs w:val="20"/>
                <w:rtl/>
              </w:rPr>
              <w:t>9</w:t>
            </w:r>
            <w:r w:rsidRPr="00EC0D7D">
              <w:rPr>
                <w:rFonts w:cs="FrankRuehl" w:hint="cs"/>
                <w:sz w:val="20"/>
                <w:szCs w:val="20"/>
                <w:rtl/>
              </w:rPr>
              <w:t>%</w:t>
            </w:r>
          </w:p>
        </w:tc>
        <w:tc>
          <w:tcPr>
            <w:tcW w:w="0" w:type="auto"/>
            <w:shd w:val="clear" w:color="auto" w:fill="auto"/>
          </w:tcPr>
          <w:p w:rsidR="00E97EDA" w:rsidRPr="00EC0D7D" w:rsidP="007264BD">
            <w:pPr>
              <w:spacing w:before="40" w:after="40" w:line="200" w:lineRule="exact"/>
              <w:jc w:val="both"/>
              <w:rPr>
                <w:rFonts w:cs="FrankRuehl"/>
                <w:sz w:val="20"/>
                <w:szCs w:val="20"/>
                <w:rtl/>
              </w:rPr>
            </w:pPr>
            <w:r w:rsidRPr="00EC0D7D">
              <w:rPr>
                <w:rFonts w:cs="FrankRuehl" w:hint="cs"/>
                <w:sz w:val="20"/>
                <w:szCs w:val="20"/>
                <w:rtl/>
              </w:rPr>
              <w:t>5.8%</w:t>
            </w:r>
          </w:p>
        </w:tc>
      </w:tr>
    </w:tbl>
    <w:p w:rsidR="00E97EDA" w:rsidRPr="007264BD" w:rsidP="007264BD">
      <w:pPr>
        <w:spacing w:before="120" w:after="240" w:line="200" w:lineRule="exact"/>
        <w:ind w:left="397" w:hanging="397"/>
        <w:jc w:val="both"/>
        <w:rPr>
          <w:rFonts w:cs="FrankRuehl"/>
          <w:sz w:val="20"/>
          <w:szCs w:val="20"/>
          <w:rtl/>
        </w:rPr>
      </w:pPr>
      <w:r w:rsidRPr="007264BD">
        <w:rPr>
          <w:rFonts w:cs="FrankRuehl" w:hint="cs"/>
          <w:sz w:val="20"/>
          <w:szCs w:val="20"/>
          <w:rtl/>
        </w:rPr>
        <w:t xml:space="preserve">* </w:t>
      </w:r>
      <w:r w:rsidR="007264BD">
        <w:rPr>
          <w:rFonts w:cs="FrankRuehl"/>
          <w:sz w:val="20"/>
          <w:szCs w:val="20"/>
          <w:rtl/>
        </w:rPr>
        <w:tab/>
      </w:r>
      <w:r w:rsidRPr="007264BD">
        <w:rPr>
          <w:rFonts w:cs="FrankRuehl" w:hint="cs"/>
          <w:sz w:val="20"/>
          <w:szCs w:val="20"/>
          <w:rtl/>
        </w:rPr>
        <w:t>לפי</w:t>
      </w:r>
      <w:r w:rsidRPr="007264BD">
        <w:rPr>
          <w:rFonts w:cs="FrankRuehl"/>
          <w:sz w:val="20"/>
          <w:szCs w:val="20"/>
          <w:rtl/>
        </w:rPr>
        <w:t xml:space="preserve"> בנק ישראל</w:t>
      </w:r>
      <w:r w:rsidRPr="007264BD">
        <w:rPr>
          <w:rFonts w:cs="FrankRuehl" w:hint="cs"/>
          <w:sz w:val="20"/>
          <w:szCs w:val="20"/>
          <w:rtl/>
        </w:rPr>
        <w:t>, סקירות</w:t>
      </w:r>
      <w:r w:rsidRPr="007264BD">
        <w:rPr>
          <w:rFonts w:cs="FrankRuehl"/>
          <w:sz w:val="20"/>
          <w:szCs w:val="20"/>
          <w:rtl/>
        </w:rPr>
        <w:t xml:space="preserve"> המפקח על הבנקים, מערכת הבנקאות בישראל</w:t>
      </w:r>
      <w:r w:rsidRPr="007264BD">
        <w:rPr>
          <w:rFonts w:cs="FrankRuehl" w:hint="cs"/>
          <w:sz w:val="20"/>
          <w:szCs w:val="20"/>
          <w:rtl/>
        </w:rPr>
        <w:t xml:space="preserve"> -</w:t>
      </w:r>
      <w:r w:rsidRPr="007264BD">
        <w:rPr>
          <w:rFonts w:cs="FrankRuehl"/>
          <w:sz w:val="20"/>
          <w:szCs w:val="20"/>
          <w:rtl/>
        </w:rPr>
        <w:t xml:space="preserve"> סקירות שנתיות </w:t>
      </w:r>
      <w:r w:rsidRPr="007264BD">
        <w:rPr>
          <w:rFonts w:cs="FrankRuehl" w:hint="cs"/>
          <w:sz w:val="20"/>
          <w:szCs w:val="20"/>
          <w:rtl/>
        </w:rPr>
        <w:t>2012-2009</w:t>
      </w:r>
      <w:r w:rsidRPr="007264BD">
        <w:rPr>
          <w:rFonts w:cs="FrankRuehl"/>
          <w:sz w:val="20"/>
          <w:szCs w:val="20"/>
          <w:rtl/>
        </w:rPr>
        <w:t>.</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הוראת הפיקוח על הבנקים</w:t>
      </w:r>
      <w:r>
        <w:rPr>
          <w:rFonts w:cs="FrankRuehl"/>
          <w:sz w:val="18"/>
          <w:szCs w:val="22"/>
          <w:vertAlign w:val="superscript"/>
          <w:rtl/>
          <w:lang w:eastAsia="he-IL"/>
        </w:rPr>
        <w:footnoteReference w:id="116"/>
      </w:r>
      <w:r w:rsidRPr="00F41E78">
        <w:rPr>
          <w:rFonts w:cs="FrankRuehl" w:hint="cs"/>
          <w:sz w:val="18"/>
          <w:szCs w:val="22"/>
          <w:rtl/>
          <w:lang w:eastAsia="he-IL"/>
        </w:rPr>
        <w:t xml:space="preserve"> קובעת שכאשר סך כל החבויות של ענף מסוים לתאגיד בנקאי עולה על 20% מסך כל חבויות הציבור לתאגיד הבנקאי, ייחשב עודף זה כחבות חריגה. בגין חבות זו על הבנק להפריש סכום ההולך וגדל כהפרשה נוספת לחובות מסופקים היכולה להגיע עד לכדי 8% מסכום האשראי המוגדר כחבות חריגה (להלן - מגבלת האשראי הענפית).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בתחילת 2012 הגיעו למשרד האוצר פניות מצד קבלנים בדבר קשיים בקבלת מימון בנקאי לצורך הקמת פרויקטים של בנייה למגורים. דברים דומים נאמרו לנציגי משרד מבקר המדינה במרץ 2013 בפגישה עם נציגים מהתאחדות בוני הארץ. </w:t>
      </w:r>
    </w:p>
    <w:p w:rsidR="00E97EDA" w:rsidRPr="00F41E78" w:rsidP="00A7557B">
      <w:pPr>
        <w:spacing w:after="120" w:line="230" w:lineRule="exact"/>
        <w:jc w:val="both"/>
        <w:rPr>
          <w:rFonts w:cs="FrankRuehl"/>
          <w:sz w:val="18"/>
          <w:szCs w:val="22"/>
          <w:rtl/>
          <w:lang w:eastAsia="he-IL"/>
        </w:rPr>
      </w:pPr>
      <w:r w:rsidRPr="00F41E78">
        <w:rPr>
          <w:rFonts w:cs="FrankRuehl" w:hint="eastAsia"/>
          <w:sz w:val="18"/>
          <w:szCs w:val="22"/>
          <w:rtl/>
          <w:lang w:eastAsia="he-IL"/>
        </w:rPr>
        <w:t>אג</w:t>
      </w:r>
      <w:r w:rsidRPr="00F41E78">
        <w:rPr>
          <w:rFonts w:cs="FrankRuehl"/>
          <w:sz w:val="18"/>
          <w:szCs w:val="22"/>
          <w:rtl/>
          <w:lang w:eastAsia="he-IL"/>
        </w:rPr>
        <w:t xml:space="preserve">"ת מסר לנציגי משרד מבקר המדינה בפגישה </w:t>
      </w:r>
      <w:r w:rsidRPr="00F41E78">
        <w:rPr>
          <w:rFonts w:cs="FrankRuehl" w:hint="eastAsia"/>
          <w:sz w:val="18"/>
          <w:szCs w:val="22"/>
          <w:rtl/>
          <w:lang w:eastAsia="he-IL"/>
        </w:rPr>
        <w:t>במרץ</w:t>
      </w:r>
      <w:r w:rsidRPr="00F41E78">
        <w:rPr>
          <w:rFonts w:cs="FrankRuehl"/>
          <w:sz w:val="18"/>
          <w:szCs w:val="22"/>
          <w:rtl/>
          <w:lang w:eastAsia="he-IL"/>
        </w:rPr>
        <w:t xml:space="preserve"> 2013,</w:t>
      </w:r>
      <w:r w:rsidRPr="00F41E78">
        <w:rPr>
          <w:rFonts w:cs="FrankRuehl" w:hint="cs"/>
          <w:sz w:val="18"/>
          <w:szCs w:val="22"/>
          <w:rtl/>
          <w:lang w:eastAsia="he-IL"/>
        </w:rPr>
        <w:t xml:space="preserve"> כי בחן את נתוני האשראי הבנקאי שחמשת הבנקים הגדולים הציגו בדוחותיהם ביוני 2011, ומצא כי שני הבנקים הגדולים הם המקור לכ-70% מסך האשראי לענף הבינוי והנדל"ן. כמו כן מצא האגף כי שיעור האשראי ששני הבנקים האמורים נותנים לענף הבינוי והנדל"ן גבוה ומתן אשראי נוסף לענף יקרבם לצורך לסווגו כחבות חריגה.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כדי לוודא שלא ייווצ</w:t>
      </w:r>
      <w:r w:rsidRPr="00F41E78">
        <w:rPr>
          <w:rFonts w:cs="FrankRuehl" w:hint="eastAsia"/>
          <w:sz w:val="18"/>
          <w:szCs w:val="22"/>
          <w:rtl/>
          <w:lang w:eastAsia="he-IL"/>
        </w:rPr>
        <w:t>ר</w:t>
      </w:r>
      <w:r w:rsidRPr="00F41E78">
        <w:rPr>
          <w:rFonts w:cs="FrankRuehl" w:hint="cs"/>
          <w:sz w:val="18"/>
          <w:szCs w:val="22"/>
          <w:rtl/>
          <w:lang w:eastAsia="he-IL"/>
        </w:rPr>
        <w:t xml:space="preserve"> "</w:t>
      </w:r>
      <w:r w:rsidRPr="00F41E78">
        <w:rPr>
          <w:rFonts w:cs="FrankRuehl" w:hint="eastAsia"/>
          <w:sz w:val="18"/>
          <w:szCs w:val="22"/>
          <w:rtl/>
          <w:lang w:eastAsia="he-IL"/>
        </w:rPr>
        <w:t>מחנק</w:t>
      </w:r>
      <w:r w:rsidRPr="00F41E78">
        <w:rPr>
          <w:rFonts w:cs="FrankRuehl"/>
          <w:sz w:val="18"/>
          <w:szCs w:val="22"/>
          <w:rtl/>
          <w:lang w:eastAsia="he-IL"/>
        </w:rPr>
        <w:t xml:space="preserve"> </w:t>
      </w:r>
      <w:r w:rsidRPr="00F41E78">
        <w:rPr>
          <w:rFonts w:cs="FrankRuehl" w:hint="eastAsia"/>
          <w:sz w:val="18"/>
          <w:szCs w:val="22"/>
          <w:rtl/>
          <w:lang w:eastAsia="he-IL"/>
        </w:rPr>
        <w:t>אשראי</w:t>
      </w:r>
      <w:r w:rsidRPr="00F41E78">
        <w:rPr>
          <w:rFonts w:cs="FrankRuehl" w:hint="cs"/>
          <w:sz w:val="18"/>
          <w:szCs w:val="22"/>
          <w:rtl/>
          <w:lang w:eastAsia="he-IL"/>
        </w:rPr>
        <w:t xml:space="preserve">" בענף, שיוביל בתורו לצמצום היקפי הבנייה במשק ולמתווה של עליות מחירי הדיור, הוביל אג"ת להחלטת ממשלה (החלטה מס' 5068 מאוגוסט 2012) בדבר </w:t>
      </w:r>
      <w:r w:rsidRPr="00F41E78">
        <w:rPr>
          <w:rFonts w:cs="FrankRuehl" w:hint="cs"/>
          <w:sz w:val="18"/>
          <w:szCs w:val="22"/>
          <w:rtl/>
          <w:lang w:eastAsia="he-IL"/>
        </w:rPr>
        <w:t xml:space="preserve">"הקמת קרן להחזר מע"מ לבנקים בגין ערבויות בהתאם לחוק המכר בפרויקטים לבנייה למגורים" (להלן - קרן מע"ם). ממסמכי אג"ת עולה כי מתן אפשרות לבנקים שלא לכלול את רכיב המע"ם בערבויות המכר שהם מנפיקים לרוכשי הדירות תאפשר לבנקים להגדיל את מתן האשראי לענף הבינוי והנדל"ן בסכום נוסף של כ-6.3 מיליארד ש"ח. </w:t>
      </w:r>
    </w:p>
    <w:p w:rsidR="00E97EDA" w:rsidRPr="003966EF" w:rsidP="003966EF">
      <w:pPr>
        <w:pStyle w:val="BodyText"/>
        <w:spacing w:before="0"/>
        <w:rPr>
          <w:sz w:val="18"/>
          <w:rtl/>
          <w:lang w:eastAsia="he-IL"/>
        </w:rPr>
      </w:pPr>
      <w:r w:rsidRPr="003966EF">
        <w:rPr>
          <w:rFonts w:hint="cs"/>
          <w:sz w:val="18"/>
          <w:rtl/>
          <w:lang w:eastAsia="he-IL"/>
        </w:rPr>
        <w:t>קרן מע"ם היא קרן תקציבית ממשלתית הנועדה להגדיל את האשראי הפנוי במערכת הבנקאית לצורך מתן אשראי לקבלנים לבנייה ולעבודות תשתית. על פי החלטת הממשלה מאוגוסט 2012 תפעיל רשות המסים את הקרן על פי תקנון, ותתחייב באמצעות כתב התחייבות שהיא תהיה חתומה עליו (נוסף לחתימתו של התאגיד הבנקאי) להחזיר לתאגיד הבנקאי סכום בשיעור של מרכיב המע"ם מכלל הסכום שהתאגיד הבנקאי ישלם לרוכש הדירה, בשל חילוט ערבות המכר שהקבלן העמיד לאותו קונה. לשם תפעול הקרן, על כתב ההתחייבות לכלול הוראות דיווח מהבנק אל הקרן בדבר הדירות שייכללו במסגרת התחייבות הקרן ובדבר סכומי ההתחייבות וכן הודעה בנוגע לכוונת רוכש כלשהו לחלט את ערבות המכר שקיבל.</w:t>
      </w:r>
    </w:p>
    <w:p w:rsidR="00E97EDA" w:rsidRPr="00F41E78" w:rsidP="003966EF">
      <w:pPr>
        <w:spacing w:after="240" w:line="230" w:lineRule="exact"/>
        <w:jc w:val="both"/>
        <w:rPr>
          <w:rFonts w:cs="FrankRuehl"/>
          <w:sz w:val="18"/>
          <w:szCs w:val="22"/>
          <w:rtl/>
          <w:lang w:eastAsia="he-IL"/>
        </w:rPr>
      </w:pPr>
      <w:r w:rsidRPr="00F41E78">
        <w:rPr>
          <w:rFonts w:cs="FrankRuehl" w:hint="cs"/>
          <w:sz w:val="18"/>
          <w:szCs w:val="22"/>
          <w:rtl/>
          <w:lang w:eastAsia="he-IL"/>
        </w:rPr>
        <w:t>באותו זמן, כל קבלן המעוניין להיכלל בהסדר צריך לחתום מול הקרן (בהסכמת התאגיד הבנקאי המלווה) על כתב שעבוד, ולפיו הקבלן משעבד לטובת המדינה כל החזר מע"ם המגיע לו בשל ביטול עסקת מכר עם רוכש שבחר לחלט את ערבות המכר. על פי החלטת הממשלה, את תקנון הקרן יקבע מנהל רשות המסים בהתייעצות עם החשב הכללי, עם אג"ת ועם המפקח על הבנקים; כתב התחייבות הקרן וכתב השעבוד יסוכמו בין הגורמים האמורים עד 30.8.12</w:t>
      </w:r>
      <w:r w:rsidRPr="00F41E78">
        <w:rPr>
          <w:rFonts w:cs="FrankRuehl"/>
          <w:sz w:val="18"/>
          <w:szCs w:val="22"/>
          <w:rtl/>
          <w:lang w:eastAsia="he-IL"/>
        </w:rPr>
        <w:t>;</w:t>
      </w:r>
      <w:r w:rsidRPr="00F41E78">
        <w:rPr>
          <w:rFonts w:cs="FrankRuehl" w:hint="cs"/>
          <w:sz w:val="18"/>
          <w:szCs w:val="22"/>
          <w:rtl/>
          <w:lang w:eastAsia="he-IL"/>
        </w:rPr>
        <w:t xml:space="preserve"> ופעילות הקרן תוגבל לפרויקטים שהסכם הליווי שלהם נחתם בין 1.9.12 ל-31.12.15.</w:t>
      </w:r>
    </w:p>
    <w:p w:rsidR="00D22B16" w:rsidRPr="00F41E78" w:rsidP="00D22B16">
      <w:pPr>
        <w:pStyle w:val="RESHET"/>
        <w:keepLines/>
        <w:rPr>
          <w:rtl/>
        </w:rPr>
      </w:pPr>
      <w:r w:rsidRPr="00F41E78">
        <w:rPr>
          <w:rFonts w:hint="cs"/>
          <w:rtl/>
        </w:rPr>
        <w:t xml:space="preserve">נמצא כי במועד סיום הביקורת, יותר משנה לאחר שהתקבלה החלטת הממשלה, הקרן עדיין לא הופעלה, </w:t>
      </w:r>
      <w:r w:rsidRPr="00F41E78">
        <w:rPr>
          <w:rFonts w:hint="eastAsia"/>
          <w:rtl/>
        </w:rPr>
        <w:t>ולמותר</w:t>
      </w:r>
      <w:r w:rsidRPr="00F41E78">
        <w:rPr>
          <w:rtl/>
        </w:rPr>
        <w:t xml:space="preserve"> </w:t>
      </w:r>
      <w:r w:rsidRPr="00F41E78">
        <w:rPr>
          <w:rFonts w:hint="eastAsia"/>
          <w:rtl/>
        </w:rPr>
        <w:t>לציין</w:t>
      </w:r>
      <w:r w:rsidRPr="00F41E78">
        <w:rPr>
          <w:rtl/>
        </w:rPr>
        <w:t xml:space="preserve"> </w:t>
      </w:r>
      <w:r w:rsidRPr="00F41E78">
        <w:rPr>
          <w:rFonts w:hint="eastAsia"/>
          <w:rtl/>
        </w:rPr>
        <w:t>שטרם</w:t>
      </w:r>
      <w:r w:rsidRPr="00F41E78">
        <w:rPr>
          <w:rFonts w:hint="cs"/>
          <w:rtl/>
        </w:rPr>
        <w:t xml:space="preserve"> נבחנה מידת האפקטיביות שלה בהגדלת מתן האשראי לתחום הנדל"ן והשפעתה על היצע הדירות ומחיריהן. משרד מבקר המדינה מעיר כי עקב האיחור בהפעלתה של הקרן, </w:t>
      </w:r>
      <w:r w:rsidRPr="00F41E78">
        <w:rPr>
          <w:rFonts w:hint="eastAsia"/>
          <w:rtl/>
        </w:rPr>
        <w:t>על</w:t>
      </w:r>
      <w:r w:rsidRPr="00F41E78">
        <w:rPr>
          <w:rtl/>
        </w:rPr>
        <w:t xml:space="preserve"> אג"ת לבחון </w:t>
      </w:r>
      <w:r w:rsidRPr="00F41E78">
        <w:rPr>
          <w:rFonts w:hint="eastAsia"/>
          <w:rtl/>
        </w:rPr>
        <w:t>האם</w:t>
      </w:r>
      <w:r w:rsidRPr="00F41E78">
        <w:rPr>
          <w:rtl/>
        </w:rPr>
        <w:t xml:space="preserve"> </w:t>
      </w:r>
      <w:r w:rsidRPr="00F41E78">
        <w:rPr>
          <w:rFonts w:hint="eastAsia"/>
          <w:rtl/>
        </w:rPr>
        <w:t>השארת</w:t>
      </w:r>
      <w:r w:rsidRPr="00F41E78">
        <w:rPr>
          <w:rtl/>
        </w:rPr>
        <w:t xml:space="preserve"> </w:t>
      </w:r>
      <w:r w:rsidRPr="00F41E78">
        <w:rPr>
          <w:rFonts w:hint="eastAsia"/>
          <w:rtl/>
        </w:rPr>
        <w:t>מועד</w:t>
      </w:r>
      <w:r w:rsidRPr="00F41E78">
        <w:rPr>
          <w:rtl/>
        </w:rPr>
        <w:t xml:space="preserve"> </w:t>
      </w:r>
      <w:r w:rsidRPr="00F41E78">
        <w:rPr>
          <w:rFonts w:hint="eastAsia"/>
          <w:rtl/>
        </w:rPr>
        <w:t>סיום</w:t>
      </w:r>
      <w:r w:rsidRPr="00F41E78">
        <w:rPr>
          <w:rtl/>
        </w:rPr>
        <w:t xml:space="preserve"> </w:t>
      </w:r>
      <w:r w:rsidRPr="00F41E78">
        <w:rPr>
          <w:rFonts w:hint="eastAsia"/>
          <w:rtl/>
        </w:rPr>
        <w:t>הפעלתה</w:t>
      </w:r>
      <w:r w:rsidRPr="00F41E78">
        <w:rPr>
          <w:rtl/>
        </w:rPr>
        <w:t xml:space="preserve"> </w:t>
      </w:r>
      <w:r w:rsidRPr="00F41E78">
        <w:rPr>
          <w:rFonts w:hint="eastAsia"/>
          <w:rtl/>
        </w:rPr>
        <w:t>ללא</w:t>
      </w:r>
      <w:r w:rsidRPr="00F41E78">
        <w:rPr>
          <w:rtl/>
        </w:rPr>
        <w:t xml:space="preserve"> </w:t>
      </w:r>
      <w:r w:rsidRPr="00F41E78">
        <w:rPr>
          <w:rFonts w:hint="eastAsia"/>
          <w:rtl/>
        </w:rPr>
        <w:t>שינוי</w:t>
      </w:r>
      <w:r w:rsidRPr="00F41E78">
        <w:rPr>
          <w:rtl/>
        </w:rPr>
        <w:t xml:space="preserve"> </w:t>
      </w:r>
      <w:r w:rsidRPr="00F41E78">
        <w:rPr>
          <w:rFonts w:hint="eastAsia"/>
          <w:rtl/>
        </w:rPr>
        <w:t>עולה</w:t>
      </w:r>
      <w:r w:rsidRPr="00F41E78">
        <w:rPr>
          <w:rtl/>
        </w:rPr>
        <w:t xml:space="preserve"> </w:t>
      </w:r>
      <w:r w:rsidRPr="00F41E78">
        <w:rPr>
          <w:rFonts w:hint="eastAsia"/>
          <w:rtl/>
        </w:rPr>
        <w:t>בקנה</w:t>
      </w:r>
      <w:r w:rsidRPr="00F41E78">
        <w:rPr>
          <w:rtl/>
        </w:rPr>
        <w:t xml:space="preserve"> </w:t>
      </w:r>
      <w:r w:rsidRPr="00F41E78">
        <w:rPr>
          <w:rFonts w:hint="eastAsia"/>
          <w:rtl/>
        </w:rPr>
        <w:t>אחד</w:t>
      </w:r>
      <w:r w:rsidRPr="00F41E78">
        <w:rPr>
          <w:rtl/>
        </w:rPr>
        <w:t xml:space="preserve"> </w:t>
      </w:r>
      <w:r w:rsidRPr="00F41E78">
        <w:rPr>
          <w:rFonts w:hint="eastAsia"/>
          <w:rtl/>
        </w:rPr>
        <w:t>עם</w:t>
      </w:r>
      <w:r w:rsidRPr="00F41E78">
        <w:rPr>
          <w:rtl/>
        </w:rPr>
        <w:t xml:space="preserve"> </w:t>
      </w:r>
      <w:r w:rsidRPr="00F41E78">
        <w:rPr>
          <w:rFonts w:hint="eastAsia"/>
          <w:rtl/>
        </w:rPr>
        <w:t>מטרת</w:t>
      </w:r>
      <w:r w:rsidRPr="00F41E78">
        <w:rPr>
          <w:rtl/>
        </w:rPr>
        <w:t xml:space="preserve"> </w:t>
      </w:r>
      <w:r w:rsidRPr="00F41E78">
        <w:rPr>
          <w:rFonts w:hint="eastAsia"/>
          <w:rtl/>
        </w:rPr>
        <w:t>הקמתה</w:t>
      </w:r>
      <w:r w:rsidRPr="00F41E78">
        <w:rPr>
          <w:rtl/>
        </w:rPr>
        <w:t>.</w:t>
      </w:r>
    </w:p>
    <w:p w:rsidR="00E97EDA" w:rsidRPr="00F41E78" w:rsidP="003D4A23">
      <w:pPr>
        <w:spacing w:before="180" w:after="120" w:line="230" w:lineRule="exact"/>
        <w:jc w:val="both"/>
        <w:rPr>
          <w:rFonts w:cs="FrankRuehl"/>
          <w:sz w:val="18"/>
          <w:szCs w:val="22"/>
          <w:rtl/>
          <w:lang w:eastAsia="he-IL"/>
        </w:rPr>
      </w:pPr>
      <w:r w:rsidRPr="00582A43">
        <w:rPr>
          <w:rFonts w:cs="FrankRuehl" w:hint="cs"/>
          <w:sz w:val="18"/>
          <w:szCs w:val="22"/>
          <w:rtl/>
          <w:lang w:eastAsia="he-IL"/>
        </w:rPr>
        <w:t>סגן הממונה על התקציבים מסר בתגובתו למשרד</w:t>
      </w:r>
      <w:r w:rsidRPr="00F41E78">
        <w:rPr>
          <w:rFonts w:cs="FrankRuehl" w:hint="cs"/>
          <w:sz w:val="18"/>
          <w:szCs w:val="22"/>
          <w:rtl/>
          <w:lang w:eastAsia="he-IL"/>
        </w:rPr>
        <w:t xml:space="preserve"> מבקר המדינה מדצמבר 2013 (להלן - תגובת אג"ת) כי מיום קבלת החלטת הממשלה התקיימו דיונים רבים בין אג"ת ובין נציגים מבנק ישראל, מרשות המסים ומאיגוד הבנקים, ובקרוב יסוכמו מסמכיה של קרן מע"ם באופן סופי. דברים דומים מסר בתשובתו חשב רשות המסים. הוא הוסיף כי רשות המסים פיתחה מערכת ממוחשבת לקליטת הדיווחים מהתאגידים הבנקאיים לצורך הניהול השוטף של הקרן וביצוע בקרות ומנהל הרשות מינה לקרן ההנהלה וכן ועדת משנה.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בתקופה שעברה מאז בחן אג"ת את הצורך בהקמת קרן מע"ם חלו שינויים בזמינות האשראי הניתן לענף הבינוי והנדל"ן. בפגישה עם נציגי בנק ישראל ב-28.1.13 נמסר לנציגי משרד מבקר המדינה שמגבלת האשראי בענף האמור אינה אפקטיבית. לדברי נגיד בנק ישראל</w:t>
      </w:r>
      <w:r>
        <w:rPr>
          <w:rFonts w:cs="FrankRuehl"/>
          <w:sz w:val="18"/>
          <w:szCs w:val="22"/>
          <w:vertAlign w:val="superscript"/>
          <w:rtl/>
          <w:lang w:eastAsia="he-IL"/>
        </w:rPr>
        <w:footnoteReference w:id="117"/>
      </w:r>
      <w:r w:rsidRPr="00F41E78">
        <w:rPr>
          <w:rFonts w:cs="FrankRuehl" w:hint="cs"/>
          <w:sz w:val="18"/>
          <w:szCs w:val="22"/>
          <w:rtl/>
          <w:lang w:eastAsia="he-IL"/>
        </w:rPr>
        <w:t xml:space="preserve"> "גורם נוסף שמשפיע על היצע הדירות הנו האשראי לקבלנים. בהקשר לזה נשמעות טענות על פיהן הקבלנים אינם מקבלים מספיק אשראי... למרות המגבלה הענפית על האשראי לענף הנדל"ן, המערכת הבנקאית יכולה, באופן עקרוני, לספק עוד אשראי בהיקף של כ-20 מיליארד שקל לענף, גם אם חלק מהבנקים נמצא קרוב לסף שנקבע. לאחרונה גם הקל המפקח על הבנקים על הדרישה להקצאת הון בגין ערבויות חוק המכר, שמאפשרת להגדיל את החשיפה לענף הנדל"ן, העובדה שלא כל הבנקים נמצאים במגבלה שהוטלה עליהם מראה שהם בעצמם אינם רואים לנכון להגדיל את האשראי לענף. אין זה תפקידו של המפקח על הבנקים, ואין בכוונתו, להכריח את הבנקים להגדיל את האשראי לענף </w:t>
      </w:r>
      <w:r w:rsidRPr="00F41E78">
        <w:rPr>
          <w:rFonts w:cs="FrankRuehl"/>
          <w:sz w:val="18"/>
          <w:szCs w:val="22"/>
          <w:rtl/>
          <w:lang w:eastAsia="he-IL"/>
        </w:rPr>
        <w:t>-</w:t>
      </w:r>
      <w:r w:rsidRPr="00F41E78">
        <w:rPr>
          <w:rFonts w:cs="FrankRuehl" w:hint="cs"/>
          <w:sz w:val="18"/>
          <w:szCs w:val="22"/>
          <w:rtl/>
          <w:lang w:eastAsia="he-IL"/>
        </w:rPr>
        <w:t xml:space="preserve"> זה </w:t>
      </w:r>
      <w:r w:rsidRPr="00F41E78">
        <w:rPr>
          <w:rFonts w:cs="FrankRuehl" w:hint="cs"/>
          <w:sz w:val="18"/>
          <w:szCs w:val="22"/>
          <w:rtl/>
          <w:lang w:eastAsia="he-IL"/>
        </w:rPr>
        <w:t>תפקידם של הבנקים להחליט על היקפי האשראי שלהם, והמפקח צריך להתערב רק כאשר הבנקים פועלים שלא כשורה".</w:t>
      </w:r>
    </w:p>
    <w:p w:rsidR="00E97EDA" w:rsidRPr="007264BD" w:rsidP="007264BD">
      <w:pPr>
        <w:pStyle w:val="BodyText"/>
        <w:spacing w:before="0"/>
        <w:rPr>
          <w:sz w:val="18"/>
          <w:rtl/>
          <w:lang w:eastAsia="he-IL"/>
        </w:rPr>
      </w:pPr>
      <w:r w:rsidRPr="007264BD">
        <w:rPr>
          <w:rFonts w:hint="cs"/>
          <w:sz w:val="18"/>
          <w:rtl/>
          <w:lang w:eastAsia="he-IL"/>
        </w:rPr>
        <w:t>להלן הנתונים שמסר בנק ישראל למשרד מבקר המדינה בספטמבר 2013 בנוגע לאשראי הפנוי לענף הבינוי והנדל"ן במערכת הבנקאית, שאותם חישב לצורכי מעקב שוטף:</w:t>
      </w:r>
    </w:p>
    <w:p w:rsidR="00E97EDA" w:rsidRPr="006237A1" w:rsidP="007264BD">
      <w:pPr>
        <w:pStyle w:val="tab-name"/>
        <w:rPr>
          <w:rtl/>
          <w:lang w:eastAsia="he-IL"/>
        </w:rPr>
      </w:pPr>
      <w:r w:rsidRPr="007264BD">
        <w:rPr>
          <w:rFonts w:hint="cs"/>
          <w:b w:val="0"/>
          <w:bCs w:val="0"/>
          <w:sz w:val="20"/>
          <w:szCs w:val="20"/>
          <w:rtl/>
          <w:lang w:eastAsia="he-IL"/>
        </w:rPr>
        <w:t>לוח 4</w:t>
      </w:r>
      <w:r w:rsidRPr="007264BD">
        <w:rPr>
          <w:i/>
          <w:iCs/>
          <w:sz w:val="20"/>
          <w:szCs w:val="20"/>
          <w:rtl/>
          <w:lang w:eastAsia="he-IL"/>
        </w:rPr>
        <w:br/>
      </w:r>
      <w:r w:rsidRPr="006237A1">
        <w:rPr>
          <w:rFonts w:hint="cs"/>
          <w:rtl/>
          <w:lang w:eastAsia="he-IL"/>
        </w:rPr>
        <w:t>האשראי הפנוי לענף הבינוי והנדל"ן במערכת הבנקאית (במיליונ</w:t>
      </w:r>
      <w:r w:rsidRPr="006237A1">
        <w:rPr>
          <w:rFonts w:hint="eastAsia"/>
          <w:rtl/>
          <w:lang w:eastAsia="he-IL"/>
        </w:rPr>
        <w:t>י</w:t>
      </w:r>
      <w:r w:rsidRPr="006237A1">
        <w:rPr>
          <w:rFonts w:hint="cs"/>
          <w:rtl/>
          <w:lang w:eastAsia="he-IL"/>
        </w:rPr>
        <w:t xml:space="preserve"> ש"ח)</w:t>
      </w: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1E0"/>
      </w:tblPr>
      <w:tblGrid>
        <w:gridCol w:w="1687"/>
        <w:gridCol w:w="1687"/>
        <w:gridCol w:w="1687"/>
        <w:gridCol w:w="1688"/>
      </w:tblGrid>
      <w:tr w:rsidTr="007264BD">
        <w:tblPrEx>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1E0"/>
        </w:tblPrEx>
        <w:trPr>
          <w:jc w:val="center"/>
        </w:trPr>
        <w:tc>
          <w:tcPr>
            <w:tcW w:w="1687" w:type="dxa"/>
            <w:shd w:val="pct10" w:color="auto" w:fill="auto"/>
          </w:tcPr>
          <w:p w:rsidR="00E97EDA" w:rsidRPr="007264BD" w:rsidP="007264BD">
            <w:pPr>
              <w:spacing w:before="40" w:after="40" w:line="220" w:lineRule="exact"/>
              <w:jc w:val="center"/>
              <w:rPr>
                <w:rFonts w:cs="FrankRuehl"/>
                <w:b/>
                <w:bCs/>
                <w:sz w:val="20"/>
                <w:szCs w:val="20"/>
                <w:rtl/>
              </w:rPr>
            </w:pPr>
            <w:r w:rsidRPr="007264BD">
              <w:rPr>
                <w:rFonts w:cs="FrankRuehl" w:hint="cs"/>
                <w:b/>
                <w:bCs/>
                <w:sz w:val="20"/>
                <w:szCs w:val="20"/>
                <w:rtl/>
              </w:rPr>
              <w:t>ספטמבר 2011</w:t>
            </w:r>
          </w:p>
        </w:tc>
        <w:tc>
          <w:tcPr>
            <w:tcW w:w="1687" w:type="dxa"/>
            <w:shd w:val="pct10" w:color="auto" w:fill="auto"/>
          </w:tcPr>
          <w:p w:rsidR="00E97EDA" w:rsidRPr="007264BD" w:rsidP="007264BD">
            <w:pPr>
              <w:spacing w:before="40" w:after="40" w:line="220" w:lineRule="exact"/>
              <w:jc w:val="center"/>
              <w:rPr>
                <w:rFonts w:cs="FrankRuehl"/>
                <w:b/>
                <w:bCs/>
                <w:sz w:val="20"/>
                <w:szCs w:val="20"/>
                <w:rtl/>
              </w:rPr>
            </w:pPr>
            <w:r w:rsidRPr="007264BD">
              <w:rPr>
                <w:rFonts w:cs="FrankRuehl" w:hint="cs"/>
                <w:b/>
                <w:bCs/>
                <w:sz w:val="20"/>
                <w:szCs w:val="20"/>
                <w:rtl/>
              </w:rPr>
              <w:t>דצמבר 2011</w:t>
            </w:r>
          </w:p>
        </w:tc>
        <w:tc>
          <w:tcPr>
            <w:tcW w:w="1687" w:type="dxa"/>
            <w:shd w:val="pct10" w:color="auto" w:fill="auto"/>
          </w:tcPr>
          <w:p w:rsidR="00E97EDA" w:rsidRPr="007264BD" w:rsidP="007264BD">
            <w:pPr>
              <w:spacing w:before="40" w:after="40" w:line="220" w:lineRule="exact"/>
              <w:jc w:val="center"/>
              <w:rPr>
                <w:rFonts w:cs="FrankRuehl"/>
                <w:b/>
                <w:bCs/>
                <w:sz w:val="20"/>
                <w:szCs w:val="20"/>
                <w:rtl/>
              </w:rPr>
            </w:pPr>
            <w:r w:rsidRPr="007264BD">
              <w:rPr>
                <w:rFonts w:cs="FrankRuehl" w:hint="cs"/>
                <w:b/>
                <w:bCs/>
                <w:sz w:val="20"/>
                <w:szCs w:val="20"/>
                <w:rtl/>
              </w:rPr>
              <w:t>ספטמבר 2012</w:t>
            </w:r>
          </w:p>
        </w:tc>
        <w:tc>
          <w:tcPr>
            <w:tcW w:w="1688" w:type="dxa"/>
            <w:shd w:val="pct10" w:color="auto" w:fill="auto"/>
          </w:tcPr>
          <w:p w:rsidR="00E97EDA" w:rsidRPr="007264BD" w:rsidP="007264BD">
            <w:pPr>
              <w:spacing w:before="40" w:after="40" w:line="220" w:lineRule="exact"/>
              <w:jc w:val="center"/>
              <w:rPr>
                <w:rFonts w:cs="FrankRuehl"/>
                <w:b/>
                <w:bCs/>
                <w:sz w:val="20"/>
                <w:szCs w:val="20"/>
                <w:rtl/>
              </w:rPr>
            </w:pPr>
            <w:r w:rsidRPr="007264BD">
              <w:rPr>
                <w:rFonts w:cs="FrankRuehl" w:hint="cs"/>
                <w:b/>
                <w:bCs/>
                <w:sz w:val="20"/>
                <w:szCs w:val="20"/>
                <w:rtl/>
              </w:rPr>
              <w:t>דצמבר 2012</w:t>
            </w:r>
          </w:p>
        </w:tc>
      </w:tr>
      <w:tr w:rsidTr="007264BD">
        <w:tblPrEx>
          <w:tblW w:w="0" w:type="auto"/>
          <w:jc w:val="center"/>
          <w:tblLook w:val="01E0"/>
        </w:tblPrEx>
        <w:trPr>
          <w:jc w:val="center"/>
        </w:trPr>
        <w:tc>
          <w:tcPr>
            <w:tcW w:w="1687" w:type="dxa"/>
            <w:shd w:val="clear" w:color="auto" w:fill="auto"/>
          </w:tcPr>
          <w:p w:rsidR="00E97EDA" w:rsidRPr="007264BD" w:rsidP="007264BD">
            <w:pPr>
              <w:spacing w:before="40" w:after="40" w:line="220" w:lineRule="exact"/>
              <w:jc w:val="center"/>
              <w:rPr>
                <w:rFonts w:cs="FrankRuehl"/>
                <w:sz w:val="20"/>
                <w:szCs w:val="20"/>
                <w:rtl/>
              </w:rPr>
            </w:pPr>
            <w:r w:rsidRPr="007264BD">
              <w:rPr>
                <w:rFonts w:cs="FrankRuehl" w:hint="cs"/>
                <w:sz w:val="20"/>
                <w:szCs w:val="20"/>
                <w:rtl/>
              </w:rPr>
              <w:t>12,442</w:t>
            </w:r>
          </w:p>
        </w:tc>
        <w:tc>
          <w:tcPr>
            <w:tcW w:w="1687" w:type="dxa"/>
            <w:shd w:val="clear" w:color="auto" w:fill="auto"/>
          </w:tcPr>
          <w:p w:rsidR="00E97EDA" w:rsidRPr="007264BD" w:rsidP="007264BD">
            <w:pPr>
              <w:spacing w:before="40" w:after="40" w:line="220" w:lineRule="exact"/>
              <w:jc w:val="center"/>
              <w:rPr>
                <w:rFonts w:cs="FrankRuehl"/>
                <w:sz w:val="20"/>
                <w:szCs w:val="20"/>
                <w:rtl/>
              </w:rPr>
            </w:pPr>
            <w:r w:rsidRPr="007264BD">
              <w:rPr>
                <w:rFonts w:cs="FrankRuehl" w:hint="cs"/>
                <w:sz w:val="20"/>
                <w:szCs w:val="20"/>
                <w:rtl/>
              </w:rPr>
              <w:t>18,179</w:t>
            </w:r>
          </w:p>
        </w:tc>
        <w:tc>
          <w:tcPr>
            <w:tcW w:w="1687" w:type="dxa"/>
            <w:shd w:val="clear" w:color="auto" w:fill="auto"/>
          </w:tcPr>
          <w:p w:rsidR="00E97EDA" w:rsidRPr="007264BD" w:rsidP="007264BD">
            <w:pPr>
              <w:spacing w:before="40" w:after="40" w:line="220" w:lineRule="exact"/>
              <w:jc w:val="center"/>
              <w:rPr>
                <w:rFonts w:cs="FrankRuehl"/>
                <w:sz w:val="20"/>
                <w:szCs w:val="20"/>
                <w:rtl/>
              </w:rPr>
            </w:pPr>
            <w:r w:rsidRPr="007264BD">
              <w:rPr>
                <w:rFonts w:cs="FrankRuehl" w:hint="cs"/>
                <w:sz w:val="20"/>
                <w:szCs w:val="20"/>
                <w:rtl/>
              </w:rPr>
              <w:t>26,393</w:t>
            </w:r>
          </w:p>
        </w:tc>
        <w:tc>
          <w:tcPr>
            <w:tcW w:w="1688" w:type="dxa"/>
            <w:shd w:val="clear" w:color="auto" w:fill="auto"/>
          </w:tcPr>
          <w:p w:rsidR="00E97EDA" w:rsidRPr="007264BD" w:rsidP="007264BD">
            <w:pPr>
              <w:spacing w:before="40" w:after="40" w:line="220" w:lineRule="exact"/>
              <w:jc w:val="center"/>
              <w:rPr>
                <w:rFonts w:cs="FrankRuehl"/>
                <w:sz w:val="20"/>
                <w:szCs w:val="20"/>
                <w:rtl/>
              </w:rPr>
            </w:pPr>
            <w:r w:rsidRPr="007264BD">
              <w:rPr>
                <w:rFonts w:cs="FrankRuehl" w:hint="cs"/>
                <w:sz w:val="20"/>
                <w:szCs w:val="20"/>
                <w:rtl/>
              </w:rPr>
              <w:t>23,041</w:t>
            </w:r>
          </w:p>
        </w:tc>
      </w:tr>
    </w:tbl>
    <w:p w:rsidR="00711180" w:rsidRPr="007264BD" w:rsidP="007264BD">
      <w:pPr>
        <w:pStyle w:val="takzir"/>
        <w:spacing w:after="0"/>
        <w:rPr>
          <w:rFonts w:cs="FrankRuehl"/>
          <w:noProof w:val="0"/>
          <w:sz w:val="18"/>
          <w:rtl/>
        </w:rPr>
      </w:pPr>
    </w:p>
    <w:p w:rsidR="00D22B16" w:rsidRPr="00F41E78" w:rsidP="00D22B16">
      <w:pPr>
        <w:pStyle w:val="RESHET"/>
        <w:keepLines/>
        <w:rPr>
          <w:rtl/>
        </w:rPr>
      </w:pPr>
      <w:r w:rsidRPr="00F41E78">
        <w:rPr>
          <w:rFonts w:hint="cs"/>
          <w:rtl/>
        </w:rPr>
        <w:t>מנתונים</w:t>
      </w:r>
      <w:r w:rsidRPr="00F41E78">
        <w:rPr>
          <w:rFonts w:hint="cs"/>
          <w:rtl/>
        </w:rPr>
        <w:t xml:space="preserve"> </w:t>
      </w:r>
      <w:r w:rsidRPr="00F41E78">
        <w:rPr>
          <w:rFonts w:hint="cs"/>
          <w:rtl/>
        </w:rPr>
        <w:t xml:space="preserve">אלו עולה כי אין ממש בטענות על חוסר יכולתם של הבנקים להגדיל את האשראי לענף הבינוי והנדל"ן עקב מגבלות רגולטוריות. על אג"ת לבחון את </w:t>
      </w:r>
      <w:r w:rsidRPr="00F41E78">
        <w:rPr>
          <w:rFonts w:hint="eastAsia"/>
          <w:rtl/>
        </w:rPr>
        <w:t>הנחותיו</w:t>
      </w:r>
      <w:r w:rsidRPr="00F41E78">
        <w:rPr>
          <w:rFonts w:hint="cs"/>
          <w:rtl/>
        </w:rPr>
        <w:t xml:space="preserve"> בדבר הגידול הצפוי באשראי לבנייה למגורים בעקבות הקמת קרן מע"ם והשפעתו האפשרית על היצע הדירות; וזאת משום שנראה כי הסיבות להימנעו</w:t>
      </w:r>
      <w:r w:rsidRPr="00F41E78">
        <w:rPr>
          <w:rFonts w:hint="eastAsia"/>
          <w:rtl/>
        </w:rPr>
        <w:t>ת</w:t>
      </w:r>
      <w:r w:rsidRPr="00F41E78">
        <w:rPr>
          <w:rFonts w:hint="cs"/>
          <w:rtl/>
        </w:rPr>
        <w:t xml:space="preserve">ם של הבנקים להגדיל את האשראי לבנייה אינן נעוצות במגבלות אשראי ענפיות והשפעתה של פעילות הקרן </w:t>
      </w:r>
      <w:r w:rsidRPr="00F41E78">
        <w:rPr>
          <w:rtl/>
        </w:rPr>
        <w:t xml:space="preserve">על </w:t>
      </w:r>
      <w:r w:rsidRPr="00F41E78">
        <w:rPr>
          <w:rFonts w:hint="cs"/>
          <w:rtl/>
        </w:rPr>
        <w:t xml:space="preserve">מספר </w:t>
      </w:r>
      <w:r w:rsidRPr="00F41E78">
        <w:rPr>
          <w:rtl/>
        </w:rPr>
        <w:t xml:space="preserve">התחלות הבנייה </w:t>
      </w:r>
      <w:r w:rsidRPr="00F41E78">
        <w:rPr>
          <w:rFonts w:hint="cs"/>
          <w:rtl/>
        </w:rPr>
        <w:t>קטנה מהמצופה.</w:t>
      </w:r>
    </w:p>
    <w:p w:rsidR="00E97EDA" w:rsidRPr="00F41E78" w:rsidP="007264BD">
      <w:pPr>
        <w:spacing w:before="180" w:after="120" w:line="230" w:lineRule="exact"/>
        <w:jc w:val="both"/>
        <w:outlineLvl w:val="0"/>
        <w:rPr>
          <w:rFonts w:cs="FrankRuehl"/>
          <w:sz w:val="18"/>
          <w:szCs w:val="22"/>
          <w:rtl/>
          <w:lang w:eastAsia="he-IL"/>
        </w:rPr>
      </w:pPr>
      <w:r w:rsidRPr="00F41E78">
        <w:rPr>
          <w:rFonts w:cs="FrankRuehl" w:hint="cs"/>
          <w:sz w:val="18"/>
          <w:szCs w:val="22"/>
          <w:rtl/>
          <w:lang w:eastAsia="he-IL"/>
        </w:rPr>
        <w:t>בתשובתו מסר בנק ישראל כי המלצת משרד מבקר המדינה בדבר הצורך בבחינה מחודשת של ה</w:t>
      </w:r>
      <w:r w:rsidRPr="00F41E78">
        <w:rPr>
          <w:rFonts w:cs="FrankRuehl" w:hint="eastAsia"/>
          <w:sz w:val="18"/>
          <w:szCs w:val="22"/>
          <w:rtl/>
          <w:lang w:eastAsia="he-IL"/>
        </w:rPr>
        <w:t>הנחות</w:t>
      </w:r>
      <w:r w:rsidRPr="00F41E78">
        <w:rPr>
          <w:rFonts w:cs="FrankRuehl" w:hint="cs"/>
          <w:sz w:val="18"/>
          <w:szCs w:val="22"/>
          <w:rtl/>
          <w:lang w:eastAsia="he-IL"/>
        </w:rPr>
        <w:t xml:space="preserve"> בנוגע לגידול הצפוי באשראי לבניה למגורים בעקבות הקמת הקרן ושל השפעתו האפשרית על היצע הדירות מקובלת עליו, והוא יסייע בבחינה מחודשת כאמור.</w:t>
      </w:r>
    </w:p>
    <w:p w:rsidR="00E97EDA" w:rsidRPr="00F41E78" w:rsidP="00A7557B">
      <w:pPr>
        <w:spacing w:after="120" w:line="230" w:lineRule="exact"/>
        <w:jc w:val="both"/>
        <w:outlineLvl w:val="0"/>
        <w:rPr>
          <w:rFonts w:cs="FrankRuehl"/>
          <w:sz w:val="18"/>
          <w:szCs w:val="22"/>
          <w:rtl/>
          <w:lang w:eastAsia="he-IL"/>
        </w:rPr>
      </w:pPr>
      <w:r w:rsidRPr="00F41E78">
        <w:rPr>
          <w:rFonts w:cs="FrankRuehl" w:hint="cs"/>
          <w:sz w:val="18"/>
          <w:szCs w:val="22"/>
          <w:rtl/>
          <w:lang w:eastAsia="he-IL"/>
        </w:rPr>
        <w:t>אג"ת מסר בתשובתו כי "אין ספק כי חלק מהקושי בקבלת אשראי בענף הנדל"ן, נובע מגורמים שאינם תלויים במגבלה הענפית, כגון עליית פרופיל הסיכון של הענף לאור עליית מחירי הדירות. הקרן נועדה להתמודד עם העובדה שהבנקים המספקים כ-70% מהיצע האשראי לענף היו, בעת ביצוע הבדיקה, קרובים למגבלה הענפית ובהתאם לכך הוגבלה יכולתם להקצות אשראי. כפי שעולה מבדיקתכם, עומקו של מחנק האשראי הנוכחי פחתה אולם הקמת הקרן מאפשרת להגמיש את היצע האשראי לענף. הפעלתה של הקרן תיטיב עם הענף ותקל על גיוס אשראי מהבנקים, אשר הינם, עדיין, ספק האשראי המרכזי של הענף".</w:t>
      </w:r>
    </w:p>
    <w:p w:rsidR="00711180" w:rsidRPr="00F41E78" w:rsidP="00256A1C">
      <w:pPr>
        <w:spacing w:after="120" w:line="230" w:lineRule="exact"/>
        <w:jc w:val="both"/>
        <w:rPr>
          <w:rFonts w:cs="FrankRuehl"/>
          <w:sz w:val="18"/>
          <w:szCs w:val="22"/>
          <w:rtl/>
          <w:lang w:eastAsia="he-IL"/>
        </w:rPr>
      </w:pPr>
    </w:p>
    <w:p w:rsidR="00E97EDA" w:rsidRPr="006237A1" w:rsidP="00A7557B">
      <w:pPr>
        <w:pStyle w:val="KOT6"/>
        <w:rPr>
          <w:rtl/>
          <w:lang w:eastAsia="he-IL"/>
        </w:rPr>
      </w:pPr>
      <w:r w:rsidRPr="006237A1">
        <w:rPr>
          <w:rFonts w:hint="cs"/>
          <w:rtl/>
          <w:lang w:eastAsia="he-IL"/>
        </w:rPr>
        <w:t>הערכת הסיכון הכרוך בקרן מע"ם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אג"ת העריך שסכום ערבויות המכר המכוסות באחריות המדינה בקרן מע"ם מסתכם בכ-40 מיליארד ש"ח. </w:t>
      </w:r>
      <w:r w:rsidRPr="00F41E78">
        <w:rPr>
          <w:rFonts w:cs="FrankRuehl" w:hint="eastAsia"/>
          <w:sz w:val="18"/>
          <w:szCs w:val="22"/>
          <w:rtl/>
          <w:lang w:eastAsia="he-IL"/>
        </w:rPr>
        <w:t>משך</w:t>
      </w:r>
      <w:r w:rsidRPr="00F41E78">
        <w:rPr>
          <w:rFonts w:cs="FrankRuehl"/>
          <w:sz w:val="18"/>
          <w:szCs w:val="22"/>
          <w:rtl/>
          <w:lang w:eastAsia="he-IL"/>
        </w:rPr>
        <w:t xml:space="preserve"> </w:t>
      </w:r>
      <w:r w:rsidRPr="00F41E78">
        <w:rPr>
          <w:rFonts w:cs="FrankRuehl" w:hint="cs"/>
          <w:sz w:val="18"/>
          <w:szCs w:val="22"/>
          <w:rtl/>
          <w:lang w:eastAsia="he-IL"/>
        </w:rPr>
        <w:t>תוקפה של</w:t>
      </w:r>
      <w:r w:rsidRPr="00F41E78">
        <w:rPr>
          <w:rFonts w:cs="FrankRuehl"/>
          <w:sz w:val="18"/>
          <w:szCs w:val="22"/>
          <w:rtl/>
          <w:lang w:eastAsia="he-IL"/>
        </w:rPr>
        <w:t xml:space="preserve"> ערבות המכר </w:t>
      </w:r>
      <w:r w:rsidRPr="00F41E78">
        <w:rPr>
          <w:rFonts w:cs="FrankRuehl" w:hint="cs"/>
          <w:sz w:val="18"/>
          <w:szCs w:val="22"/>
          <w:rtl/>
          <w:lang w:eastAsia="he-IL"/>
        </w:rPr>
        <w:t>היא</w:t>
      </w:r>
      <w:r w:rsidRPr="00F41E78">
        <w:rPr>
          <w:rFonts w:cs="FrankRuehl"/>
          <w:sz w:val="18"/>
          <w:szCs w:val="22"/>
          <w:rtl/>
          <w:lang w:eastAsia="he-IL"/>
        </w:rPr>
        <w:t xml:space="preserve"> </w:t>
      </w:r>
      <w:r w:rsidRPr="00F41E78">
        <w:rPr>
          <w:rFonts w:cs="FrankRuehl" w:hint="cs"/>
          <w:sz w:val="18"/>
          <w:szCs w:val="22"/>
          <w:rtl/>
          <w:lang w:eastAsia="he-IL"/>
        </w:rPr>
        <w:t>כארבע</w:t>
      </w:r>
      <w:r w:rsidRPr="00F41E78">
        <w:rPr>
          <w:rFonts w:cs="FrankRuehl"/>
          <w:sz w:val="18"/>
          <w:szCs w:val="22"/>
          <w:rtl/>
          <w:lang w:eastAsia="he-IL"/>
        </w:rPr>
        <w:t xml:space="preserve"> שנים</w:t>
      </w:r>
      <w:r w:rsidRPr="00F41E78">
        <w:rPr>
          <w:rFonts w:cs="FrankRuehl" w:hint="cs"/>
          <w:sz w:val="18"/>
          <w:szCs w:val="22"/>
          <w:rtl/>
          <w:lang w:eastAsia="he-IL"/>
        </w:rPr>
        <w:t>, ו</w:t>
      </w:r>
      <w:r w:rsidRPr="00F41E78">
        <w:rPr>
          <w:rFonts w:cs="FrankRuehl" w:hint="eastAsia"/>
          <w:sz w:val="18"/>
          <w:szCs w:val="22"/>
          <w:rtl/>
          <w:lang w:eastAsia="he-IL"/>
        </w:rPr>
        <w:t>לפיכך</w:t>
      </w:r>
      <w:r w:rsidRPr="00F41E78">
        <w:rPr>
          <w:rFonts w:cs="FrankRuehl" w:hint="cs"/>
          <w:sz w:val="18"/>
          <w:szCs w:val="22"/>
          <w:rtl/>
          <w:lang w:eastAsia="he-IL"/>
        </w:rPr>
        <w:t xml:space="preserve"> ניתנות ערבויות מכר בסכום של כ-10 מיליארד ש"ח בשנה. על פי שיעורן הכולל של ערבויות המכר סכום המע"ם הנקבע לפיהן הוא כ-1.6 מיליארד ש"ח (במאי 2012 היה שיעור המע"ם 16%). בפגישה במרץ 2013 מסרו נציגי אג"ת לנציגי משרד מבקר המדינה כי הסכום שיתוקצב בקרן מע"ם צריך לשקף ולהלום את הסיכון שהמדינה לוקחת על עצמה בעצם הקמת הקרן.</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עוד מסר אג"ת כי במאי 2012 ביצע בדיקת סיכון באמצעות שימוש במודל שבחן בין היתר את ההסתברות שהבנק יבחר שלא להיכנס לנעלי קבלן שכשל ולהשלים את פרויקט בניית הדירות ומסירתן לרוכשים (להלן - חלופת השלמה), אלא יעדיף לשלם לרוכשים את הסכומים ששילמו עד מועד כשל הקבלן ולממש את נכסי הפרויקט בלי להשלימו (להלן - חלופת מימוש), דבר שיחייב את קרן המע"ם לשלם לבנק את חלקה. עוד נבדק במודל אם החזר רכיב המע"ם באמצעות הקרן משפיע </w:t>
      </w:r>
      <w:r w:rsidRPr="00F41E78">
        <w:rPr>
          <w:rFonts w:cs="FrankRuehl" w:hint="cs"/>
          <w:sz w:val="18"/>
          <w:szCs w:val="22"/>
          <w:rtl/>
          <w:lang w:eastAsia="he-IL"/>
        </w:rPr>
        <w:t>על שיקולי הבנק אם לבחור בחלופת ההשלמה או בחלופת המימוש. עוד בדק אג"ת את היסטוריי</w:t>
      </w:r>
      <w:r w:rsidRPr="00F41E78">
        <w:rPr>
          <w:rFonts w:cs="FrankRuehl" w:hint="eastAsia"/>
          <w:sz w:val="18"/>
          <w:szCs w:val="22"/>
          <w:rtl/>
          <w:lang w:eastAsia="he-IL"/>
        </w:rPr>
        <w:t>ת</w:t>
      </w:r>
      <w:r w:rsidRPr="00F41E78">
        <w:rPr>
          <w:rFonts w:cs="FrankRuehl" w:hint="cs"/>
          <w:sz w:val="18"/>
          <w:szCs w:val="22"/>
          <w:rtl/>
          <w:lang w:eastAsia="he-IL"/>
        </w:rPr>
        <w:t xml:space="preserve"> פעולות הבנקים ומצא כי משנת 1973 העדיפו הבנקים את חלופת המימוש רק בכמה מקרים בודדים.</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מודל בדיקת הסיכון כלל פרויקט אחד בלבד ובו 100 יח"ד שלהשלמת בנייתן נדרשו עשרה רבעונים. במסגרת המודל נכללו השערות לגבי עלויות הבנייה וההכנסות הצפויות ממכירת הדירות. תוצאות המודל במקרה שבו מחירי הדיור נותרים בעינם הצביעו על רווח גבוה יותר לבנק אם יבחר בחלופת ההשלמה על פני בחירה בחלופת המימוש, וכי עצם קיומה של קרן מע"ם אינו משפיע על בחירת הבנק בין החלופות. לנוכח תוצאותיה האמורות של הבדיקה המליץ אג"ת לתקצב בקרן מע"ם סכום של 10 מיליון ש"ח. החשבת הכללית במשרד האוצר התנגדה להפקדה של הסכום האמור משום שלדעתה הוא אינו משקף את הסיכון הכרוך בפעילות הקרן. עמדתה הוצגה בישיבה אצל מנכ"ל משרד האוצר דאז ב-3.7.12, ונימוקיה פורטו במכתבה למנכ"ל מ-10.7.12. במכתבה ציינה בין היתר כי לנוכח העובדה שמדובר בתחום הנדל"ן, בעת חישוב ההפרשה שתופקד בקרן יש להתחשב בעובדה שמדובר בתחום מסוכן. אם </w:t>
      </w:r>
      <w:r w:rsidRPr="00F41E78">
        <w:rPr>
          <w:rFonts w:cs="FrankRuehl" w:hint="eastAsia"/>
          <w:sz w:val="18"/>
          <w:szCs w:val="22"/>
          <w:rtl/>
          <w:lang w:eastAsia="he-IL"/>
        </w:rPr>
        <w:t>תהיינה</w:t>
      </w:r>
      <w:r w:rsidRPr="00F41E78">
        <w:rPr>
          <w:rFonts w:cs="FrankRuehl"/>
          <w:sz w:val="18"/>
          <w:szCs w:val="22"/>
          <w:rtl/>
          <w:lang w:eastAsia="he-IL"/>
        </w:rPr>
        <w:t xml:space="preserve"> </w:t>
      </w:r>
      <w:r w:rsidRPr="00F41E78">
        <w:rPr>
          <w:rFonts w:cs="FrankRuehl" w:hint="eastAsia"/>
          <w:sz w:val="18"/>
          <w:szCs w:val="22"/>
          <w:rtl/>
          <w:lang w:eastAsia="he-IL"/>
        </w:rPr>
        <w:t>נפילות</w:t>
      </w:r>
      <w:r w:rsidRPr="00F41E78">
        <w:rPr>
          <w:rFonts w:cs="FrankRuehl" w:hint="cs"/>
          <w:sz w:val="18"/>
          <w:szCs w:val="22"/>
          <w:rtl/>
          <w:lang w:eastAsia="he-IL"/>
        </w:rPr>
        <w:t xml:space="preserve"> קרוב לוודאי </w:t>
      </w:r>
      <w:r w:rsidRPr="00F41E78">
        <w:rPr>
          <w:rFonts w:cs="FrankRuehl" w:hint="eastAsia"/>
          <w:sz w:val="18"/>
          <w:szCs w:val="22"/>
          <w:rtl/>
          <w:lang w:eastAsia="he-IL"/>
        </w:rPr>
        <w:t>שהן</w:t>
      </w:r>
      <w:r w:rsidRPr="00F41E78">
        <w:rPr>
          <w:rFonts w:cs="FrankRuehl"/>
          <w:sz w:val="18"/>
          <w:szCs w:val="22"/>
          <w:rtl/>
          <w:lang w:eastAsia="he-IL"/>
        </w:rPr>
        <w:t xml:space="preserve"> </w:t>
      </w:r>
      <w:r w:rsidRPr="00F41E78">
        <w:rPr>
          <w:rFonts w:cs="FrankRuehl" w:hint="eastAsia"/>
          <w:sz w:val="18"/>
          <w:szCs w:val="22"/>
          <w:rtl/>
          <w:lang w:eastAsia="he-IL"/>
        </w:rPr>
        <w:t>תהיינה</w:t>
      </w:r>
      <w:r w:rsidRPr="00F41E78">
        <w:rPr>
          <w:rFonts w:cs="FrankRuehl" w:hint="cs"/>
          <w:sz w:val="18"/>
          <w:szCs w:val="22"/>
          <w:rtl/>
          <w:lang w:eastAsia="he-IL"/>
        </w:rPr>
        <w:t xml:space="preserve"> בתקופות קשות ממילא, לכן יש לקחת מרווח נוסף בחישוב ההפרשה. היא הוסיפה כי יש לתקצב את קרן מע"ם בלא פחות מ-5% מהסיכון שהיא חשופה אליו.</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אג"ת מסר לנציגי משרד מבקר המדינה </w:t>
      </w:r>
      <w:r w:rsidRPr="00F41E78">
        <w:rPr>
          <w:rFonts w:cs="FrankRuehl" w:hint="eastAsia"/>
          <w:sz w:val="18"/>
          <w:szCs w:val="22"/>
          <w:rtl/>
          <w:lang w:eastAsia="he-IL"/>
        </w:rPr>
        <w:t>ב</w:t>
      </w:r>
      <w:r w:rsidRPr="00F41E78">
        <w:rPr>
          <w:rFonts w:cs="FrankRuehl"/>
          <w:sz w:val="18"/>
          <w:szCs w:val="22"/>
          <w:rtl/>
          <w:lang w:eastAsia="he-IL"/>
        </w:rPr>
        <w:t>-13.3.13</w:t>
      </w:r>
      <w:r w:rsidRPr="00F41E78">
        <w:rPr>
          <w:rFonts w:cs="FrankRuehl" w:hint="cs"/>
          <w:sz w:val="18"/>
          <w:szCs w:val="22"/>
          <w:rtl/>
          <w:lang w:eastAsia="he-IL"/>
        </w:rPr>
        <w:t xml:space="preserve"> כי בעקבות עמדת החשבת הכללית החליט מנכ"ל משרד האוצר להקציב לקרן מע"ם סכום של 25 מיליון ש"ח. </w:t>
      </w:r>
    </w:p>
    <w:p w:rsidR="00E97EDA" w:rsidRPr="00F41E78" w:rsidP="007264BD">
      <w:pPr>
        <w:spacing w:after="240" w:line="230" w:lineRule="exact"/>
        <w:jc w:val="both"/>
        <w:rPr>
          <w:rFonts w:cs="FrankRuehl"/>
          <w:sz w:val="18"/>
          <w:szCs w:val="22"/>
          <w:rtl/>
          <w:lang w:eastAsia="he-IL"/>
        </w:rPr>
      </w:pPr>
      <w:r w:rsidRPr="00F41E78">
        <w:rPr>
          <w:rFonts w:cs="FrankRuehl" w:hint="cs"/>
          <w:sz w:val="18"/>
          <w:szCs w:val="22"/>
          <w:rtl/>
          <w:lang w:eastAsia="he-IL"/>
        </w:rPr>
        <w:t xml:space="preserve">החלטת הממשלה בדבר הקמת קרן מע"ם קובעת כי </w:t>
      </w:r>
      <w:r w:rsidRPr="00F41E78">
        <w:rPr>
          <w:rFonts w:cs="FrankRuehl"/>
          <w:sz w:val="18"/>
          <w:szCs w:val="22"/>
          <w:rtl/>
          <w:lang w:eastAsia="he-IL"/>
        </w:rPr>
        <w:t>לקראת כל סוף שנת תקציב יבחנו רשות המסים, אגף החשב הכללי ו</w:t>
      </w:r>
      <w:r w:rsidRPr="00F41E78">
        <w:rPr>
          <w:rFonts w:cs="FrankRuehl" w:hint="cs"/>
          <w:sz w:val="18"/>
          <w:szCs w:val="22"/>
          <w:rtl/>
          <w:lang w:eastAsia="he-IL"/>
        </w:rPr>
        <w:t xml:space="preserve">אג"ת </w:t>
      </w:r>
      <w:r w:rsidRPr="00F41E78">
        <w:rPr>
          <w:rFonts w:cs="FrankRuehl"/>
          <w:sz w:val="18"/>
          <w:szCs w:val="22"/>
          <w:rtl/>
          <w:lang w:eastAsia="he-IL"/>
        </w:rPr>
        <w:t>את התקצוב הנדרש לקרן</w:t>
      </w:r>
      <w:r w:rsidRPr="00F41E78">
        <w:rPr>
          <w:rFonts w:cs="FrankRuehl" w:hint="cs"/>
          <w:sz w:val="18"/>
          <w:szCs w:val="22"/>
          <w:rtl/>
          <w:lang w:eastAsia="he-IL"/>
        </w:rPr>
        <w:t xml:space="preserve"> על פי</w:t>
      </w:r>
      <w:r w:rsidRPr="00F41E78">
        <w:rPr>
          <w:rFonts w:cs="FrankRuehl"/>
          <w:sz w:val="18"/>
          <w:szCs w:val="22"/>
          <w:rtl/>
          <w:lang w:eastAsia="he-IL"/>
        </w:rPr>
        <w:t xml:space="preserve"> הניסיון הנצבר </w:t>
      </w:r>
      <w:r w:rsidRPr="00F41E78">
        <w:rPr>
          <w:rFonts w:cs="FrankRuehl" w:hint="cs"/>
          <w:sz w:val="18"/>
          <w:szCs w:val="22"/>
          <w:rtl/>
          <w:lang w:eastAsia="he-IL"/>
        </w:rPr>
        <w:t>ולפי</w:t>
      </w:r>
      <w:r w:rsidRPr="00F41E78">
        <w:rPr>
          <w:rFonts w:cs="FrankRuehl"/>
          <w:sz w:val="18"/>
          <w:szCs w:val="22"/>
          <w:rtl/>
          <w:lang w:eastAsia="he-IL"/>
        </w:rPr>
        <w:t xml:space="preserve"> התפתחות</w:t>
      </w:r>
      <w:r w:rsidRPr="00F41E78">
        <w:rPr>
          <w:rFonts w:cs="FrankRuehl" w:hint="cs"/>
          <w:sz w:val="18"/>
          <w:szCs w:val="22"/>
          <w:rtl/>
          <w:lang w:eastAsia="he-IL"/>
        </w:rPr>
        <w:t>ן של</w:t>
      </w:r>
      <w:r w:rsidRPr="00F41E78">
        <w:rPr>
          <w:rFonts w:cs="FrankRuehl"/>
          <w:sz w:val="18"/>
          <w:szCs w:val="22"/>
          <w:rtl/>
          <w:lang w:eastAsia="he-IL"/>
        </w:rPr>
        <w:t xml:space="preserve"> רמות הסיכון בשוק האשראי בכלל ובשוק הנדל"ן בפרט.</w:t>
      </w:r>
      <w:r w:rsidRPr="00F41E78">
        <w:rPr>
          <w:rFonts w:cs="FrankRuehl" w:hint="cs"/>
          <w:sz w:val="18"/>
          <w:szCs w:val="22"/>
          <w:rtl/>
          <w:lang w:eastAsia="he-IL"/>
        </w:rPr>
        <w:t xml:space="preserve"> </w:t>
      </w:r>
    </w:p>
    <w:p w:rsidR="00D22B16" w:rsidRPr="00F41E78" w:rsidP="00D22B16">
      <w:pPr>
        <w:pStyle w:val="RESHET"/>
        <w:keepLines/>
        <w:rPr>
          <w:rtl/>
        </w:rPr>
      </w:pPr>
      <w:r w:rsidRPr="00F41E78">
        <w:rPr>
          <w:rFonts w:hint="cs"/>
          <w:rtl/>
        </w:rPr>
        <w:t>משרד מבקר המדינה מציין כי ממועד החלטת הממשלה האמורה חלו שינויים שיש בהם כדי להשפיע על פעילות הקרן ועל הערכת הסיכון שהיא חשופה אליו, למשל עליית שיעור המע"ם ל-18%. לפיכך הסכום שהוצע לתקצוב קרן מע"ם - 25 מיליון ש"ח אינו משקף את הסיכון שהמדינה לוקחת על עצמה, אם וכאשר תופעל הקרן, ויש לבחון את הסכום שיופקד בה לנוכח השינוי בנסיבות.</w:t>
      </w:r>
    </w:p>
    <w:p w:rsidR="00E97EDA" w:rsidRPr="00F41E78" w:rsidP="007264BD">
      <w:pPr>
        <w:spacing w:before="180" w:after="240" w:line="230" w:lineRule="exact"/>
        <w:jc w:val="both"/>
        <w:rPr>
          <w:rFonts w:cs="FrankRuehl"/>
          <w:sz w:val="18"/>
          <w:szCs w:val="22"/>
          <w:rtl/>
          <w:lang w:eastAsia="he-IL"/>
        </w:rPr>
      </w:pPr>
      <w:r w:rsidRPr="00F41E78">
        <w:rPr>
          <w:rFonts w:cs="FrankRuehl" w:hint="cs"/>
          <w:sz w:val="18"/>
          <w:szCs w:val="22"/>
          <w:rtl/>
          <w:lang w:eastAsia="he-IL"/>
        </w:rPr>
        <w:t>אג"ת מסר בתשובתו כי תקצוב הסכום שיופקד בקרן מע"ם נקבע לפי המודל שגילם את הסיכון הכרוך בהקמתה, ו</w:t>
      </w:r>
      <w:r w:rsidRPr="00F41E78">
        <w:rPr>
          <w:rFonts w:cs="FrankRuehl"/>
          <w:sz w:val="18"/>
          <w:szCs w:val="22"/>
          <w:rtl/>
          <w:lang w:eastAsia="he-IL"/>
        </w:rPr>
        <w:t>ההחלטה ש</w:t>
      </w:r>
      <w:r w:rsidRPr="00F41E78">
        <w:rPr>
          <w:rFonts w:cs="FrankRuehl" w:hint="cs"/>
          <w:sz w:val="18"/>
          <w:szCs w:val="22"/>
          <w:rtl/>
          <w:lang w:eastAsia="he-IL"/>
        </w:rPr>
        <w:t>ה</w:t>
      </w:r>
      <w:r w:rsidRPr="00F41E78">
        <w:rPr>
          <w:rFonts w:cs="FrankRuehl"/>
          <w:sz w:val="18"/>
          <w:szCs w:val="22"/>
          <w:rtl/>
          <w:lang w:eastAsia="he-IL"/>
        </w:rPr>
        <w:t xml:space="preserve">תקבלה מגובה במודלים שנבחנו </w:t>
      </w:r>
      <w:r w:rsidRPr="00F41E78">
        <w:rPr>
          <w:rFonts w:cs="FrankRuehl" w:hint="cs"/>
          <w:sz w:val="18"/>
          <w:szCs w:val="22"/>
          <w:rtl/>
          <w:lang w:eastAsia="he-IL"/>
        </w:rPr>
        <w:t>ב</w:t>
      </w:r>
      <w:r w:rsidRPr="00F41E78">
        <w:rPr>
          <w:rFonts w:cs="FrankRuehl"/>
          <w:sz w:val="18"/>
          <w:szCs w:val="22"/>
          <w:rtl/>
          <w:lang w:eastAsia="he-IL"/>
        </w:rPr>
        <w:t>דיונים</w:t>
      </w:r>
      <w:r w:rsidRPr="00F41E78">
        <w:rPr>
          <w:rFonts w:cs="FrankRuehl" w:hint="cs"/>
          <w:sz w:val="18"/>
          <w:szCs w:val="22"/>
          <w:rtl/>
          <w:lang w:eastAsia="he-IL"/>
        </w:rPr>
        <w:t xml:space="preserve"> רבים. עוד מסר כי "הערת המבקר נכונה, אכן חלה עלייה בשיעור המע"מ מאז נקבע התקצוב לקרן. היקף התקציב הנגזר יתוקן בהתאם".</w:t>
      </w:r>
    </w:p>
    <w:p w:rsidR="00D22B16" w:rsidRPr="00F41E78" w:rsidP="00D22B16">
      <w:pPr>
        <w:pStyle w:val="RESHET"/>
        <w:keepLines/>
        <w:rPr>
          <w:rtl/>
        </w:rPr>
      </w:pPr>
      <w:r w:rsidRPr="00F41E78">
        <w:rPr>
          <w:rFonts w:hint="cs"/>
          <w:rtl/>
        </w:rPr>
        <w:t>לדעת משרד מבקר המדינה, יש לבחון, כנדרש בהחלטת הממשלה, את התקצוב הנדרש לקרן מע"ם לפי התפתחותן של רמות הסיכון בשוק האשראי בכלל ובשוק הנדל"ן בפרט.</w:t>
      </w:r>
    </w:p>
    <w:p w:rsidR="00711180" w:rsidRPr="007264BD" w:rsidP="00A7557B">
      <w:pPr>
        <w:spacing w:after="120" w:line="230" w:lineRule="exact"/>
        <w:jc w:val="both"/>
        <w:rPr>
          <w:rFonts w:cs="FrankRuehl"/>
          <w:sz w:val="18"/>
          <w:szCs w:val="22"/>
          <w:rtl/>
          <w:lang w:eastAsia="he-IL"/>
        </w:rPr>
      </w:pPr>
    </w:p>
    <w:p w:rsidR="00E97EDA" w:rsidRPr="006237A1" w:rsidP="00A7557B">
      <w:pPr>
        <w:pStyle w:val="KOT5"/>
        <w:rPr>
          <w:rtl/>
          <w:lang w:eastAsia="he-IL"/>
        </w:rPr>
      </w:pPr>
      <w:r w:rsidRPr="006237A1">
        <w:rPr>
          <w:rFonts w:hint="cs"/>
          <w:rtl/>
          <w:lang w:eastAsia="he-IL"/>
        </w:rPr>
        <w:t xml:space="preserve">הגבלות הפיקוח על הבנקים על מתן אשראי לרכישת דירות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בסקירה השנתית 2011</w:t>
      </w:r>
      <w:r>
        <w:rPr>
          <w:rFonts w:cs="FrankRuehl"/>
          <w:sz w:val="18"/>
          <w:szCs w:val="22"/>
          <w:vertAlign w:val="superscript"/>
          <w:rtl/>
          <w:lang w:eastAsia="he-IL"/>
        </w:rPr>
        <w:footnoteReference w:id="118"/>
      </w:r>
      <w:r w:rsidRPr="00F41E78">
        <w:rPr>
          <w:rFonts w:cs="FrankRuehl" w:hint="cs"/>
          <w:sz w:val="18"/>
          <w:szCs w:val="22"/>
          <w:rtl/>
          <w:lang w:eastAsia="he-IL"/>
        </w:rPr>
        <w:t xml:space="preserve"> מציין הפיקוח על הבנקים כי הניסיון בעולם מלמד כי משברים במערכת הבנקאית מתפתחים פעמים רבות מחשיפת התאגידים הבנקאיים לענף הנדל"ן ולאשראי לדיור; וזאת בעיקר על רקע הגדלת היקפי המשכנתאות וקבלת נכסי נדל"ן כבטוחות להלוואות שאינן דווקא למטרת מגורים. נוסף על כך, נמצא מתאם חיובי בסיכון האשראי בין המשכנתאות ובין </w:t>
      </w:r>
      <w:r w:rsidRPr="00F41E78">
        <w:rPr>
          <w:rFonts w:cs="FrankRuehl" w:hint="cs"/>
          <w:sz w:val="18"/>
          <w:szCs w:val="22"/>
          <w:rtl/>
          <w:lang w:eastAsia="he-IL"/>
        </w:rPr>
        <w:t>האשראי לענף הבינוי והנדל"ן. עוד עולה מהניסיון הבין-לאומי כי הערכת הסיכונים הגלומים בחשיפה לענף הבינוי והנדל"ן והסיכון הגלום בריכוזיות של ענף זה לוקים בחסר. בישראל, הסיכון הכרוך באשראי לענף הבינוי והנדל"ן גבוה מפאת משקלם הגבוה של האשראי לענף ושל האשראי לדיור, המרכזים יחד כשליש מסך תיק האשראי הבנקאי, ובעטיו של גידול החד של אשראים אלו בשנים האחרונות.</w:t>
      </w:r>
    </w:p>
    <w:p w:rsidR="00E97EDA" w:rsidRPr="00F41E78" w:rsidP="001A1A18">
      <w:pPr>
        <w:spacing w:after="240" w:line="230" w:lineRule="exact"/>
        <w:jc w:val="both"/>
        <w:rPr>
          <w:rFonts w:cs="FrankRuehl"/>
          <w:sz w:val="18"/>
          <w:szCs w:val="22"/>
          <w:rtl/>
          <w:lang w:eastAsia="he-IL"/>
        </w:rPr>
      </w:pPr>
      <w:r w:rsidRPr="00F41E78">
        <w:rPr>
          <w:rFonts w:cs="FrankRuehl" w:hint="eastAsia"/>
          <w:sz w:val="18"/>
          <w:szCs w:val="22"/>
          <w:rtl/>
          <w:lang w:eastAsia="he-IL"/>
        </w:rPr>
        <w:t>להלן</w:t>
      </w:r>
      <w:r w:rsidRPr="00F41E78">
        <w:rPr>
          <w:rFonts w:cs="FrankRuehl"/>
          <w:sz w:val="18"/>
          <w:szCs w:val="22"/>
          <w:rtl/>
          <w:lang w:eastAsia="he-IL"/>
        </w:rPr>
        <w:t xml:space="preserve"> </w:t>
      </w:r>
      <w:r w:rsidRPr="00F41E78">
        <w:rPr>
          <w:rFonts w:cs="FrankRuehl" w:hint="eastAsia"/>
          <w:sz w:val="18"/>
          <w:szCs w:val="22"/>
          <w:rtl/>
          <w:lang w:eastAsia="he-IL"/>
        </w:rPr>
        <w:t>בתרשים</w:t>
      </w:r>
      <w:r w:rsidRPr="00F41E78">
        <w:rPr>
          <w:rFonts w:cs="FrankRuehl"/>
          <w:sz w:val="18"/>
          <w:szCs w:val="22"/>
          <w:rtl/>
          <w:lang w:eastAsia="he-IL"/>
        </w:rPr>
        <w:t xml:space="preserve"> </w:t>
      </w:r>
      <w:r w:rsidRPr="00F41E78">
        <w:rPr>
          <w:rFonts w:cs="FrankRuehl" w:hint="cs"/>
          <w:sz w:val="18"/>
          <w:szCs w:val="22"/>
          <w:rtl/>
          <w:lang w:eastAsia="he-IL"/>
        </w:rPr>
        <w:t>2</w:t>
      </w:r>
      <w:r w:rsidRPr="00F41E78">
        <w:rPr>
          <w:rFonts w:cs="FrankRuehl"/>
          <w:sz w:val="18"/>
          <w:szCs w:val="22"/>
          <w:rtl/>
          <w:lang w:eastAsia="he-IL"/>
        </w:rPr>
        <w:t xml:space="preserve"> </w:t>
      </w:r>
      <w:r w:rsidRPr="00F41E78">
        <w:rPr>
          <w:rFonts w:cs="FrankRuehl" w:hint="eastAsia"/>
          <w:sz w:val="18"/>
          <w:szCs w:val="22"/>
          <w:rtl/>
          <w:lang w:eastAsia="he-IL"/>
        </w:rPr>
        <w:t>פירוט</w:t>
      </w:r>
      <w:r w:rsidRPr="00F41E78">
        <w:rPr>
          <w:rFonts w:cs="FrankRuehl"/>
          <w:sz w:val="18"/>
          <w:szCs w:val="22"/>
          <w:rtl/>
          <w:lang w:eastAsia="he-IL"/>
        </w:rPr>
        <w:t xml:space="preserve"> </w:t>
      </w:r>
      <w:r w:rsidRPr="00F41E78">
        <w:rPr>
          <w:rFonts w:cs="FrankRuehl" w:hint="eastAsia"/>
          <w:sz w:val="18"/>
          <w:szCs w:val="22"/>
          <w:rtl/>
          <w:lang w:eastAsia="he-IL"/>
        </w:rPr>
        <w:t>שיעורי</w:t>
      </w:r>
      <w:r w:rsidRPr="00F41E78">
        <w:rPr>
          <w:rFonts w:cs="FrankRuehl"/>
          <w:sz w:val="18"/>
          <w:szCs w:val="22"/>
          <w:rtl/>
          <w:lang w:eastAsia="he-IL"/>
        </w:rPr>
        <w:t xml:space="preserve"> </w:t>
      </w:r>
      <w:r w:rsidRPr="00F41E78">
        <w:rPr>
          <w:rFonts w:cs="FrankRuehl" w:hint="eastAsia"/>
          <w:sz w:val="18"/>
          <w:szCs w:val="22"/>
          <w:rtl/>
          <w:lang w:eastAsia="he-IL"/>
        </w:rPr>
        <w:t>האשראי</w:t>
      </w:r>
      <w:r w:rsidRPr="00F41E78">
        <w:rPr>
          <w:rFonts w:cs="FrankRuehl"/>
          <w:sz w:val="18"/>
          <w:szCs w:val="22"/>
          <w:rtl/>
          <w:lang w:eastAsia="he-IL"/>
        </w:rPr>
        <w:t xml:space="preserve"> </w:t>
      </w:r>
      <w:r w:rsidRPr="00F41E78">
        <w:rPr>
          <w:rFonts w:cs="FrankRuehl" w:hint="cs"/>
          <w:sz w:val="18"/>
          <w:szCs w:val="22"/>
          <w:rtl/>
          <w:lang w:eastAsia="he-IL"/>
        </w:rPr>
        <w:t>הנוגע</w:t>
      </w:r>
      <w:r w:rsidRPr="00F41E78">
        <w:rPr>
          <w:rFonts w:cs="FrankRuehl"/>
          <w:sz w:val="18"/>
          <w:szCs w:val="22"/>
          <w:rtl/>
          <w:lang w:eastAsia="he-IL"/>
        </w:rPr>
        <w:t xml:space="preserve"> </w:t>
      </w:r>
      <w:r w:rsidRPr="00F41E78">
        <w:rPr>
          <w:rFonts w:cs="FrankRuehl" w:hint="eastAsia"/>
          <w:sz w:val="18"/>
          <w:szCs w:val="22"/>
          <w:rtl/>
          <w:lang w:eastAsia="he-IL"/>
        </w:rPr>
        <w:t>לנדל</w:t>
      </w:r>
      <w:r w:rsidRPr="00F41E78">
        <w:rPr>
          <w:rFonts w:cs="FrankRuehl"/>
          <w:sz w:val="18"/>
          <w:szCs w:val="22"/>
          <w:rtl/>
          <w:lang w:eastAsia="he-IL"/>
        </w:rPr>
        <w:t xml:space="preserve">"ן </w:t>
      </w:r>
      <w:r w:rsidRPr="00F41E78">
        <w:rPr>
          <w:rFonts w:cs="FrankRuehl" w:hint="eastAsia"/>
          <w:sz w:val="18"/>
          <w:szCs w:val="22"/>
          <w:rtl/>
          <w:lang w:eastAsia="he-IL"/>
        </w:rPr>
        <w:t>בשנים</w:t>
      </w:r>
      <w:r w:rsidRPr="00F41E78">
        <w:rPr>
          <w:rFonts w:cs="FrankRuehl"/>
          <w:sz w:val="18"/>
          <w:szCs w:val="22"/>
          <w:rtl/>
          <w:lang w:eastAsia="he-IL"/>
        </w:rPr>
        <w:t xml:space="preserve"> 2012-2004:</w:t>
      </w:r>
      <w:r w:rsidRPr="00F41E78">
        <w:rPr>
          <w:rFonts w:cs="FrankRuehl" w:hint="cs"/>
          <w:sz w:val="18"/>
          <w:szCs w:val="22"/>
          <w:rtl/>
          <w:lang w:eastAsia="he-IL"/>
        </w:rPr>
        <w:t xml:space="preserve"> </w:t>
      </w:r>
    </w:p>
    <w:p w:rsidR="00143E57" w:rsidP="007264BD">
      <w:pPr>
        <w:spacing w:after="240" w:line="240" w:lineRule="atLeast"/>
        <w:jc w:val="center"/>
        <w:rPr>
          <w:rFonts w:ascii="Arial" w:hAnsi="Arial" w:cs="Arial"/>
          <w:noProof/>
        </w:rPr>
      </w:pPr>
      <w:r>
        <w:rPr>
          <w:rFonts w:ascii="Arial" w:hAnsi="Arial" w:cs="Arial"/>
          <w:noProof/>
        </w:rPr>
        <w:pict>
          <v:shape id="_x0000_i1041" type="#_x0000_t75" style="width:340pt;height:220pt">
            <v:imagedata r:id="rId29" o:title="B1-2-C9"/>
          </v:shape>
        </w:pic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מהתרשים עולה כי שיעורי האשראי הקשור לנדל"ן עלו במידה ניכרת בשנים 2012-2004, והעלייה מושפעת הן מהגידול בשיעור האשראי לענף הבינוי והנדל"ן והן מהגידול בשיעור האשראי הניתן לאנשים פרטיים במסגרת הלוואות לדיור.</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בסקירה השנתית 2012</w:t>
      </w:r>
      <w:r>
        <w:rPr>
          <w:rFonts w:cs="FrankRuehl"/>
          <w:sz w:val="18"/>
          <w:szCs w:val="22"/>
          <w:vertAlign w:val="superscript"/>
          <w:rtl/>
          <w:lang w:eastAsia="he-IL"/>
        </w:rPr>
        <w:footnoteReference w:id="119"/>
      </w:r>
      <w:r w:rsidRPr="00F41E78">
        <w:rPr>
          <w:rFonts w:cs="FrankRuehl" w:hint="cs"/>
          <w:sz w:val="18"/>
          <w:szCs w:val="22"/>
          <w:rtl/>
          <w:lang w:eastAsia="he-IL"/>
        </w:rPr>
        <w:t xml:space="preserve"> מציין הפיקוח על הבנקים כי על רקע עליות המחירים המתמשכות בשוק הדיור והחשש מהתגברות הסיכונים ללווים ולמלווים, הוא נקט כמה צעדים. צעדים אלו נועדו להפחית את ההפסד הפוטנציאלי מהתממשות תרחיש של ירידת מחירים בשוק הדיור ועלייה באבטלה ולהגן על נוטלי המשכנתאות ולחזק את המערכת הבנקאית. להלן הפרטים:</w:t>
      </w:r>
    </w:p>
    <w:p w:rsidR="00E97EDA" w:rsidRPr="00F41E78" w:rsidP="007264BD">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 xml:space="preserve">1. </w:t>
      </w:r>
      <w:r w:rsidRPr="00F41E78">
        <w:rPr>
          <w:rFonts w:cs="FrankRuehl"/>
          <w:sz w:val="18"/>
          <w:szCs w:val="22"/>
          <w:rtl/>
          <w:lang w:eastAsia="he-IL"/>
        </w:rPr>
        <w:tab/>
      </w:r>
      <w:r w:rsidRPr="00F41E78">
        <w:rPr>
          <w:rFonts w:cs="FrankRuehl" w:hint="eastAsia"/>
          <w:sz w:val="18"/>
          <w:szCs w:val="22"/>
          <w:rtl/>
          <w:lang w:eastAsia="he-IL"/>
        </w:rPr>
        <w:t>במאי</w:t>
      </w:r>
      <w:r w:rsidRPr="00F41E78">
        <w:rPr>
          <w:rFonts w:cs="FrankRuehl"/>
          <w:sz w:val="18"/>
          <w:szCs w:val="22"/>
          <w:rtl/>
          <w:lang w:eastAsia="he-IL"/>
        </w:rPr>
        <w:t xml:space="preserve"> 2011</w:t>
      </w:r>
      <w:r w:rsidRPr="00F41E78">
        <w:rPr>
          <w:rFonts w:cs="FrankRuehl" w:hint="cs"/>
          <w:sz w:val="18"/>
          <w:szCs w:val="22"/>
          <w:rtl/>
          <w:lang w:eastAsia="he-IL"/>
        </w:rPr>
        <w:t xml:space="preserve"> הגביל הפיקוח על הבנקים את שיעור ההלוואות לדיור בריבית משתנה</w:t>
      </w:r>
      <w:r>
        <w:rPr>
          <w:rFonts w:cs="FrankRuehl"/>
          <w:sz w:val="18"/>
          <w:szCs w:val="22"/>
          <w:vertAlign w:val="superscript"/>
          <w:rtl/>
          <w:lang w:eastAsia="he-IL"/>
        </w:rPr>
        <w:footnoteReference w:id="120"/>
      </w:r>
      <w:r w:rsidRPr="00F41E78">
        <w:rPr>
          <w:rFonts w:cs="FrankRuehl" w:hint="cs"/>
          <w:sz w:val="18"/>
          <w:szCs w:val="22"/>
          <w:rtl/>
          <w:lang w:eastAsia="he-IL"/>
        </w:rPr>
        <w:t xml:space="preserve"> לכדי שליש מסך ההלוואה לדיור שתאגיד בנקאי מעמיד ללווה. המגבלה חלה על הלוואות חדשות לדיור בכל מסלולי הריבית המשתנה שבהם הריבית עשויה להשתנות במהלך תקופה הקצרה מחמש שנים. כמו כן,</w:t>
      </w:r>
      <w:r w:rsidRPr="00F41E78">
        <w:rPr>
          <w:rFonts w:cs="FrankRuehl"/>
          <w:sz w:val="18"/>
          <w:szCs w:val="22"/>
          <w:rtl/>
          <w:lang w:eastAsia="he-IL"/>
        </w:rPr>
        <w:t xml:space="preserve"> </w:t>
      </w:r>
      <w:r w:rsidRPr="00F41E78">
        <w:rPr>
          <w:rFonts w:cs="FrankRuehl" w:hint="eastAsia"/>
          <w:sz w:val="18"/>
          <w:szCs w:val="22"/>
          <w:rtl/>
          <w:lang w:eastAsia="he-IL"/>
        </w:rPr>
        <w:t>ההנחיה</w:t>
      </w:r>
      <w:r w:rsidRPr="00F41E78">
        <w:rPr>
          <w:rFonts w:cs="FrankRuehl"/>
          <w:sz w:val="18"/>
          <w:szCs w:val="22"/>
          <w:rtl/>
          <w:lang w:eastAsia="he-IL"/>
        </w:rPr>
        <w:t xml:space="preserve"> </w:t>
      </w:r>
      <w:r w:rsidRPr="00F41E78">
        <w:rPr>
          <w:rFonts w:cs="FrankRuehl" w:hint="cs"/>
          <w:sz w:val="18"/>
          <w:szCs w:val="22"/>
          <w:rtl/>
          <w:lang w:eastAsia="he-IL"/>
        </w:rPr>
        <w:t>מסדירה</w:t>
      </w:r>
      <w:r w:rsidRPr="00F41E78">
        <w:rPr>
          <w:rFonts w:cs="FrankRuehl"/>
          <w:sz w:val="18"/>
          <w:szCs w:val="22"/>
          <w:rtl/>
          <w:lang w:eastAsia="he-IL"/>
        </w:rPr>
        <w:t xml:space="preserve"> </w:t>
      </w:r>
      <w:r w:rsidRPr="00F41E78">
        <w:rPr>
          <w:rFonts w:cs="FrankRuehl" w:hint="cs"/>
          <w:sz w:val="18"/>
          <w:szCs w:val="22"/>
          <w:rtl/>
          <w:lang w:eastAsia="he-IL"/>
        </w:rPr>
        <w:t xml:space="preserve">את </w:t>
      </w:r>
      <w:r w:rsidRPr="00F41E78">
        <w:rPr>
          <w:rFonts w:cs="FrankRuehl" w:hint="eastAsia"/>
          <w:sz w:val="18"/>
          <w:szCs w:val="22"/>
          <w:rtl/>
          <w:lang w:eastAsia="he-IL"/>
        </w:rPr>
        <w:t>חובת</w:t>
      </w:r>
      <w:r w:rsidRPr="00F41E78">
        <w:rPr>
          <w:rFonts w:cs="FrankRuehl"/>
          <w:sz w:val="18"/>
          <w:szCs w:val="22"/>
          <w:rtl/>
          <w:lang w:eastAsia="he-IL"/>
        </w:rPr>
        <w:t xml:space="preserve"> </w:t>
      </w:r>
      <w:r w:rsidRPr="00F41E78">
        <w:rPr>
          <w:rFonts w:cs="FrankRuehl" w:hint="cs"/>
          <w:sz w:val="18"/>
          <w:szCs w:val="22"/>
          <w:rtl/>
          <w:lang w:eastAsia="he-IL"/>
        </w:rPr>
        <w:t>ה</w:t>
      </w:r>
      <w:r w:rsidRPr="00F41E78">
        <w:rPr>
          <w:rFonts w:cs="FrankRuehl" w:hint="eastAsia"/>
          <w:sz w:val="18"/>
          <w:szCs w:val="22"/>
          <w:rtl/>
          <w:lang w:eastAsia="he-IL"/>
        </w:rPr>
        <w:t>גילוי</w:t>
      </w:r>
      <w:r w:rsidRPr="00F41E78">
        <w:rPr>
          <w:rFonts w:cs="FrankRuehl"/>
          <w:sz w:val="18"/>
          <w:szCs w:val="22"/>
          <w:rtl/>
          <w:lang w:eastAsia="he-IL"/>
        </w:rPr>
        <w:t xml:space="preserve"> </w:t>
      </w:r>
      <w:r w:rsidRPr="00F41E78">
        <w:rPr>
          <w:rFonts w:cs="FrankRuehl" w:hint="eastAsia"/>
          <w:sz w:val="18"/>
          <w:szCs w:val="22"/>
          <w:rtl/>
          <w:lang w:eastAsia="he-IL"/>
        </w:rPr>
        <w:t>ללקוחות</w:t>
      </w:r>
      <w:r w:rsidRPr="00F41E78">
        <w:rPr>
          <w:rFonts w:cs="FrankRuehl"/>
          <w:sz w:val="18"/>
          <w:szCs w:val="22"/>
          <w:rtl/>
          <w:lang w:eastAsia="he-IL"/>
        </w:rPr>
        <w:t xml:space="preserve"> </w:t>
      </w:r>
      <w:r w:rsidRPr="00F41E78">
        <w:rPr>
          <w:rFonts w:cs="FrankRuehl" w:hint="eastAsia"/>
          <w:sz w:val="18"/>
          <w:szCs w:val="22"/>
          <w:rtl/>
          <w:lang w:eastAsia="he-IL"/>
        </w:rPr>
        <w:t>שנטלו</w:t>
      </w:r>
      <w:r w:rsidRPr="00F41E78">
        <w:rPr>
          <w:rFonts w:cs="FrankRuehl"/>
          <w:sz w:val="18"/>
          <w:szCs w:val="22"/>
          <w:rtl/>
          <w:lang w:eastAsia="he-IL"/>
        </w:rPr>
        <w:t xml:space="preserve"> </w:t>
      </w:r>
      <w:r w:rsidRPr="00F41E78">
        <w:rPr>
          <w:rFonts w:cs="FrankRuehl" w:hint="eastAsia"/>
          <w:sz w:val="18"/>
          <w:szCs w:val="22"/>
          <w:rtl/>
          <w:lang w:eastAsia="he-IL"/>
        </w:rPr>
        <w:t>בעבר</w:t>
      </w:r>
      <w:r w:rsidRPr="00F41E78">
        <w:rPr>
          <w:rFonts w:cs="FrankRuehl"/>
          <w:sz w:val="18"/>
          <w:szCs w:val="22"/>
          <w:rtl/>
          <w:lang w:eastAsia="he-IL"/>
        </w:rPr>
        <w:t xml:space="preserve"> </w:t>
      </w:r>
      <w:r w:rsidRPr="00F41E78">
        <w:rPr>
          <w:rFonts w:cs="FrankRuehl" w:hint="eastAsia"/>
          <w:sz w:val="18"/>
          <w:szCs w:val="22"/>
          <w:rtl/>
          <w:lang w:eastAsia="he-IL"/>
        </w:rPr>
        <w:t>הלוואות</w:t>
      </w:r>
      <w:r w:rsidRPr="00F41E78">
        <w:rPr>
          <w:rFonts w:cs="FrankRuehl"/>
          <w:sz w:val="18"/>
          <w:szCs w:val="22"/>
          <w:rtl/>
          <w:lang w:eastAsia="he-IL"/>
        </w:rPr>
        <w:t xml:space="preserve"> </w:t>
      </w:r>
      <w:r w:rsidRPr="00F41E78">
        <w:rPr>
          <w:rFonts w:cs="FrankRuehl" w:hint="eastAsia"/>
          <w:sz w:val="18"/>
          <w:szCs w:val="22"/>
          <w:rtl/>
          <w:lang w:eastAsia="he-IL"/>
        </w:rPr>
        <w:t>לדיור</w:t>
      </w:r>
      <w:r w:rsidRPr="00F41E78">
        <w:rPr>
          <w:rFonts w:cs="FrankRuehl"/>
          <w:sz w:val="18"/>
          <w:szCs w:val="22"/>
          <w:rtl/>
          <w:lang w:eastAsia="he-IL"/>
        </w:rPr>
        <w:t xml:space="preserve"> </w:t>
      </w:r>
      <w:r w:rsidRPr="00F41E78">
        <w:rPr>
          <w:rFonts w:cs="FrankRuehl" w:hint="eastAsia"/>
          <w:sz w:val="18"/>
          <w:szCs w:val="22"/>
          <w:rtl/>
          <w:lang w:eastAsia="he-IL"/>
        </w:rPr>
        <w:t>במסלול</w:t>
      </w:r>
      <w:r w:rsidRPr="00F41E78">
        <w:rPr>
          <w:rFonts w:cs="FrankRuehl"/>
          <w:sz w:val="18"/>
          <w:szCs w:val="22"/>
          <w:rtl/>
          <w:lang w:eastAsia="he-IL"/>
        </w:rPr>
        <w:t xml:space="preserve"> </w:t>
      </w:r>
      <w:r w:rsidRPr="00F41E78">
        <w:rPr>
          <w:rFonts w:cs="FrankRuehl" w:hint="eastAsia"/>
          <w:sz w:val="18"/>
          <w:szCs w:val="22"/>
          <w:rtl/>
          <w:lang w:eastAsia="he-IL"/>
        </w:rPr>
        <w:t>ריבית</w:t>
      </w:r>
      <w:r w:rsidRPr="00F41E78">
        <w:rPr>
          <w:rFonts w:cs="FrankRuehl"/>
          <w:sz w:val="18"/>
          <w:szCs w:val="22"/>
          <w:rtl/>
          <w:lang w:eastAsia="he-IL"/>
        </w:rPr>
        <w:t xml:space="preserve"> </w:t>
      </w:r>
      <w:r w:rsidRPr="00F41E78">
        <w:rPr>
          <w:rFonts w:cs="FrankRuehl" w:hint="eastAsia"/>
          <w:sz w:val="18"/>
          <w:szCs w:val="22"/>
          <w:rtl/>
          <w:lang w:eastAsia="he-IL"/>
        </w:rPr>
        <w:t>משתנה</w:t>
      </w:r>
      <w:r w:rsidRPr="00F41E78">
        <w:rPr>
          <w:rFonts w:cs="FrankRuehl"/>
          <w:sz w:val="18"/>
          <w:szCs w:val="22"/>
          <w:rtl/>
          <w:lang w:eastAsia="he-IL"/>
        </w:rPr>
        <w:t>.</w:t>
      </w:r>
      <w:r w:rsidRPr="00F41E78">
        <w:rPr>
          <w:rFonts w:cs="FrankRuehl" w:hint="cs"/>
          <w:sz w:val="18"/>
          <w:szCs w:val="22"/>
          <w:rtl/>
          <w:lang w:eastAsia="he-IL"/>
        </w:rPr>
        <w:t xml:space="preserve"> </w:t>
      </w:r>
    </w:p>
    <w:p w:rsidR="00E97EDA" w:rsidRPr="00F41E78" w:rsidP="007264BD">
      <w:pPr>
        <w:spacing w:after="120" w:line="230" w:lineRule="exact"/>
        <w:ind w:left="340" w:hanging="340"/>
        <w:jc w:val="both"/>
        <w:rPr>
          <w:rFonts w:cs="FrankRuehl"/>
          <w:sz w:val="18"/>
          <w:szCs w:val="22"/>
          <w:rtl/>
          <w:lang w:eastAsia="he-IL"/>
        </w:rPr>
      </w:pPr>
      <w:r>
        <w:rPr>
          <w:rFonts w:cs="FrankRuehl"/>
          <w:sz w:val="18"/>
          <w:szCs w:val="22"/>
          <w:lang w:eastAsia="he-IL"/>
        </w:rPr>
        <w:tab/>
      </w:r>
      <w:r w:rsidRPr="00F41E78">
        <w:rPr>
          <w:rFonts w:cs="FrankRuehl" w:hint="cs"/>
          <w:sz w:val="18"/>
          <w:szCs w:val="22"/>
          <w:rtl/>
          <w:lang w:eastAsia="he-IL"/>
        </w:rPr>
        <w:t>בהודעה לעיתונות</w:t>
      </w:r>
      <w:r>
        <w:rPr>
          <w:rFonts w:cs="FrankRuehl"/>
          <w:sz w:val="18"/>
          <w:szCs w:val="22"/>
          <w:vertAlign w:val="superscript"/>
          <w:rtl/>
          <w:lang w:eastAsia="he-IL"/>
        </w:rPr>
        <w:footnoteReference w:id="121"/>
      </w:r>
      <w:r w:rsidRPr="00F41E78">
        <w:rPr>
          <w:rFonts w:cs="FrankRuehl" w:hint="cs"/>
          <w:sz w:val="18"/>
          <w:szCs w:val="22"/>
          <w:rtl/>
          <w:lang w:eastAsia="he-IL"/>
        </w:rPr>
        <w:t xml:space="preserve"> ציין בנק ישראל שההנחיה פורסמה לנוכח המגמות הנמשכות בשוק הדיור, ובעיקר לנוכח ההיקף הרחב של ביצועי ההלוואות לדיור בריבית משתנה הטומנות בחובן סיכון ללווים, וכפועל יוצא למערכת הבנקאית כולה. מדובר בסיכון הכרוך באפשרות שהריבית תעלה ותגדיל באופן ניכר את תשלומי המשכנתה החודשיים המוטלים על הלווים, באופן שישליך על יכולתם לפרוע את ההלוואו</w:t>
      </w:r>
      <w:r w:rsidRPr="00F41E78">
        <w:rPr>
          <w:rFonts w:cs="FrankRuehl" w:hint="eastAsia"/>
          <w:sz w:val="18"/>
          <w:szCs w:val="22"/>
          <w:rtl/>
          <w:lang w:eastAsia="he-IL"/>
        </w:rPr>
        <w:t>ת</w:t>
      </w:r>
      <w:r w:rsidRPr="00F41E78">
        <w:rPr>
          <w:rFonts w:cs="FrankRuehl" w:hint="cs"/>
          <w:sz w:val="18"/>
          <w:szCs w:val="22"/>
          <w:rtl/>
          <w:lang w:eastAsia="he-IL"/>
        </w:rPr>
        <w:t xml:space="preserve"> כסדרן. עוד צוין בהודעה כי חלק גדול מהמשברים הפיננסיים שהתרחשו במדינות שונות החלו במתן אשראי לדיור בתנאים שלא שיקפו את הסיכונים המתפתחים בשוק זה ובאופן שלא תאם את העלייה המהירה במחירי הדיור.</w:t>
      </w:r>
    </w:p>
    <w:p w:rsidR="00E97EDA" w:rsidRPr="00F41E78" w:rsidP="007264BD">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 xml:space="preserve">2. </w:t>
      </w:r>
      <w:r w:rsidRPr="00F41E78">
        <w:rPr>
          <w:rFonts w:cs="FrankRuehl"/>
          <w:sz w:val="18"/>
          <w:szCs w:val="22"/>
          <w:rtl/>
          <w:lang w:eastAsia="he-IL"/>
        </w:rPr>
        <w:tab/>
      </w:r>
      <w:r w:rsidRPr="00F41E78">
        <w:rPr>
          <w:rFonts w:cs="FrankRuehl" w:hint="cs"/>
          <w:sz w:val="18"/>
          <w:szCs w:val="22"/>
          <w:rtl/>
          <w:lang w:eastAsia="he-IL"/>
        </w:rPr>
        <w:t>באוקטובר 2012 הגביל הפיקוח על הבנקים את היקף המשכנתה המרבי לשיעור מסוים מערך הדירה הנרכשת (</w:t>
      </w:r>
      <w:r w:rsidRPr="00F41E78">
        <w:rPr>
          <w:rFonts w:cs="FrankRuehl"/>
          <w:sz w:val="18"/>
          <w:szCs w:val="22"/>
          <w:lang w:eastAsia="he-IL"/>
        </w:rPr>
        <w:t>LOAN TO VALUE - LTV</w:t>
      </w:r>
      <w:r w:rsidRPr="00F41E78">
        <w:rPr>
          <w:rFonts w:cs="FrankRuehl" w:hint="cs"/>
          <w:sz w:val="18"/>
          <w:szCs w:val="22"/>
          <w:rtl/>
          <w:lang w:eastAsia="he-IL"/>
        </w:rPr>
        <w:t>). ההנחיה מגבילה את המשכנתה הניתנת למשקיעים לשיעור של עד 50% מערך הדירה הנרכשת, ואת זו הניתנת לרוכשי דירה אחרים היא מגבילה לשיעור של עד 70% (להלן - מחליפי דיור), למעט הקלה הניתנת לרוכשי דירה ראשונה - לגביהם נקבע שיעור מימון מרבי של 75%.</w:t>
      </w:r>
    </w:p>
    <w:p w:rsidR="00E97EDA" w:rsidRPr="00F41E78" w:rsidP="007264BD">
      <w:pPr>
        <w:spacing w:after="120" w:line="230" w:lineRule="exact"/>
        <w:ind w:left="340"/>
        <w:jc w:val="both"/>
        <w:rPr>
          <w:rFonts w:cs="FrankRuehl"/>
          <w:sz w:val="18"/>
          <w:szCs w:val="22"/>
          <w:rtl/>
          <w:lang w:eastAsia="he-IL"/>
        </w:rPr>
      </w:pPr>
      <w:r w:rsidRPr="00F41E78">
        <w:rPr>
          <w:rFonts w:cs="FrankRuehl" w:hint="cs"/>
          <w:sz w:val="18"/>
          <w:szCs w:val="22"/>
          <w:rtl/>
          <w:lang w:eastAsia="he-IL"/>
        </w:rPr>
        <w:t>הבנק ציין</w:t>
      </w:r>
      <w:r>
        <w:rPr>
          <w:rFonts w:cs="FrankRuehl"/>
          <w:sz w:val="18"/>
          <w:szCs w:val="22"/>
          <w:vertAlign w:val="superscript"/>
          <w:rtl/>
          <w:lang w:eastAsia="he-IL"/>
        </w:rPr>
        <w:footnoteReference w:id="122"/>
      </w:r>
      <w:r w:rsidRPr="00F41E78">
        <w:rPr>
          <w:rFonts w:cs="FrankRuehl" w:hint="cs"/>
          <w:sz w:val="18"/>
          <w:szCs w:val="22"/>
          <w:rtl/>
          <w:lang w:eastAsia="he-IL"/>
        </w:rPr>
        <w:t xml:space="preserve"> כי שיעורי מימון גבוהים יכולים לפגוע ביכולת הלווים להחזיר בעתיד את המשכנתה אם יתממשו תרחישים של גידול באבטלה וירידה של ממש במחירי הדיור. לפיכך, ההגבלה על שיעור המימון עשויה לסייע למניעת ההשלכות הקשות על משקי הבית ועל המערכת הפיננסית והכלכלה הריאלית, העלולות להיווצר אם יתממשו תרחישים אלו. עוד ציין הבנק כי פעילות המשקיעים בשוק הדיור מוערכת בכ-25% מהעסקאות, והאשראי למשקיעים עלול גם הוא להיות האשראי המסוכן יותר בתיק האשראי הבנקאי אם יתממש תרחיש ירידת מחירי הדיור.</w:t>
      </w:r>
    </w:p>
    <w:p w:rsidR="00E97EDA" w:rsidRPr="00F41E78" w:rsidP="007264BD">
      <w:pPr>
        <w:spacing w:after="240" w:line="230" w:lineRule="exact"/>
        <w:ind w:left="340"/>
        <w:jc w:val="both"/>
        <w:rPr>
          <w:rFonts w:cs="FrankRuehl"/>
          <w:sz w:val="18"/>
          <w:szCs w:val="22"/>
          <w:rtl/>
          <w:lang w:eastAsia="he-IL"/>
        </w:rPr>
      </w:pPr>
      <w:r w:rsidRPr="00F41E78">
        <w:rPr>
          <w:rFonts w:cs="FrankRuehl" w:hint="cs"/>
          <w:sz w:val="18"/>
          <w:szCs w:val="22"/>
          <w:rtl/>
          <w:lang w:eastAsia="he-IL"/>
        </w:rPr>
        <w:t xml:space="preserve">על פי </w:t>
      </w:r>
      <w:r w:rsidRPr="00F41E78">
        <w:rPr>
          <w:rFonts w:cs="FrankRuehl" w:hint="eastAsia"/>
          <w:sz w:val="18"/>
          <w:szCs w:val="22"/>
          <w:rtl/>
          <w:lang w:eastAsia="he-IL"/>
        </w:rPr>
        <w:t>חוק</w:t>
      </w:r>
      <w:r w:rsidRPr="00F41E78">
        <w:rPr>
          <w:rFonts w:cs="FrankRuehl"/>
          <w:sz w:val="18"/>
          <w:szCs w:val="22"/>
          <w:rtl/>
          <w:lang w:eastAsia="he-IL"/>
        </w:rPr>
        <w:t xml:space="preserve"> </w:t>
      </w:r>
      <w:r w:rsidRPr="00F41E78">
        <w:rPr>
          <w:rFonts w:cs="FrankRuehl" w:hint="eastAsia"/>
          <w:sz w:val="18"/>
          <w:szCs w:val="22"/>
          <w:rtl/>
          <w:lang w:eastAsia="he-IL"/>
        </w:rPr>
        <w:t>מיסוי</w:t>
      </w:r>
      <w:r w:rsidRPr="00F41E78">
        <w:rPr>
          <w:rFonts w:cs="FrankRuehl"/>
          <w:sz w:val="18"/>
          <w:szCs w:val="22"/>
          <w:rtl/>
          <w:lang w:eastAsia="he-IL"/>
        </w:rPr>
        <w:t xml:space="preserve"> </w:t>
      </w:r>
      <w:r w:rsidRPr="00F41E78">
        <w:rPr>
          <w:rFonts w:cs="FrankRuehl" w:hint="eastAsia"/>
          <w:sz w:val="18"/>
          <w:szCs w:val="22"/>
          <w:rtl/>
          <w:lang w:eastAsia="he-IL"/>
        </w:rPr>
        <w:t>מקרקעין</w:t>
      </w:r>
      <w:r w:rsidRPr="00F41E78">
        <w:rPr>
          <w:rFonts w:cs="FrankRuehl" w:hint="cs"/>
          <w:sz w:val="18"/>
          <w:szCs w:val="22"/>
          <w:rtl/>
          <w:lang w:eastAsia="he-IL"/>
        </w:rPr>
        <w:t xml:space="preserve">, רוכש דירה רשאי להצהיר כי בכוונתו למכור את דירתו, שהייתה דירתו היחידה עד רכישת הדירה החדשה, בתוך 24 חודשים מיום רכישת הדירה החדשה, ומאותו מועד הוא מסווג כמחליף דיור הזכאי להקלות מס. </w:t>
      </w:r>
    </w:p>
    <w:p w:rsidR="00D22B16" w:rsidRPr="00F41E78" w:rsidP="00D22B16">
      <w:pPr>
        <w:pStyle w:val="RESHET"/>
        <w:keepLines/>
        <w:ind w:left="567"/>
        <w:rPr>
          <w:rtl/>
        </w:rPr>
      </w:pPr>
      <w:r w:rsidRPr="00F41E78">
        <w:rPr>
          <w:rFonts w:hint="cs"/>
          <w:rtl/>
        </w:rPr>
        <w:t>נמצא כי לצורך הבחנה בין משקיע ובין רוכש מסוג מחליף דיור הפיקוח על הבנקים מסתפק בהצהרה של רוכש הדירה לרשות המסים כי בכוונתו למכור את דירתו הנוכחית. לפיכך, כל רוכש דירה ששינה את דעתו ולא מכר את דירתו הישנה הופך בעצם למשקיע, אף שקיבל משכנתה בשיעור גבוה יותר מזה שקיבל משקיע. עוד נמצא כי הפיקוח על הבנקים אינו מבצע מעקב אחר מספר המקרים שמחליפי דיור הפכו למשקיעים, אם ישנם כאלו, ואחר רמת הסיכון בהלוואות אלו.</w:t>
      </w:r>
    </w:p>
    <w:p w:rsidR="00E97EDA" w:rsidRPr="00F41E78" w:rsidP="007264BD">
      <w:pPr>
        <w:spacing w:before="180" w:after="240" w:line="230" w:lineRule="exact"/>
        <w:ind w:left="340"/>
        <w:jc w:val="both"/>
        <w:rPr>
          <w:rFonts w:cs="FrankRuehl"/>
          <w:sz w:val="18"/>
          <w:szCs w:val="22"/>
          <w:rtl/>
          <w:lang w:eastAsia="he-IL"/>
        </w:rPr>
      </w:pPr>
      <w:r w:rsidRPr="00F41E78">
        <w:rPr>
          <w:rFonts w:cs="FrankRuehl" w:hint="cs"/>
          <w:sz w:val="18"/>
          <w:szCs w:val="22"/>
          <w:rtl/>
          <w:lang w:eastAsia="he-IL"/>
        </w:rPr>
        <w:t xml:space="preserve">בתשובתו מסר בנק ישראל כי הוא ער לחשש שהעלתה הביקורת, ואף שלדעתו פוטנציאל השימוש לרעה בהליך זה נמוך, הוא יבחן חידוד ההנחיה לתאגידים הבנקאיים בדבר ההתייחסות להצהרת הלקוח במועד החיתום. עוד מסר כי הוא סבור שהצהרת רוכש דירה לפי סעיף 9(ג) </w:t>
      </w:r>
      <w:r w:rsidRPr="00F41E78">
        <w:rPr>
          <w:rFonts w:cs="FrankRuehl" w:hint="eastAsia"/>
          <w:sz w:val="18"/>
          <w:szCs w:val="22"/>
          <w:rtl/>
          <w:lang w:eastAsia="he-IL"/>
        </w:rPr>
        <w:t>בחוק</w:t>
      </w:r>
      <w:r w:rsidRPr="00F41E78">
        <w:rPr>
          <w:rFonts w:cs="FrankRuehl"/>
          <w:sz w:val="18"/>
          <w:szCs w:val="22"/>
          <w:rtl/>
          <w:lang w:eastAsia="he-IL"/>
        </w:rPr>
        <w:t xml:space="preserve"> </w:t>
      </w:r>
      <w:r w:rsidRPr="00F41E78">
        <w:rPr>
          <w:rFonts w:cs="FrankRuehl" w:hint="eastAsia"/>
          <w:sz w:val="18"/>
          <w:szCs w:val="22"/>
          <w:rtl/>
          <w:lang w:eastAsia="he-IL"/>
        </w:rPr>
        <w:t>מיסוי</w:t>
      </w:r>
      <w:r w:rsidRPr="00F41E78">
        <w:rPr>
          <w:rFonts w:cs="FrankRuehl"/>
          <w:sz w:val="18"/>
          <w:szCs w:val="22"/>
          <w:rtl/>
          <w:lang w:eastAsia="he-IL"/>
        </w:rPr>
        <w:t xml:space="preserve"> </w:t>
      </w:r>
      <w:r w:rsidRPr="00F41E78">
        <w:rPr>
          <w:rFonts w:cs="FrankRuehl" w:hint="eastAsia"/>
          <w:sz w:val="18"/>
          <w:szCs w:val="22"/>
          <w:rtl/>
          <w:lang w:eastAsia="he-IL"/>
        </w:rPr>
        <w:t>מקרקעין</w:t>
      </w:r>
      <w:r w:rsidRPr="00F41E78">
        <w:rPr>
          <w:rFonts w:cs="FrankRuehl"/>
          <w:sz w:val="18"/>
          <w:szCs w:val="22"/>
          <w:rtl/>
          <w:lang w:eastAsia="he-IL"/>
        </w:rPr>
        <w:t xml:space="preserve"> </w:t>
      </w:r>
      <w:r w:rsidRPr="00F41E78">
        <w:rPr>
          <w:rFonts w:cs="FrankRuehl" w:hint="cs"/>
          <w:sz w:val="18"/>
          <w:szCs w:val="22"/>
          <w:rtl/>
          <w:lang w:eastAsia="he-IL"/>
        </w:rPr>
        <w:t>היא מקור אמין שאינו כרוך בסרבול ובעלויות מופרזות ללווה ולבנקים לצורך הגדרת הלווה כמשתייך לאחת משלוש קבוצות הרוכשים, ו</w:t>
      </w:r>
      <w:r w:rsidRPr="00F41E78">
        <w:rPr>
          <w:rFonts w:cs="FrankRuehl"/>
          <w:sz w:val="18"/>
          <w:szCs w:val="22"/>
          <w:rtl/>
          <w:lang w:eastAsia="he-IL"/>
        </w:rPr>
        <w:t xml:space="preserve">בהתבססות על הצהרת הרוכש כאמור היה מודע הפיקוח על הבנקים לקושי הקיים במעקב ובאימות </w:t>
      </w:r>
      <w:r w:rsidRPr="00F41E78">
        <w:rPr>
          <w:rFonts w:cs="FrankRuehl" w:hint="cs"/>
          <w:sz w:val="18"/>
          <w:szCs w:val="22"/>
          <w:rtl/>
          <w:lang w:eastAsia="he-IL"/>
        </w:rPr>
        <w:t>ה</w:t>
      </w:r>
      <w:r w:rsidRPr="00F41E78">
        <w:rPr>
          <w:rFonts w:cs="FrankRuehl"/>
          <w:sz w:val="18"/>
          <w:szCs w:val="22"/>
          <w:rtl/>
          <w:lang w:eastAsia="he-IL"/>
        </w:rPr>
        <w:t>הצהר</w:t>
      </w:r>
      <w:r w:rsidRPr="00F41E78">
        <w:rPr>
          <w:rFonts w:cs="FrankRuehl" w:hint="cs"/>
          <w:sz w:val="18"/>
          <w:szCs w:val="22"/>
          <w:rtl/>
          <w:lang w:eastAsia="he-IL"/>
        </w:rPr>
        <w:t>ה</w:t>
      </w:r>
      <w:r w:rsidRPr="00F41E78">
        <w:rPr>
          <w:rFonts w:cs="FrankRuehl"/>
          <w:sz w:val="18"/>
          <w:szCs w:val="22"/>
          <w:rtl/>
          <w:lang w:eastAsia="he-IL"/>
        </w:rPr>
        <w:t>.</w:t>
      </w:r>
      <w:r w:rsidRPr="00F41E78">
        <w:rPr>
          <w:rFonts w:cs="FrankRuehl" w:hint="cs"/>
          <w:sz w:val="18"/>
          <w:szCs w:val="22"/>
          <w:rtl/>
          <w:lang w:eastAsia="he-IL"/>
        </w:rPr>
        <w:t xml:space="preserve"> הבנק הוסיף כי לדעתו היתרונות של ההקלה בשיעור המימון לרכישת דירה גוברים על החשש מפני ניצול לרעה של אפשרות זו. באותם מקרים שמחליפי דיור יבחרו להסתיר את כוונתם לרכוש דירה שאינה "דירה יחידה", מדובר ברוכשים שיש להם לכל היותר דירה אחת מעבר </w:t>
      </w:r>
      <w:r w:rsidRPr="00F41E78">
        <w:rPr>
          <w:rFonts w:cs="FrankRuehl" w:hint="cs"/>
          <w:sz w:val="18"/>
          <w:szCs w:val="22"/>
          <w:rtl/>
          <w:lang w:eastAsia="he-IL"/>
        </w:rPr>
        <w:t xml:space="preserve">לזאת הנרכשת, ובוודאי אין הם הדגם המייצג של משקיעים בנדל"ן המלבים את עודף הביקוש בתחום. </w:t>
      </w:r>
    </w:p>
    <w:p w:rsidR="00D22B16" w:rsidRPr="00F41E78" w:rsidP="00D22B16">
      <w:pPr>
        <w:pStyle w:val="RESHET"/>
        <w:keepLines/>
        <w:ind w:left="567"/>
        <w:rPr>
          <w:rtl/>
        </w:rPr>
      </w:pPr>
      <w:r w:rsidRPr="00F41E78">
        <w:rPr>
          <w:rFonts w:hint="cs"/>
          <w:rtl/>
        </w:rPr>
        <w:t xml:space="preserve">משרד מבקר המדינה מעיר כי לא נמצא שבנק ישראל ניתח את שיעור עליית מחירי </w:t>
      </w:r>
      <w:r w:rsidRPr="00F41E78">
        <w:rPr>
          <w:rFonts w:hint="eastAsia"/>
          <w:rtl/>
        </w:rPr>
        <w:t>הדירות</w:t>
      </w:r>
      <w:r w:rsidRPr="00F41E78">
        <w:rPr>
          <w:rtl/>
        </w:rPr>
        <w:t xml:space="preserve"> או </w:t>
      </w:r>
      <w:r w:rsidRPr="00F41E78">
        <w:rPr>
          <w:rFonts w:hint="cs"/>
          <w:rtl/>
        </w:rPr>
        <w:t xml:space="preserve">את </w:t>
      </w:r>
      <w:r w:rsidRPr="00F41E78">
        <w:rPr>
          <w:rtl/>
        </w:rPr>
        <w:t xml:space="preserve">מידת הסיכון </w:t>
      </w:r>
      <w:r w:rsidRPr="00F41E78">
        <w:rPr>
          <w:rFonts w:hint="cs"/>
          <w:rtl/>
        </w:rPr>
        <w:t>הנשקפת בגין</w:t>
      </w:r>
      <w:r w:rsidRPr="00F41E78">
        <w:rPr>
          <w:rtl/>
        </w:rPr>
        <w:t xml:space="preserve"> המשקיעים השונים, </w:t>
      </w:r>
      <w:r w:rsidRPr="00F41E78">
        <w:rPr>
          <w:rFonts w:hint="cs"/>
          <w:rtl/>
        </w:rPr>
        <w:t>על פי</w:t>
      </w:r>
      <w:r w:rsidRPr="00F41E78">
        <w:rPr>
          <w:rtl/>
        </w:rPr>
        <w:t xml:space="preserve"> חלוקת המשקיעים לפי מספר הדירות שברשותם. </w:t>
      </w:r>
      <w:r w:rsidRPr="00F41E78">
        <w:rPr>
          <w:rFonts w:hint="eastAsia"/>
          <w:rtl/>
        </w:rPr>
        <w:t>יתרה</w:t>
      </w:r>
      <w:r w:rsidRPr="00F41E78">
        <w:rPr>
          <w:rtl/>
        </w:rPr>
        <w:t xml:space="preserve"> מז</w:t>
      </w:r>
      <w:r w:rsidRPr="00F41E78">
        <w:rPr>
          <w:rFonts w:hint="cs"/>
          <w:rtl/>
        </w:rPr>
        <w:t>את,</w:t>
      </w:r>
      <w:r w:rsidRPr="00F41E78">
        <w:rPr>
          <w:rtl/>
        </w:rPr>
        <w:t xml:space="preserve"> </w:t>
      </w:r>
      <w:r w:rsidRPr="00F41E78">
        <w:rPr>
          <w:rFonts w:hint="cs"/>
          <w:rtl/>
        </w:rPr>
        <w:t>מהביקורת עולה כי</w:t>
      </w:r>
      <w:r w:rsidRPr="00F41E78">
        <w:rPr>
          <w:rtl/>
        </w:rPr>
        <w:t xml:space="preserve"> </w:t>
      </w:r>
      <w:r w:rsidRPr="00F41E78">
        <w:rPr>
          <w:rFonts w:hint="eastAsia"/>
          <w:rtl/>
        </w:rPr>
        <w:t>בשנים</w:t>
      </w:r>
      <w:r w:rsidRPr="00F41E78">
        <w:rPr>
          <w:rtl/>
        </w:rPr>
        <w:t xml:space="preserve"> </w:t>
      </w:r>
      <w:r w:rsidRPr="00F41E78">
        <w:rPr>
          <w:rFonts w:hint="cs"/>
          <w:rtl/>
        </w:rPr>
        <w:t>2012</w:t>
      </w:r>
      <w:r w:rsidRPr="00F41E78">
        <w:rPr>
          <w:rtl/>
        </w:rPr>
        <w:t>-</w:t>
      </w:r>
      <w:r w:rsidRPr="00F41E78">
        <w:rPr>
          <w:rFonts w:hint="cs"/>
          <w:rtl/>
        </w:rPr>
        <w:t>2002</w:t>
      </w:r>
      <w:r w:rsidRPr="00F41E78">
        <w:rPr>
          <w:rtl/>
        </w:rPr>
        <w:t xml:space="preserve"> </w:t>
      </w:r>
      <w:r w:rsidRPr="00F41E78">
        <w:rPr>
          <w:rFonts w:hint="eastAsia"/>
          <w:rtl/>
        </w:rPr>
        <w:t>רכשו</w:t>
      </w:r>
      <w:r w:rsidRPr="00F41E78">
        <w:rPr>
          <w:rtl/>
        </w:rPr>
        <w:t xml:space="preserve"> </w:t>
      </w:r>
      <w:r w:rsidRPr="00F41E78">
        <w:rPr>
          <w:rFonts w:hint="cs"/>
          <w:rtl/>
        </w:rPr>
        <w:t>רוב</w:t>
      </w:r>
      <w:r w:rsidRPr="00F41E78">
        <w:rPr>
          <w:rtl/>
        </w:rPr>
        <w:t xml:space="preserve"> המשקיעים </w:t>
      </w:r>
      <w:r w:rsidRPr="00F41E78">
        <w:rPr>
          <w:rFonts w:hint="eastAsia"/>
          <w:rtl/>
        </w:rPr>
        <w:t>דירה</w:t>
      </w:r>
      <w:r w:rsidRPr="00F41E78">
        <w:rPr>
          <w:rtl/>
        </w:rPr>
        <w:t xml:space="preserve"> אחת </w:t>
      </w:r>
      <w:r w:rsidRPr="00F41E78">
        <w:rPr>
          <w:rFonts w:hint="eastAsia"/>
          <w:rtl/>
        </w:rPr>
        <w:t>נוספת</w:t>
      </w:r>
      <w:r w:rsidRPr="00F41E78">
        <w:rPr>
          <w:rtl/>
        </w:rPr>
        <w:t xml:space="preserve"> להשקעה (כ-224,000 דירות </w:t>
      </w:r>
      <w:r w:rsidRPr="00F41E78">
        <w:rPr>
          <w:rFonts w:hint="cs"/>
          <w:rtl/>
        </w:rPr>
        <w:t>שהן</w:t>
      </w:r>
      <w:r w:rsidRPr="00F41E78">
        <w:rPr>
          <w:rtl/>
        </w:rPr>
        <w:t xml:space="preserve"> 77% </w:t>
      </w:r>
      <w:r w:rsidRPr="00F41E78">
        <w:rPr>
          <w:rFonts w:hint="eastAsia"/>
          <w:rtl/>
        </w:rPr>
        <w:t>מכלל</w:t>
      </w:r>
      <w:r w:rsidRPr="00F41E78">
        <w:rPr>
          <w:rtl/>
        </w:rPr>
        <w:t xml:space="preserve"> </w:t>
      </w:r>
      <w:r w:rsidRPr="00F41E78">
        <w:rPr>
          <w:rFonts w:hint="eastAsia"/>
          <w:rtl/>
        </w:rPr>
        <w:t>הדירות</w:t>
      </w:r>
      <w:r w:rsidRPr="00F41E78">
        <w:rPr>
          <w:rtl/>
        </w:rPr>
        <w:t xml:space="preserve"> </w:t>
      </w:r>
      <w:r w:rsidRPr="00F41E78">
        <w:rPr>
          <w:rFonts w:hint="eastAsia"/>
          <w:rtl/>
        </w:rPr>
        <w:t>להשקעה</w:t>
      </w:r>
      <w:r w:rsidRPr="00F41E78">
        <w:rPr>
          <w:rtl/>
        </w:rPr>
        <w:t>)</w:t>
      </w:r>
      <w:r w:rsidRPr="00F41E78">
        <w:rPr>
          <w:rFonts w:hint="cs"/>
          <w:rtl/>
        </w:rPr>
        <w:t>.</w:t>
      </w:r>
      <w:r w:rsidRPr="00F41E78">
        <w:rPr>
          <w:rtl/>
        </w:rPr>
        <w:t xml:space="preserve"> כ-15% </w:t>
      </w:r>
      <w:r w:rsidRPr="00F41E78">
        <w:rPr>
          <w:rFonts w:hint="eastAsia"/>
          <w:rtl/>
        </w:rPr>
        <w:t>מהמשקיעים</w:t>
      </w:r>
      <w:r w:rsidRPr="00F41E78">
        <w:rPr>
          <w:rtl/>
        </w:rPr>
        <w:t xml:space="preserve"> </w:t>
      </w:r>
      <w:r w:rsidRPr="00F41E78">
        <w:rPr>
          <w:rFonts w:hint="eastAsia"/>
          <w:rtl/>
        </w:rPr>
        <w:t>רכשו</w:t>
      </w:r>
      <w:r w:rsidRPr="00F41E78">
        <w:rPr>
          <w:rtl/>
        </w:rPr>
        <w:t xml:space="preserve"> </w:t>
      </w:r>
      <w:r w:rsidRPr="00F41E78">
        <w:rPr>
          <w:rFonts w:hint="eastAsia"/>
          <w:rtl/>
        </w:rPr>
        <w:t>שתי</w:t>
      </w:r>
      <w:r w:rsidRPr="00F41E78">
        <w:rPr>
          <w:rtl/>
        </w:rPr>
        <w:t xml:space="preserve"> </w:t>
      </w:r>
      <w:r w:rsidRPr="00F41E78">
        <w:rPr>
          <w:rFonts w:hint="eastAsia"/>
          <w:rtl/>
        </w:rPr>
        <w:t>דירות</w:t>
      </w:r>
      <w:r w:rsidRPr="00F41E78">
        <w:rPr>
          <w:rtl/>
        </w:rPr>
        <w:t xml:space="preserve"> </w:t>
      </w:r>
      <w:r w:rsidRPr="00F41E78">
        <w:rPr>
          <w:rFonts w:hint="eastAsia"/>
          <w:rtl/>
        </w:rPr>
        <w:t>להשקעה</w:t>
      </w:r>
      <w:r w:rsidRPr="00F41E78">
        <w:rPr>
          <w:rFonts w:hint="cs"/>
          <w:rtl/>
        </w:rPr>
        <w:t>,</w:t>
      </w:r>
      <w:r w:rsidRPr="00F41E78">
        <w:rPr>
          <w:rtl/>
        </w:rPr>
        <w:t xml:space="preserve"> </w:t>
      </w:r>
      <w:r w:rsidR="00382334">
        <w:rPr>
          <w:rFonts w:hint="cs"/>
          <w:rtl/>
        </w:rPr>
        <w:br/>
      </w:r>
      <w:r w:rsidRPr="00F41E78">
        <w:rPr>
          <w:rtl/>
        </w:rPr>
        <w:t xml:space="preserve">כ-4% </w:t>
      </w:r>
      <w:r w:rsidRPr="00F41E78">
        <w:rPr>
          <w:rFonts w:hint="eastAsia"/>
          <w:rtl/>
        </w:rPr>
        <w:t>מה</w:t>
      </w:r>
      <w:r w:rsidRPr="00F41E78">
        <w:rPr>
          <w:rFonts w:hint="cs"/>
          <w:rtl/>
        </w:rPr>
        <w:t>ם</w:t>
      </w:r>
      <w:r w:rsidRPr="00F41E78">
        <w:rPr>
          <w:rtl/>
        </w:rPr>
        <w:t xml:space="preserve"> </w:t>
      </w:r>
      <w:r w:rsidRPr="00F41E78">
        <w:rPr>
          <w:rFonts w:hint="eastAsia"/>
          <w:rtl/>
        </w:rPr>
        <w:t>רכשו</w:t>
      </w:r>
      <w:r w:rsidRPr="00F41E78">
        <w:rPr>
          <w:rtl/>
        </w:rPr>
        <w:t xml:space="preserve"> שלוש דירות להשקעה והיתר </w:t>
      </w:r>
      <w:r w:rsidRPr="00F41E78">
        <w:rPr>
          <w:rFonts w:hint="eastAsia"/>
          <w:rtl/>
        </w:rPr>
        <w:t>רכשו</w:t>
      </w:r>
      <w:r w:rsidRPr="00F41E78">
        <w:rPr>
          <w:rtl/>
        </w:rPr>
        <w:t xml:space="preserve"> </w:t>
      </w:r>
      <w:r w:rsidRPr="00F41E78">
        <w:rPr>
          <w:rFonts w:hint="cs"/>
          <w:rtl/>
        </w:rPr>
        <w:t>ארבע דירות ויותר</w:t>
      </w:r>
      <w:r>
        <w:rPr>
          <w:vertAlign w:val="superscript"/>
          <w:rtl/>
        </w:rPr>
        <w:footnoteReference w:id="123"/>
      </w:r>
      <w:r w:rsidRPr="00F41E78">
        <w:rPr>
          <w:rFonts w:hint="cs"/>
          <w:rtl/>
        </w:rPr>
        <w:t xml:space="preserve">. </w:t>
      </w:r>
    </w:p>
    <w:p w:rsidR="00E97EDA" w:rsidRPr="006237A1" w:rsidP="007264BD">
      <w:pPr>
        <w:spacing w:before="180" w:after="120" w:line="230" w:lineRule="exact"/>
        <w:ind w:left="340" w:hanging="340"/>
        <w:jc w:val="both"/>
        <w:rPr>
          <w:szCs w:val="20"/>
          <w:rtl/>
          <w:lang w:eastAsia="he-IL"/>
        </w:rPr>
      </w:pPr>
      <w:r w:rsidRPr="00F41E78">
        <w:rPr>
          <w:rFonts w:cs="FrankRuehl" w:hint="cs"/>
          <w:sz w:val="18"/>
          <w:szCs w:val="22"/>
          <w:rtl/>
          <w:lang w:eastAsia="he-IL"/>
        </w:rPr>
        <w:t xml:space="preserve">3. </w:t>
      </w:r>
      <w:r w:rsidR="007264BD">
        <w:rPr>
          <w:rFonts w:cs="FrankRuehl"/>
          <w:sz w:val="18"/>
          <w:szCs w:val="22"/>
          <w:lang w:eastAsia="he-IL"/>
        </w:rPr>
        <w:tab/>
      </w:r>
      <w:r w:rsidRPr="00F41E78">
        <w:rPr>
          <w:rFonts w:cs="FrankRuehl" w:hint="cs"/>
          <w:sz w:val="18"/>
          <w:szCs w:val="22"/>
          <w:rtl/>
          <w:lang w:eastAsia="he-IL"/>
        </w:rPr>
        <w:t>במרץ 2013 פרסם הפיקוח על הבנקים מכתב הנחיה לבנקים המחייב הגדלה מדורגת של שיעורי השקלול של הלוואות לדיור לפי שיעור המשכנתה מערך הדירה הנרכשת (</w:t>
      </w:r>
      <w:r w:rsidRPr="00F41E78">
        <w:rPr>
          <w:rFonts w:cs="FrankRuehl" w:hint="cs"/>
          <w:sz w:val="18"/>
          <w:szCs w:val="22"/>
          <w:lang w:eastAsia="he-IL"/>
        </w:rPr>
        <w:t>LTV</w:t>
      </w:r>
      <w:r w:rsidRPr="00F41E78">
        <w:rPr>
          <w:rFonts w:cs="FrankRuehl" w:hint="cs"/>
          <w:sz w:val="18"/>
          <w:szCs w:val="22"/>
          <w:rtl/>
          <w:lang w:eastAsia="he-IL"/>
        </w:rPr>
        <w:t>) לצורך הקצאת ההון של הבנקים</w:t>
      </w:r>
      <w:r>
        <w:rPr>
          <w:rFonts w:cs="FrankRuehl"/>
          <w:sz w:val="18"/>
          <w:szCs w:val="22"/>
          <w:vertAlign w:val="superscript"/>
          <w:rtl/>
          <w:lang w:eastAsia="he-IL"/>
        </w:rPr>
        <w:footnoteReference w:id="124"/>
      </w:r>
      <w:r w:rsidRPr="00F41E78">
        <w:rPr>
          <w:rFonts w:cs="FrankRuehl" w:hint="cs"/>
          <w:sz w:val="18"/>
          <w:szCs w:val="22"/>
          <w:rtl/>
          <w:lang w:eastAsia="he-IL"/>
        </w:rPr>
        <w:t xml:space="preserve"> (מ-35% ל-50% ול-75%), הקטנת מקדם ההמרה לאשראי (</w:t>
      </w:r>
      <w:r w:rsidRPr="00F41E78">
        <w:rPr>
          <w:rFonts w:cs="FrankRuehl"/>
          <w:sz w:val="18"/>
          <w:szCs w:val="22"/>
          <w:lang w:eastAsia="he-IL"/>
        </w:rPr>
        <w:t>CCF</w:t>
      </w:r>
      <w:r w:rsidRPr="00F41E78">
        <w:rPr>
          <w:rFonts w:cs="FrankRuehl" w:hint="cs"/>
          <w:sz w:val="18"/>
          <w:szCs w:val="22"/>
          <w:rtl/>
          <w:lang w:eastAsia="he-IL"/>
        </w:rPr>
        <w:t>) המיוחס לערבויות להבטחת השקעות של רוכשי דירות מ-20% ל-10% במקרה שהדירה נמסרה למשתכן והעמדת ההפרשה הקבוצתית המינימלי</w:t>
      </w:r>
      <w:r w:rsidRPr="00F41E78">
        <w:rPr>
          <w:rFonts w:cs="FrankRuehl" w:hint="eastAsia"/>
          <w:sz w:val="18"/>
          <w:szCs w:val="22"/>
          <w:rtl/>
          <w:lang w:eastAsia="he-IL"/>
        </w:rPr>
        <w:t>ת</w:t>
      </w:r>
      <w:r w:rsidRPr="00F41E78">
        <w:rPr>
          <w:rFonts w:cs="FrankRuehl" w:hint="cs"/>
          <w:sz w:val="18"/>
          <w:szCs w:val="22"/>
          <w:rtl/>
          <w:lang w:eastAsia="he-IL"/>
        </w:rPr>
        <w:t xml:space="preserve"> להפסדי אשראי בגין הלוואות לדיור על 0.35% מיתרת ההלוואות לדיור</w:t>
      </w:r>
      <w:r w:rsidRPr="006237A1">
        <w:rPr>
          <w:rFonts w:hint="cs"/>
          <w:szCs w:val="20"/>
          <w:rtl/>
          <w:lang w:eastAsia="he-IL"/>
        </w:rPr>
        <w:t>.</w:t>
      </w:r>
    </w:p>
    <w:p w:rsidR="00E97EDA" w:rsidRPr="00F41E78" w:rsidP="007264BD">
      <w:pPr>
        <w:spacing w:after="120" w:line="230" w:lineRule="exact"/>
        <w:ind w:left="340"/>
        <w:jc w:val="both"/>
        <w:rPr>
          <w:rFonts w:cs="FrankRuehl"/>
          <w:sz w:val="18"/>
          <w:szCs w:val="22"/>
          <w:rtl/>
          <w:lang w:eastAsia="he-IL"/>
        </w:rPr>
      </w:pPr>
      <w:r w:rsidRPr="00F41E78">
        <w:rPr>
          <w:rFonts w:cs="FrankRuehl" w:hint="cs"/>
          <w:sz w:val="18"/>
          <w:szCs w:val="22"/>
          <w:rtl/>
          <w:lang w:eastAsia="he-IL"/>
        </w:rPr>
        <w:t>בהודעה של בנק ישראל לעיתונות</w:t>
      </w:r>
      <w:r>
        <w:rPr>
          <w:rFonts w:cs="FrankRuehl"/>
          <w:sz w:val="18"/>
          <w:szCs w:val="22"/>
          <w:vertAlign w:val="superscript"/>
          <w:rtl/>
          <w:lang w:eastAsia="he-IL"/>
        </w:rPr>
        <w:footnoteReference w:id="125"/>
      </w:r>
      <w:r w:rsidRPr="00F41E78">
        <w:rPr>
          <w:rFonts w:cs="FrankRuehl" w:hint="cs"/>
          <w:sz w:val="18"/>
          <w:szCs w:val="22"/>
          <w:rtl/>
          <w:lang w:eastAsia="he-IL"/>
        </w:rPr>
        <w:t xml:space="preserve"> צוין שההנחיות האמורות נקבעו לנוכח הגידול המואץ באשראי לדיור בשנים האחרונות בד בבד עם עלייה במחיר הדירות, ומטרתן להגדיל את כריות ההון וההפרשה הנדרשות בגין העלייה בסיכונים הגלומים בתיק האשראי לדיור.</w:t>
      </w:r>
    </w:p>
    <w:p w:rsidR="00E97EDA" w:rsidRPr="00F41E78" w:rsidP="007264BD">
      <w:pPr>
        <w:spacing w:after="120" w:line="230" w:lineRule="exact"/>
        <w:ind w:left="340"/>
        <w:jc w:val="both"/>
        <w:rPr>
          <w:rFonts w:cs="FrankRuehl"/>
          <w:sz w:val="18"/>
          <w:szCs w:val="22"/>
          <w:rtl/>
          <w:lang w:eastAsia="he-IL"/>
        </w:rPr>
      </w:pPr>
      <w:r w:rsidRPr="00F41E78">
        <w:rPr>
          <w:rFonts w:cs="FrankRuehl" w:hint="cs"/>
          <w:sz w:val="18"/>
          <w:szCs w:val="22"/>
          <w:rtl/>
          <w:lang w:eastAsia="he-IL"/>
        </w:rPr>
        <w:t>בתהליך הסקירה הפיקוחי ביוני 2010</w:t>
      </w:r>
      <w:r>
        <w:rPr>
          <w:rFonts w:cs="FrankRuehl"/>
          <w:sz w:val="18"/>
          <w:szCs w:val="22"/>
          <w:vertAlign w:val="superscript"/>
          <w:rtl/>
          <w:lang w:eastAsia="he-IL"/>
        </w:rPr>
        <w:footnoteReference w:id="126"/>
      </w:r>
      <w:r w:rsidRPr="00F41E78">
        <w:rPr>
          <w:rFonts w:cs="FrankRuehl" w:hint="cs"/>
          <w:sz w:val="18"/>
          <w:szCs w:val="22"/>
          <w:rtl/>
          <w:lang w:eastAsia="he-IL"/>
        </w:rPr>
        <w:t xml:space="preserve"> מציין הפיקוח על הבנקים כי הוא מכיר בקשר המתקיים בין סך ההון שהתאגיד הבנקאי מחזיק בו כנגד החשיפה לסיכון ובין חוסנם ויעילותם של תהליכי ניהול הסיכונים ושל הבקרות הפנימיות בתאגיד. אולם הגדלת ההון אינה החלופה היחידה לטיפול בסיכונים המוגברים שהתאגיד הבנקאי ניצב בפניהם. יש לשקול גם אמצעים אחרים לטיפול בסיכון, למשל חיזוק ניהול הסיכונים, הטלת מגבלות פנימיות, הגדלת סכום ההפרשות והרזרבות ושיפור הבקרות הפנימיות. יתרה מזאת, אין לראות בהון תחליף לטיפול בתהליכי בקרה או ניהול סיכונים בלתי הולמים מיסודם. לפי הוראות הפיקוח על הבנקים</w:t>
      </w:r>
      <w:r>
        <w:rPr>
          <w:rFonts w:cs="FrankRuehl"/>
          <w:sz w:val="18"/>
          <w:szCs w:val="22"/>
          <w:vertAlign w:val="superscript"/>
          <w:rtl/>
          <w:lang w:eastAsia="he-IL"/>
        </w:rPr>
        <w:footnoteReference w:id="127"/>
      </w:r>
      <w:r w:rsidRPr="00F41E78">
        <w:rPr>
          <w:rFonts w:cs="FrankRuehl" w:hint="cs"/>
          <w:sz w:val="18"/>
          <w:szCs w:val="22"/>
          <w:rtl/>
          <w:lang w:eastAsia="he-IL"/>
        </w:rPr>
        <w:t xml:space="preserve"> תאגיד בנקאי נדרש לקיים הפרשה להפסדי אשראי ברמה מתאימה כדי לכסות הפסדי אשראי.</w:t>
      </w:r>
    </w:p>
    <w:p w:rsidR="00E97EDA" w:rsidRPr="00F41E78" w:rsidP="007264BD">
      <w:pPr>
        <w:spacing w:after="120" w:line="230" w:lineRule="exact"/>
        <w:ind w:left="340"/>
        <w:jc w:val="both"/>
        <w:rPr>
          <w:rFonts w:cs="FrankRuehl"/>
          <w:sz w:val="18"/>
          <w:szCs w:val="22"/>
          <w:rtl/>
          <w:lang w:eastAsia="he-IL"/>
        </w:rPr>
      </w:pPr>
      <w:r w:rsidRPr="00F41E78">
        <w:rPr>
          <w:rFonts w:cs="FrankRuehl" w:hint="eastAsia"/>
          <w:sz w:val="18"/>
          <w:szCs w:val="22"/>
          <w:rtl/>
          <w:lang w:eastAsia="he-IL"/>
        </w:rPr>
        <w:t>להלן</w:t>
      </w:r>
      <w:r w:rsidRPr="00F41E78">
        <w:rPr>
          <w:rFonts w:cs="FrankRuehl"/>
          <w:sz w:val="18"/>
          <w:szCs w:val="22"/>
          <w:rtl/>
          <w:lang w:eastAsia="he-IL"/>
        </w:rPr>
        <w:t xml:space="preserve"> </w:t>
      </w:r>
      <w:r w:rsidRPr="00F41E78">
        <w:rPr>
          <w:rFonts w:cs="FrankRuehl" w:hint="eastAsia"/>
          <w:sz w:val="18"/>
          <w:szCs w:val="22"/>
          <w:rtl/>
          <w:lang w:eastAsia="he-IL"/>
        </w:rPr>
        <w:t>בתרשים</w:t>
      </w:r>
      <w:r w:rsidRPr="00F41E78">
        <w:rPr>
          <w:rFonts w:cs="FrankRuehl"/>
          <w:sz w:val="18"/>
          <w:szCs w:val="22"/>
          <w:rtl/>
          <w:lang w:eastAsia="he-IL"/>
        </w:rPr>
        <w:t xml:space="preserve"> </w:t>
      </w:r>
      <w:r w:rsidRPr="00F41E78">
        <w:rPr>
          <w:rFonts w:cs="FrankRuehl" w:hint="cs"/>
          <w:sz w:val="18"/>
          <w:szCs w:val="22"/>
          <w:rtl/>
          <w:lang w:eastAsia="he-IL"/>
        </w:rPr>
        <w:t>3</w:t>
      </w:r>
      <w:r w:rsidRPr="00F41E78">
        <w:rPr>
          <w:rFonts w:cs="FrankRuehl"/>
          <w:sz w:val="18"/>
          <w:szCs w:val="22"/>
          <w:rtl/>
          <w:lang w:eastAsia="he-IL"/>
        </w:rPr>
        <w:t xml:space="preserve"> </w:t>
      </w:r>
      <w:r w:rsidRPr="00F41E78">
        <w:rPr>
          <w:rFonts w:cs="FrankRuehl" w:hint="eastAsia"/>
          <w:sz w:val="18"/>
          <w:szCs w:val="22"/>
          <w:rtl/>
          <w:lang w:eastAsia="he-IL"/>
        </w:rPr>
        <w:t>יוצגו</w:t>
      </w:r>
      <w:r w:rsidRPr="00F41E78">
        <w:rPr>
          <w:rFonts w:cs="FrankRuehl"/>
          <w:sz w:val="18"/>
          <w:szCs w:val="22"/>
          <w:rtl/>
          <w:lang w:eastAsia="he-IL"/>
        </w:rPr>
        <w:t xml:space="preserve"> </w:t>
      </w:r>
      <w:r w:rsidRPr="00F41E78">
        <w:rPr>
          <w:rFonts w:cs="FrankRuehl" w:hint="eastAsia"/>
          <w:sz w:val="18"/>
          <w:szCs w:val="22"/>
          <w:rtl/>
          <w:lang w:eastAsia="he-IL"/>
        </w:rPr>
        <w:t>סכומי</w:t>
      </w:r>
      <w:r w:rsidRPr="00F41E78">
        <w:rPr>
          <w:rFonts w:cs="FrankRuehl"/>
          <w:sz w:val="18"/>
          <w:szCs w:val="22"/>
          <w:rtl/>
          <w:lang w:eastAsia="he-IL"/>
        </w:rPr>
        <w:t xml:space="preserve"> </w:t>
      </w:r>
      <w:r w:rsidRPr="00F41E78">
        <w:rPr>
          <w:rFonts w:cs="FrankRuehl" w:hint="eastAsia"/>
          <w:sz w:val="18"/>
          <w:szCs w:val="22"/>
          <w:rtl/>
          <w:lang w:eastAsia="he-IL"/>
        </w:rPr>
        <w:t>ההלוואות</w:t>
      </w:r>
      <w:r w:rsidRPr="00F41E78">
        <w:rPr>
          <w:rFonts w:cs="FrankRuehl"/>
          <w:sz w:val="18"/>
          <w:szCs w:val="22"/>
          <w:rtl/>
          <w:lang w:eastAsia="he-IL"/>
        </w:rPr>
        <w:t xml:space="preserve"> </w:t>
      </w:r>
      <w:r w:rsidRPr="00F41E78">
        <w:rPr>
          <w:rFonts w:cs="FrankRuehl" w:hint="eastAsia"/>
          <w:sz w:val="18"/>
          <w:szCs w:val="22"/>
          <w:rtl/>
          <w:lang w:eastAsia="he-IL"/>
        </w:rPr>
        <w:t>לדיור</w:t>
      </w:r>
      <w:r w:rsidRPr="00F41E78">
        <w:rPr>
          <w:rFonts w:cs="FrankRuehl"/>
          <w:sz w:val="18"/>
          <w:szCs w:val="22"/>
          <w:rtl/>
          <w:lang w:eastAsia="he-IL"/>
        </w:rPr>
        <w:t xml:space="preserve"> </w:t>
      </w:r>
      <w:r w:rsidRPr="00F41E78">
        <w:rPr>
          <w:rFonts w:cs="FrankRuehl" w:hint="eastAsia"/>
          <w:sz w:val="18"/>
          <w:szCs w:val="22"/>
          <w:rtl/>
          <w:lang w:eastAsia="he-IL"/>
        </w:rPr>
        <w:t>ויתרת</w:t>
      </w:r>
      <w:r w:rsidRPr="00F41E78">
        <w:rPr>
          <w:rFonts w:cs="FrankRuehl"/>
          <w:sz w:val="18"/>
          <w:szCs w:val="22"/>
          <w:rtl/>
          <w:lang w:eastAsia="he-IL"/>
        </w:rPr>
        <w:t xml:space="preserve"> </w:t>
      </w:r>
      <w:r w:rsidRPr="00F41E78">
        <w:rPr>
          <w:rFonts w:cs="FrankRuehl" w:hint="eastAsia"/>
          <w:sz w:val="18"/>
          <w:szCs w:val="22"/>
          <w:rtl/>
          <w:lang w:eastAsia="he-IL"/>
        </w:rPr>
        <w:t>ההפרשה</w:t>
      </w:r>
      <w:r w:rsidRPr="00F41E78">
        <w:rPr>
          <w:rFonts w:cs="FrankRuehl"/>
          <w:sz w:val="18"/>
          <w:szCs w:val="22"/>
          <w:rtl/>
          <w:lang w:eastAsia="he-IL"/>
        </w:rPr>
        <w:t xml:space="preserve"> </w:t>
      </w:r>
      <w:r w:rsidRPr="00F41E78">
        <w:rPr>
          <w:rFonts w:cs="FrankRuehl" w:hint="eastAsia"/>
          <w:sz w:val="18"/>
          <w:szCs w:val="22"/>
          <w:rtl/>
          <w:lang w:eastAsia="he-IL"/>
        </w:rPr>
        <w:t>להפסדי</w:t>
      </w:r>
      <w:r w:rsidRPr="00F41E78">
        <w:rPr>
          <w:rFonts w:cs="FrankRuehl"/>
          <w:sz w:val="18"/>
          <w:szCs w:val="22"/>
          <w:rtl/>
          <w:lang w:eastAsia="he-IL"/>
        </w:rPr>
        <w:t xml:space="preserve"> </w:t>
      </w:r>
      <w:r w:rsidRPr="00F41E78">
        <w:rPr>
          <w:rFonts w:cs="FrankRuehl" w:hint="eastAsia"/>
          <w:sz w:val="18"/>
          <w:szCs w:val="22"/>
          <w:rtl/>
          <w:lang w:eastAsia="he-IL"/>
        </w:rPr>
        <w:t>אשראי</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המערכת</w:t>
      </w:r>
      <w:r w:rsidRPr="00F41E78">
        <w:rPr>
          <w:rFonts w:cs="FrankRuehl"/>
          <w:sz w:val="18"/>
          <w:szCs w:val="22"/>
          <w:rtl/>
          <w:lang w:eastAsia="he-IL"/>
        </w:rPr>
        <w:t xml:space="preserve"> </w:t>
      </w:r>
      <w:r w:rsidRPr="00F41E78">
        <w:rPr>
          <w:rFonts w:cs="FrankRuehl" w:hint="eastAsia"/>
          <w:sz w:val="18"/>
          <w:szCs w:val="22"/>
          <w:rtl/>
          <w:lang w:eastAsia="he-IL"/>
        </w:rPr>
        <w:t>הבנקאית</w:t>
      </w:r>
      <w:r w:rsidRPr="00F41E78">
        <w:rPr>
          <w:rFonts w:cs="FrankRuehl"/>
          <w:sz w:val="18"/>
          <w:szCs w:val="22"/>
          <w:rtl/>
          <w:lang w:eastAsia="he-IL"/>
        </w:rPr>
        <w:t xml:space="preserve"> </w:t>
      </w:r>
      <w:r w:rsidRPr="00F41E78">
        <w:rPr>
          <w:rFonts w:cs="FrankRuehl" w:hint="eastAsia"/>
          <w:sz w:val="18"/>
          <w:szCs w:val="22"/>
          <w:rtl/>
          <w:lang w:eastAsia="he-IL"/>
        </w:rPr>
        <w:t>בגין</w:t>
      </w:r>
      <w:r w:rsidRPr="00F41E78">
        <w:rPr>
          <w:rFonts w:cs="FrankRuehl"/>
          <w:sz w:val="18"/>
          <w:szCs w:val="22"/>
          <w:rtl/>
          <w:lang w:eastAsia="he-IL"/>
        </w:rPr>
        <w:t xml:space="preserve"> </w:t>
      </w:r>
      <w:r w:rsidRPr="00F41E78">
        <w:rPr>
          <w:rFonts w:cs="FrankRuehl" w:hint="eastAsia"/>
          <w:sz w:val="18"/>
          <w:szCs w:val="22"/>
          <w:rtl/>
          <w:lang w:eastAsia="he-IL"/>
        </w:rPr>
        <w:t>הלוואות</w:t>
      </w:r>
      <w:r w:rsidRPr="00F41E78">
        <w:rPr>
          <w:rFonts w:cs="FrankRuehl"/>
          <w:sz w:val="18"/>
          <w:szCs w:val="22"/>
          <w:rtl/>
          <w:lang w:eastAsia="he-IL"/>
        </w:rPr>
        <w:t xml:space="preserve"> </w:t>
      </w:r>
      <w:r w:rsidRPr="00F41E78">
        <w:rPr>
          <w:rFonts w:cs="FrankRuehl" w:hint="eastAsia"/>
          <w:sz w:val="18"/>
          <w:szCs w:val="22"/>
          <w:rtl/>
          <w:lang w:eastAsia="he-IL"/>
        </w:rPr>
        <w:t>אלה</w:t>
      </w:r>
      <w:r w:rsidRPr="00F41E78">
        <w:rPr>
          <w:rFonts w:cs="FrankRuehl"/>
          <w:sz w:val="18"/>
          <w:szCs w:val="22"/>
          <w:rtl/>
          <w:lang w:eastAsia="he-IL"/>
        </w:rPr>
        <w:t xml:space="preserve"> </w:t>
      </w:r>
      <w:r w:rsidRPr="00F41E78">
        <w:rPr>
          <w:rFonts w:cs="FrankRuehl" w:hint="eastAsia"/>
          <w:sz w:val="18"/>
          <w:szCs w:val="22"/>
          <w:rtl/>
          <w:lang w:eastAsia="he-IL"/>
        </w:rPr>
        <w:t>בשנים</w:t>
      </w:r>
      <w:r w:rsidRPr="00F41E78">
        <w:rPr>
          <w:rFonts w:cs="FrankRuehl"/>
          <w:sz w:val="18"/>
          <w:szCs w:val="22"/>
          <w:rtl/>
          <w:lang w:eastAsia="he-IL"/>
        </w:rPr>
        <w:t xml:space="preserve"> 2012-2005 (במיליארדי </w:t>
      </w:r>
      <w:r w:rsidRPr="00F41E78">
        <w:rPr>
          <w:rFonts w:cs="FrankRuehl" w:hint="eastAsia"/>
          <w:sz w:val="18"/>
          <w:szCs w:val="22"/>
          <w:rtl/>
          <w:lang w:eastAsia="he-IL"/>
        </w:rPr>
        <w:t>ש</w:t>
      </w:r>
      <w:r w:rsidRPr="00F41E78">
        <w:rPr>
          <w:rFonts w:cs="FrankRuehl"/>
          <w:sz w:val="18"/>
          <w:szCs w:val="22"/>
          <w:rtl/>
          <w:lang w:eastAsia="he-IL"/>
        </w:rPr>
        <w:t>"ח):</w:t>
      </w:r>
      <w:r w:rsidRPr="00F41E78">
        <w:rPr>
          <w:rFonts w:cs="FrankRuehl" w:hint="cs"/>
          <w:sz w:val="18"/>
          <w:szCs w:val="22"/>
          <w:rtl/>
          <w:lang w:eastAsia="he-IL"/>
        </w:rPr>
        <w:t xml:space="preserve"> </w:t>
      </w:r>
    </w:p>
    <w:p w:rsidR="00143E57" w:rsidRPr="00EC0156" w:rsidP="007264BD">
      <w:pPr>
        <w:spacing w:after="240" w:line="240" w:lineRule="atLeast"/>
        <w:jc w:val="center"/>
        <w:rPr>
          <w:rFonts w:ascii="Arial" w:hAnsi="Arial" w:cs="Arial"/>
          <w:szCs w:val="20"/>
          <w:rtl/>
          <w:lang w:eastAsia="he-IL"/>
        </w:rPr>
      </w:pPr>
      <w:r>
        <w:rPr>
          <w:rFonts w:ascii="Arial" w:hAnsi="Arial" w:cs="Arial"/>
          <w:noProof/>
        </w:rPr>
        <w:pict>
          <v:shape id="_x0000_i1042" type="#_x0000_t75" style="width:340pt;height:212.5pt">
            <v:imagedata r:id="rId30" o:title="B1-3-C9"/>
          </v:shape>
        </w:pict>
      </w:r>
    </w:p>
    <w:p w:rsidR="00D22B16" w:rsidRPr="00F41E78" w:rsidP="00D22B16">
      <w:pPr>
        <w:pStyle w:val="RESHET"/>
        <w:keepLines/>
        <w:ind w:left="567"/>
        <w:rPr>
          <w:rtl/>
        </w:rPr>
      </w:pPr>
      <w:r w:rsidRPr="00F41E78">
        <w:rPr>
          <w:rFonts w:hint="cs"/>
          <w:rtl/>
        </w:rPr>
        <w:t xml:space="preserve">מהתרשים עולה כי במשך שנים רבות סכום ההפרשה הכוללת להפסדי אשראי בגין הלוואות לדיור של כל המערכת הבנקאית היה כמעט קבוע (כ-2 מיליארד שקלים). הפיקוח על הבנקים לא העלה את סכום ההפרשה על אף העלייה והגידול המואץ באשראי לדיור בשנים האחרונות - מכ-111.7 מיליארד ש"ח </w:t>
      </w:r>
      <w:r w:rsidRPr="00F41E78">
        <w:rPr>
          <w:rtl/>
        </w:rPr>
        <w:t>בסוף 2005</w:t>
      </w:r>
      <w:r w:rsidRPr="00F41E78">
        <w:rPr>
          <w:rFonts w:hint="cs"/>
          <w:rtl/>
        </w:rPr>
        <w:t xml:space="preserve"> לכ-237 מיליארד ש"ח </w:t>
      </w:r>
      <w:r w:rsidRPr="00F41E78">
        <w:rPr>
          <w:rtl/>
        </w:rPr>
        <w:t>בסוף 2012</w:t>
      </w:r>
      <w:r w:rsidRPr="00F41E78">
        <w:rPr>
          <w:rFonts w:hint="cs"/>
          <w:rtl/>
        </w:rPr>
        <w:t xml:space="preserve"> (עלייה של 112%) - ולמרות העלייה בסיכון בענף </w:t>
      </w:r>
      <w:r w:rsidRPr="00F41E78">
        <w:rPr>
          <w:rFonts w:hint="eastAsia"/>
          <w:rtl/>
        </w:rPr>
        <w:t>הדיור</w:t>
      </w:r>
      <w:r w:rsidRPr="00F41E78">
        <w:rPr>
          <w:rFonts w:hint="cs"/>
          <w:rtl/>
        </w:rPr>
        <w:t xml:space="preserve"> כפי שעולה מפרסומיו של הפיקוח על הבנקים.</w:t>
      </w:r>
    </w:p>
    <w:p w:rsidR="00E97EDA" w:rsidRPr="00F41E78" w:rsidP="007264BD">
      <w:pPr>
        <w:spacing w:before="180" w:after="120" w:line="230" w:lineRule="exact"/>
        <w:ind w:left="340"/>
        <w:jc w:val="both"/>
        <w:rPr>
          <w:rFonts w:cs="FrankRuehl"/>
          <w:sz w:val="18"/>
          <w:szCs w:val="22"/>
          <w:rtl/>
          <w:lang w:eastAsia="he-IL"/>
        </w:rPr>
      </w:pPr>
      <w:r w:rsidRPr="00F41E78">
        <w:rPr>
          <w:rFonts w:cs="FrankRuehl" w:hint="cs"/>
          <w:sz w:val="18"/>
          <w:szCs w:val="22"/>
          <w:rtl/>
          <w:lang w:eastAsia="he-IL"/>
        </w:rPr>
        <w:t>כאמור, במרץ 2013 קבע הפיקוח על הבנקים במכתב הנחיה לבנקים שההפרשה הקבוצתית המינימלי</w:t>
      </w:r>
      <w:r w:rsidRPr="00F41E78">
        <w:rPr>
          <w:rFonts w:cs="FrankRuehl" w:hint="eastAsia"/>
          <w:sz w:val="18"/>
          <w:szCs w:val="22"/>
          <w:rtl/>
          <w:lang w:eastAsia="he-IL"/>
        </w:rPr>
        <w:t>ת</w:t>
      </w:r>
      <w:r w:rsidRPr="00F41E78">
        <w:rPr>
          <w:rFonts w:cs="FrankRuehl" w:hint="cs"/>
          <w:sz w:val="18"/>
          <w:szCs w:val="22"/>
          <w:rtl/>
          <w:lang w:eastAsia="he-IL"/>
        </w:rPr>
        <w:t xml:space="preserve"> להפסדי אשראי בגין הלוואות לדיור תסתכם ב-0.35% מיתרת ההלוואות לדיור לעומת שיעור ממוצע של 0.22% בספטמבר 2012 (עלייה של כ-59%). נוסף לכך, הפיקוח על הבנקים ציין</w:t>
      </w:r>
      <w:r>
        <w:rPr>
          <w:rFonts w:cs="FrankRuehl"/>
          <w:sz w:val="18"/>
          <w:szCs w:val="22"/>
          <w:vertAlign w:val="superscript"/>
          <w:rtl/>
          <w:lang w:eastAsia="he-IL"/>
        </w:rPr>
        <w:footnoteReference w:id="128"/>
      </w:r>
      <w:r w:rsidRPr="00F41E78">
        <w:rPr>
          <w:rFonts w:cs="FrankRuehl" w:hint="cs"/>
          <w:sz w:val="18"/>
          <w:szCs w:val="22"/>
          <w:rtl/>
          <w:lang w:eastAsia="he-IL"/>
        </w:rPr>
        <w:t xml:space="preserve"> שהוא דורש מהבנקים לוודא כי בשיטות שלפיהן הם קובעים את ההפרשות הקבוצתיות להפסדי אשראי בגין הלוואות לדיור יובאו בחשבון מכלול הגורמים המשפיעים על סיכויי הגבייה של הלוואות אלו</w:t>
      </w:r>
      <w:r>
        <w:rPr>
          <w:rFonts w:cs="FrankRuehl"/>
          <w:sz w:val="18"/>
          <w:szCs w:val="22"/>
          <w:vertAlign w:val="superscript"/>
          <w:rtl/>
          <w:lang w:eastAsia="he-IL"/>
        </w:rPr>
        <w:footnoteReference w:id="129"/>
      </w:r>
      <w:r w:rsidRPr="00F41E78">
        <w:rPr>
          <w:rFonts w:cs="FrankRuehl" w:hint="cs"/>
          <w:sz w:val="18"/>
          <w:szCs w:val="22"/>
          <w:rtl/>
          <w:lang w:eastAsia="he-IL"/>
        </w:rPr>
        <w:t>.</w:t>
      </w:r>
    </w:p>
    <w:p w:rsidR="00E97EDA" w:rsidRPr="00F41E78" w:rsidP="007264BD">
      <w:pPr>
        <w:spacing w:after="240" w:line="230" w:lineRule="exact"/>
        <w:ind w:left="340"/>
        <w:jc w:val="both"/>
        <w:rPr>
          <w:rFonts w:cs="FrankRuehl"/>
          <w:sz w:val="18"/>
          <w:szCs w:val="22"/>
          <w:rtl/>
          <w:lang w:eastAsia="he-IL"/>
        </w:rPr>
      </w:pPr>
      <w:r w:rsidRPr="00F41E78">
        <w:rPr>
          <w:rFonts w:cs="FrankRuehl" w:hint="cs"/>
          <w:sz w:val="18"/>
          <w:szCs w:val="22"/>
          <w:rtl/>
          <w:lang w:eastAsia="he-IL"/>
        </w:rPr>
        <w:t xml:space="preserve">בנק ישראל מסר בתשובתו שמינואר 2011, בעקבות השינוי בשיטת המדידה החשבונאית של הפרשות להפסדי אשראי, בדומה למקובל העולם, עבר הדגש הפיקוחי לבדיקת נאותות הכיסוי הכולל של תיק האשראי. במשטר זה המעקב אחר מרכיבי ההפרשה השונים נעשה בעיקר כדי </w:t>
      </w:r>
      <w:r w:rsidRPr="00F41E78">
        <w:rPr>
          <w:rFonts w:cs="FrankRuehl" w:hint="cs"/>
          <w:sz w:val="18"/>
          <w:szCs w:val="22"/>
          <w:rtl/>
          <w:lang w:eastAsia="he-IL"/>
        </w:rPr>
        <w:t xml:space="preserve">להקל את אופן חישוב ההפרשה ואת בדיקת הנאותות הכוללת שלה. הגידול הניכר בהפרשות בשנת 2011 חיזק את יכולת מאזני הבנקים לספוג הפסדי אשראי בכלל התיק, לרבות תיק ההלוואות לדיור. הבנק הוסיף כי בשנת 2012 המשיך הפיקוח על הבנקים לגבש הנחיות נוספות לחישוב ולבדיקות בדבר נאותות ההפרשה הקבוצתית ובדבר יחס הכיסוי הכולל. במרץ 2013 הוחלט ששיעורה המינימלי של ההפרשה הקבוצתית בגין ההלוואות לדיור יהיה 0.35%, וכל בנק נדרש לבדוק אם אין מקום שיפריש כספים בשיעור גבוה יותר. גם בעקבות </w:t>
      </w:r>
      <w:r w:rsidRPr="00F41E78">
        <w:rPr>
          <w:rFonts w:cs="FrankRuehl" w:hint="eastAsia"/>
          <w:sz w:val="18"/>
          <w:szCs w:val="22"/>
          <w:rtl/>
          <w:lang w:eastAsia="he-IL"/>
        </w:rPr>
        <w:t>מכתב</w:t>
      </w:r>
      <w:r w:rsidRPr="00F41E78">
        <w:rPr>
          <w:rFonts w:cs="FrankRuehl"/>
          <w:sz w:val="18"/>
          <w:szCs w:val="22"/>
          <w:rtl/>
          <w:lang w:eastAsia="he-IL"/>
        </w:rPr>
        <w:t xml:space="preserve"> </w:t>
      </w:r>
      <w:r w:rsidRPr="00F41E78">
        <w:rPr>
          <w:rFonts w:cs="FrankRuehl" w:hint="eastAsia"/>
          <w:sz w:val="18"/>
          <w:szCs w:val="22"/>
          <w:rtl/>
          <w:lang w:eastAsia="he-IL"/>
        </w:rPr>
        <w:t>זה</w:t>
      </w:r>
      <w:r w:rsidRPr="00F41E78">
        <w:rPr>
          <w:rFonts w:cs="FrankRuehl" w:hint="cs"/>
          <w:sz w:val="18"/>
          <w:szCs w:val="22"/>
          <w:rtl/>
          <w:lang w:eastAsia="he-IL"/>
        </w:rPr>
        <w:t xml:space="preserve"> לא חל גידול מהותי ביתרת ההפרשה מכיוון שחלק מהבנקים הגדילו את המחיקות החשבונאיות בתיק ההלוואות לדיור באופן שקיזז את הגידול בהפרשה (ההוצאות להפסדי אשראי בגין הלוואות לדיור </w:t>
      </w:r>
      <w:r w:rsidRPr="00F41E78">
        <w:rPr>
          <w:rFonts w:cs="FrankRuehl" w:hint="eastAsia"/>
          <w:sz w:val="18"/>
          <w:szCs w:val="22"/>
          <w:rtl/>
          <w:lang w:eastAsia="he-IL"/>
        </w:rPr>
        <w:t>בחצי</w:t>
      </w:r>
      <w:r w:rsidRPr="00F41E78">
        <w:rPr>
          <w:rFonts w:cs="FrankRuehl"/>
          <w:sz w:val="18"/>
          <w:szCs w:val="22"/>
          <w:rtl/>
          <w:lang w:eastAsia="he-IL"/>
        </w:rPr>
        <w:t xml:space="preserve"> </w:t>
      </w:r>
      <w:r w:rsidRPr="00F41E78">
        <w:rPr>
          <w:rFonts w:cs="FrankRuehl" w:hint="eastAsia"/>
          <w:sz w:val="18"/>
          <w:szCs w:val="22"/>
          <w:rtl/>
          <w:lang w:eastAsia="he-IL"/>
        </w:rPr>
        <w:t>השנה</w:t>
      </w:r>
      <w:r w:rsidRPr="00F41E78">
        <w:rPr>
          <w:rFonts w:cs="FrankRuehl"/>
          <w:sz w:val="18"/>
          <w:szCs w:val="22"/>
          <w:rtl/>
          <w:lang w:eastAsia="he-IL"/>
        </w:rPr>
        <w:t xml:space="preserve"> </w:t>
      </w:r>
      <w:r w:rsidRPr="00F41E78">
        <w:rPr>
          <w:rFonts w:cs="FrankRuehl" w:hint="eastAsia"/>
          <w:sz w:val="18"/>
          <w:szCs w:val="22"/>
          <w:rtl/>
          <w:lang w:eastAsia="he-IL"/>
        </w:rPr>
        <w:t>הראשונה</w:t>
      </w:r>
      <w:r w:rsidRPr="00F41E78">
        <w:rPr>
          <w:rFonts w:cs="FrankRuehl" w:hint="cs"/>
          <w:sz w:val="18"/>
          <w:szCs w:val="22"/>
          <w:rtl/>
          <w:lang w:eastAsia="he-IL"/>
        </w:rPr>
        <w:t xml:space="preserve"> בחמשת הבנקים הגדולים עמדו על כ-400 מיליון ש"ח). באופן זה ההשפעה של הדרישה התבטאה בסופו של דבר בירידה במשקל החובות בפיגור מסך התיק.</w:t>
      </w:r>
    </w:p>
    <w:p w:rsidR="00D22B16" w:rsidRPr="00F41E78" w:rsidP="00D22B16">
      <w:pPr>
        <w:pStyle w:val="RESHET"/>
        <w:keepLines/>
        <w:rPr>
          <w:rtl/>
        </w:rPr>
      </w:pPr>
      <w:r w:rsidRPr="00F41E78">
        <w:rPr>
          <w:rFonts w:hint="cs"/>
          <w:rtl/>
        </w:rPr>
        <w:t>משרד מבקר המדינה מציין כי הניסיון בעולם מלמד שמשברים במערכות בנקאות מתפתחים פעמים רבות כתוצאה מחשיפת תאגידים בנקאיים להלוואות לדיור ולענף הנדל"ן, ובעיקר על רקע התרחבות מואצת של היקפי ההלוואות לדיור. הערכת הסיכונים הגלומים בחשיפות אלו מורכבת במיוחד, וזאת בעיקר על רקע העובדה שמשברים בשוק הדיור מתרחשים בתדירות נמוכה יחסית והיסטוריית ההחזרים של לווי האשראי לדיור טובה בהשוואה לתיקי הלוואות אחרים</w:t>
      </w:r>
      <w:r>
        <w:rPr>
          <w:vertAlign w:val="superscript"/>
          <w:rtl/>
        </w:rPr>
        <w:footnoteReference w:id="130"/>
      </w:r>
      <w:r w:rsidRPr="00F41E78">
        <w:rPr>
          <w:rFonts w:hint="cs"/>
          <w:rtl/>
        </w:rPr>
        <w:t xml:space="preserve">. עצם העובדה שחלק מהבנקים הגדילו את המחיקות החשבונאיות בתיק ההלוואות לדיור באופן שקיזז את הגידול בהפרשה מראה כי יש מקום לטיוב תיק האשראי לדיור. </w:t>
      </w:r>
    </w:p>
    <w:p w:rsidR="00D22B16" w:rsidRPr="007264BD" w:rsidP="00D22B16">
      <w:pPr>
        <w:pStyle w:val="RESHET"/>
        <w:keepLines/>
        <w:rPr>
          <w:rtl/>
        </w:rPr>
      </w:pPr>
      <w:r w:rsidRPr="007264BD">
        <w:rPr>
          <w:rFonts w:hint="cs"/>
          <w:rtl/>
        </w:rPr>
        <w:t>על בנק ישראל לסיים את גיבוש טיוטות ההנחיות הנוספות לחישוב ולבדיקות בדבר נאותות ההפרשה הקבוצתית ויחס הכיסוי הכולל</w:t>
      </w:r>
      <w:r w:rsidRPr="007264BD">
        <w:rPr>
          <w:rFonts w:hint="cs"/>
          <w:rtl/>
        </w:rPr>
        <w:t>;</w:t>
      </w:r>
      <w:r w:rsidRPr="007264BD">
        <w:rPr>
          <w:rFonts w:hint="cs"/>
          <w:rtl/>
        </w:rPr>
        <w:t xml:space="preserve"> </w:t>
      </w:r>
      <w:r w:rsidRPr="007264BD">
        <w:rPr>
          <w:rFonts w:hint="cs"/>
          <w:rtl/>
        </w:rPr>
        <w:t>ובכלל זה, עליו להמשיך לבחון אם יש</w:t>
      </w:r>
      <w:r w:rsidRPr="007264BD">
        <w:rPr>
          <w:rFonts w:hint="cs"/>
          <w:rtl/>
        </w:rPr>
        <w:t xml:space="preserve"> להגדיל את כריות ההון וההפרשה הנדרשות בגין העלייה בסיכונים הגלומים בתיק האשראי לדיור.</w:t>
      </w:r>
    </w:p>
    <w:p w:rsidR="007264BD" w:rsidP="007264BD">
      <w:pPr>
        <w:spacing w:after="120" w:line="230" w:lineRule="exact"/>
        <w:jc w:val="both"/>
        <w:rPr>
          <w:rFonts w:cs="FrankRuehl"/>
          <w:sz w:val="22"/>
          <w:szCs w:val="22"/>
          <w:rtl/>
        </w:rPr>
      </w:pPr>
    </w:p>
    <w:p w:rsidR="007264BD" w:rsidP="007264BD">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7264BD" w:rsidP="007264BD">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 xml:space="preserve">המדיניות שנוקט בנק ישראל, ובכלל זה המדיניות המוניטרית, נקבעות על ידו כדי לעמוד במטרות שנקבעו לו בחוק. לשיעור הריבית המוניטרית שקובע הבנק על מנת לעמוד במטרותיו, להיקף האשראי הזמין במערכת הבנקאית, ולהוראות הפיקוח על הבנקים יש גם השפעה בלתי מבוטלת על שוק הדיור ומחירי הדיור, כחלק ממכלול גורמים נוספים. </w:t>
      </w:r>
      <w:r w:rsidRPr="00F41E78">
        <w:rPr>
          <w:rtl/>
        </w:rPr>
        <w:t xml:space="preserve">פעולות שונות שנקטה הממשלה למיתון עליות המחירים, כגון הניסיון להרחיב את היצע האשראי הבנקאי לבנייה ואת היצע הדירות, לא צלחו עד כה. </w:t>
      </w:r>
    </w:p>
    <w:p w:rsidR="00D22B16" w:rsidRPr="00F41E78" w:rsidP="00D22B16">
      <w:pPr>
        <w:pStyle w:val="RESHET"/>
        <w:keepLines/>
        <w:rPr>
          <w:rtl/>
        </w:rPr>
      </w:pPr>
      <w:r w:rsidRPr="00F41E78">
        <w:rPr>
          <w:rtl/>
        </w:rPr>
        <w:t xml:space="preserve">לדעת משרד מבקר המדינה, </w:t>
      </w:r>
      <w:r w:rsidRPr="00F41E78">
        <w:rPr>
          <w:rFonts w:hint="cs"/>
          <w:rtl/>
        </w:rPr>
        <w:t>ל</w:t>
      </w:r>
      <w:r w:rsidRPr="00F41E78">
        <w:rPr>
          <w:rtl/>
        </w:rPr>
        <w:t xml:space="preserve">נוכח העובדה שאחד היסודות המרכזיים </w:t>
      </w:r>
      <w:r w:rsidRPr="00F41E78">
        <w:rPr>
          <w:rFonts w:hint="cs"/>
          <w:rtl/>
        </w:rPr>
        <w:t>ה</w:t>
      </w:r>
      <w:r w:rsidRPr="00F41E78">
        <w:rPr>
          <w:rtl/>
        </w:rPr>
        <w:t>מניעים את הביקוש וההיצע בשוק הדיור הוא זמינות מקורות האשראי ועלותם, על מקבלי ההחלטות בממשלה לקדם פתרונות ממשיים בתחום זה</w:t>
      </w:r>
      <w:r w:rsidRPr="00F41E78">
        <w:rPr>
          <w:rFonts w:hint="cs"/>
          <w:rtl/>
        </w:rPr>
        <w:t>,</w:t>
      </w:r>
      <w:r w:rsidRPr="00F41E78">
        <w:rPr>
          <w:rtl/>
        </w:rPr>
        <w:t xml:space="preserve"> תוך שיתוף פעולה של בנק ישראל במסגרת תפקידו של נגיד הבנק כיועץ לממשלה בעניינים כלכליים.</w:t>
      </w:r>
      <w:r w:rsidRPr="00F41E78">
        <w:rPr>
          <w:rFonts w:hint="cs"/>
          <w:rtl/>
        </w:rPr>
        <w:t xml:space="preserve"> בין היתר, על מקבלי ההחלטות לבחון פתרונות מתאימים שיש בהם מצד אחד כדי להקל על האוכלוסיות הנפגעות מהעלייה בביקוש לדיור ומעליית מחירי הדיור, ומצד אחר להקטין את הסיכונים הגלומים במשכנתאות ללווים ולמלווים. </w:t>
      </w:r>
    </w:p>
    <w:p w:rsidR="006A023F" w:rsidRPr="006A023F" w:rsidP="006A023F">
      <w:pPr>
        <w:spacing w:after="120" w:line="230" w:lineRule="exact"/>
        <w:jc w:val="both"/>
        <w:rPr>
          <w:rFonts w:cs="FrankRuehl"/>
          <w:sz w:val="18"/>
          <w:szCs w:val="22"/>
          <w:lang w:eastAsia="he-IL"/>
        </w:rPr>
      </w:pPr>
    </w:p>
    <w:p w:rsidR="006A023F" w:rsidRPr="006A023F" w:rsidP="006A023F">
      <w:pPr>
        <w:spacing w:after="120" w:line="230" w:lineRule="exact"/>
        <w:jc w:val="both"/>
        <w:rPr>
          <w:rFonts w:cs="FrankRuehl"/>
          <w:sz w:val="18"/>
          <w:szCs w:val="22"/>
          <w:lang w:eastAsia="he-IL"/>
        </w:rPr>
      </w:pPr>
    </w:p>
    <w:p w:rsidR="00256A1C" w:rsidP="00A7557B">
      <w:pPr>
        <w:pStyle w:val="KOT2"/>
        <w:rPr>
          <w:b w:val="0"/>
          <w:bCs w:val="0"/>
          <w:sz w:val="28"/>
          <w:szCs w:val="28"/>
          <w:rtl/>
        </w:rPr>
        <w:sectPr w:rsidSect="009F1012">
          <w:footnotePr>
            <w:numRestart w:val="eachSect"/>
          </w:footnotePr>
          <w:pgSz w:w="11906" w:h="16838" w:code="9"/>
          <w:pgMar w:top="1758" w:right="2552" w:bottom="4253" w:left="2552" w:header="1247" w:footer="1134" w:gutter="0"/>
          <w:cols w:space="720"/>
          <w:rtlGutter/>
        </w:sectPr>
      </w:pPr>
    </w:p>
    <w:p w:rsidR="00E97EDA" w:rsidRPr="00E97EDA" w:rsidP="00A7557B">
      <w:pPr>
        <w:pStyle w:val="KOT2"/>
        <w:rPr>
          <w:rtl/>
        </w:rPr>
      </w:pPr>
      <w:r w:rsidRPr="00A74F1A">
        <w:rPr>
          <w:rFonts w:hint="cs"/>
          <w:b w:val="0"/>
          <w:bCs w:val="0"/>
          <w:sz w:val="28"/>
          <w:szCs w:val="28"/>
          <w:rtl/>
        </w:rPr>
        <w:t>פרק שלישי</w:t>
      </w:r>
      <w:r w:rsidRPr="00A74F1A">
        <w:rPr>
          <w:b w:val="0"/>
          <w:bCs w:val="0"/>
          <w:sz w:val="28"/>
          <w:szCs w:val="28"/>
          <w:rtl/>
        </w:rPr>
        <w:br/>
      </w:r>
      <w:r w:rsidRPr="00E97EDA">
        <w:rPr>
          <w:rFonts w:hint="cs"/>
          <w:rtl/>
        </w:rPr>
        <w:t>השלכות צעדי מיסוי מקרקעין</w:t>
      </w:r>
    </w:p>
    <w:p w:rsidR="00E97EDA" w:rsidRPr="00E97EDA" w:rsidP="00A7557B">
      <w:pPr>
        <w:pStyle w:val="KOT4"/>
        <w:rPr>
          <w:rtl/>
        </w:rPr>
      </w:pPr>
      <w:r w:rsidRPr="00E97EDA">
        <w:rPr>
          <w:rFonts w:hint="cs"/>
          <w:rtl/>
        </w:rPr>
        <w:t>מבוא</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מסי המקרקעין</w:t>
      </w:r>
      <w:r>
        <w:rPr>
          <w:rFonts w:cs="FrankRuehl"/>
          <w:sz w:val="18"/>
          <w:szCs w:val="22"/>
          <w:vertAlign w:val="superscript"/>
          <w:rtl/>
          <w:lang w:eastAsia="he-IL"/>
        </w:rPr>
        <w:footnoteReference w:id="131"/>
      </w:r>
      <w:r w:rsidRPr="00F41E78">
        <w:rPr>
          <w:rFonts w:cs="FrankRuehl" w:hint="cs"/>
          <w:sz w:val="18"/>
          <w:szCs w:val="22"/>
          <w:rtl/>
          <w:lang w:eastAsia="he-IL"/>
        </w:rPr>
        <w:t xml:space="preserve"> מכוח </w:t>
      </w:r>
      <w:r w:rsidRPr="00F41E78">
        <w:rPr>
          <w:rFonts w:cs="FrankRuehl" w:hint="eastAsia"/>
          <w:sz w:val="18"/>
          <w:szCs w:val="22"/>
          <w:rtl/>
          <w:lang w:eastAsia="he-IL"/>
        </w:rPr>
        <w:t>חוק</w:t>
      </w:r>
      <w:r w:rsidRPr="00F41E78">
        <w:rPr>
          <w:rFonts w:cs="FrankRuehl"/>
          <w:sz w:val="18"/>
          <w:szCs w:val="22"/>
          <w:rtl/>
          <w:lang w:eastAsia="he-IL"/>
        </w:rPr>
        <w:t xml:space="preserve"> </w:t>
      </w:r>
      <w:r w:rsidRPr="00F41E78">
        <w:rPr>
          <w:rFonts w:cs="FrankRuehl" w:hint="eastAsia"/>
          <w:sz w:val="18"/>
          <w:szCs w:val="22"/>
          <w:rtl/>
          <w:lang w:eastAsia="he-IL"/>
        </w:rPr>
        <w:t>מיסוי</w:t>
      </w:r>
      <w:r w:rsidRPr="00F41E78">
        <w:rPr>
          <w:rFonts w:cs="FrankRuehl"/>
          <w:sz w:val="18"/>
          <w:szCs w:val="22"/>
          <w:rtl/>
          <w:lang w:eastAsia="he-IL"/>
        </w:rPr>
        <w:t xml:space="preserve"> </w:t>
      </w:r>
      <w:r w:rsidRPr="00F41E78">
        <w:rPr>
          <w:rFonts w:cs="FrankRuehl" w:hint="eastAsia"/>
          <w:sz w:val="18"/>
          <w:szCs w:val="22"/>
          <w:rtl/>
          <w:lang w:eastAsia="he-IL"/>
        </w:rPr>
        <w:t>מקרקעין</w:t>
      </w:r>
      <w:r w:rsidRPr="00F41E78">
        <w:rPr>
          <w:rFonts w:cs="FrankRuehl" w:hint="cs"/>
          <w:sz w:val="18"/>
          <w:szCs w:val="22"/>
          <w:rtl/>
          <w:lang w:eastAsia="he-IL"/>
        </w:rPr>
        <w:t xml:space="preserve"> היוו בשנת 2012 כ-2.7% מהכנסות המדינה והם משמשים מקור למימון השירותים שהממשלה מספקת. מדיניות המיסוי היא אחד הכלים להשגת יעדיה של הממשלה ולהכוונת התנהגות הציבור באמצעות תמריצי מס. מערכת מסי המקרקעין משפיעה בין היתר על היצע הדיור, על הביקוש לדיור, על אפיקי ההשקעה של הציבור, על שוק ההון, על רוכשי מקרקעין שהם תושבים זרים ועל פיזור האוכלוסיי</w:t>
      </w:r>
      <w:r w:rsidRPr="00F41E78">
        <w:rPr>
          <w:rFonts w:cs="FrankRuehl" w:hint="eastAsia"/>
          <w:sz w:val="18"/>
          <w:szCs w:val="22"/>
          <w:rtl/>
          <w:lang w:eastAsia="he-IL"/>
        </w:rPr>
        <w:t>ה</w:t>
      </w:r>
      <w:r w:rsidRPr="00F41E78">
        <w:rPr>
          <w:rFonts w:cs="FrankRuehl" w:hint="cs"/>
          <w:sz w:val="18"/>
          <w:szCs w:val="22"/>
          <w:rtl/>
          <w:lang w:eastAsia="he-IL"/>
        </w:rPr>
        <w:t xml:space="preserve">. </w:t>
      </w:r>
    </w:p>
    <w:p w:rsidR="00E97EDA" w:rsidRPr="00F41E78" w:rsidP="003D6B99">
      <w:pPr>
        <w:spacing w:after="240" w:line="230" w:lineRule="exact"/>
        <w:jc w:val="both"/>
        <w:rPr>
          <w:rFonts w:cs="FrankRuehl"/>
          <w:sz w:val="18"/>
          <w:szCs w:val="22"/>
          <w:rtl/>
          <w:lang w:eastAsia="he-IL"/>
        </w:rPr>
      </w:pPr>
      <w:r w:rsidRPr="00F41E78">
        <w:rPr>
          <w:rFonts w:cs="FrankRuehl" w:hint="eastAsia"/>
          <w:sz w:val="18"/>
          <w:szCs w:val="22"/>
          <w:rtl/>
          <w:lang w:eastAsia="he-IL"/>
        </w:rPr>
        <w:t>בתרשים</w:t>
      </w:r>
      <w:r w:rsidRPr="00F41E78">
        <w:rPr>
          <w:rFonts w:cs="FrankRuehl"/>
          <w:sz w:val="18"/>
          <w:szCs w:val="22"/>
          <w:rtl/>
          <w:lang w:eastAsia="he-IL"/>
        </w:rPr>
        <w:t xml:space="preserve"> </w:t>
      </w:r>
      <w:r w:rsidRPr="00F41E78">
        <w:rPr>
          <w:rFonts w:cs="FrankRuehl" w:hint="cs"/>
          <w:sz w:val="18"/>
          <w:szCs w:val="22"/>
          <w:rtl/>
          <w:lang w:eastAsia="he-IL"/>
        </w:rPr>
        <w:t>להלן</w:t>
      </w:r>
      <w:r w:rsidRPr="00F41E78">
        <w:rPr>
          <w:rFonts w:cs="FrankRuehl"/>
          <w:sz w:val="18"/>
          <w:szCs w:val="22"/>
          <w:rtl/>
          <w:lang w:eastAsia="he-IL"/>
        </w:rPr>
        <w:t xml:space="preserve"> </w:t>
      </w:r>
      <w:r w:rsidRPr="00F41E78">
        <w:rPr>
          <w:rFonts w:cs="FrankRuehl" w:hint="eastAsia"/>
          <w:sz w:val="18"/>
          <w:szCs w:val="22"/>
          <w:rtl/>
          <w:lang w:eastAsia="he-IL"/>
        </w:rPr>
        <w:t>מוצגת</w:t>
      </w:r>
      <w:r w:rsidRPr="00F41E78">
        <w:rPr>
          <w:rFonts w:cs="FrankRuehl"/>
          <w:sz w:val="18"/>
          <w:szCs w:val="22"/>
          <w:rtl/>
          <w:lang w:eastAsia="he-IL"/>
        </w:rPr>
        <w:t xml:space="preserve"> </w:t>
      </w:r>
      <w:r w:rsidRPr="00F41E78">
        <w:rPr>
          <w:rFonts w:cs="FrankRuehl" w:hint="eastAsia"/>
          <w:sz w:val="18"/>
          <w:szCs w:val="22"/>
          <w:rtl/>
          <w:lang w:eastAsia="he-IL"/>
        </w:rPr>
        <w:t>גביית</w:t>
      </w:r>
      <w:r w:rsidRPr="00F41E78">
        <w:rPr>
          <w:rFonts w:cs="FrankRuehl"/>
          <w:sz w:val="18"/>
          <w:szCs w:val="22"/>
          <w:rtl/>
          <w:lang w:eastAsia="he-IL"/>
        </w:rPr>
        <w:t xml:space="preserve"> </w:t>
      </w:r>
      <w:r w:rsidRPr="00F41E78">
        <w:rPr>
          <w:rFonts w:cs="FrankRuehl" w:hint="eastAsia"/>
          <w:sz w:val="18"/>
          <w:szCs w:val="22"/>
          <w:rtl/>
          <w:lang w:eastAsia="he-IL"/>
        </w:rPr>
        <w:t>מס</w:t>
      </w:r>
      <w:r w:rsidRPr="00F41E78">
        <w:rPr>
          <w:rFonts w:cs="FrankRuehl"/>
          <w:sz w:val="18"/>
          <w:szCs w:val="22"/>
          <w:rtl/>
          <w:lang w:eastAsia="he-IL"/>
        </w:rPr>
        <w:t xml:space="preserve"> </w:t>
      </w:r>
      <w:r w:rsidRPr="00F41E78">
        <w:rPr>
          <w:rFonts w:cs="FrankRuehl" w:hint="eastAsia"/>
          <w:sz w:val="18"/>
          <w:szCs w:val="22"/>
          <w:rtl/>
          <w:lang w:eastAsia="he-IL"/>
        </w:rPr>
        <w:t>שבח</w:t>
      </w:r>
      <w:r>
        <w:rPr>
          <w:rFonts w:cs="FrankRuehl"/>
          <w:sz w:val="18"/>
          <w:szCs w:val="22"/>
          <w:vertAlign w:val="superscript"/>
          <w:rtl/>
          <w:lang w:eastAsia="he-IL"/>
        </w:rPr>
        <w:footnoteReference w:id="132"/>
      </w:r>
      <w:r w:rsidRPr="00F41E78">
        <w:rPr>
          <w:rFonts w:cs="FrankRuehl"/>
          <w:sz w:val="18"/>
          <w:szCs w:val="22"/>
          <w:rtl/>
          <w:lang w:eastAsia="he-IL"/>
        </w:rPr>
        <w:t xml:space="preserve"> ומס רכישה</w:t>
      </w:r>
      <w:r>
        <w:rPr>
          <w:rFonts w:cs="FrankRuehl"/>
          <w:sz w:val="18"/>
          <w:szCs w:val="22"/>
          <w:vertAlign w:val="superscript"/>
          <w:rtl/>
          <w:lang w:eastAsia="he-IL"/>
        </w:rPr>
        <w:footnoteReference w:id="133"/>
      </w:r>
      <w:r w:rsidRPr="00F41E78">
        <w:rPr>
          <w:rFonts w:cs="FrankRuehl"/>
          <w:sz w:val="18"/>
          <w:szCs w:val="22"/>
          <w:rtl/>
          <w:lang w:eastAsia="he-IL"/>
        </w:rPr>
        <w:t xml:space="preserve"> </w:t>
      </w:r>
      <w:r w:rsidRPr="00582A43">
        <w:rPr>
          <w:rFonts w:cs="FrankRuehl"/>
          <w:sz w:val="18"/>
          <w:szCs w:val="22"/>
          <w:rtl/>
          <w:lang w:eastAsia="he-IL"/>
        </w:rPr>
        <w:t>בשנים 2012-2006.</w:t>
      </w:r>
      <w:r w:rsidRPr="00582A43" w:rsidR="005A1B34">
        <w:rPr>
          <w:rFonts w:cs="FrankRuehl" w:hint="cs"/>
          <w:sz w:val="18"/>
          <w:szCs w:val="22"/>
          <w:rtl/>
          <w:lang w:eastAsia="he-IL"/>
        </w:rPr>
        <w:t xml:space="preserve"> </w:t>
      </w:r>
      <w:r w:rsidRPr="00582A43">
        <w:rPr>
          <w:rFonts w:cs="FrankRuehl" w:hint="eastAsia"/>
          <w:sz w:val="18"/>
          <w:szCs w:val="22"/>
          <w:rtl/>
          <w:lang w:eastAsia="he-IL"/>
        </w:rPr>
        <w:t>מהתרשים</w:t>
      </w:r>
      <w:r w:rsidRPr="00582A43">
        <w:rPr>
          <w:rFonts w:cs="FrankRuehl"/>
          <w:sz w:val="18"/>
          <w:szCs w:val="22"/>
          <w:rtl/>
          <w:lang w:eastAsia="he-IL"/>
        </w:rPr>
        <w:t xml:space="preserve"> </w:t>
      </w:r>
      <w:r w:rsidRPr="00F41E78">
        <w:rPr>
          <w:rFonts w:cs="FrankRuehl" w:hint="eastAsia"/>
          <w:sz w:val="18"/>
          <w:szCs w:val="22"/>
          <w:rtl/>
          <w:lang w:eastAsia="he-IL"/>
        </w:rPr>
        <w:t>עולה</w:t>
      </w:r>
      <w:r w:rsidRPr="00F41E78">
        <w:rPr>
          <w:rFonts w:cs="FrankRuehl"/>
          <w:sz w:val="18"/>
          <w:szCs w:val="22"/>
          <w:rtl/>
          <w:lang w:eastAsia="he-IL"/>
        </w:rPr>
        <w:t xml:space="preserve"> </w:t>
      </w:r>
      <w:r w:rsidRPr="00F41E78">
        <w:rPr>
          <w:rFonts w:cs="FrankRuehl" w:hint="eastAsia"/>
          <w:sz w:val="18"/>
          <w:szCs w:val="22"/>
          <w:rtl/>
          <w:lang w:eastAsia="he-IL"/>
        </w:rPr>
        <w:t>כי</w:t>
      </w:r>
      <w:r w:rsidRPr="00F41E78">
        <w:rPr>
          <w:rFonts w:cs="FrankRuehl"/>
          <w:sz w:val="18"/>
          <w:szCs w:val="22"/>
          <w:rtl/>
          <w:lang w:eastAsia="he-IL"/>
        </w:rPr>
        <w:t xml:space="preserve"> </w:t>
      </w:r>
      <w:r w:rsidRPr="00F41E78">
        <w:rPr>
          <w:rFonts w:cs="FrankRuehl" w:hint="eastAsia"/>
          <w:sz w:val="18"/>
          <w:szCs w:val="22"/>
          <w:rtl/>
          <w:lang w:eastAsia="he-IL"/>
        </w:rPr>
        <w:t>מס</w:t>
      </w:r>
      <w:r w:rsidRPr="00F41E78">
        <w:rPr>
          <w:rFonts w:cs="FrankRuehl"/>
          <w:sz w:val="18"/>
          <w:szCs w:val="22"/>
          <w:rtl/>
          <w:lang w:eastAsia="he-IL"/>
        </w:rPr>
        <w:t xml:space="preserve"> </w:t>
      </w:r>
      <w:r w:rsidRPr="00F41E78">
        <w:rPr>
          <w:rFonts w:cs="FrankRuehl" w:hint="eastAsia"/>
          <w:sz w:val="18"/>
          <w:szCs w:val="22"/>
          <w:rtl/>
          <w:lang w:eastAsia="he-IL"/>
        </w:rPr>
        <w:t>הרכישה</w:t>
      </w:r>
      <w:r w:rsidRPr="00F41E78">
        <w:rPr>
          <w:rFonts w:cs="FrankRuehl"/>
          <w:sz w:val="18"/>
          <w:szCs w:val="22"/>
          <w:rtl/>
          <w:lang w:eastAsia="he-IL"/>
        </w:rPr>
        <w:t xml:space="preserve"> </w:t>
      </w:r>
      <w:r w:rsidRPr="00F41E78">
        <w:rPr>
          <w:rFonts w:cs="FrankRuehl" w:hint="eastAsia"/>
          <w:sz w:val="18"/>
          <w:szCs w:val="22"/>
          <w:rtl/>
          <w:lang w:eastAsia="he-IL"/>
        </w:rPr>
        <w:t>בשנת</w:t>
      </w:r>
      <w:r w:rsidRPr="00F41E78">
        <w:rPr>
          <w:rFonts w:cs="FrankRuehl"/>
          <w:sz w:val="18"/>
          <w:szCs w:val="22"/>
          <w:rtl/>
          <w:lang w:eastAsia="he-IL"/>
        </w:rPr>
        <w:t xml:space="preserve"> 2012 </w:t>
      </w:r>
      <w:r w:rsidRPr="00F41E78">
        <w:rPr>
          <w:rFonts w:cs="FrankRuehl" w:hint="eastAsia"/>
          <w:sz w:val="18"/>
          <w:szCs w:val="22"/>
          <w:rtl/>
          <w:lang w:eastAsia="he-IL"/>
        </w:rPr>
        <w:t>עמד</w:t>
      </w:r>
      <w:r w:rsidRPr="00F41E78">
        <w:rPr>
          <w:rFonts w:cs="FrankRuehl"/>
          <w:sz w:val="18"/>
          <w:szCs w:val="22"/>
          <w:rtl/>
          <w:lang w:eastAsia="he-IL"/>
        </w:rPr>
        <w:t xml:space="preserve"> </w:t>
      </w:r>
      <w:r w:rsidRPr="00F41E78">
        <w:rPr>
          <w:rFonts w:cs="FrankRuehl" w:hint="eastAsia"/>
          <w:sz w:val="18"/>
          <w:szCs w:val="22"/>
          <w:rtl/>
          <w:lang w:eastAsia="he-IL"/>
        </w:rPr>
        <w:t>על</w:t>
      </w:r>
      <w:r w:rsidRPr="00F41E78">
        <w:rPr>
          <w:rFonts w:cs="FrankRuehl"/>
          <w:sz w:val="18"/>
          <w:szCs w:val="22"/>
          <w:rtl/>
          <w:lang w:eastAsia="he-IL"/>
        </w:rPr>
        <w:t xml:space="preserve"> </w:t>
      </w:r>
      <w:r w:rsidRPr="00F41E78">
        <w:rPr>
          <w:rFonts w:cs="FrankRuehl" w:hint="eastAsia"/>
          <w:sz w:val="18"/>
          <w:szCs w:val="22"/>
          <w:rtl/>
          <w:lang w:eastAsia="he-IL"/>
        </w:rPr>
        <w:t>כ</w:t>
      </w:r>
      <w:r w:rsidRPr="00F41E78">
        <w:rPr>
          <w:rFonts w:cs="FrankRuehl"/>
          <w:sz w:val="18"/>
          <w:szCs w:val="22"/>
          <w:rtl/>
          <w:lang w:eastAsia="he-IL"/>
        </w:rPr>
        <w:t xml:space="preserve">-3.7 </w:t>
      </w:r>
      <w:r w:rsidRPr="00F41E78">
        <w:rPr>
          <w:rFonts w:cs="FrankRuehl" w:hint="eastAsia"/>
          <w:sz w:val="18"/>
          <w:szCs w:val="22"/>
          <w:rtl/>
          <w:lang w:eastAsia="he-IL"/>
        </w:rPr>
        <w:t>מיליארד</w:t>
      </w:r>
      <w:r w:rsidRPr="00F41E78">
        <w:rPr>
          <w:rFonts w:cs="FrankRuehl"/>
          <w:sz w:val="18"/>
          <w:szCs w:val="22"/>
          <w:rtl/>
          <w:lang w:eastAsia="he-IL"/>
        </w:rPr>
        <w:t xml:space="preserve"> </w:t>
      </w:r>
      <w:r w:rsidRPr="00F41E78">
        <w:rPr>
          <w:rFonts w:cs="FrankRuehl" w:hint="eastAsia"/>
          <w:sz w:val="18"/>
          <w:szCs w:val="22"/>
          <w:rtl/>
          <w:lang w:eastAsia="he-IL"/>
        </w:rPr>
        <w:t>ש</w:t>
      </w:r>
      <w:r w:rsidRPr="00F41E78">
        <w:rPr>
          <w:rFonts w:cs="FrankRuehl"/>
          <w:sz w:val="18"/>
          <w:szCs w:val="22"/>
          <w:rtl/>
          <w:lang w:eastAsia="he-IL"/>
        </w:rPr>
        <w:t>"ח, ומס השבח על כ-2.1 מיליארד ש"ח.</w:t>
      </w:r>
    </w:p>
    <w:p w:rsidR="00143E57" w:rsidRPr="00EC0156" w:rsidP="00E54061">
      <w:pPr>
        <w:spacing w:after="240" w:line="240" w:lineRule="atLeast"/>
        <w:jc w:val="center"/>
        <w:rPr>
          <w:rFonts w:ascii="Arial" w:hAnsi="Arial" w:cs="Arial"/>
          <w:szCs w:val="20"/>
          <w:rtl/>
          <w:lang w:eastAsia="he-IL"/>
        </w:rPr>
      </w:pPr>
      <w:r>
        <w:rPr>
          <w:rFonts w:ascii="Arial" w:hAnsi="Arial" w:cs="Arial"/>
          <w:szCs w:val="20"/>
          <w:lang w:eastAsia="he-IL"/>
        </w:rPr>
        <w:pict>
          <v:shape id="_x0000_i1043" type="#_x0000_t75" style="width:340pt;height:204.5pt">
            <v:imagedata r:id="rId31" o:title="B1-4"/>
          </v:shape>
        </w:pic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האגפים המרכזיים המופקדים על גיבוש מדיניות המסים במשרד האוצר הם אגף הכלכלן הראשי - מינהל הכנסות המדינה, מחקר וקשרים בינלאומיים (להלן - אגף הכלכלן הראשי), אג"ת ורשות המסים. בדוח השנתי שמינהל הכנסות המדינה מפרסם נכתב כי הוא מרכז את הטיפול במגוון נושאים הקשורים להכנסות המדינה ולמערכת המס, ובהם חקיקת מסים, ייזום רפורמות מס וטיפול בהן, כלכלת מסים (לרבות האחריות לצד ההכנסות בתקציב המדינה), מיסוי בין-לאומי, בניית בסיסי נתונים בתחום המסים, אגרות משרדי הממשלה וכן נושאים נוספים בתחום המסים.</w:t>
      </w:r>
    </w:p>
    <w:p w:rsidR="00E97EDA" w:rsidRPr="00E97EDA" w:rsidP="00A7557B">
      <w:pPr>
        <w:pStyle w:val="KOT4"/>
        <w:rPr>
          <w:rtl/>
          <w:lang w:eastAsia="he-IL"/>
        </w:rPr>
      </w:pPr>
      <w:r w:rsidRPr="00E97EDA">
        <w:rPr>
          <w:rFonts w:hint="cs"/>
          <w:rtl/>
          <w:lang w:eastAsia="he-IL"/>
        </w:rPr>
        <w:t>צעדי מיסוי מרכזיים בתחום המקרקעין ושוק הדיור בשנים 2013-2011</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בשל העלייה הניכרת במחירי הדיור בשנים האחרונות והיצע נמוך לעומת ביקוש ובניסיון להשפיע על מגמות בשוק הדיור גם בטווח הקצר ננקטו בשנים 2013-2011 כמה צעדי חקיקה בתחום מיסוי המקרקעין</w:t>
      </w:r>
      <w:r>
        <w:rPr>
          <w:rFonts w:cs="FrankRuehl"/>
          <w:sz w:val="18"/>
          <w:szCs w:val="22"/>
          <w:vertAlign w:val="superscript"/>
          <w:rtl/>
          <w:lang w:eastAsia="he-IL"/>
        </w:rPr>
        <w:footnoteReference w:id="134"/>
      </w:r>
      <w:r w:rsidRPr="00F41E78">
        <w:rPr>
          <w:rFonts w:cs="FrankRuehl" w:hint="cs"/>
          <w:sz w:val="18"/>
          <w:szCs w:val="22"/>
          <w:rtl/>
          <w:lang w:eastAsia="he-IL"/>
        </w:rPr>
        <w:t xml:space="preserve">. </w:t>
      </w:r>
    </w:p>
    <w:p w:rsidR="00711180" w:rsidRPr="00F41E78" w:rsidP="00A7557B">
      <w:pPr>
        <w:spacing w:after="120" w:line="230" w:lineRule="exact"/>
        <w:jc w:val="both"/>
        <w:rPr>
          <w:rFonts w:cs="FrankRuehl"/>
          <w:sz w:val="18"/>
          <w:szCs w:val="22"/>
          <w:rtl/>
          <w:lang w:eastAsia="he-IL"/>
        </w:rPr>
      </w:pPr>
    </w:p>
    <w:p w:rsidR="00E97EDA" w:rsidRPr="006237A1" w:rsidP="00A7557B">
      <w:pPr>
        <w:pStyle w:val="KOT5"/>
        <w:rPr>
          <w:rtl/>
          <w:lang w:eastAsia="he-IL"/>
        </w:rPr>
      </w:pPr>
      <w:r w:rsidRPr="00E97EDA">
        <w:rPr>
          <w:rFonts w:hint="eastAsia"/>
          <w:rtl/>
        </w:rPr>
        <w:t>הגדלת</w:t>
      </w:r>
      <w:r w:rsidRPr="00E97EDA">
        <w:rPr>
          <w:rtl/>
        </w:rPr>
        <w:t xml:space="preserve"> </w:t>
      </w:r>
      <w:r w:rsidRPr="00E97EDA">
        <w:rPr>
          <w:rFonts w:hint="eastAsia"/>
          <w:rtl/>
        </w:rPr>
        <w:t>המס</w:t>
      </w:r>
      <w:r w:rsidRPr="00E97EDA">
        <w:rPr>
          <w:rtl/>
        </w:rPr>
        <w:t xml:space="preserve"> </w:t>
      </w:r>
      <w:r w:rsidRPr="00E97EDA">
        <w:rPr>
          <w:rFonts w:hint="eastAsia"/>
          <w:rtl/>
        </w:rPr>
        <w:t>המושת</w:t>
      </w:r>
      <w:r w:rsidRPr="00E97EDA">
        <w:rPr>
          <w:rtl/>
        </w:rPr>
        <w:t xml:space="preserve"> </w:t>
      </w:r>
      <w:r w:rsidRPr="00E97EDA">
        <w:rPr>
          <w:rFonts w:hint="eastAsia"/>
          <w:rtl/>
        </w:rPr>
        <w:t>על</w:t>
      </w:r>
      <w:r w:rsidRPr="00E97EDA">
        <w:rPr>
          <w:rtl/>
        </w:rPr>
        <w:t xml:space="preserve"> </w:t>
      </w:r>
      <w:r w:rsidRPr="00E97EDA">
        <w:rPr>
          <w:rFonts w:hint="eastAsia"/>
          <w:rtl/>
        </w:rPr>
        <w:t>קבוצות</w:t>
      </w:r>
      <w:r w:rsidRPr="00E97EDA">
        <w:rPr>
          <w:rtl/>
        </w:rPr>
        <w:t xml:space="preserve"> </w:t>
      </w:r>
      <w:r w:rsidRPr="00E97EDA">
        <w:rPr>
          <w:rFonts w:hint="eastAsia"/>
          <w:rtl/>
        </w:rPr>
        <w:t>רכישה</w:t>
      </w:r>
      <w:r>
        <w:rPr>
          <w:vertAlign w:val="superscript"/>
          <w:rtl/>
          <w:lang w:eastAsia="he-IL"/>
        </w:rPr>
        <w:footnoteReference w:id="135"/>
      </w:r>
      <w:r w:rsidRPr="006237A1">
        <w:rPr>
          <w:rFonts w:hint="cs"/>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תיקון 69 לחוק מיסוי מקרקעין</w:t>
      </w:r>
      <w:r>
        <w:rPr>
          <w:rFonts w:cs="FrankRuehl"/>
          <w:sz w:val="18"/>
          <w:szCs w:val="22"/>
          <w:vertAlign w:val="superscript"/>
          <w:rtl/>
          <w:lang w:eastAsia="he-IL"/>
        </w:rPr>
        <w:footnoteReference w:id="136"/>
      </w:r>
      <w:r w:rsidRPr="00F41E78">
        <w:rPr>
          <w:rFonts w:cs="FrankRuehl" w:hint="cs"/>
          <w:sz w:val="18"/>
          <w:szCs w:val="22"/>
          <w:rtl/>
          <w:lang w:eastAsia="he-IL"/>
        </w:rPr>
        <w:t xml:space="preserve"> הטיל מס רכישה גם על בניין שבנתה קבוצת הרכישה ולא רק על הקרקע כפי שהיה בעבר. עד לתחולת התיקון, על רכישת הקרקע הוטל מס רכישה בשיעור 5% ואילו בניית הבניין לא חויבה במס רכישה (לעומת זאת, אם דירה נקנתה מקבלן או בבניין אחר הוטל מס הרכישה על מלוא מחיר הדירה). כמו כן, תיקון</w:t>
      </w:r>
      <w:r>
        <w:rPr>
          <w:rFonts w:cs="FrankRuehl"/>
          <w:sz w:val="18"/>
          <w:szCs w:val="22"/>
          <w:vertAlign w:val="superscript"/>
          <w:rtl/>
          <w:lang w:eastAsia="he-IL"/>
        </w:rPr>
        <w:footnoteReference w:id="137"/>
      </w:r>
      <w:r w:rsidRPr="00F41E78">
        <w:rPr>
          <w:rFonts w:cs="FrankRuehl" w:hint="cs"/>
          <w:sz w:val="18"/>
          <w:szCs w:val="22"/>
          <w:rtl/>
          <w:lang w:eastAsia="he-IL"/>
        </w:rPr>
        <w:t xml:space="preserve"> בחוק מס ערך מוסף חייב בתשלום מע"ם על מרכיב הקרקע בעסקת מכירה של קרקע לרוכשי דירות במסגרת קבוצת רכישה, וכך הושוו תשלומים החלים על רוכשי דירות במסגרת קבוצות רכישה לאלו החלים על רוכשי דירות חדשות מקבלן. צעדים אלו שמטרתם הייתה למנוע עיוותי מס עשויים להקטין את הביקוש לבניית דירות באמצעות קבוצות רכישה.</w:t>
      </w:r>
    </w:p>
    <w:p w:rsidR="00711180" w:rsidRPr="00F41E78" w:rsidP="00A7557B">
      <w:pPr>
        <w:spacing w:after="120" w:line="230" w:lineRule="exact"/>
        <w:jc w:val="both"/>
        <w:rPr>
          <w:rFonts w:cs="FrankRuehl"/>
          <w:sz w:val="18"/>
          <w:szCs w:val="22"/>
          <w:rtl/>
          <w:lang w:eastAsia="he-IL"/>
        </w:rPr>
      </w:pPr>
    </w:p>
    <w:p w:rsidR="00E97EDA" w:rsidRPr="006237A1" w:rsidP="00A7557B">
      <w:pPr>
        <w:pStyle w:val="KOT5"/>
        <w:rPr>
          <w:lang w:eastAsia="he-IL"/>
        </w:rPr>
      </w:pPr>
      <w:r w:rsidRPr="006237A1">
        <w:rPr>
          <w:rFonts w:hint="cs"/>
          <w:rtl/>
          <w:lang w:eastAsia="he-IL"/>
        </w:rPr>
        <w:t>פטור זמני ממס שבח על דירות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כדי לעודד את הגדלת היצע הדירות למגורים ניתן פטור נוסף ממס שבח במכירת דירת מגורים מזכה</w:t>
      </w:r>
      <w:r>
        <w:rPr>
          <w:rFonts w:cs="FrankRuehl"/>
          <w:sz w:val="18"/>
          <w:szCs w:val="22"/>
          <w:vertAlign w:val="superscript"/>
          <w:rtl/>
          <w:lang w:eastAsia="he-IL"/>
        </w:rPr>
        <w:footnoteReference w:id="138"/>
      </w:r>
      <w:r w:rsidRPr="00F41E78">
        <w:rPr>
          <w:rFonts w:cs="FrankRuehl" w:hint="cs"/>
          <w:sz w:val="18"/>
          <w:szCs w:val="22"/>
          <w:rtl/>
          <w:lang w:eastAsia="he-IL"/>
        </w:rPr>
        <w:t>. בפברואר 2011 נקבע בהוראת שעה</w:t>
      </w:r>
      <w:r>
        <w:rPr>
          <w:rFonts w:cs="FrankRuehl"/>
          <w:sz w:val="18"/>
          <w:szCs w:val="22"/>
          <w:vertAlign w:val="superscript"/>
          <w:rtl/>
          <w:lang w:eastAsia="he-IL"/>
        </w:rPr>
        <w:footnoteReference w:id="139"/>
      </w:r>
      <w:r w:rsidRPr="00F41E78">
        <w:rPr>
          <w:rFonts w:cs="FrankRuehl" w:hint="cs"/>
          <w:sz w:val="18"/>
          <w:szCs w:val="22"/>
          <w:rtl/>
          <w:lang w:eastAsia="he-IL"/>
        </w:rPr>
        <w:t xml:space="preserve"> כי מי שמוכר עד שתי דירות מגורים מזכות, בתקופה שמיום 1.1.11 עד 31.12.12, יוכל לקבל פטור מלא ממס שבח אם מחיר כל אחת מהדירות אינו עולה על 2.2 מיליון ש"ח, וישלם מס שבח יחסי על חלק המחיר העולה על הסכום האמור. באוגוסט 2011 תוקנה הוראת השעה והוספה האפשרות, בתנאים מסוימים, למכור בפטור ממס שבח דירות שאינן דירות מגורים מזכות, וזאת כדי לעודד מכירת דירות ששימשו לייעודים אחרים, למשל משרדים. צעדים אלו נועדו לעודד מכירת דירות להשקעה כדי להגדיל את היצע הדירות למגורים.</w:t>
      </w:r>
    </w:p>
    <w:p w:rsidR="00711180" w:rsidRPr="00F41E78" w:rsidP="00A7557B">
      <w:pPr>
        <w:spacing w:after="120" w:line="230" w:lineRule="exact"/>
        <w:jc w:val="both"/>
        <w:rPr>
          <w:rFonts w:cs="FrankRuehl"/>
          <w:sz w:val="18"/>
          <w:szCs w:val="22"/>
          <w:rtl/>
          <w:lang w:eastAsia="he-IL"/>
        </w:rPr>
      </w:pPr>
    </w:p>
    <w:p w:rsidR="00E97EDA" w:rsidRPr="006237A1" w:rsidP="00A7557B">
      <w:pPr>
        <w:pStyle w:val="KOT5"/>
        <w:rPr>
          <w:rtl/>
          <w:lang w:eastAsia="he-IL"/>
        </w:rPr>
      </w:pPr>
      <w:r w:rsidRPr="006237A1">
        <w:rPr>
          <w:rFonts w:hint="cs"/>
          <w:rtl/>
          <w:lang w:eastAsia="he-IL"/>
        </w:rPr>
        <w:t>הפחתת שיעור מס השבח הריאלי החל על קרקע המיועדת לבניית דירות מגורים</w:t>
      </w:r>
      <w:r>
        <w:rPr>
          <w:vertAlign w:val="superscript"/>
          <w:rtl/>
          <w:lang w:eastAsia="he-IL"/>
        </w:rPr>
        <w:footnoteReference w:id="140"/>
      </w:r>
      <w:r w:rsidRPr="006237A1">
        <w:rPr>
          <w:vertAlign w:val="superscript"/>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כדי לעודד מכירת קרקעות שיאפשרו להגדיל את היצע הדירות נקבע שיעור מס שבח מופחת לפי שיעור המס השולי של היחיד, אך לא יותר מ-20% על קרקע שנרכשה בין 1.4.61 ל-6.11.01 ונמכרה; זאת במקום מס שבח בשיעור מס ההכנסה השולי של היחיד כפי שהיה עד כה.</w:t>
      </w:r>
      <w:r w:rsidRPr="00F41E78">
        <w:rPr>
          <w:rFonts w:cs="FrankRuehl"/>
          <w:sz w:val="18"/>
          <w:szCs w:val="22"/>
          <w:rtl/>
          <w:lang w:eastAsia="he-IL"/>
        </w:rPr>
        <w:t xml:space="preserve"> </w:t>
      </w:r>
    </w:p>
    <w:p w:rsidR="00711180" w:rsidRPr="00F41E78" w:rsidP="00A7557B">
      <w:pPr>
        <w:spacing w:after="120" w:line="230" w:lineRule="exact"/>
        <w:jc w:val="both"/>
        <w:rPr>
          <w:rFonts w:cs="FrankRuehl"/>
          <w:sz w:val="18"/>
          <w:szCs w:val="22"/>
          <w:rtl/>
          <w:lang w:eastAsia="he-IL"/>
        </w:rPr>
      </w:pPr>
    </w:p>
    <w:p w:rsidR="00E97EDA" w:rsidRPr="006237A1" w:rsidP="00A7557B">
      <w:pPr>
        <w:pStyle w:val="KOT5"/>
        <w:rPr>
          <w:lang w:eastAsia="he-IL"/>
        </w:rPr>
      </w:pPr>
      <w:r w:rsidRPr="006237A1">
        <w:rPr>
          <w:rFonts w:hint="cs"/>
          <w:rtl/>
          <w:lang w:eastAsia="he-IL"/>
        </w:rPr>
        <w:t>הגדלת שיעורי מס הרכישה</w:t>
      </w:r>
      <w:r>
        <w:rPr>
          <w:vertAlign w:val="superscript"/>
          <w:rtl/>
          <w:lang w:eastAsia="he-IL"/>
        </w:rPr>
        <w:footnoteReference w:id="141"/>
      </w:r>
      <w:r w:rsidRPr="006237A1">
        <w:rPr>
          <w:rFonts w:hint="cs"/>
          <w:rtl/>
          <w:lang w:eastAsia="he-IL"/>
        </w:rPr>
        <w:t xml:space="preserve"> המושתים על דירה שאינה דירה יחידה</w:t>
      </w:r>
      <w:r>
        <w:rPr>
          <w:vertAlign w:val="superscript"/>
          <w:rtl/>
          <w:lang w:eastAsia="he-IL"/>
        </w:rPr>
        <w:footnoteReference w:id="142"/>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כדי למנוע מצב שהיצע הדירות החדש ינותב לרכישת דירות להשקעה נקבע בינואר 2011, בהוראת שעה, מס רכישה על רכישת דירת מגורים שאינה דירת מגורים יחידה, ובכך הופחתה הכדאיות לרכישת דירה כאמור. מס הרכישה הועלה לשיעור של 7%-5% ממחיר הדירה. במסגרת החוק לשינוי סדרי עדיפויות לאומיים (תיקוני חקיקה להשגת יעדי התקציב לשנים 2013 ו-2014), התשע"ג-2013 (להלן - חוק ההסדרים) הוספו באוגוסט 2013 מדרגות מס רכישה של 8% ושל 10% תוך מתן הקלות משנת 2015 ואילך. </w:t>
      </w:r>
    </w:p>
    <w:p w:rsidR="00E97EDA" w:rsidRPr="006237A1" w:rsidP="00E54061">
      <w:pPr>
        <w:pStyle w:val="tab-name"/>
        <w:rPr>
          <w:rtl/>
          <w:lang w:eastAsia="he-IL"/>
        </w:rPr>
      </w:pPr>
      <w:r w:rsidRPr="00E54061">
        <w:rPr>
          <w:rFonts w:hint="cs"/>
          <w:b w:val="0"/>
          <w:bCs w:val="0"/>
          <w:sz w:val="20"/>
          <w:szCs w:val="20"/>
          <w:rtl/>
          <w:lang w:eastAsia="he-IL"/>
        </w:rPr>
        <w:t xml:space="preserve">לוח </w:t>
      </w:r>
      <w:r w:rsidRPr="00E54061" w:rsidR="00E54061">
        <w:rPr>
          <w:rFonts w:hint="cs"/>
          <w:b w:val="0"/>
          <w:bCs w:val="0"/>
          <w:sz w:val="20"/>
          <w:szCs w:val="20"/>
          <w:rtl/>
          <w:lang w:eastAsia="he-IL"/>
        </w:rPr>
        <w:t>1</w:t>
      </w:r>
      <w:r w:rsidRPr="00E54061" w:rsidR="00E54061">
        <w:rPr>
          <w:b w:val="0"/>
          <w:bCs w:val="0"/>
          <w:sz w:val="20"/>
          <w:szCs w:val="20"/>
          <w:lang w:eastAsia="he-IL"/>
        </w:rPr>
        <w:br/>
      </w:r>
      <w:r w:rsidRPr="006237A1">
        <w:rPr>
          <w:rFonts w:hint="cs"/>
          <w:rtl/>
          <w:lang w:eastAsia="he-IL"/>
        </w:rPr>
        <w:t>מדרגות מס רכישה לדירה שאינה דירה יחידה</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ayout w:type="fixed"/>
        <w:tblLook w:val="01E0"/>
      </w:tblPr>
      <w:tblGrid>
        <w:gridCol w:w="4446"/>
        <w:gridCol w:w="2245"/>
      </w:tblGrid>
      <w:tr w:rsidTr="00E54061">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ayout w:type="fixed"/>
          <w:tblLook w:val="01E0"/>
        </w:tblPrEx>
        <w:trPr>
          <w:trHeight w:val="280"/>
          <w:jc w:val="center"/>
        </w:trPr>
        <w:tc>
          <w:tcPr>
            <w:tcW w:w="2274" w:type="dxa"/>
            <w:tcBorders>
              <w:top w:val="single" w:sz="12" w:space="0" w:color="auto"/>
              <w:bottom w:val="single" w:sz="12" w:space="0" w:color="auto"/>
            </w:tcBorders>
            <w:shd w:val="pct10" w:color="auto" w:fill="auto"/>
          </w:tcPr>
          <w:p w:rsidR="00E97EDA" w:rsidRPr="00E54061" w:rsidP="00E54061">
            <w:pPr>
              <w:spacing w:before="40" w:after="40" w:line="200" w:lineRule="exact"/>
              <w:jc w:val="center"/>
              <w:rPr>
                <w:rFonts w:cs="FrankRuehl"/>
                <w:b/>
                <w:bCs/>
                <w:sz w:val="20"/>
                <w:szCs w:val="20"/>
                <w:rtl/>
                <w:lang w:eastAsia="he-IL"/>
              </w:rPr>
            </w:pPr>
            <w:r w:rsidRPr="00E54061">
              <w:rPr>
                <w:rFonts w:cs="FrankRuehl" w:hint="cs"/>
                <w:b/>
                <w:bCs/>
                <w:sz w:val="20"/>
                <w:szCs w:val="20"/>
                <w:rtl/>
                <w:lang w:eastAsia="he-IL"/>
              </w:rPr>
              <w:t xml:space="preserve">חלק השווי ממחיר הדירה </w:t>
            </w:r>
            <w:r w:rsidR="00E54061">
              <w:rPr>
                <w:rFonts w:cs="FrankRuehl" w:hint="cs"/>
                <w:b/>
                <w:bCs/>
                <w:sz w:val="20"/>
                <w:szCs w:val="20"/>
                <w:rtl/>
                <w:lang w:eastAsia="he-IL"/>
              </w:rPr>
              <w:t xml:space="preserve"> </w:t>
            </w:r>
            <w:r w:rsidRPr="00E54061">
              <w:rPr>
                <w:rFonts w:cs="FrankRuehl" w:hint="cs"/>
                <w:b/>
                <w:bCs/>
                <w:sz w:val="20"/>
                <w:szCs w:val="20"/>
                <w:rtl/>
                <w:lang w:eastAsia="he-IL"/>
              </w:rPr>
              <w:t>(מיליוני ש"ח)</w:t>
            </w:r>
          </w:p>
        </w:tc>
        <w:tc>
          <w:tcPr>
            <w:tcW w:w="1148" w:type="dxa"/>
            <w:tcBorders>
              <w:top w:val="single" w:sz="12" w:space="0" w:color="auto"/>
              <w:bottom w:val="single" w:sz="12" w:space="0" w:color="auto"/>
            </w:tcBorders>
            <w:shd w:val="pct10" w:color="auto" w:fill="auto"/>
          </w:tcPr>
          <w:p w:rsidR="00E97EDA" w:rsidRPr="00E54061" w:rsidP="00E54061">
            <w:pPr>
              <w:spacing w:before="40" w:after="40" w:line="200" w:lineRule="exact"/>
              <w:jc w:val="center"/>
              <w:rPr>
                <w:rFonts w:cs="FrankRuehl"/>
                <w:b/>
                <w:bCs/>
                <w:sz w:val="20"/>
                <w:szCs w:val="20"/>
                <w:rtl/>
                <w:lang w:eastAsia="he-IL"/>
              </w:rPr>
            </w:pPr>
            <w:r w:rsidRPr="00E54061">
              <w:rPr>
                <w:rFonts w:cs="FrankRuehl" w:hint="cs"/>
                <w:b/>
                <w:bCs/>
                <w:sz w:val="20"/>
                <w:szCs w:val="20"/>
                <w:rtl/>
                <w:lang w:eastAsia="he-IL"/>
              </w:rPr>
              <w:t xml:space="preserve">שיעור המס </w:t>
            </w:r>
            <w:r w:rsidR="00E54061">
              <w:rPr>
                <w:rFonts w:cs="FrankRuehl" w:hint="cs"/>
                <w:b/>
                <w:bCs/>
                <w:sz w:val="20"/>
                <w:szCs w:val="20"/>
                <w:rtl/>
                <w:lang w:eastAsia="he-IL"/>
              </w:rPr>
              <w:t xml:space="preserve"> </w:t>
            </w:r>
            <w:r w:rsidRPr="00E54061">
              <w:rPr>
                <w:rFonts w:cs="FrankRuehl" w:hint="cs"/>
                <w:b/>
                <w:bCs/>
                <w:sz w:val="20"/>
                <w:szCs w:val="20"/>
                <w:rtl/>
                <w:lang w:eastAsia="he-IL"/>
              </w:rPr>
              <w:t>(אחוזים)</w:t>
            </w:r>
          </w:p>
        </w:tc>
      </w:tr>
      <w:tr w:rsidTr="00E54061">
        <w:tblPrEx>
          <w:tblW w:w="6691" w:type="dxa"/>
          <w:jc w:val="center"/>
          <w:tblLayout w:type="fixed"/>
          <w:tblLook w:val="01E0"/>
        </w:tblPrEx>
        <w:trPr>
          <w:trHeight w:val="280"/>
          <w:jc w:val="center"/>
        </w:trPr>
        <w:tc>
          <w:tcPr>
            <w:tcW w:w="3422" w:type="dxa"/>
            <w:gridSpan w:val="2"/>
            <w:tcBorders>
              <w:top w:val="single" w:sz="12" w:space="0" w:color="auto"/>
            </w:tcBorders>
            <w:shd w:val="clear" w:color="auto" w:fill="auto"/>
          </w:tcPr>
          <w:p w:rsidR="00E97EDA" w:rsidRPr="00E54061" w:rsidP="00E54061">
            <w:pPr>
              <w:keepNext/>
              <w:spacing w:before="40" w:after="40" w:line="200" w:lineRule="exact"/>
              <w:outlineLvl w:val="8"/>
              <w:rPr>
                <w:rFonts w:cs="FrankRuehl"/>
                <w:b/>
                <w:bCs/>
                <w:sz w:val="20"/>
                <w:szCs w:val="20"/>
                <w:rtl/>
              </w:rPr>
            </w:pPr>
            <w:r w:rsidRPr="00E54061">
              <w:rPr>
                <w:rFonts w:cs="FrankRuehl" w:hint="cs"/>
                <w:b/>
                <w:bCs/>
                <w:sz w:val="20"/>
                <w:szCs w:val="20"/>
                <w:rtl/>
              </w:rPr>
              <w:t>דירה שנרכשה עד 31.12.14</w:t>
            </w:r>
          </w:p>
        </w:tc>
      </w:tr>
      <w:tr w:rsidTr="00E54061">
        <w:tblPrEx>
          <w:tblW w:w="6691" w:type="dxa"/>
          <w:jc w:val="center"/>
          <w:tblLayout w:type="fixed"/>
          <w:tblLook w:val="01E0"/>
        </w:tblPrEx>
        <w:trPr>
          <w:trHeight w:val="280"/>
          <w:jc w:val="center"/>
        </w:trPr>
        <w:tc>
          <w:tcPr>
            <w:tcW w:w="2274" w:type="dxa"/>
            <w:shd w:val="clear" w:color="auto" w:fill="auto"/>
          </w:tcPr>
          <w:p w:rsidR="00E97EDA" w:rsidRPr="00E54061" w:rsidP="00E54061">
            <w:pPr>
              <w:spacing w:before="40" w:after="40" w:line="200" w:lineRule="exact"/>
              <w:ind w:left="340"/>
              <w:rPr>
                <w:rFonts w:cs="FrankRuehl"/>
                <w:sz w:val="20"/>
                <w:szCs w:val="20"/>
                <w:rtl/>
                <w:lang w:eastAsia="he-IL"/>
              </w:rPr>
            </w:pPr>
            <w:r w:rsidRPr="00E54061">
              <w:rPr>
                <w:rFonts w:cs="FrankRuehl" w:hint="cs"/>
                <w:sz w:val="20"/>
                <w:szCs w:val="20"/>
                <w:rtl/>
                <w:lang w:eastAsia="he-IL"/>
              </w:rPr>
              <w:t>עד 1.09</w:t>
            </w:r>
          </w:p>
        </w:tc>
        <w:tc>
          <w:tcPr>
            <w:tcW w:w="1148" w:type="dxa"/>
            <w:shd w:val="clear" w:color="auto" w:fill="auto"/>
          </w:tcPr>
          <w:p w:rsidR="00E97EDA" w:rsidRPr="00E54061" w:rsidP="00E54061">
            <w:pPr>
              <w:pStyle w:val="FootnoteText"/>
              <w:tabs>
                <w:tab w:val="decimal" w:pos="917"/>
              </w:tabs>
              <w:spacing w:before="40" w:after="40" w:line="200" w:lineRule="exact"/>
              <w:rPr>
                <w:rFonts w:cs="FrankRuehl"/>
                <w:rtl/>
                <w:lang w:eastAsia="he-IL"/>
              </w:rPr>
            </w:pPr>
            <w:r w:rsidRPr="00E54061">
              <w:rPr>
                <w:rFonts w:cs="FrankRuehl" w:hint="cs"/>
                <w:rtl/>
                <w:lang w:eastAsia="he-IL"/>
              </w:rPr>
              <w:t>5</w:t>
            </w:r>
          </w:p>
        </w:tc>
      </w:tr>
      <w:tr w:rsidTr="00E54061">
        <w:tblPrEx>
          <w:tblW w:w="6691" w:type="dxa"/>
          <w:jc w:val="center"/>
          <w:tblLayout w:type="fixed"/>
          <w:tblLook w:val="01E0"/>
        </w:tblPrEx>
        <w:trPr>
          <w:trHeight w:val="280"/>
          <w:jc w:val="center"/>
        </w:trPr>
        <w:tc>
          <w:tcPr>
            <w:tcW w:w="2274" w:type="dxa"/>
            <w:shd w:val="clear" w:color="auto" w:fill="auto"/>
          </w:tcPr>
          <w:p w:rsidR="00E97EDA" w:rsidRPr="00E54061" w:rsidP="00E54061">
            <w:pPr>
              <w:spacing w:before="40" w:after="40" w:line="200" w:lineRule="exact"/>
              <w:ind w:left="340"/>
              <w:rPr>
                <w:rFonts w:cs="FrankRuehl"/>
                <w:sz w:val="20"/>
                <w:szCs w:val="20"/>
                <w:rtl/>
                <w:lang w:eastAsia="he-IL"/>
              </w:rPr>
            </w:pPr>
            <w:r w:rsidRPr="00E54061">
              <w:rPr>
                <w:rFonts w:cs="FrankRuehl" w:hint="cs"/>
                <w:sz w:val="20"/>
                <w:szCs w:val="20"/>
                <w:rtl/>
                <w:lang w:eastAsia="he-IL"/>
              </w:rPr>
              <w:t>3.27-1.09</w:t>
            </w:r>
          </w:p>
        </w:tc>
        <w:tc>
          <w:tcPr>
            <w:tcW w:w="1148" w:type="dxa"/>
            <w:shd w:val="clear" w:color="auto" w:fill="auto"/>
          </w:tcPr>
          <w:p w:rsidR="00E97EDA" w:rsidRPr="00E54061" w:rsidP="00E54061">
            <w:pPr>
              <w:tabs>
                <w:tab w:val="decimal" w:pos="917"/>
              </w:tabs>
              <w:spacing w:before="40" w:after="40" w:line="200" w:lineRule="exact"/>
              <w:rPr>
                <w:rFonts w:cs="FrankRuehl"/>
                <w:sz w:val="20"/>
                <w:szCs w:val="20"/>
                <w:rtl/>
                <w:lang w:eastAsia="he-IL"/>
              </w:rPr>
            </w:pPr>
            <w:r w:rsidRPr="00E54061">
              <w:rPr>
                <w:rFonts w:cs="FrankRuehl" w:hint="cs"/>
                <w:sz w:val="20"/>
                <w:szCs w:val="20"/>
                <w:rtl/>
                <w:lang w:eastAsia="he-IL"/>
              </w:rPr>
              <w:t>6</w:t>
            </w:r>
          </w:p>
        </w:tc>
      </w:tr>
      <w:tr w:rsidTr="00E54061">
        <w:tblPrEx>
          <w:tblW w:w="6691" w:type="dxa"/>
          <w:jc w:val="center"/>
          <w:tblLayout w:type="fixed"/>
          <w:tblLook w:val="01E0"/>
        </w:tblPrEx>
        <w:trPr>
          <w:trHeight w:val="280"/>
          <w:jc w:val="center"/>
        </w:trPr>
        <w:tc>
          <w:tcPr>
            <w:tcW w:w="2274" w:type="dxa"/>
            <w:shd w:val="clear" w:color="auto" w:fill="auto"/>
          </w:tcPr>
          <w:p w:rsidR="00E97EDA" w:rsidRPr="00E54061" w:rsidP="00E54061">
            <w:pPr>
              <w:spacing w:before="40" w:after="40" w:line="200" w:lineRule="exact"/>
              <w:ind w:left="340"/>
              <w:rPr>
                <w:rFonts w:cs="FrankRuehl"/>
                <w:sz w:val="20"/>
                <w:szCs w:val="20"/>
                <w:rtl/>
                <w:lang w:eastAsia="he-IL"/>
              </w:rPr>
            </w:pPr>
            <w:r w:rsidRPr="00E54061">
              <w:rPr>
                <w:rFonts w:cs="FrankRuehl" w:hint="cs"/>
                <w:sz w:val="20"/>
                <w:szCs w:val="20"/>
                <w:rtl/>
                <w:lang w:eastAsia="he-IL"/>
              </w:rPr>
              <w:t>4.5-3.27</w:t>
            </w:r>
          </w:p>
        </w:tc>
        <w:tc>
          <w:tcPr>
            <w:tcW w:w="1148" w:type="dxa"/>
            <w:shd w:val="clear" w:color="auto" w:fill="auto"/>
          </w:tcPr>
          <w:p w:rsidR="00E97EDA" w:rsidRPr="00E54061" w:rsidP="00E54061">
            <w:pPr>
              <w:tabs>
                <w:tab w:val="decimal" w:pos="917"/>
              </w:tabs>
              <w:spacing w:before="40" w:after="40" w:line="200" w:lineRule="exact"/>
              <w:rPr>
                <w:rFonts w:cs="FrankRuehl"/>
                <w:sz w:val="20"/>
                <w:szCs w:val="20"/>
                <w:rtl/>
                <w:lang w:eastAsia="he-IL"/>
              </w:rPr>
            </w:pPr>
            <w:r w:rsidRPr="00E54061">
              <w:rPr>
                <w:rFonts w:cs="FrankRuehl" w:hint="cs"/>
                <w:sz w:val="20"/>
                <w:szCs w:val="20"/>
                <w:rtl/>
                <w:lang w:eastAsia="he-IL"/>
              </w:rPr>
              <w:t>7</w:t>
            </w:r>
          </w:p>
        </w:tc>
      </w:tr>
      <w:tr w:rsidTr="00E54061">
        <w:tblPrEx>
          <w:tblW w:w="6691" w:type="dxa"/>
          <w:jc w:val="center"/>
          <w:tblLayout w:type="fixed"/>
          <w:tblLook w:val="01E0"/>
        </w:tblPrEx>
        <w:trPr>
          <w:trHeight w:val="280"/>
          <w:jc w:val="center"/>
        </w:trPr>
        <w:tc>
          <w:tcPr>
            <w:tcW w:w="2274" w:type="dxa"/>
            <w:shd w:val="clear" w:color="auto" w:fill="auto"/>
          </w:tcPr>
          <w:p w:rsidR="00E97EDA" w:rsidRPr="00E54061" w:rsidP="00E54061">
            <w:pPr>
              <w:spacing w:before="40" w:after="40" w:line="200" w:lineRule="exact"/>
              <w:ind w:left="340"/>
              <w:rPr>
                <w:rFonts w:cs="FrankRuehl"/>
                <w:sz w:val="20"/>
                <w:szCs w:val="20"/>
                <w:rtl/>
                <w:lang w:eastAsia="he-IL"/>
              </w:rPr>
            </w:pPr>
            <w:r w:rsidRPr="00E54061">
              <w:rPr>
                <w:rFonts w:cs="FrankRuehl" w:hint="cs"/>
                <w:sz w:val="20"/>
                <w:szCs w:val="20"/>
                <w:rtl/>
                <w:lang w:eastAsia="he-IL"/>
              </w:rPr>
              <w:t>15-4.5</w:t>
            </w:r>
          </w:p>
        </w:tc>
        <w:tc>
          <w:tcPr>
            <w:tcW w:w="1148" w:type="dxa"/>
            <w:shd w:val="clear" w:color="auto" w:fill="auto"/>
          </w:tcPr>
          <w:p w:rsidR="00E97EDA" w:rsidRPr="00E54061" w:rsidP="00E54061">
            <w:pPr>
              <w:tabs>
                <w:tab w:val="decimal" w:pos="917"/>
              </w:tabs>
              <w:spacing w:before="40" w:after="40" w:line="200" w:lineRule="exact"/>
              <w:rPr>
                <w:rFonts w:cs="FrankRuehl"/>
                <w:sz w:val="20"/>
                <w:szCs w:val="20"/>
                <w:rtl/>
                <w:lang w:eastAsia="he-IL"/>
              </w:rPr>
            </w:pPr>
            <w:r w:rsidRPr="00E54061">
              <w:rPr>
                <w:rFonts w:cs="FrankRuehl" w:hint="cs"/>
                <w:sz w:val="20"/>
                <w:szCs w:val="20"/>
                <w:rtl/>
                <w:lang w:eastAsia="he-IL"/>
              </w:rPr>
              <w:t>8</w:t>
            </w:r>
          </w:p>
        </w:tc>
      </w:tr>
      <w:tr w:rsidTr="00E54061">
        <w:tblPrEx>
          <w:tblW w:w="6691" w:type="dxa"/>
          <w:jc w:val="center"/>
          <w:tblLayout w:type="fixed"/>
          <w:tblLook w:val="01E0"/>
        </w:tblPrEx>
        <w:trPr>
          <w:trHeight w:val="280"/>
          <w:jc w:val="center"/>
        </w:trPr>
        <w:tc>
          <w:tcPr>
            <w:tcW w:w="2274" w:type="dxa"/>
            <w:shd w:val="clear" w:color="auto" w:fill="auto"/>
          </w:tcPr>
          <w:p w:rsidR="00E97EDA" w:rsidRPr="00E54061" w:rsidP="00E54061">
            <w:pPr>
              <w:spacing w:before="40" w:after="40" w:line="200" w:lineRule="exact"/>
              <w:ind w:left="340"/>
              <w:rPr>
                <w:rFonts w:cs="FrankRuehl"/>
                <w:sz w:val="20"/>
                <w:szCs w:val="20"/>
                <w:rtl/>
                <w:lang w:eastAsia="he-IL"/>
              </w:rPr>
            </w:pPr>
            <w:r w:rsidRPr="00E54061">
              <w:rPr>
                <w:rFonts w:cs="FrankRuehl" w:hint="cs"/>
                <w:sz w:val="20"/>
                <w:szCs w:val="20"/>
                <w:rtl/>
                <w:lang w:eastAsia="he-IL"/>
              </w:rPr>
              <w:t>יותר מ-15</w:t>
            </w:r>
          </w:p>
        </w:tc>
        <w:tc>
          <w:tcPr>
            <w:tcW w:w="1148" w:type="dxa"/>
            <w:shd w:val="clear" w:color="auto" w:fill="auto"/>
          </w:tcPr>
          <w:p w:rsidR="00E97EDA" w:rsidRPr="00E54061" w:rsidP="00E54061">
            <w:pPr>
              <w:tabs>
                <w:tab w:val="decimal" w:pos="917"/>
              </w:tabs>
              <w:spacing w:before="40" w:after="40" w:line="200" w:lineRule="exact"/>
              <w:rPr>
                <w:rFonts w:cs="FrankRuehl"/>
                <w:sz w:val="20"/>
                <w:szCs w:val="20"/>
                <w:rtl/>
                <w:lang w:eastAsia="he-IL"/>
              </w:rPr>
            </w:pPr>
            <w:r w:rsidRPr="00E54061">
              <w:rPr>
                <w:rFonts w:cs="FrankRuehl" w:hint="cs"/>
                <w:sz w:val="20"/>
                <w:szCs w:val="20"/>
                <w:rtl/>
                <w:lang w:eastAsia="he-IL"/>
              </w:rPr>
              <w:t>10</w:t>
            </w:r>
          </w:p>
        </w:tc>
      </w:tr>
      <w:tr w:rsidTr="00E54061">
        <w:tblPrEx>
          <w:tblW w:w="6691" w:type="dxa"/>
          <w:jc w:val="center"/>
          <w:tblLayout w:type="fixed"/>
          <w:tblLook w:val="01E0"/>
        </w:tblPrEx>
        <w:trPr>
          <w:trHeight w:val="280"/>
          <w:jc w:val="center"/>
        </w:trPr>
        <w:tc>
          <w:tcPr>
            <w:tcW w:w="3422" w:type="dxa"/>
            <w:gridSpan w:val="2"/>
            <w:shd w:val="clear" w:color="auto" w:fill="auto"/>
          </w:tcPr>
          <w:p w:rsidR="00E97EDA" w:rsidRPr="00E54061" w:rsidP="00E54061">
            <w:pPr>
              <w:spacing w:before="40" w:after="40" w:line="200" w:lineRule="exact"/>
              <w:rPr>
                <w:rFonts w:cs="FrankRuehl"/>
                <w:sz w:val="20"/>
                <w:szCs w:val="20"/>
                <w:rtl/>
                <w:lang w:eastAsia="he-IL"/>
              </w:rPr>
            </w:pPr>
            <w:r w:rsidRPr="00E54061">
              <w:rPr>
                <w:rFonts w:cs="FrankRuehl" w:hint="cs"/>
                <w:b/>
                <w:bCs/>
                <w:sz w:val="20"/>
                <w:szCs w:val="20"/>
                <w:rtl/>
                <w:lang w:eastAsia="he-IL"/>
              </w:rPr>
              <w:t>דירה שתירכ</w:t>
            </w:r>
            <w:r w:rsidRPr="00E54061">
              <w:rPr>
                <w:rFonts w:cs="FrankRuehl" w:hint="eastAsia"/>
                <w:b/>
                <w:bCs/>
                <w:sz w:val="20"/>
                <w:szCs w:val="20"/>
                <w:rtl/>
                <w:lang w:eastAsia="he-IL"/>
              </w:rPr>
              <w:t>ש</w:t>
            </w:r>
            <w:r w:rsidRPr="00E54061">
              <w:rPr>
                <w:rFonts w:cs="FrankRuehl" w:hint="cs"/>
                <w:b/>
                <w:bCs/>
                <w:sz w:val="20"/>
                <w:szCs w:val="20"/>
                <w:rtl/>
                <w:lang w:eastAsia="he-IL"/>
              </w:rPr>
              <w:t xml:space="preserve"> מ-1.1.15 ואילך</w:t>
            </w:r>
          </w:p>
        </w:tc>
      </w:tr>
      <w:tr w:rsidTr="00E54061">
        <w:tblPrEx>
          <w:tblW w:w="6691" w:type="dxa"/>
          <w:jc w:val="center"/>
          <w:tblLayout w:type="fixed"/>
          <w:tblLook w:val="01E0"/>
        </w:tblPrEx>
        <w:trPr>
          <w:trHeight w:val="280"/>
          <w:jc w:val="center"/>
        </w:trPr>
        <w:tc>
          <w:tcPr>
            <w:tcW w:w="2274" w:type="dxa"/>
            <w:shd w:val="clear" w:color="auto" w:fill="auto"/>
          </w:tcPr>
          <w:p w:rsidR="00E97EDA" w:rsidRPr="00E54061" w:rsidP="00E54061">
            <w:pPr>
              <w:spacing w:before="40" w:after="40" w:line="200" w:lineRule="exact"/>
              <w:ind w:left="340"/>
              <w:rPr>
                <w:rFonts w:cs="FrankRuehl"/>
                <w:sz w:val="20"/>
                <w:szCs w:val="20"/>
                <w:rtl/>
                <w:lang w:eastAsia="he-IL"/>
              </w:rPr>
            </w:pPr>
            <w:r w:rsidRPr="00E54061">
              <w:rPr>
                <w:rFonts w:cs="FrankRuehl" w:hint="cs"/>
                <w:sz w:val="20"/>
                <w:szCs w:val="20"/>
                <w:rtl/>
                <w:lang w:eastAsia="he-IL"/>
              </w:rPr>
              <w:t>עד 1.05</w:t>
            </w:r>
          </w:p>
        </w:tc>
        <w:tc>
          <w:tcPr>
            <w:tcW w:w="1148" w:type="dxa"/>
            <w:shd w:val="clear" w:color="auto" w:fill="auto"/>
          </w:tcPr>
          <w:p w:rsidR="00E97EDA" w:rsidRPr="00E54061" w:rsidP="00E54061">
            <w:pPr>
              <w:tabs>
                <w:tab w:val="decimal" w:pos="917"/>
              </w:tabs>
              <w:spacing w:before="40" w:after="40" w:line="200" w:lineRule="exact"/>
              <w:rPr>
                <w:rFonts w:cs="FrankRuehl"/>
                <w:sz w:val="20"/>
                <w:szCs w:val="20"/>
                <w:rtl/>
                <w:lang w:eastAsia="he-IL"/>
              </w:rPr>
            </w:pPr>
            <w:r w:rsidRPr="00E54061">
              <w:rPr>
                <w:rFonts w:cs="FrankRuehl" w:hint="cs"/>
                <w:sz w:val="20"/>
                <w:szCs w:val="20"/>
                <w:rtl/>
                <w:lang w:eastAsia="he-IL"/>
              </w:rPr>
              <w:t>3.5</w:t>
            </w:r>
          </w:p>
        </w:tc>
      </w:tr>
      <w:tr w:rsidTr="00E54061">
        <w:tblPrEx>
          <w:tblW w:w="6691" w:type="dxa"/>
          <w:jc w:val="center"/>
          <w:tblLayout w:type="fixed"/>
          <w:tblLook w:val="01E0"/>
        </w:tblPrEx>
        <w:trPr>
          <w:trHeight w:val="280"/>
          <w:jc w:val="center"/>
        </w:trPr>
        <w:tc>
          <w:tcPr>
            <w:tcW w:w="2274" w:type="dxa"/>
            <w:shd w:val="clear" w:color="auto" w:fill="auto"/>
          </w:tcPr>
          <w:p w:rsidR="00E97EDA" w:rsidRPr="00E54061" w:rsidP="00E54061">
            <w:pPr>
              <w:spacing w:before="40" w:after="40" w:line="200" w:lineRule="exact"/>
              <w:ind w:left="340"/>
              <w:rPr>
                <w:rFonts w:cs="FrankRuehl"/>
                <w:sz w:val="20"/>
                <w:szCs w:val="20"/>
                <w:rtl/>
                <w:lang w:eastAsia="he-IL"/>
              </w:rPr>
            </w:pPr>
            <w:r w:rsidRPr="00E54061">
              <w:rPr>
                <w:rFonts w:cs="FrankRuehl" w:hint="cs"/>
                <w:sz w:val="20"/>
                <w:szCs w:val="20"/>
                <w:rtl/>
                <w:lang w:eastAsia="he-IL"/>
              </w:rPr>
              <w:t>4.5-1.05</w:t>
            </w:r>
          </w:p>
        </w:tc>
        <w:tc>
          <w:tcPr>
            <w:tcW w:w="1148" w:type="dxa"/>
            <w:shd w:val="clear" w:color="auto" w:fill="auto"/>
          </w:tcPr>
          <w:p w:rsidR="00E97EDA" w:rsidRPr="00E54061" w:rsidP="00E54061">
            <w:pPr>
              <w:tabs>
                <w:tab w:val="decimal" w:pos="917"/>
              </w:tabs>
              <w:spacing w:before="40" w:after="40" w:line="200" w:lineRule="exact"/>
              <w:rPr>
                <w:rFonts w:cs="FrankRuehl"/>
                <w:sz w:val="20"/>
                <w:szCs w:val="20"/>
                <w:rtl/>
                <w:lang w:eastAsia="he-IL"/>
              </w:rPr>
            </w:pPr>
            <w:r w:rsidRPr="00E54061">
              <w:rPr>
                <w:rFonts w:cs="FrankRuehl" w:hint="cs"/>
                <w:sz w:val="20"/>
                <w:szCs w:val="20"/>
                <w:rtl/>
                <w:lang w:eastAsia="he-IL"/>
              </w:rPr>
              <w:t>5</w:t>
            </w:r>
          </w:p>
        </w:tc>
      </w:tr>
      <w:tr w:rsidTr="00E54061">
        <w:tblPrEx>
          <w:tblW w:w="6691" w:type="dxa"/>
          <w:jc w:val="center"/>
          <w:tblLayout w:type="fixed"/>
          <w:tblLook w:val="01E0"/>
        </w:tblPrEx>
        <w:trPr>
          <w:trHeight w:val="280"/>
          <w:jc w:val="center"/>
        </w:trPr>
        <w:tc>
          <w:tcPr>
            <w:tcW w:w="2274" w:type="dxa"/>
            <w:shd w:val="clear" w:color="auto" w:fill="auto"/>
          </w:tcPr>
          <w:p w:rsidR="00E97EDA" w:rsidRPr="00E54061" w:rsidP="00E54061">
            <w:pPr>
              <w:spacing w:before="40" w:after="40" w:line="200" w:lineRule="exact"/>
              <w:ind w:left="340"/>
              <w:rPr>
                <w:rFonts w:cs="FrankRuehl"/>
                <w:sz w:val="20"/>
                <w:szCs w:val="20"/>
                <w:rtl/>
                <w:lang w:eastAsia="he-IL"/>
              </w:rPr>
            </w:pPr>
            <w:r w:rsidRPr="00E54061">
              <w:rPr>
                <w:rFonts w:cs="FrankRuehl" w:hint="cs"/>
                <w:sz w:val="20"/>
                <w:szCs w:val="20"/>
                <w:rtl/>
                <w:lang w:eastAsia="he-IL"/>
              </w:rPr>
              <w:t>15-4.5</w:t>
            </w:r>
          </w:p>
        </w:tc>
        <w:tc>
          <w:tcPr>
            <w:tcW w:w="1148" w:type="dxa"/>
            <w:shd w:val="clear" w:color="auto" w:fill="auto"/>
          </w:tcPr>
          <w:p w:rsidR="00E97EDA" w:rsidRPr="00E54061" w:rsidP="00E54061">
            <w:pPr>
              <w:tabs>
                <w:tab w:val="decimal" w:pos="917"/>
              </w:tabs>
              <w:spacing w:before="40" w:after="40" w:line="200" w:lineRule="exact"/>
              <w:rPr>
                <w:rFonts w:cs="FrankRuehl"/>
                <w:sz w:val="20"/>
                <w:szCs w:val="20"/>
                <w:rtl/>
                <w:lang w:eastAsia="he-IL"/>
              </w:rPr>
            </w:pPr>
            <w:r w:rsidRPr="00E54061">
              <w:rPr>
                <w:rFonts w:cs="FrankRuehl" w:hint="cs"/>
                <w:sz w:val="20"/>
                <w:szCs w:val="20"/>
                <w:rtl/>
                <w:lang w:eastAsia="he-IL"/>
              </w:rPr>
              <w:t>8</w:t>
            </w:r>
          </w:p>
        </w:tc>
      </w:tr>
      <w:tr w:rsidTr="00E54061">
        <w:tblPrEx>
          <w:tblW w:w="6691" w:type="dxa"/>
          <w:jc w:val="center"/>
          <w:tblLayout w:type="fixed"/>
          <w:tblLook w:val="01E0"/>
        </w:tblPrEx>
        <w:trPr>
          <w:trHeight w:val="280"/>
          <w:jc w:val="center"/>
        </w:trPr>
        <w:tc>
          <w:tcPr>
            <w:tcW w:w="2274" w:type="dxa"/>
            <w:shd w:val="clear" w:color="auto" w:fill="auto"/>
          </w:tcPr>
          <w:p w:rsidR="00E97EDA" w:rsidRPr="00E54061" w:rsidP="00E54061">
            <w:pPr>
              <w:spacing w:before="40" w:after="40" w:line="200" w:lineRule="exact"/>
              <w:ind w:left="340"/>
              <w:rPr>
                <w:rFonts w:cs="FrankRuehl"/>
                <w:sz w:val="20"/>
                <w:szCs w:val="20"/>
                <w:rtl/>
                <w:lang w:eastAsia="he-IL"/>
              </w:rPr>
            </w:pPr>
            <w:r w:rsidRPr="00E54061">
              <w:rPr>
                <w:rFonts w:cs="FrankRuehl" w:hint="cs"/>
                <w:sz w:val="20"/>
                <w:szCs w:val="20"/>
                <w:rtl/>
                <w:lang w:eastAsia="he-IL"/>
              </w:rPr>
              <w:t>יותר מ-15</w:t>
            </w:r>
          </w:p>
        </w:tc>
        <w:tc>
          <w:tcPr>
            <w:tcW w:w="1148" w:type="dxa"/>
            <w:shd w:val="clear" w:color="auto" w:fill="auto"/>
          </w:tcPr>
          <w:p w:rsidR="00E97EDA" w:rsidRPr="00E54061" w:rsidP="00E54061">
            <w:pPr>
              <w:tabs>
                <w:tab w:val="decimal" w:pos="917"/>
              </w:tabs>
              <w:spacing w:before="40" w:after="40" w:line="200" w:lineRule="exact"/>
              <w:rPr>
                <w:rFonts w:cs="FrankRuehl"/>
                <w:sz w:val="20"/>
                <w:szCs w:val="20"/>
                <w:rtl/>
                <w:lang w:eastAsia="he-IL"/>
              </w:rPr>
            </w:pPr>
            <w:r w:rsidRPr="00E54061">
              <w:rPr>
                <w:rFonts w:cs="FrankRuehl" w:hint="cs"/>
                <w:sz w:val="20"/>
                <w:szCs w:val="20"/>
                <w:rtl/>
                <w:lang w:eastAsia="he-IL"/>
              </w:rPr>
              <w:t>10</w:t>
            </w:r>
          </w:p>
        </w:tc>
      </w:tr>
    </w:tbl>
    <w:p w:rsidR="00E97EDA" w:rsidRPr="00F41E78" w:rsidP="00A7557B">
      <w:pPr>
        <w:spacing w:after="120" w:line="230" w:lineRule="exact"/>
        <w:jc w:val="both"/>
        <w:rPr>
          <w:rFonts w:cs="FrankRuehl"/>
          <w:sz w:val="18"/>
          <w:szCs w:val="22"/>
          <w:rtl/>
          <w:lang w:eastAsia="he-IL"/>
        </w:rPr>
      </w:pPr>
    </w:p>
    <w:p w:rsidR="00E97EDA" w:rsidRPr="006237A1" w:rsidP="00A7557B">
      <w:pPr>
        <w:pStyle w:val="KOT5"/>
        <w:rPr>
          <w:rtl/>
          <w:lang w:eastAsia="he-IL"/>
        </w:rPr>
      </w:pPr>
      <w:r w:rsidRPr="006237A1">
        <w:rPr>
          <w:rFonts w:hint="cs"/>
          <w:rtl/>
          <w:lang w:eastAsia="he-IL"/>
        </w:rPr>
        <w:t>הפחתת מס רכישה המושת על רוכש דירה יחידה</w:t>
      </w:r>
    </w:p>
    <w:p w:rsidR="00E97EDA" w:rsidRPr="00F41E78" w:rsidP="00214582">
      <w:pPr>
        <w:spacing w:after="120" w:line="230" w:lineRule="exact"/>
        <w:jc w:val="both"/>
        <w:rPr>
          <w:rFonts w:cs="FrankRuehl"/>
          <w:sz w:val="18"/>
          <w:szCs w:val="22"/>
          <w:lang w:eastAsia="he-IL"/>
        </w:rPr>
      </w:pPr>
      <w:r w:rsidRPr="00F41E78">
        <w:rPr>
          <w:rFonts w:cs="FrankRuehl" w:hint="cs"/>
          <w:sz w:val="18"/>
          <w:szCs w:val="22"/>
          <w:rtl/>
          <w:lang w:eastAsia="he-IL"/>
        </w:rPr>
        <w:t xml:space="preserve">בינואר 2011 ניתן </w:t>
      </w:r>
      <w:r w:rsidRPr="00F41E78">
        <w:rPr>
          <w:rFonts w:cs="FrankRuehl"/>
          <w:sz w:val="18"/>
          <w:szCs w:val="22"/>
          <w:rtl/>
          <w:lang w:eastAsia="he-IL"/>
        </w:rPr>
        <w:t xml:space="preserve">בהוראת שעה </w:t>
      </w:r>
      <w:r w:rsidRPr="00F41E78">
        <w:rPr>
          <w:rFonts w:cs="FrankRuehl" w:hint="cs"/>
          <w:sz w:val="18"/>
          <w:szCs w:val="22"/>
          <w:rtl/>
          <w:lang w:eastAsia="he-IL"/>
        </w:rPr>
        <w:t>לרוכשים דירה יחידה פטור ממס רכישה על חלק השווי ממחיר הדירה של עד 1.35 מיליון ש"ח. במאי 2013, במסגרת תיקון חוק מיסוי מקרקעין הוגדל חלק השווי ממחיר הדירה הפטור ממס לכ-1.47 מיליון ש"ח</w:t>
      </w:r>
      <w:r>
        <w:rPr>
          <w:rFonts w:cs="FrankRuehl"/>
          <w:sz w:val="18"/>
          <w:szCs w:val="22"/>
          <w:vertAlign w:val="superscript"/>
          <w:rtl/>
          <w:lang w:eastAsia="he-IL"/>
        </w:rPr>
        <w:footnoteReference w:id="143"/>
      </w:r>
      <w:r w:rsidRPr="00F41E78">
        <w:rPr>
          <w:rFonts w:cs="FrankRuehl" w:hint="cs"/>
          <w:sz w:val="18"/>
          <w:szCs w:val="22"/>
          <w:rtl/>
          <w:lang w:eastAsia="he-IL"/>
        </w:rPr>
        <w:t xml:space="preserve">. בחוק ההסדרים הוספו מדרגות מס רכישה </w:t>
      </w:r>
      <w:r w:rsidRPr="00F41E78">
        <w:rPr>
          <w:rFonts w:cs="FrankRuehl" w:hint="cs"/>
          <w:sz w:val="18"/>
          <w:szCs w:val="22"/>
          <w:rtl/>
          <w:lang w:eastAsia="he-IL"/>
        </w:rPr>
        <w:t xml:space="preserve">באופן שרוכשי דירה יחידה הרוכשים דירות יוקרה ישלמו מס רכישה בשיעור עולה, </w:t>
      </w:r>
      <w:r w:rsidRPr="00582A43">
        <w:rPr>
          <w:rFonts w:cs="FrankRuehl" w:hint="cs"/>
          <w:sz w:val="18"/>
          <w:szCs w:val="22"/>
          <w:rtl/>
          <w:lang w:eastAsia="he-IL"/>
        </w:rPr>
        <w:t>ראו להלן</w:t>
      </w:r>
      <w:r w:rsidRPr="00582A43" w:rsidR="00214582">
        <w:rPr>
          <w:rFonts w:cs="FrankRuehl"/>
          <w:sz w:val="18"/>
          <w:szCs w:val="22"/>
          <w:rtl/>
          <w:lang w:eastAsia="he-IL"/>
        </w:rPr>
        <w:br/>
      </w:r>
      <w:r w:rsidRPr="00582A43">
        <w:rPr>
          <w:rFonts w:cs="FrankRuehl" w:hint="cs"/>
          <w:sz w:val="18"/>
          <w:szCs w:val="22"/>
          <w:rtl/>
          <w:lang w:eastAsia="he-IL"/>
        </w:rPr>
        <w:t xml:space="preserve">בלוח </w:t>
      </w:r>
      <w:r w:rsidRPr="00582A43">
        <w:rPr>
          <w:rFonts w:cs="FrankRuehl"/>
          <w:sz w:val="18"/>
          <w:szCs w:val="22"/>
          <w:rtl/>
          <w:lang w:eastAsia="he-IL"/>
        </w:rPr>
        <w:t>2</w:t>
      </w:r>
      <w:r w:rsidRPr="00582A43">
        <w:rPr>
          <w:rFonts w:cs="FrankRuehl" w:hint="cs"/>
          <w:sz w:val="18"/>
          <w:szCs w:val="22"/>
          <w:rtl/>
          <w:lang w:eastAsia="he-IL"/>
        </w:rPr>
        <w:t>.</w:t>
      </w:r>
    </w:p>
    <w:p w:rsidR="00E97EDA" w:rsidRPr="006237A1" w:rsidP="00E54061">
      <w:pPr>
        <w:pStyle w:val="tab-name"/>
        <w:rPr>
          <w:rtl/>
          <w:lang w:eastAsia="he-IL"/>
        </w:rPr>
      </w:pPr>
      <w:r w:rsidRPr="00E54061">
        <w:rPr>
          <w:rFonts w:hint="cs"/>
          <w:b w:val="0"/>
          <w:bCs w:val="0"/>
          <w:sz w:val="20"/>
          <w:szCs w:val="20"/>
          <w:rtl/>
          <w:lang w:eastAsia="he-IL"/>
        </w:rPr>
        <w:t xml:space="preserve">לוח </w:t>
      </w:r>
      <w:r w:rsidRPr="00E54061">
        <w:rPr>
          <w:b w:val="0"/>
          <w:bCs w:val="0"/>
          <w:sz w:val="20"/>
          <w:szCs w:val="20"/>
          <w:rtl/>
          <w:lang w:eastAsia="he-IL"/>
        </w:rPr>
        <w:t>2</w:t>
      </w:r>
      <w:r w:rsidRPr="00E54061" w:rsidR="00E54061">
        <w:rPr>
          <w:b w:val="0"/>
          <w:bCs w:val="0"/>
          <w:sz w:val="20"/>
          <w:szCs w:val="20"/>
          <w:rtl/>
          <w:lang w:eastAsia="he-IL"/>
        </w:rPr>
        <w:br/>
      </w:r>
      <w:r w:rsidRPr="006237A1">
        <w:rPr>
          <w:rFonts w:hint="cs"/>
          <w:rtl/>
          <w:lang w:eastAsia="he-IL"/>
        </w:rPr>
        <w:t>מדרגות מס רכישה המושת על דירה יחידה</w:t>
      </w:r>
    </w:p>
    <w:tbl>
      <w:tblPr>
        <w:bidiVisual/>
        <w:tblW w:w="6804"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
      <w:tblGrid>
        <w:gridCol w:w="3402"/>
        <w:gridCol w:w="3402"/>
      </w:tblGrid>
      <w:tr w:rsidTr="00E54061">
        <w:tblPrEx>
          <w:tblW w:w="6804"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Ex>
        <w:trPr>
          <w:jc w:val="center"/>
        </w:trPr>
        <w:tc>
          <w:tcPr>
            <w:tcW w:w="2200" w:type="dxa"/>
            <w:tcBorders>
              <w:top w:val="single" w:sz="12" w:space="0" w:color="auto"/>
              <w:bottom w:val="single" w:sz="12" w:space="0" w:color="auto"/>
            </w:tcBorders>
            <w:shd w:val="pct10" w:color="auto" w:fill="auto"/>
            <w:vAlign w:val="bottom"/>
          </w:tcPr>
          <w:p w:rsidR="00E97EDA" w:rsidRPr="00E54061" w:rsidP="00FF1578">
            <w:pPr>
              <w:spacing w:before="40" w:after="40" w:line="200" w:lineRule="exact"/>
              <w:ind w:hanging="216"/>
              <w:jc w:val="center"/>
              <w:rPr>
                <w:rFonts w:cs="FrankRuehl"/>
                <w:szCs w:val="20"/>
                <w:rtl/>
                <w:lang w:eastAsia="he-IL"/>
              </w:rPr>
            </w:pPr>
            <w:r w:rsidRPr="00E54061">
              <w:rPr>
                <w:rFonts w:cs="FrankRuehl" w:hint="cs"/>
                <w:szCs w:val="20"/>
                <w:rtl/>
                <w:lang w:eastAsia="he-IL"/>
              </w:rPr>
              <w:t>חלק השווי ממחיר הדירה</w:t>
            </w:r>
            <w:r w:rsidRPr="00E54061">
              <w:rPr>
                <w:rFonts w:cs="FrankRuehl"/>
                <w:szCs w:val="20"/>
                <w:rtl/>
                <w:lang w:eastAsia="he-IL"/>
              </w:rPr>
              <w:br/>
            </w:r>
            <w:r w:rsidRPr="00E54061">
              <w:rPr>
                <w:rFonts w:cs="FrankRuehl" w:hint="cs"/>
                <w:szCs w:val="20"/>
                <w:rtl/>
                <w:lang w:eastAsia="he-IL"/>
              </w:rPr>
              <w:t xml:space="preserve">(מיליוני </w:t>
            </w:r>
            <w:r w:rsidR="00FF1578">
              <w:rPr>
                <w:rFonts w:cs="FrankRuehl" w:hint="cs"/>
                <w:szCs w:val="20"/>
                <w:rtl/>
                <w:lang w:eastAsia="he-IL"/>
              </w:rPr>
              <w:t>ש"ח</w:t>
            </w:r>
            <w:r w:rsidRPr="00E54061">
              <w:rPr>
                <w:rFonts w:cs="FrankRuehl" w:hint="cs"/>
                <w:szCs w:val="20"/>
                <w:rtl/>
                <w:lang w:eastAsia="he-IL"/>
              </w:rPr>
              <w:t>)</w:t>
            </w:r>
          </w:p>
        </w:tc>
        <w:tc>
          <w:tcPr>
            <w:tcW w:w="2200" w:type="dxa"/>
            <w:tcBorders>
              <w:top w:val="single" w:sz="12" w:space="0" w:color="auto"/>
              <w:bottom w:val="single" w:sz="12" w:space="0" w:color="auto"/>
            </w:tcBorders>
            <w:shd w:val="pct10" w:color="auto" w:fill="auto"/>
            <w:vAlign w:val="bottom"/>
          </w:tcPr>
          <w:p w:rsidR="00E97EDA" w:rsidRPr="00E54061" w:rsidP="00E54061">
            <w:pPr>
              <w:spacing w:before="40" w:after="40" w:line="200" w:lineRule="exact"/>
              <w:jc w:val="center"/>
              <w:rPr>
                <w:rFonts w:cs="FrankRuehl"/>
                <w:szCs w:val="20"/>
                <w:rtl/>
                <w:lang w:eastAsia="he-IL"/>
              </w:rPr>
            </w:pPr>
            <w:r w:rsidRPr="00E54061">
              <w:rPr>
                <w:rFonts w:cs="FrankRuehl" w:hint="cs"/>
                <w:szCs w:val="20"/>
                <w:rtl/>
                <w:lang w:eastAsia="he-IL"/>
              </w:rPr>
              <w:t xml:space="preserve">שיעור המס </w:t>
            </w:r>
            <w:r w:rsidRPr="00E54061">
              <w:rPr>
                <w:rFonts w:cs="FrankRuehl"/>
                <w:szCs w:val="20"/>
                <w:rtl/>
                <w:lang w:eastAsia="he-IL"/>
              </w:rPr>
              <w:br/>
            </w:r>
            <w:r w:rsidRPr="00E54061">
              <w:rPr>
                <w:rFonts w:cs="FrankRuehl" w:hint="cs"/>
                <w:szCs w:val="20"/>
                <w:rtl/>
                <w:lang w:eastAsia="he-IL"/>
              </w:rPr>
              <w:t>(אחוזים)</w:t>
            </w:r>
          </w:p>
        </w:tc>
      </w:tr>
      <w:tr w:rsidTr="00E54061">
        <w:tblPrEx>
          <w:tblW w:w="6804" w:type="dxa"/>
          <w:jc w:val="center"/>
          <w:tblLook w:val="01E0"/>
        </w:tblPrEx>
        <w:trPr>
          <w:jc w:val="center"/>
        </w:trPr>
        <w:tc>
          <w:tcPr>
            <w:tcW w:w="2200" w:type="dxa"/>
            <w:tcBorders>
              <w:top w:val="single" w:sz="12" w:space="0" w:color="auto"/>
            </w:tcBorders>
            <w:shd w:val="clear" w:color="auto" w:fill="auto"/>
          </w:tcPr>
          <w:p w:rsidR="00E97EDA" w:rsidRPr="00E54061" w:rsidP="00E54061">
            <w:pPr>
              <w:pStyle w:val="a20"/>
              <w:bidi/>
              <w:spacing w:before="40" w:after="40" w:line="200" w:lineRule="exact"/>
              <w:rPr>
                <w:rFonts w:ascii="Times New Roman" w:eastAsia="Times New Roman" w:hAnsi="Times New Roman" w:cs="FrankRuehl"/>
                <w:rtl/>
                <w:lang w:eastAsia="he-IL" w:bidi="he-IL"/>
              </w:rPr>
            </w:pPr>
            <w:r w:rsidRPr="00E54061">
              <w:rPr>
                <w:rFonts w:ascii="Times New Roman" w:eastAsia="Times New Roman" w:hAnsi="Times New Roman" w:cs="FrankRuehl" w:hint="cs"/>
                <w:rtl/>
                <w:lang w:eastAsia="he-IL" w:bidi="he-IL"/>
              </w:rPr>
              <w:t>עד 1.47</w:t>
            </w:r>
          </w:p>
        </w:tc>
        <w:tc>
          <w:tcPr>
            <w:tcW w:w="2200" w:type="dxa"/>
            <w:tcBorders>
              <w:top w:val="single" w:sz="12" w:space="0" w:color="auto"/>
            </w:tcBorders>
            <w:shd w:val="clear" w:color="auto" w:fill="auto"/>
          </w:tcPr>
          <w:p w:rsidR="00E97EDA" w:rsidRPr="00E54061" w:rsidP="00E54061">
            <w:pPr>
              <w:tabs>
                <w:tab w:val="decimal" w:pos="1592"/>
              </w:tabs>
              <w:spacing w:before="40" w:after="40" w:line="200" w:lineRule="exact"/>
              <w:ind w:hanging="216"/>
              <w:rPr>
                <w:rFonts w:cs="FrankRuehl"/>
                <w:szCs w:val="20"/>
                <w:rtl/>
                <w:lang w:eastAsia="he-IL"/>
              </w:rPr>
            </w:pPr>
            <w:r w:rsidRPr="00E54061">
              <w:rPr>
                <w:rFonts w:cs="FrankRuehl" w:hint="cs"/>
                <w:szCs w:val="20"/>
                <w:rtl/>
                <w:lang w:eastAsia="he-IL"/>
              </w:rPr>
              <w:t>0</w:t>
            </w:r>
          </w:p>
        </w:tc>
      </w:tr>
      <w:tr w:rsidTr="00E54061">
        <w:tblPrEx>
          <w:tblW w:w="6804" w:type="dxa"/>
          <w:jc w:val="center"/>
          <w:tblLook w:val="01E0"/>
        </w:tblPrEx>
        <w:trPr>
          <w:jc w:val="center"/>
        </w:trPr>
        <w:tc>
          <w:tcPr>
            <w:tcW w:w="2200" w:type="dxa"/>
            <w:shd w:val="clear" w:color="auto" w:fill="auto"/>
          </w:tcPr>
          <w:p w:rsidR="00E97EDA" w:rsidRPr="00E54061" w:rsidP="00E54061">
            <w:pPr>
              <w:spacing w:before="40" w:after="40" w:line="200" w:lineRule="exact"/>
              <w:rPr>
                <w:rFonts w:cs="FrankRuehl"/>
                <w:szCs w:val="20"/>
                <w:rtl/>
                <w:lang w:eastAsia="he-IL"/>
              </w:rPr>
            </w:pPr>
            <w:r w:rsidRPr="00E54061">
              <w:rPr>
                <w:rFonts w:cs="FrankRuehl" w:hint="cs"/>
                <w:szCs w:val="20"/>
                <w:rtl/>
                <w:lang w:eastAsia="he-IL"/>
              </w:rPr>
              <w:t>1.74-1.47</w:t>
            </w:r>
          </w:p>
        </w:tc>
        <w:tc>
          <w:tcPr>
            <w:tcW w:w="2200" w:type="dxa"/>
            <w:shd w:val="clear" w:color="auto" w:fill="auto"/>
          </w:tcPr>
          <w:p w:rsidR="00E97EDA" w:rsidRPr="00E54061" w:rsidP="00E54061">
            <w:pPr>
              <w:tabs>
                <w:tab w:val="decimal" w:pos="1592"/>
              </w:tabs>
              <w:spacing w:before="40" w:after="40" w:line="200" w:lineRule="exact"/>
              <w:ind w:hanging="216"/>
              <w:rPr>
                <w:rFonts w:cs="FrankRuehl"/>
                <w:szCs w:val="20"/>
                <w:rtl/>
                <w:lang w:eastAsia="he-IL"/>
              </w:rPr>
            </w:pPr>
            <w:r w:rsidRPr="00E54061">
              <w:rPr>
                <w:rFonts w:cs="FrankRuehl" w:hint="cs"/>
                <w:szCs w:val="20"/>
                <w:rtl/>
                <w:lang w:eastAsia="he-IL"/>
              </w:rPr>
              <w:t>3.5</w:t>
            </w:r>
          </w:p>
        </w:tc>
      </w:tr>
      <w:tr w:rsidTr="00E54061">
        <w:tblPrEx>
          <w:tblW w:w="6804" w:type="dxa"/>
          <w:jc w:val="center"/>
          <w:tblLook w:val="01E0"/>
        </w:tblPrEx>
        <w:trPr>
          <w:jc w:val="center"/>
        </w:trPr>
        <w:tc>
          <w:tcPr>
            <w:tcW w:w="2200" w:type="dxa"/>
            <w:shd w:val="clear" w:color="auto" w:fill="auto"/>
          </w:tcPr>
          <w:p w:rsidR="00E97EDA" w:rsidRPr="00E54061" w:rsidP="00E54061">
            <w:pPr>
              <w:spacing w:before="40" w:after="40" w:line="200" w:lineRule="exact"/>
              <w:rPr>
                <w:rFonts w:cs="FrankRuehl"/>
                <w:szCs w:val="20"/>
                <w:rtl/>
                <w:lang w:eastAsia="he-IL"/>
              </w:rPr>
            </w:pPr>
            <w:r w:rsidRPr="00E54061">
              <w:rPr>
                <w:rFonts w:cs="FrankRuehl" w:hint="cs"/>
                <w:szCs w:val="20"/>
                <w:rtl/>
                <w:lang w:eastAsia="he-IL"/>
              </w:rPr>
              <w:t>4.5-1.74</w:t>
            </w:r>
          </w:p>
        </w:tc>
        <w:tc>
          <w:tcPr>
            <w:tcW w:w="2200" w:type="dxa"/>
            <w:shd w:val="clear" w:color="auto" w:fill="auto"/>
          </w:tcPr>
          <w:p w:rsidR="00E97EDA" w:rsidRPr="00E54061" w:rsidP="00E54061">
            <w:pPr>
              <w:tabs>
                <w:tab w:val="decimal" w:pos="1592"/>
              </w:tabs>
              <w:spacing w:before="40" w:after="40" w:line="200" w:lineRule="exact"/>
              <w:ind w:hanging="216"/>
              <w:rPr>
                <w:rFonts w:cs="FrankRuehl"/>
                <w:szCs w:val="20"/>
                <w:rtl/>
                <w:lang w:eastAsia="he-IL"/>
              </w:rPr>
            </w:pPr>
            <w:r w:rsidRPr="00E54061">
              <w:rPr>
                <w:rFonts w:cs="FrankRuehl" w:hint="cs"/>
                <w:szCs w:val="20"/>
                <w:rtl/>
                <w:lang w:eastAsia="he-IL"/>
              </w:rPr>
              <w:t>5</w:t>
            </w:r>
          </w:p>
        </w:tc>
      </w:tr>
      <w:tr w:rsidTr="00E54061">
        <w:tblPrEx>
          <w:tblW w:w="6804" w:type="dxa"/>
          <w:jc w:val="center"/>
          <w:tblLook w:val="01E0"/>
        </w:tblPrEx>
        <w:trPr>
          <w:jc w:val="center"/>
        </w:trPr>
        <w:tc>
          <w:tcPr>
            <w:tcW w:w="2200" w:type="dxa"/>
            <w:shd w:val="clear" w:color="auto" w:fill="auto"/>
          </w:tcPr>
          <w:p w:rsidR="00E97EDA" w:rsidRPr="00E54061" w:rsidP="00E54061">
            <w:pPr>
              <w:spacing w:before="40" w:after="40" w:line="200" w:lineRule="exact"/>
              <w:rPr>
                <w:rFonts w:cs="FrankRuehl"/>
                <w:szCs w:val="20"/>
                <w:rtl/>
                <w:lang w:eastAsia="he-IL"/>
              </w:rPr>
            </w:pPr>
            <w:r w:rsidRPr="00E54061">
              <w:rPr>
                <w:rFonts w:cs="FrankRuehl" w:hint="cs"/>
                <w:szCs w:val="20"/>
                <w:rtl/>
                <w:lang w:eastAsia="he-IL"/>
              </w:rPr>
              <w:t>15-4.5</w:t>
            </w:r>
          </w:p>
        </w:tc>
        <w:tc>
          <w:tcPr>
            <w:tcW w:w="2200" w:type="dxa"/>
            <w:shd w:val="clear" w:color="auto" w:fill="auto"/>
          </w:tcPr>
          <w:p w:rsidR="00E97EDA" w:rsidRPr="00E54061" w:rsidP="00E54061">
            <w:pPr>
              <w:tabs>
                <w:tab w:val="decimal" w:pos="1592"/>
              </w:tabs>
              <w:spacing w:before="40" w:after="40" w:line="200" w:lineRule="exact"/>
              <w:ind w:hanging="216"/>
              <w:rPr>
                <w:rFonts w:cs="FrankRuehl"/>
                <w:szCs w:val="20"/>
                <w:rtl/>
                <w:lang w:eastAsia="he-IL"/>
              </w:rPr>
            </w:pPr>
            <w:r w:rsidRPr="00E54061">
              <w:rPr>
                <w:rFonts w:cs="FrankRuehl" w:hint="cs"/>
                <w:szCs w:val="20"/>
                <w:rtl/>
                <w:lang w:eastAsia="he-IL"/>
              </w:rPr>
              <w:t>8</w:t>
            </w:r>
          </w:p>
        </w:tc>
      </w:tr>
      <w:tr w:rsidTr="00E54061">
        <w:tblPrEx>
          <w:tblW w:w="6804" w:type="dxa"/>
          <w:jc w:val="center"/>
          <w:tblLook w:val="01E0"/>
        </w:tblPrEx>
        <w:trPr>
          <w:jc w:val="center"/>
        </w:trPr>
        <w:tc>
          <w:tcPr>
            <w:tcW w:w="2200" w:type="dxa"/>
            <w:shd w:val="clear" w:color="auto" w:fill="auto"/>
          </w:tcPr>
          <w:p w:rsidR="00E97EDA" w:rsidRPr="00E54061" w:rsidP="00E54061">
            <w:pPr>
              <w:spacing w:before="40" w:after="40" w:line="200" w:lineRule="exact"/>
              <w:ind w:left="216" w:hanging="216"/>
              <w:rPr>
                <w:rFonts w:cs="FrankRuehl"/>
                <w:szCs w:val="20"/>
                <w:rtl/>
                <w:lang w:eastAsia="he-IL"/>
              </w:rPr>
            </w:pPr>
            <w:r w:rsidRPr="00E54061">
              <w:rPr>
                <w:rFonts w:cs="FrankRuehl" w:hint="cs"/>
                <w:szCs w:val="20"/>
                <w:rtl/>
                <w:lang w:eastAsia="he-IL"/>
              </w:rPr>
              <w:t>יותר מ-15</w:t>
            </w:r>
          </w:p>
        </w:tc>
        <w:tc>
          <w:tcPr>
            <w:tcW w:w="2200" w:type="dxa"/>
            <w:shd w:val="clear" w:color="auto" w:fill="auto"/>
          </w:tcPr>
          <w:p w:rsidR="00E97EDA" w:rsidRPr="00E54061" w:rsidP="00E54061">
            <w:pPr>
              <w:tabs>
                <w:tab w:val="decimal" w:pos="1592"/>
              </w:tabs>
              <w:spacing w:before="40" w:after="40" w:line="200" w:lineRule="exact"/>
              <w:ind w:hanging="216"/>
              <w:rPr>
                <w:rFonts w:cs="FrankRuehl"/>
                <w:szCs w:val="20"/>
                <w:rtl/>
                <w:lang w:eastAsia="he-IL"/>
              </w:rPr>
            </w:pPr>
            <w:r w:rsidRPr="00E54061">
              <w:rPr>
                <w:rFonts w:cs="FrankRuehl" w:hint="cs"/>
                <w:szCs w:val="20"/>
                <w:rtl/>
                <w:lang w:eastAsia="he-IL"/>
              </w:rPr>
              <w:t>10</w:t>
            </w:r>
          </w:p>
        </w:tc>
      </w:tr>
    </w:tbl>
    <w:p w:rsidR="00E97EDA" w:rsidRPr="00F41E78" w:rsidP="00A7557B">
      <w:pPr>
        <w:spacing w:after="120" w:line="230" w:lineRule="exact"/>
        <w:ind w:left="12"/>
        <w:jc w:val="both"/>
        <w:rPr>
          <w:rFonts w:cs="FrankRuehl"/>
          <w:sz w:val="18"/>
          <w:szCs w:val="22"/>
          <w:rtl/>
          <w:lang w:eastAsia="he-IL"/>
        </w:rPr>
      </w:pPr>
    </w:p>
    <w:p w:rsidR="00E97EDA" w:rsidRPr="006237A1" w:rsidP="00A7557B">
      <w:pPr>
        <w:pStyle w:val="KOT5"/>
        <w:rPr>
          <w:rtl/>
          <w:lang w:eastAsia="he-IL"/>
        </w:rPr>
      </w:pPr>
      <w:r w:rsidRPr="006237A1">
        <w:rPr>
          <w:rFonts w:hint="cs"/>
          <w:rtl/>
          <w:lang w:eastAsia="he-IL"/>
        </w:rPr>
        <w:t>ביטול הפטור ממס שבח על מכירת דירת מגורים מזכה שאינה דירה יחידה בבעלות המוכר</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באוגוסט 2013 בוטל הפטור למכירת דירת מגורים הניתן אחת לארבע שנים, הניתן גם לדירות להשקעה. נקבע שמי שבבעלותו יותר מדירת מגורים אחת יהיה חייב במס שבח עבור מכירת דירותיו אלו, ורק כשיהיה בעל דירה יחידה יוכל למכור אותה בפטור ממס שבח</w:t>
      </w:r>
      <w:r>
        <w:rPr>
          <w:rFonts w:cs="FrankRuehl"/>
          <w:sz w:val="18"/>
          <w:szCs w:val="22"/>
          <w:vertAlign w:val="superscript"/>
          <w:rtl/>
          <w:lang w:eastAsia="he-IL"/>
        </w:rPr>
        <w:footnoteReference w:id="144"/>
      </w:r>
      <w:r w:rsidRPr="00F41E78">
        <w:rPr>
          <w:rFonts w:cs="FrankRuehl" w:hint="cs"/>
          <w:sz w:val="18"/>
          <w:szCs w:val="22"/>
          <w:rtl/>
          <w:lang w:eastAsia="he-IL"/>
        </w:rPr>
        <w:t xml:space="preserve">. </w:t>
      </w:r>
    </w:p>
    <w:p w:rsidR="00711180" w:rsidRPr="00F41E78" w:rsidP="00A7557B">
      <w:pPr>
        <w:spacing w:after="120" w:line="230" w:lineRule="exact"/>
        <w:jc w:val="both"/>
        <w:rPr>
          <w:rFonts w:cs="FrankRuehl"/>
          <w:sz w:val="18"/>
          <w:szCs w:val="22"/>
          <w:rtl/>
          <w:lang w:eastAsia="he-IL"/>
        </w:rPr>
      </w:pPr>
    </w:p>
    <w:p w:rsidR="00711180" w:rsidRPr="00F41E78" w:rsidP="00A7557B">
      <w:pPr>
        <w:spacing w:after="120" w:line="230" w:lineRule="exact"/>
        <w:jc w:val="both"/>
        <w:rPr>
          <w:rFonts w:cs="FrankRuehl"/>
          <w:b/>
          <w:bCs/>
          <w:sz w:val="18"/>
          <w:szCs w:val="22"/>
          <w:rtl/>
          <w:lang w:eastAsia="he-IL"/>
        </w:rPr>
      </w:pPr>
    </w:p>
    <w:p w:rsidR="00E97EDA" w:rsidRPr="00E97EDA" w:rsidP="00A7557B">
      <w:pPr>
        <w:pStyle w:val="KOT4"/>
        <w:rPr>
          <w:rtl/>
          <w:lang w:eastAsia="he-IL"/>
        </w:rPr>
      </w:pPr>
      <w:r w:rsidRPr="00E97EDA">
        <w:rPr>
          <w:rFonts w:hint="cs"/>
          <w:rtl/>
          <w:lang w:eastAsia="he-IL"/>
        </w:rPr>
        <w:t>השלכותיהם של השינויים במיסוי על שוק הדיור</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בדוח השנתי של מינהל הכנסות המדינה לשנים 2012-2011 (להלן - הדוח השנתי) נאמר כי חלה ירידה חדה בהיקף הפעילות של קבוצות רכישה בשנת 2011 (כ-15% במספר הדירות), בהמשך לירידה של 8% בשנת 2010. עוד צוין שניתן להניח שהירידה נובעת בחלקה מהכבדת המיסוי על קבוצות רכישה.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בעקבות הפחתת שיעור מס השבח הריאלי המושת על קרקע המיועדת לבניית דירות מגורים, בדוח השנתי מובא אמדן ולפיו בשנת 2011 נמכרו קרקעות המאפשרות בניית 3,800 יח"ד (לעומת 1,800 יח"ד בשנת 2010). </w:t>
      </w:r>
    </w:p>
    <w:p w:rsidR="00E97EDA" w:rsidRPr="00F41E78" w:rsidP="00A7557B">
      <w:pPr>
        <w:spacing w:after="120" w:line="230" w:lineRule="exact"/>
        <w:jc w:val="both"/>
        <w:rPr>
          <w:rFonts w:cs="FrankRuehl"/>
          <w:sz w:val="18"/>
          <w:szCs w:val="22"/>
          <w:rtl/>
          <w:lang w:eastAsia="he-IL"/>
        </w:rPr>
      </w:pPr>
      <w:r w:rsidRPr="00F41E78">
        <w:rPr>
          <w:rFonts w:cs="FrankRuehl" w:hint="eastAsia"/>
          <w:sz w:val="18"/>
          <w:szCs w:val="22"/>
          <w:rtl/>
          <w:lang w:eastAsia="he-IL"/>
        </w:rPr>
        <w:t>בדוח</w:t>
      </w:r>
      <w:r w:rsidRPr="00F41E78">
        <w:rPr>
          <w:rFonts w:cs="FrankRuehl"/>
          <w:sz w:val="18"/>
          <w:szCs w:val="22"/>
          <w:rtl/>
          <w:lang w:eastAsia="he-IL"/>
        </w:rPr>
        <w:t xml:space="preserve"> השנתי </w:t>
      </w:r>
      <w:r w:rsidRPr="00F41E78">
        <w:rPr>
          <w:rFonts w:cs="FrankRuehl" w:hint="eastAsia"/>
          <w:sz w:val="18"/>
          <w:szCs w:val="22"/>
          <w:rtl/>
          <w:lang w:eastAsia="he-IL"/>
        </w:rPr>
        <w:t>האמור</w:t>
      </w:r>
      <w:r w:rsidRPr="00F41E78">
        <w:rPr>
          <w:rFonts w:cs="FrankRuehl"/>
          <w:sz w:val="18"/>
          <w:szCs w:val="22"/>
          <w:rtl/>
          <w:lang w:eastAsia="he-IL"/>
        </w:rPr>
        <w:t xml:space="preserve"> </w:t>
      </w:r>
      <w:r w:rsidRPr="00F41E78">
        <w:rPr>
          <w:rFonts w:cs="FrankRuehl" w:hint="eastAsia"/>
          <w:sz w:val="18"/>
          <w:szCs w:val="22"/>
          <w:rtl/>
          <w:lang w:eastAsia="he-IL"/>
        </w:rPr>
        <w:t>ובתגובת</w:t>
      </w:r>
      <w:r w:rsidRPr="00F41E78">
        <w:rPr>
          <w:rFonts w:cs="FrankRuehl"/>
          <w:sz w:val="18"/>
          <w:szCs w:val="22"/>
          <w:rtl/>
          <w:lang w:eastAsia="he-IL"/>
        </w:rPr>
        <w:t xml:space="preserve"> </w:t>
      </w:r>
      <w:r w:rsidRPr="00F41E78">
        <w:rPr>
          <w:rFonts w:cs="FrankRuehl" w:hint="eastAsia"/>
          <w:sz w:val="18"/>
          <w:szCs w:val="22"/>
          <w:rtl/>
          <w:lang w:eastAsia="he-IL"/>
        </w:rPr>
        <w:t>הכלכלן</w:t>
      </w:r>
      <w:r w:rsidRPr="00F41E78">
        <w:rPr>
          <w:rFonts w:cs="FrankRuehl"/>
          <w:sz w:val="18"/>
          <w:szCs w:val="22"/>
          <w:rtl/>
          <w:lang w:eastAsia="he-IL"/>
        </w:rPr>
        <w:t xml:space="preserve"> </w:t>
      </w:r>
      <w:r w:rsidRPr="00F41E78">
        <w:rPr>
          <w:rFonts w:cs="FrankRuehl" w:hint="eastAsia"/>
          <w:sz w:val="18"/>
          <w:szCs w:val="22"/>
          <w:rtl/>
          <w:lang w:eastAsia="he-IL"/>
        </w:rPr>
        <w:t>הראשי</w:t>
      </w:r>
      <w:r w:rsidRPr="00F41E78">
        <w:rPr>
          <w:rFonts w:cs="FrankRuehl" w:hint="cs"/>
          <w:sz w:val="18"/>
          <w:szCs w:val="22"/>
          <w:rtl/>
          <w:lang w:eastAsia="he-IL"/>
        </w:rPr>
        <w:t xml:space="preserve"> נמסר כי לאחר שפורסמה הוראת השעה ולפיה ניתן למשקיעים פטור ממס שבח למכירת שתי דירות נוספות (להלן - הוראת השעה), גדל שיעור מכירתן של דירות להשקעה לעומת 2010 - בשנת 2010 (לפני הוראת השעה) נמכרו 3,400 דירות ובעקבות הוראת השעה נמכרו 7,000 דירות בשנת 2011 ו-5,400 דירות בשנת 2012. </w:t>
      </w:r>
    </w:p>
    <w:p w:rsidR="00E97EDA" w:rsidRPr="006E3D08" w:rsidP="006E3D08">
      <w:pPr>
        <w:pStyle w:val="BodyText"/>
        <w:spacing w:before="0"/>
        <w:rPr>
          <w:sz w:val="18"/>
          <w:rtl/>
          <w:lang w:eastAsia="he-IL"/>
        </w:rPr>
      </w:pPr>
      <w:r w:rsidRPr="006E3D08">
        <w:rPr>
          <w:rFonts w:hint="cs"/>
          <w:sz w:val="18"/>
          <w:rtl/>
          <w:lang w:eastAsia="he-IL"/>
        </w:rPr>
        <w:t xml:space="preserve">מהדוח השנתי עולה כי בעקבות העלאת שיעורי מס הרכישה המושת על דירה שאינה דירה יחידה ובשל העלאת הריבית בשנת 2011 על ידי בנק ישראל חלה ירידה ברכישת דירות להשקעה - בשנת 2011 נרכשו כ-22,000 דירות להשקעה (ירידה של כ-29% לעומת 2010). אג"ת ציין בתשובתו </w:t>
      </w:r>
      <w:r w:rsidRPr="006E3D08">
        <w:rPr>
          <w:rFonts w:hint="cs"/>
          <w:sz w:val="18"/>
          <w:rtl/>
          <w:lang w:eastAsia="he-IL"/>
        </w:rPr>
        <w:t xml:space="preserve">מינואר 2014 כי שיעור הדירות שרכשו המשקיעים בשנים 2012-2011 היה קטן בכ-7-6 נקודות אחוז מאשר בתקופה שקדמה לשינויים בתחום המיסוי. </w:t>
      </w:r>
    </w:p>
    <w:p w:rsidR="00E97EDA" w:rsidRPr="00F41E78" w:rsidP="00E54061">
      <w:pPr>
        <w:spacing w:after="240" w:line="230" w:lineRule="exact"/>
        <w:jc w:val="both"/>
        <w:rPr>
          <w:rFonts w:cs="FrankRuehl"/>
          <w:sz w:val="18"/>
          <w:szCs w:val="22"/>
          <w:rtl/>
          <w:lang w:eastAsia="he-IL"/>
        </w:rPr>
      </w:pPr>
      <w:r w:rsidRPr="00F41E78">
        <w:rPr>
          <w:rFonts w:cs="FrankRuehl" w:hint="cs"/>
          <w:sz w:val="18"/>
          <w:szCs w:val="22"/>
          <w:rtl/>
          <w:lang w:eastAsia="he-IL"/>
        </w:rPr>
        <w:t>מנתונים שהתקבלו מאגף הכלכלן הראשי ומתשובתו מינואר 2014 עולה כי בשנת 2012 נרכשו רק כ-23,500 דירות להשקעה ונמכרו רק כ-14,950. במחצית הראשונה של 2013 נרכשו רק כ-12,530 דירות להשקעה ונמכרו כ-8,200. לכן, מספר הדירות להשקעה גדל בשנת 2012 ובמחצית הראשונה של 2013.</w:t>
      </w:r>
    </w:p>
    <w:p w:rsidR="00D22B16" w:rsidRPr="00F41E78" w:rsidP="00D22B16">
      <w:pPr>
        <w:pStyle w:val="RESHET"/>
        <w:keepLines/>
        <w:rPr>
          <w:rtl/>
        </w:rPr>
      </w:pPr>
      <w:r w:rsidRPr="00F41E78">
        <w:rPr>
          <w:rFonts w:hint="cs"/>
          <w:rtl/>
        </w:rPr>
        <w:t>נמצא כי אף שצעדי המיסוי האמורים הביאו לידי הגדלת היקף מכירת דירות להשקעה בשנים 2012-2011 (לעומת שנת 2010) בכ-3,600 ו-2,000 דירות, בהתאמה, מספרן הכולל של הדירות להשקעה גדל משום שמספר הרכישות היה גבוה ממספר המכירות.</w:t>
      </w:r>
    </w:p>
    <w:p w:rsidR="00E97EDA" w:rsidRPr="00F41E78" w:rsidP="00E54061">
      <w:pPr>
        <w:spacing w:before="180" w:after="120" w:line="230" w:lineRule="exact"/>
        <w:jc w:val="both"/>
        <w:rPr>
          <w:rFonts w:cs="FrankRuehl"/>
          <w:sz w:val="18"/>
          <w:szCs w:val="22"/>
          <w:rtl/>
          <w:lang w:eastAsia="he-IL"/>
        </w:rPr>
      </w:pPr>
      <w:r w:rsidRPr="00F41E78">
        <w:rPr>
          <w:rFonts w:cs="FrankRuehl" w:hint="cs"/>
          <w:sz w:val="18"/>
          <w:szCs w:val="22"/>
          <w:rtl/>
          <w:lang w:eastAsia="he-IL"/>
        </w:rPr>
        <w:t>בתשובתו מסר אגף הכלכלן הראשי למשרד מבקר המדינה מינואר 2014 כי מאחר שהוראת השעה הייתה בתוקף עד סוף 2013, ולמשקיעים שצפו את המשך עליית המחירים בשוק הנדל"ן היה תמריץ לדחות את המכירה עד תום תקופת הוראת השעה, מוקדם להסיק מסקנות סופיות בנוגע למידת האפקטיביות של הוראת השעה.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עוד מסר הכלכלן הראשי בתגובתו כי ההנחה שהפתרון לבעיית מחירי הדירות יגיע מצמצום מספר הדירות להשקעה מתעלמת מהאפשרות שפתרונות דיור יכולים לבוא בצורת </w:t>
      </w:r>
      <w:r w:rsidRPr="00F41E78">
        <w:rPr>
          <w:rFonts w:cs="FrankRuehl" w:hint="eastAsia"/>
          <w:sz w:val="18"/>
          <w:szCs w:val="22"/>
          <w:rtl/>
          <w:lang w:eastAsia="he-IL"/>
        </w:rPr>
        <w:t>שכירות</w:t>
      </w:r>
      <w:r w:rsidRPr="00F41E78">
        <w:rPr>
          <w:rFonts w:cs="FrankRuehl" w:hint="cs"/>
          <w:sz w:val="18"/>
          <w:szCs w:val="22"/>
          <w:rtl/>
          <w:lang w:eastAsia="he-IL"/>
        </w:rPr>
        <w:t xml:space="preserve"> ואף פוגע בהיתכנות פתרון זה. אם הממשלה תעודד בעלי דירות להשקעה למכור את דירותיהם, היצע הדירות להשכרה יקטן ומחירי השכירות עלולים לעלות. עקב כך, חלק מהשוכרים יעדיפו לקנות דירה ויהיה מעבר מביקוש לשכירות לביקוש לדירות לרכישה.</w:t>
      </w:r>
    </w:p>
    <w:p w:rsidR="00E97EDA" w:rsidRPr="00F41E78" w:rsidP="00E54061">
      <w:pPr>
        <w:spacing w:after="240" w:line="230" w:lineRule="exact"/>
        <w:jc w:val="both"/>
        <w:rPr>
          <w:rFonts w:cs="FrankRuehl"/>
          <w:sz w:val="18"/>
          <w:szCs w:val="22"/>
          <w:rtl/>
          <w:lang w:eastAsia="he-IL"/>
        </w:rPr>
      </w:pPr>
      <w:r w:rsidRPr="00F41E78">
        <w:rPr>
          <w:rFonts w:cs="FrankRuehl" w:hint="cs"/>
          <w:sz w:val="18"/>
          <w:szCs w:val="22"/>
          <w:rtl/>
          <w:lang w:eastAsia="he-IL"/>
        </w:rPr>
        <w:t xml:space="preserve">בתגובתו מינואר 2015 מסר הכלכלן הראשי כי </w:t>
      </w:r>
      <w:r w:rsidRPr="00F41E78">
        <w:rPr>
          <w:rFonts w:cs="FrankRuehl" w:hint="cs"/>
          <w:sz w:val="18"/>
          <w:szCs w:val="22"/>
          <w:rtl/>
        </w:rPr>
        <w:t>היצע הדירות להשכרה מסופק רובו ככולו ע"י המשקיעים הפרטיים. "ייבושו" המוחלט של שוק זה יש בו כדי להביא לעליית מחירי השכירות.</w:t>
      </w:r>
    </w:p>
    <w:p w:rsidR="00D22B16" w:rsidRPr="00F41E78" w:rsidP="00D22B16">
      <w:pPr>
        <w:pStyle w:val="RESHET"/>
        <w:keepLines/>
        <w:rPr>
          <w:rtl/>
        </w:rPr>
      </w:pPr>
      <w:r w:rsidRPr="00F41E78">
        <w:rPr>
          <w:rFonts w:hint="cs"/>
          <w:rtl/>
        </w:rPr>
        <w:t>משרד מבקר המדינה מעיר לאגף הכלכלן הראשי כי לא נמצאה כל עבודה הבוחנת את המשמעות שבהקטנת מספר המשקיעים והשפעתה על שוק הדיור, ומלמדת על התמהיל הרצוי מהבחינה הכלכלית בין פתרונות השכירות שיספקו המשקיעים, אם ימשיכו להחזיק בדירותיהם, ובין הגדלת ההיצע של דירות לרכישה בעקבות מכירתן של דירות שנקנו לצורכי השקעה.</w:t>
      </w:r>
    </w:p>
    <w:p w:rsidR="00711180" w:rsidRPr="00E54061" w:rsidP="00E54061">
      <w:pPr>
        <w:spacing w:after="120" w:line="230" w:lineRule="exact"/>
        <w:jc w:val="both"/>
        <w:rPr>
          <w:rFonts w:cs="FrankRuehl"/>
          <w:sz w:val="18"/>
          <w:szCs w:val="22"/>
          <w:rtl/>
          <w:lang w:eastAsia="he-IL"/>
        </w:rPr>
      </w:pPr>
    </w:p>
    <w:p w:rsidR="00711180" w:rsidRPr="00E54061" w:rsidP="00E54061">
      <w:pPr>
        <w:spacing w:after="120" w:line="230" w:lineRule="exact"/>
        <w:jc w:val="both"/>
        <w:rPr>
          <w:rFonts w:cs="FrankRuehl"/>
          <w:sz w:val="18"/>
          <w:szCs w:val="22"/>
          <w:rtl/>
          <w:lang w:eastAsia="he-IL"/>
        </w:rPr>
      </w:pPr>
    </w:p>
    <w:p w:rsidR="00E97EDA" w:rsidRPr="00E97EDA" w:rsidP="00A7557B">
      <w:pPr>
        <w:pStyle w:val="KOT4"/>
        <w:rPr>
          <w:rtl/>
          <w:lang w:eastAsia="he-IL"/>
        </w:rPr>
      </w:pPr>
      <w:r w:rsidRPr="00E97EDA">
        <w:rPr>
          <w:rFonts w:hint="cs"/>
          <w:rtl/>
          <w:lang w:eastAsia="he-IL"/>
        </w:rPr>
        <w:t>שיתוף פעולה בין-אגפי לגיבוש חקיקת מיסוי מקרקעין</w:t>
      </w:r>
    </w:p>
    <w:p w:rsidR="00D22B16" w:rsidRPr="00F41E78" w:rsidP="00D22B16">
      <w:pPr>
        <w:pStyle w:val="RESHET"/>
        <w:keepLines/>
        <w:rPr>
          <w:rtl/>
        </w:rPr>
      </w:pPr>
      <w:r w:rsidRPr="00F41E78">
        <w:rPr>
          <w:rtl/>
        </w:rPr>
        <w:t xml:space="preserve">נמצא כי אג"ת יזם את גיבוש חוק מיסוי מקרקעין (הגדלת היצע של דירות מגורים </w:t>
      </w:r>
      <w:r w:rsidRPr="00F41E78">
        <w:rPr>
          <w:rFonts w:hint="cs"/>
          <w:rtl/>
        </w:rPr>
        <w:t>-</w:t>
      </w:r>
      <w:r w:rsidRPr="00F41E78">
        <w:rPr>
          <w:rtl/>
        </w:rPr>
        <w:t xml:space="preserve"> הוראת שעה), התש"ע-2011</w:t>
      </w:r>
      <w:r w:rsidRPr="00F41E78">
        <w:rPr>
          <w:rFonts w:hint="cs"/>
          <w:rtl/>
        </w:rPr>
        <w:t>,</w:t>
      </w:r>
      <w:r w:rsidRPr="00F41E78">
        <w:rPr>
          <w:rtl/>
        </w:rPr>
        <w:t xml:space="preserve"> והקים צוות בשיתוף רשות המסים לבחינת השפעות החקיקה </w:t>
      </w:r>
      <w:r w:rsidRPr="00F41E78">
        <w:rPr>
          <w:rFonts w:hint="cs"/>
          <w:rtl/>
        </w:rPr>
        <w:t xml:space="preserve">והיבטים שונים בחקיקה, </w:t>
      </w:r>
      <w:r w:rsidRPr="00F41E78">
        <w:rPr>
          <w:rtl/>
        </w:rPr>
        <w:t xml:space="preserve">שגם עסק בניסוח החקיקה, </w:t>
      </w:r>
      <w:r w:rsidRPr="00F41E78">
        <w:rPr>
          <w:rFonts w:hint="cs"/>
          <w:rtl/>
        </w:rPr>
        <w:t xml:space="preserve">אך </w:t>
      </w:r>
      <w:r w:rsidRPr="00F41E78">
        <w:rPr>
          <w:rtl/>
        </w:rPr>
        <w:t>ללא שיתו</w:t>
      </w:r>
      <w:r w:rsidRPr="00F41E78">
        <w:rPr>
          <w:rFonts w:hint="cs"/>
          <w:rtl/>
        </w:rPr>
        <w:t>פו של</w:t>
      </w:r>
      <w:r w:rsidRPr="00F41E78">
        <w:rPr>
          <w:rtl/>
        </w:rPr>
        <w:t xml:space="preserve"> מ</w:t>
      </w:r>
      <w:r w:rsidRPr="00F41E78">
        <w:rPr>
          <w:rFonts w:hint="cs"/>
          <w:rtl/>
        </w:rPr>
        <w:t>י</w:t>
      </w:r>
      <w:r w:rsidRPr="00F41E78">
        <w:rPr>
          <w:rtl/>
        </w:rPr>
        <w:t>נהל הכנסות המדינה כשותף מלא בתהליך.</w:t>
      </w:r>
    </w:p>
    <w:p w:rsidR="00E97EDA" w:rsidRPr="00F41E78" w:rsidP="00E54061">
      <w:pPr>
        <w:spacing w:before="180" w:after="120" w:line="230" w:lineRule="exact"/>
        <w:jc w:val="both"/>
        <w:rPr>
          <w:rFonts w:cs="FrankRuehl"/>
          <w:sz w:val="18"/>
          <w:szCs w:val="22"/>
          <w:rtl/>
          <w:lang w:eastAsia="he-IL"/>
        </w:rPr>
      </w:pPr>
      <w:r w:rsidRPr="00F41E78">
        <w:rPr>
          <w:rFonts w:cs="FrankRuehl" w:hint="cs"/>
          <w:sz w:val="18"/>
          <w:szCs w:val="22"/>
          <w:rtl/>
          <w:lang w:eastAsia="he-IL"/>
        </w:rPr>
        <w:t>כבר בדוח משנת 2013</w:t>
      </w:r>
      <w:r>
        <w:rPr>
          <w:rFonts w:cs="FrankRuehl"/>
          <w:sz w:val="18"/>
          <w:szCs w:val="22"/>
          <w:vertAlign w:val="superscript"/>
          <w:rtl/>
          <w:lang w:eastAsia="he-IL"/>
        </w:rPr>
        <w:footnoteReference w:id="145"/>
      </w:r>
      <w:r w:rsidRPr="00F41E78">
        <w:rPr>
          <w:rFonts w:cs="FrankRuehl" w:hint="cs"/>
          <w:sz w:val="18"/>
          <w:szCs w:val="22"/>
          <w:rtl/>
          <w:lang w:eastAsia="he-IL"/>
        </w:rPr>
        <w:t xml:space="preserve"> עמד משרד מבקר המדינה על כך שעם הקמת אגף הכלכלן הראשי החדש ראוי שמשרד האוצר יקבע את היחס שבין סמכותו ואחריותו של האגף ובין אלו של רשות המסים ואג"ת.</w:t>
      </w:r>
      <w:r w:rsidRPr="00F41E78">
        <w:rPr>
          <w:rFonts w:cs="FrankRuehl" w:hint="cs"/>
          <w:sz w:val="18"/>
          <w:szCs w:val="22"/>
          <w:vertAlign w:val="superscript"/>
          <w:rtl/>
          <w:lang w:eastAsia="he-IL"/>
        </w:rPr>
        <w:t xml:space="preserve"> </w:t>
      </w:r>
      <w:r w:rsidRPr="00F41E78">
        <w:rPr>
          <w:rFonts w:cs="FrankRuehl" w:hint="cs"/>
          <w:sz w:val="18"/>
          <w:szCs w:val="22"/>
          <w:rtl/>
          <w:lang w:eastAsia="he-IL"/>
        </w:rPr>
        <w:t xml:space="preserve">כמו כן, עמד על כך שיש להשלים את "נוהל חקיקת מסים" שטיוטה שלו הוכנה על ידי הכלכלן הראשי האמור להסדיר את נושא גיבוש מדיניות מס וחקיקה במשרד האוצר. </w:t>
      </w:r>
    </w:p>
    <w:p w:rsidR="00E97EDA" w:rsidRPr="00F41E78" w:rsidP="00E54061">
      <w:pPr>
        <w:spacing w:after="240" w:line="230" w:lineRule="exact"/>
        <w:jc w:val="both"/>
        <w:rPr>
          <w:rFonts w:cs="FrankRuehl"/>
          <w:sz w:val="18"/>
          <w:szCs w:val="22"/>
          <w:rtl/>
          <w:lang w:eastAsia="he-IL"/>
        </w:rPr>
      </w:pPr>
      <w:r w:rsidRPr="00F41E78">
        <w:rPr>
          <w:rFonts w:cs="FrankRuehl" w:hint="cs"/>
          <w:sz w:val="18"/>
          <w:szCs w:val="22"/>
          <w:rtl/>
          <w:lang w:eastAsia="he-IL"/>
        </w:rPr>
        <w:t>מתשובתו של אגף הכלכלן הראשי לממצאים בדוח הנוכחי עולה שנוהל חקיקת מסים עוסק בחקיקה ולא במדיניות. לפי תפיסת אגף הכלכלן הראשי, בדרך כלל תהליך החקיקה מתבצע לאחר קביעת המדיניות (או לפחות קביעת עיקרי המדיניות), אם כי לעתים ישנו היזון חוזר מבעיות שהתגלו במהלך תהליך הכנת החקיקה והדבר מצריך מחשבה שנייה בנוגע למדיניות המס. את החקיקה מובילים אגף הכלכלן הראשי ורשות המסים, ובמסגרתה אפשר ליישם כל מדיניות בתחום המסים, גם כזאת שיוזם אגף אחר במשרד האוצר, למשל אג"ת, אך גם לשכת השר ולשכת המנכ"ל.</w:t>
      </w:r>
    </w:p>
    <w:p w:rsidR="00D22B16" w:rsidRPr="00F41E78" w:rsidP="00D22B16">
      <w:pPr>
        <w:pStyle w:val="RESHET"/>
        <w:keepLines/>
        <w:rPr>
          <w:rtl/>
        </w:rPr>
      </w:pPr>
      <w:r w:rsidRPr="00F41E78">
        <w:rPr>
          <w:rFonts w:hint="cs"/>
          <w:rtl/>
        </w:rPr>
        <w:t>נמצא שהנוהל שהוצע כבר בדצמבר 2012 טרם הושלם ואושר. עוד נמצא כי אף שאג"ת עצמו יוזם שינויי חקיקה בתחום המסים בכלל ובתחום מיסוי המקרקעין בפרט, הנוהל שהציע הכלכלן הראשי אינו עוסק כלל במקרים אלו; ואם אחד משני האגפים האחרים יזם את החקיקה, הנוהל שהוצע אינו מתייחס לאופן שיתוף אג"ת בתהליך לבחינת ההיבטים של החקיקה והשפעותיה.</w:t>
      </w:r>
    </w:p>
    <w:p w:rsidR="00E97EDA" w:rsidRPr="00F41E78" w:rsidP="005F74A5">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בפגישה עם נציגי משרד מבקר המדינה ביוני 2013 מסר אגף הכלכלן הראשי כי ברמה הכוללת של התפיסה הנוגעת לשינויים במס נוצר שיתוף פעולה בין ראש אגף מינהל הכנסות המדינה, ראש אג"ת וראש רשות המסים. אולם טרם נוצר תהליך של שיתוף בהליך ניסוח שינויי החקיקה ובבדיקות שונות הנוגעות להשפעותיה וטרם הסתיים גיבוש הנוהל עקב חילוקי דעות עם רשות המסים. בפגישה במאי 2013 מסר הסמנכ"ל לעניינים מקצועיים </w:t>
      </w:r>
      <w:r w:rsidRPr="00582A43">
        <w:rPr>
          <w:rFonts w:cs="FrankRuehl" w:hint="cs"/>
          <w:sz w:val="18"/>
          <w:szCs w:val="22"/>
          <w:rtl/>
          <w:lang w:eastAsia="he-IL"/>
        </w:rPr>
        <w:t>ברשות המסים לנציגי משרד</w:t>
      </w:r>
      <w:r w:rsidRPr="00F41E78">
        <w:rPr>
          <w:rFonts w:cs="FrankRuehl" w:hint="cs"/>
          <w:sz w:val="18"/>
          <w:szCs w:val="22"/>
          <w:rtl/>
          <w:lang w:eastAsia="he-IL"/>
        </w:rPr>
        <w:t xml:space="preserve"> מבקר המדינה כי במסגרת הנוהל לא הושם דגש מספיק על הידע הנצבר ברשות שמקורו בניסיונה בתפעול מערכת גביית המס ובהיכרותה את יכולת היישום והאכיפה של הסעיפים השונים, ועל ההבדלים במידת הדחיפות שרשות המסים לעתים רואה בה את הצורך בחקיקה מסוימת, לעומת מינהל הכנסות המדינה.</w:t>
      </w:r>
    </w:p>
    <w:p w:rsidR="00D22B16" w:rsidRPr="00F41E78" w:rsidP="00D22B16">
      <w:pPr>
        <w:pStyle w:val="RESHET"/>
        <w:keepLines/>
        <w:rPr>
          <w:rtl/>
        </w:rPr>
      </w:pPr>
      <w:r w:rsidRPr="00F41E78">
        <w:rPr>
          <w:rFonts w:hint="cs"/>
          <w:rtl/>
        </w:rPr>
        <w:t>לדעת משרד מבקר המדינה, מן הראוי למצוא את הדרך לשיתוף פעולה מיטבי בין האגפים השונים במשרד האוצר, הן במסגרת גיבוש המדיניות הן במסגרת החקיקה הנלווית לה, כדי שימוצו היתרונות והידע של כל אגף ואגף. כמו כן, ראוי כי נוהל חקיקת מיסוי המקרקעין יושלם ויאושר.</w:t>
      </w:r>
    </w:p>
    <w:p w:rsidR="00711180" w:rsidRPr="00E54061" w:rsidP="00A7557B">
      <w:pPr>
        <w:spacing w:after="120" w:line="230" w:lineRule="exact"/>
        <w:jc w:val="both"/>
        <w:rPr>
          <w:rFonts w:cs="FrankRuehl"/>
          <w:sz w:val="18"/>
          <w:szCs w:val="22"/>
          <w:rtl/>
          <w:lang w:eastAsia="he-IL"/>
        </w:rPr>
      </w:pPr>
    </w:p>
    <w:p w:rsidR="00711180" w:rsidRPr="00E54061" w:rsidP="00E54061">
      <w:pPr>
        <w:spacing w:after="120" w:line="230" w:lineRule="exact"/>
        <w:jc w:val="both"/>
        <w:rPr>
          <w:rFonts w:cs="FrankRuehl"/>
          <w:sz w:val="18"/>
          <w:szCs w:val="22"/>
          <w:rtl/>
          <w:lang w:eastAsia="he-IL"/>
        </w:rPr>
      </w:pPr>
    </w:p>
    <w:p w:rsidR="00E97EDA" w:rsidRPr="00E97EDA" w:rsidP="00A7557B">
      <w:pPr>
        <w:pStyle w:val="KOT4"/>
        <w:rPr>
          <w:rtl/>
          <w:lang w:eastAsia="he-IL"/>
        </w:rPr>
      </w:pPr>
      <w:r w:rsidRPr="00E97EDA">
        <w:rPr>
          <w:rFonts w:hint="cs"/>
          <w:rtl/>
          <w:lang w:eastAsia="he-IL"/>
        </w:rPr>
        <w:t>רכיב המסים ומשקלו במחיר הדירה</w:t>
      </w:r>
    </w:p>
    <w:p w:rsidR="00E97EDA" w:rsidRPr="00582A43" w:rsidP="00D96E6B">
      <w:pPr>
        <w:spacing w:after="120" w:line="230" w:lineRule="exact"/>
        <w:jc w:val="both"/>
        <w:rPr>
          <w:rFonts w:cs="FrankRuehl"/>
          <w:sz w:val="18"/>
          <w:szCs w:val="22"/>
          <w:rtl/>
          <w:lang w:eastAsia="he-IL"/>
        </w:rPr>
      </w:pPr>
      <w:r w:rsidRPr="00582A43">
        <w:rPr>
          <w:rFonts w:cs="FrankRuehl" w:hint="cs"/>
          <w:sz w:val="18"/>
          <w:szCs w:val="22"/>
          <w:rtl/>
          <w:lang w:eastAsia="he-IL"/>
        </w:rPr>
        <w:t xml:space="preserve">בלוח 3 להלן מפורטים נתוני תחשיב שעשה מינהל הכנסות המדינה, האומד את משקל המסים (לא כולל מסים עירוניים כמו היטל השבחה) שקיבלה המדינה בשנת 2011 מתוך השווי הכולל של עסקאות למכירת דירות מגורים באותה שנה. </w:t>
      </w:r>
    </w:p>
    <w:p w:rsidR="00E97EDA" w:rsidRPr="006237A1" w:rsidP="00256A1C">
      <w:pPr>
        <w:pStyle w:val="tab-name"/>
        <w:keepNext w:val="0"/>
        <w:keepLines/>
        <w:rPr>
          <w:rtl/>
          <w:lang w:eastAsia="he-IL"/>
        </w:rPr>
      </w:pPr>
      <w:r w:rsidRPr="00E54061">
        <w:rPr>
          <w:rFonts w:hint="cs"/>
          <w:b w:val="0"/>
          <w:bCs w:val="0"/>
          <w:sz w:val="20"/>
          <w:szCs w:val="20"/>
          <w:rtl/>
          <w:lang w:eastAsia="he-IL"/>
        </w:rPr>
        <w:t xml:space="preserve">לוח </w:t>
      </w:r>
      <w:r w:rsidRPr="00E54061" w:rsidR="00E54061">
        <w:rPr>
          <w:rFonts w:hint="cs"/>
          <w:b w:val="0"/>
          <w:bCs w:val="0"/>
          <w:sz w:val="20"/>
          <w:szCs w:val="20"/>
          <w:rtl/>
          <w:lang w:eastAsia="he-IL"/>
        </w:rPr>
        <w:t>3</w:t>
      </w:r>
      <w:r w:rsidRPr="00E54061" w:rsidR="00E54061">
        <w:rPr>
          <w:b w:val="0"/>
          <w:bCs w:val="0"/>
          <w:sz w:val="20"/>
          <w:szCs w:val="20"/>
          <w:rtl/>
          <w:lang w:eastAsia="he-IL"/>
        </w:rPr>
        <w:br/>
      </w:r>
      <w:r w:rsidRPr="006237A1">
        <w:rPr>
          <w:rFonts w:hint="cs"/>
          <w:rtl/>
          <w:lang w:eastAsia="he-IL"/>
        </w:rPr>
        <w:t xml:space="preserve">שיעור מס הרכישה, מס שבח ומע"ם </w:t>
      </w:r>
      <w:r w:rsidR="004160DB">
        <w:rPr>
          <w:rtl/>
          <w:lang w:eastAsia="he-IL"/>
        </w:rPr>
        <w:br/>
      </w:r>
      <w:r w:rsidRPr="006237A1">
        <w:rPr>
          <w:rFonts w:hint="cs"/>
          <w:rtl/>
          <w:lang w:eastAsia="he-IL"/>
        </w:rPr>
        <w:t>מתוך השווי הכולל של עסקאות למכירת דירות מגורים בשנת 2011 (במיליוני ש"ח)*</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000"/>
      </w:tblPr>
      <w:tblGrid>
        <w:gridCol w:w="5160"/>
        <w:gridCol w:w="1531"/>
      </w:tblGrid>
      <w:tr w:rsidTr="004160DB">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000"/>
        </w:tblPrEx>
        <w:trPr>
          <w:jc w:val="center"/>
        </w:trPr>
        <w:tc>
          <w:tcPr>
            <w:tcW w:w="0" w:type="auto"/>
            <w:shd w:val="clear" w:color="auto" w:fill="auto"/>
            <w:noWrap/>
            <w:vAlign w:val="bottom"/>
          </w:tcPr>
          <w:p w:rsidR="00E97EDA" w:rsidRPr="004160DB" w:rsidP="004160DB">
            <w:pPr>
              <w:spacing w:before="60" w:after="60" w:line="200" w:lineRule="exact"/>
              <w:rPr>
                <w:rFonts w:ascii="FrankRuehl" w:hAnsi="FrankRuehl" w:cs="FrankRuehl"/>
                <w:sz w:val="20"/>
                <w:szCs w:val="20"/>
              </w:rPr>
            </w:pPr>
            <w:r w:rsidRPr="004160DB">
              <w:rPr>
                <w:rFonts w:ascii="FrankRuehl" w:hAnsi="FrankRuehl" w:cs="FrankRuehl" w:hint="cs"/>
                <w:sz w:val="20"/>
                <w:szCs w:val="20"/>
                <w:rtl/>
              </w:rPr>
              <w:t xml:space="preserve">סה"כ שווי עסקאות למכירת דירות </w:t>
            </w:r>
          </w:p>
        </w:tc>
        <w:tc>
          <w:tcPr>
            <w:tcW w:w="1531" w:type="dxa"/>
            <w:shd w:val="clear" w:color="auto" w:fill="auto"/>
            <w:noWrap/>
            <w:vAlign w:val="bottom"/>
          </w:tcPr>
          <w:p w:rsidR="00E97EDA" w:rsidRPr="004160DB" w:rsidP="004160DB">
            <w:pPr>
              <w:tabs>
                <w:tab w:val="right" w:pos="1004"/>
              </w:tabs>
              <w:spacing w:before="60" w:after="60" w:line="200" w:lineRule="exact"/>
              <w:ind w:left="345"/>
              <w:rPr>
                <w:rFonts w:ascii="FrankRuehl" w:hAnsi="FrankRuehl" w:cs="FrankRuehl"/>
                <w:sz w:val="20"/>
                <w:szCs w:val="20"/>
              </w:rPr>
            </w:pPr>
            <w:r w:rsidRPr="004160DB">
              <w:rPr>
                <w:rFonts w:ascii="FrankRuehl" w:hAnsi="FrankRuehl" w:cs="FrankRuehl"/>
                <w:sz w:val="20"/>
                <w:szCs w:val="20"/>
              </w:rPr>
              <w:t>96,214.0</w:t>
            </w:r>
          </w:p>
        </w:tc>
      </w:tr>
      <w:tr w:rsidTr="004160DB">
        <w:tblPrEx>
          <w:tblW w:w="6691" w:type="dxa"/>
          <w:jc w:val="center"/>
          <w:tblLook w:val="0000"/>
        </w:tblPrEx>
        <w:trPr>
          <w:jc w:val="center"/>
        </w:trPr>
        <w:tc>
          <w:tcPr>
            <w:tcW w:w="0" w:type="auto"/>
            <w:shd w:val="clear" w:color="auto" w:fill="auto"/>
            <w:noWrap/>
            <w:vAlign w:val="bottom"/>
          </w:tcPr>
          <w:p w:rsidR="00E97EDA" w:rsidRPr="004160DB" w:rsidP="004160DB">
            <w:pPr>
              <w:spacing w:before="60" w:after="60" w:line="200" w:lineRule="exact"/>
              <w:rPr>
                <w:rFonts w:ascii="FrankRuehl" w:hAnsi="FrankRuehl" w:cs="FrankRuehl"/>
                <w:sz w:val="20"/>
                <w:szCs w:val="20"/>
                <w:rtl/>
              </w:rPr>
            </w:pPr>
            <w:r w:rsidRPr="004160DB">
              <w:rPr>
                <w:rFonts w:ascii="FrankRuehl" w:hAnsi="FrankRuehl" w:cs="FrankRuehl" w:hint="cs"/>
                <w:sz w:val="20"/>
                <w:szCs w:val="20"/>
                <w:rtl/>
              </w:rPr>
              <w:t xml:space="preserve">חיובי מס רכישה </w:t>
            </w:r>
          </w:p>
        </w:tc>
        <w:tc>
          <w:tcPr>
            <w:tcW w:w="1531" w:type="dxa"/>
            <w:shd w:val="clear" w:color="auto" w:fill="auto"/>
            <w:noWrap/>
            <w:vAlign w:val="bottom"/>
          </w:tcPr>
          <w:p w:rsidR="00E97EDA" w:rsidRPr="004160DB" w:rsidP="004160DB">
            <w:pPr>
              <w:spacing w:before="60" w:after="60" w:line="200" w:lineRule="exact"/>
              <w:ind w:left="345"/>
              <w:rPr>
                <w:rFonts w:ascii="FrankRuehl" w:hAnsi="FrankRuehl" w:cs="FrankRuehl"/>
                <w:sz w:val="20"/>
                <w:szCs w:val="20"/>
              </w:rPr>
            </w:pPr>
            <w:r w:rsidRPr="004160DB">
              <w:rPr>
                <w:rFonts w:ascii="FrankRuehl" w:hAnsi="FrankRuehl" w:cs="FrankRuehl"/>
                <w:sz w:val="20"/>
                <w:szCs w:val="20"/>
              </w:rPr>
              <w:t>1,894.5</w:t>
            </w:r>
          </w:p>
        </w:tc>
      </w:tr>
      <w:tr w:rsidTr="004160DB">
        <w:tblPrEx>
          <w:tblW w:w="6691" w:type="dxa"/>
          <w:jc w:val="center"/>
          <w:tblLook w:val="0000"/>
        </w:tblPrEx>
        <w:trPr>
          <w:jc w:val="center"/>
        </w:trPr>
        <w:tc>
          <w:tcPr>
            <w:tcW w:w="0" w:type="auto"/>
            <w:shd w:val="clear" w:color="auto" w:fill="auto"/>
            <w:noWrap/>
            <w:vAlign w:val="bottom"/>
          </w:tcPr>
          <w:p w:rsidR="00E97EDA" w:rsidRPr="004160DB" w:rsidP="004160DB">
            <w:pPr>
              <w:spacing w:before="60" w:after="60" w:line="200" w:lineRule="exact"/>
              <w:rPr>
                <w:rFonts w:ascii="FrankRuehl" w:hAnsi="FrankRuehl" w:cs="FrankRuehl"/>
                <w:sz w:val="20"/>
                <w:szCs w:val="20"/>
              </w:rPr>
            </w:pPr>
            <w:r w:rsidRPr="004160DB">
              <w:rPr>
                <w:rFonts w:ascii="FrankRuehl" w:hAnsi="FrankRuehl" w:cs="FrankRuehl" w:hint="cs"/>
                <w:sz w:val="20"/>
                <w:szCs w:val="20"/>
                <w:rtl/>
              </w:rPr>
              <w:t xml:space="preserve">חיובי מס שבח </w:t>
            </w:r>
          </w:p>
        </w:tc>
        <w:tc>
          <w:tcPr>
            <w:tcW w:w="1531" w:type="dxa"/>
            <w:shd w:val="clear" w:color="auto" w:fill="auto"/>
            <w:noWrap/>
            <w:vAlign w:val="bottom"/>
          </w:tcPr>
          <w:p w:rsidR="00E97EDA" w:rsidRPr="004160DB" w:rsidP="004160DB">
            <w:pPr>
              <w:spacing w:before="60" w:after="60" w:line="200" w:lineRule="exact"/>
              <w:ind w:left="345"/>
              <w:rPr>
                <w:rFonts w:ascii="FrankRuehl" w:hAnsi="FrankRuehl" w:cs="FrankRuehl"/>
                <w:sz w:val="20"/>
                <w:szCs w:val="20"/>
              </w:rPr>
            </w:pPr>
            <w:r w:rsidRPr="004160DB">
              <w:rPr>
                <w:rFonts w:ascii="FrankRuehl" w:hAnsi="FrankRuehl" w:cs="FrankRuehl"/>
                <w:sz w:val="20"/>
                <w:szCs w:val="20"/>
              </w:rPr>
              <w:t>163.9</w:t>
            </w:r>
          </w:p>
        </w:tc>
      </w:tr>
      <w:tr w:rsidTr="004160DB">
        <w:tblPrEx>
          <w:tblW w:w="6691" w:type="dxa"/>
          <w:jc w:val="center"/>
          <w:tblLook w:val="0000"/>
        </w:tblPrEx>
        <w:trPr>
          <w:jc w:val="center"/>
        </w:trPr>
        <w:tc>
          <w:tcPr>
            <w:tcW w:w="0" w:type="auto"/>
            <w:tcBorders>
              <w:bottom w:val="single" w:sz="12" w:space="0" w:color="auto"/>
            </w:tcBorders>
            <w:shd w:val="clear" w:color="auto" w:fill="auto"/>
            <w:noWrap/>
            <w:vAlign w:val="bottom"/>
          </w:tcPr>
          <w:p w:rsidR="00E97EDA" w:rsidRPr="004160DB" w:rsidP="004160DB">
            <w:pPr>
              <w:spacing w:before="60" w:after="60" w:line="200" w:lineRule="exact"/>
              <w:rPr>
                <w:rFonts w:ascii="FrankRuehl" w:hAnsi="FrankRuehl" w:cs="FrankRuehl"/>
                <w:sz w:val="20"/>
                <w:szCs w:val="20"/>
              </w:rPr>
            </w:pPr>
            <w:r w:rsidRPr="004160DB">
              <w:rPr>
                <w:rFonts w:ascii="FrankRuehl" w:hAnsi="FrankRuehl" w:cs="FrankRuehl" w:hint="cs"/>
                <w:sz w:val="20"/>
                <w:szCs w:val="20"/>
                <w:rtl/>
              </w:rPr>
              <w:t>הכנסות ממע"ם</w:t>
            </w:r>
          </w:p>
        </w:tc>
        <w:tc>
          <w:tcPr>
            <w:tcW w:w="1531" w:type="dxa"/>
            <w:tcBorders>
              <w:bottom w:val="single" w:sz="12" w:space="0" w:color="auto"/>
            </w:tcBorders>
            <w:shd w:val="clear" w:color="auto" w:fill="auto"/>
            <w:noWrap/>
            <w:vAlign w:val="bottom"/>
          </w:tcPr>
          <w:p w:rsidR="00E97EDA" w:rsidRPr="004160DB" w:rsidP="004160DB">
            <w:pPr>
              <w:spacing w:before="60" w:after="60" w:line="200" w:lineRule="exact"/>
              <w:ind w:left="345"/>
              <w:rPr>
                <w:rFonts w:ascii="FrankRuehl" w:hAnsi="FrankRuehl" w:cs="FrankRuehl"/>
                <w:sz w:val="20"/>
                <w:szCs w:val="20"/>
              </w:rPr>
            </w:pPr>
            <w:r w:rsidRPr="004160DB">
              <w:rPr>
                <w:rFonts w:ascii="FrankRuehl" w:hAnsi="FrankRuehl" w:cs="FrankRuehl"/>
                <w:sz w:val="20"/>
                <w:szCs w:val="20"/>
              </w:rPr>
              <w:t>3,642.9</w:t>
            </w:r>
          </w:p>
        </w:tc>
      </w:tr>
      <w:tr w:rsidTr="004160DB">
        <w:tblPrEx>
          <w:tblW w:w="6691" w:type="dxa"/>
          <w:jc w:val="center"/>
          <w:tblLook w:val="0000"/>
        </w:tblPrEx>
        <w:trPr>
          <w:jc w:val="center"/>
        </w:trPr>
        <w:tc>
          <w:tcPr>
            <w:tcW w:w="0" w:type="auto"/>
            <w:tcBorders>
              <w:top w:val="single" w:sz="12" w:space="0" w:color="auto"/>
              <w:bottom w:val="single" w:sz="12" w:space="0" w:color="auto"/>
            </w:tcBorders>
            <w:shd w:val="pct10" w:color="auto" w:fill="auto"/>
            <w:noWrap/>
            <w:vAlign w:val="bottom"/>
          </w:tcPr>
          <w:p w:rsidR="00E97EDA" w:rsidRPr="00582A43" w:rsidP="007D7ACD">
            <w:pPr>
              <w:spacing w:before="60" w:after="60" w:line="200" w:lineRule="exact"/>
              <w:jc w:val="right"/>
              <w:rPr>
                <w:rFonts w:ascii="FrankRuehl" w:hAnsi="FrankRuehl" w:cs="FrankRuehl"/>
                <w:b/>
                <w:bCs/>
                <w:sz w:val="20"/>
                <w:szCs w:val="20"/>
              </w:rPr>
            </w:pPr>
            <w:r>
              <w:rPr>
                <w:rFonts w:ascii="FrankRuehl" w:hAnsi="FrankRuehl" w:cs="FrankRuehl" w:hint="cs"/>
                <w:b/>
                <w:bCs/>
                <w:sz w:val="20"/>
                <w:szCs w:val="20"/>
                <w:rtl/>
              </w:rPr>
              <w:t>סך הכול משקל המסים מתוך סך</w:t>
            </w:r>
            <w:r w:rsidRPr="00582A43">
              <w:rPr>
                <w:rFonts w:ascii="FrankRuehl" w:hAnsi="FrankRuehl" w:cs="FrankRuehl" w:hint="cs"/>
                <w:b/>
                <w:bCs/>
                <w:sz w:val="20"/>
                <w:szCs w:val="20"/>
                <w:rtl/>
              </w:rPr>
              <w:t xml:space="preserve"> כל שווי עסקאות בדירות</w:t>
            </w:r>
          </w:p>
        </w:tc>
        <w:tc>
          <w:tcPr>
            <w:tcW w:w="1531" w:type="dxa"/>
            <w:tcBorders>
              <w:top w:val="single" w:sz="12" w:space="0" w:color="auto"/>
              <w:bottom w:val="single" w:sz="12" w:space="0" w:color="auto"/>
            </w:tcBorders>
            <w:shd w:val="pct10" w:color="auto" w:fill="auto"/>
            <w:noWrap/>
            <w:vAlign w:val="bottom"/>
          </w:tcPr>
          <w:p w:rsidR="00E97EDA" w:rsidRPr="004160DB" w:rsidP="004160DB">
            <w:pPr>
              <w:pStyle w:val="CommentSubject"/>
              <w:spacing w:before="60" w:after="60" w:line="200" w:lineRule="exact"/>
              <w:ind w:left="345"/>
              <w:rPr>
                <w:rFonts w:ascii="FrankRuehl" w:hAnsi="FrankRuehl" w:cs="FrankRuehl"/>
              </w:rPr>
            </w:pPr>
            <w:r w:rsidRPr="004160DB">
              <w:rPr>
                <w:rFonts w:ascii="FrankRuehl" w:hAnsi="FrankRuehl" w:cs="FrankRuehl"/>
              </w:rPr>
              <w:t>5.9%</w:t>
            </w:r>
          </w:p>
        </w:tc>
      </w:tr>
    </w:tbl>
    <w:p w:rsidR="00E97EDA" w:rsidRPr="004160DB" w:rsidP="004160DB">
      <w:pPr>
        <w:spacing w:before="120" w:after="240" w:line="200" w:lineRule="exact"/>
        <w:ind w:left="397" w:hanging="397"/>
        <w:jc w:val="both"/>
        <w:rPr>
          <w:rFonts w:cs="FrankRuehl"/>
          <w:sz w:val="20"/>
          <w:szCs w:val="20"/>
          <w:rtl/>
        </w:rPr>
      </w:pPr>
      <w:r w:rsidRPr="004160DB">
        <w:rPr>
          <w:rFonts w:cs="FrankRuehl" w:hint="cs"/>
          <w:sz w:val="20"/>
          <w:szCs w:val="20"/>
          <w:rtl/>
        </w:rPr>
        <w:t xml:space="preserve">* </w:t>
      </w:r>
      <w:r w:rsidR="004160DB">
        <w:rPr>
          <w:rFonts w:cs="FrankRuehl" w:hint="cs"/>
          <w:sz w:val="20"/>
          <w:szCs w:val="20"/>
          <w:rtl/>
        </w:rPr>
        <w:tab/>
      </w:r>
      <w:r w:rsidRPr="004160DB">
        <w:rPr>
          <w:rFonts w:cs="FrankRuehl" w:hint="cs"/>
          <w:sz w:val="20"/>
          <w:szCs w:val="20"/>
          <w:rtl/>
        </w:rPr>
        <w:t>לפי נתונים של אגף הכלכלן הראשי.</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באוגוסט 2013 נמסרה למשרד מבקר המדינה טיוטת מחקר שעשה משרד הבינוי</w:t>
      </w:r>
      <w:r w:rsidRPr="00F41E78">
        <w:rPr>
          <w:rFonts w:cs="FrankRuehl"/>
          <w:sz w:val="18"/>
          <w:szCs w:val="22"/>
          <w:rtl/>
          <w:lang w:eastAsia="he-IL"/>
        </w:rPr>
        <w:t xml:space="preserve"> </w:t>
      </w:r>
      <w:r w:rsidRPr="00F41E78">
        <w:rPr>
          <w:rFonts w:cs="FrankRuehl" w:hint="cs"/>
          <w:sz w:val="18"/>
          <w:szCs w:val="22"/>
          <w:rtl/>
          <w:lang w:eastAsia="he-IL"/>
        </w:rPr>
        <w:t>(</w:t>
      </w:r>
      <w:r w:rsidRPr="00F41E78">
        <w:rPr>
          <w:rFonts w:cs="FrankRuehl"/>
          <w:sz w:val="18"/>
          <w:szCs w:val="22"/>
          <w:rtl/>
          <w:lang w:eastAsia="he-IL"/>
        </w:rPr>
        <w:t xml:space="preserve">להלן </w:t>
      </w:r>
      <w:r w:rsidRPr="00F41E78">
        <w:rPr>
          <w:rFonts w:cs="FrankRuehl" w:hint="cs"/>
          <w:sz w:val="18"/>
          <w:szCs w:val="22"/>
          <w:rtl/>
          <w:lang w:eastAsia="he-IL"/>
        </w:rPr>
        <w:t>-</w:t>
      </w:r>
      <w:r w:rsidRPr="00F41E78">
        <w:rPr>
          <w:rFonts w:cs="FrankRuehl"/>
          <w:sz w:val="18"/>
          <w:szCs w:val="22"/>
          <w:rtl/>
          <w:lang w:eastAsia="he-IL"/>
        </w:rPr>
        <w:t xml:space="preserve"> מחקר משרד הבינוי) </w:t>
      </w:r>
      <w:r w:rsidRPr="00F41E78">
        <w:rPr>
          <w:rFonts w:cs="FrankRuehl" w:hint="cs"/>
          <w:sz w:val="18"/>
          <w:szCs w:val="22"/>
          <w:rtl/>
          <w:lang w:eastAsia="he-IL"/>
        </w:rPr>
        <w:t>בשיתוף הלמ"ס והתאחדות בוני הארץ</w:t>
      </w:r>
      <w:r>
        <w:rPr>
          <w:rFonts w:cs="FrankRuehl"/>
          <w:sz w:val="18"/>
          <w:szCs w:val="22"/>
          <w:vertAlign w:val="superscript"/>
          <w:rtl/>
          <w:lang w:eastAsia="he-IL"/>
        </w:rPr>
        <w:footnoteReference w:id="146"/>
      </w:r>
      <w:r w:rsidRPr="00F41E78">
        <w:rPr>
          <w:rFonts w:cs="FrankRuehl" w:hint="cs"/>
          <w:sz w:val="18"/>
          <w:szCs w:val="22"/>
          <w:rtl/>
          <w:lang w:eastAsia="he-IL"/>
        </w:rPr>
        <w:t>. המחקר עסק בניתוח המרכיבים השונים של עלויות הבנייה למגורים בכמה חתכים - אזור גאוגרפי, מספר הקומות בבניין, הבעלות על הקרקע (בעלות פרטית או בעלות המדינה) וסוג העסקה (עסקה שבוצעה באמצעות יזם או קבוצת רכישה או קומבינציה). במחקר נבדקו כמה מרכיבים המשפיעים על מחיר המכירה הסופי של דירה - עלות קרקע מושבחת ומפותחת (כולל מס שבח והיטלי פיתוח), מסים ממשלתיים, עלות בנייה ישירה, עלות מרתפי חניה, עלויות תכנון, חיבור חשמל, פרסום ושיווק, הנהלה וכלליות, עלויות מימון, עלויות בלתי צפויות מראש ומע"ם</w:t>
      </w:r>
      <w:r>
        <w:rPr>
          <w:rFonts w:cs="FrankRuehl"/>
          <w:sz w:val="18"/>
          <w:szCs w:val="22"/>
          <w:vertAlign w:val="superscript"/>
          <w:rtl/>
          <w:lang w:eastAsia="he-IL"/>
        </w:rPr>
        <w:footnoteReference w:id="147"/>
      </w:r>
      <w:r w:rsidRPr="00F41E78">
        <w:rPr>
          <w:rFonts w:cs="FrankRuehl" w:hint="cs"/>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מבצעי המחקר מצאו שלמדיניות הממשלתית והמוניציפלית ישנה השפעה ישירה ומהותית על מרכיבים עיקריים של עלויות במחיר הדירה הממוצע הארצי. להלן תרשים המתאר את התפלגות מחיר דירה לפי ממוצע ארצי משוקלל.</w:t>
      </w:r>
    </w:p>
    <w:p w:rsidR="00143E57" w:rsidRPr="00EC0156" w:rsidP="00582A43">
      <w:pPr>
        <w:spacing w:after="240" w:line="240" w:lineRule="atLeast"/>
        <w:jc w:val="center"/>
        <w:rPr>
          <w:rFonts w:ascii="Arial" w:hAnsi="Arial" w:cs="Arial"/>
          <w:rtl/>
          <w:lang w:eastAsia="he-IL"/>
        </w:rPr>
      </w:pPr>
      <w:r>
        <w:rPr>
          <w:rFonts w:ascii="Arial" w:hAnsi="Arial" w:cs="Arial"/>
          <w:noProof/>
        </w:rPr>
        <w:pict>
          <v:shape id="_x0000_i1044" type="#_x0000_t75" style="width:340pt;height:204.5pt">
            <v:imagedata r:id="rId32" o:title="B1-1-5-C9"/>
          </v:shape>
        </w:pic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ניתן לראות כי העלויות הכוללות את עלות הקרקע המושבחת והמפותחת המהוות כ-21.9% ממחיר הדירה </w:t>
      </w:r>
      <w:r w:rsidRPr="00F41E78">
        <w:rPr>
          <w:rFonts w:cs="FrankRuehl"/>
          <w:sz w:val="18"/>
          <w:szCs w:val="22"/>
          <w:rtl/>
          <w:lang w:eastAsia="he-IL"/>
        </w:rPr>
        <w:t xml:space="preserve">(עלות </w:t>
      </w:r>
      <w:r w:rsidRPr="00F41E78">
        <w:rPr>
          <w:rFonts w:cs="FrankRuehl" w:hint="eastAsia"/>
          <w:sz w:val="18"/>
          <w:szCs w:val="22"/>
          <w:rtl/>
          <w:lang w:eastAsia="he-IL"/>
        </w:rPr>
        <w:t>האגרות</w:t>
      </w:r>
      <w:r w:rsidRPr="00F41E78">
        <w:rPr>
          <w:rFonts w:cs="FrankRuehl"/>
          <w:sz w:val="18"/>
          <w:szCs w:val="22"/>
          <w:rtl/>
          <w:lang w:eastAsia="he-IL"/>
        </w:rPr>
        <w:t xml:space="preserve">, </w:t>
      </w:r>
      <w:r w:rsidRPr="00F41E78">
        <w:rPr>
          <w:rFonts w:cs="FrankRuehl" w:hint="eastAsia"/>
          <w:sz w:val="18"/>
          <w:szCs w:val="22"/>
          <w:rtl/>
          <w:lang w:eastAsia="he-IL"/>
        </w:rPr>
        <w:t>היטלים</w:t>
      </w:r>
      <w:r w:rsidRPr="00F41E78">
        <w:rPr>
          <w:rFonts w:cs="FrankRuehl"/>
          <w:sz w:val="18"/>
          <w:szCs w:val="22"/>
          <w:rtl/>
          <w:lang w:eastAsia="he-IL"/>
        </w:rPr>
        <w:t xml:space="preserve"> </w:t>
      </w:r>
      <w:r w:rsidRPr="00F41E78">
        <w:rPr>
          <w:rFonts w:cs="FrankRuehl" w:hint="eastAsia"/>
          <w:sz w:val="18"/>
          <w:szCs w:val="22"/>
          <w:rtl/>
          <w:lang w:eastAsia="he-IL"/>
        </w:rPr>
        <w:t>ועלויות</w:t>
      </w:r>
      <w:r w:rsidRPr="00F41E78">
        <w:rPr>
          <w:rFonts w:cs="FrankRuehl"/>
          <w:sz w:val="18"/>
          <w:szCs w:val="22"/>
          <w:rtl/>
          <w:lang w:eastAsia="he-IL"/>
        </w:rPr>
        <w:t xml:space="preserve"> </w:t>
      </w:r>
      <w:r w:rsidRPr="00F41E78">
        <w:rPr>
          <w:rFonts w:cs="FrankRuehl" w:hint="eastAsia"/>
          <w:sz w:val="18"/>
          <w:szCs w:val="22"/>
          <w:rtl/>
          <w:lang w:eastAsia="he-IL"/>
        </w:rPr>
        <w:t>פיתוח</w:t>
      </w:r>
      <w:r w:rsidRPr="00F41E78">
        <w:rPr>
          <w:rFonts w:cs="FrankRuehl"/>
          <w:sz w:val="18"/>
          <w:szCs w:val="22"/>
          <w:rtl/>
          <w:lang w:eastAsia="he-IL"/>
        </w:rPr>
        <w:t xml:space="preserve"> </w:t>
      </w:r>
      <w:r w:rsidRPr="00F41E78">
        <w:rPr>
          <w:rFonts w:cs="FrankRuehl" w:hint="eastAsia"/>
          <w:sz w:val="18"/>
          <w:szCs w:val="22"/>
          <w:rtl/>
          <w:lang w:eastAsia="he-IL"/>
        </w:rPr>
        <w:t>תשתית</w:t>
      </w:r>
      <w:r w:rsidRPr="00F41E78">
        <w:rPr>
          <w:rFonts w:cs="FrankRuehl"/>
          <w:sz w:val="18"/>
          <w:szCs w:val="22"/>
          <w:rtl/>
          <w:lang w:eastAsia="he-IL"/>
        </w:rPr>
        <w:t xml:space="preserve"> </w:t>
      </w:r>
      <w:r w:rsidRPr="00F41E78">
        <w:rPr>
          <w:rFonts w:cs="FrankRuehl" w:hint="eastAsia"/>
          <w:sz w:val="18"/>
          <w:szCs w:val="22"/>
          <w:rtl/>
          <w:lang w:eastAsia="he-IL"/>
        </w:rPr>
        <w:t>מהוות</w:t>
      </w:r>
      <w:r w:rsidRPr="00F41E78">
        <w:rPr>
          <w:rFonts w:cs="FrankRuehl"/>
          <w:sz w:val="18"/>
          <w:szCs w:val="22"/>
          <w:rtl/>
          <w:lang w:eastAsia="he-IL"/>
        </w:rPr>
        <w:t xml:space="preserve"> </w:t>
      </w:r>
      <w:r w:rsidRPr="00F41E78">
        <w:rPr>
          <w:rFonts w:cs="FrankRuehl" w:hint="eastAsia"/>
          <w:sz w:val="18"/>
          <w:szCs w:val="22"/>
          <w:rtl/>
          <w:lang w:eastAsia="he-IL"/>
        </w:rPr>
        <w:t>בממוצע</w:t>
      </w:r>
      <w:r w:rsidRPr="00F41E78">
        <w:rPr>
          <w:rFonts w:cs="FrankRuehl"/>
          <w:sz w:val="18"/>
          <w:szCs w:val="22"/>
          <w:rtl/>
          <w:lang w:eastAsia="he-IL"/>
        </w:rPr>
        <w:t xml:space="preserve"> </w:t>
      </w:r>
      <w:r w:rsidRPr="00F41E78">
        <w:rPr>
          <w:rFonts w:cs="FrankRuehl" w:hint="eastAsia"/>
          <w:sz w:val="18"/>
          <w:szCs w:val="22"/>
          <w:rtl/>
          <w:lang w:eastAsia="he-IL"/>
        </w:rPr>
        <w:t>כ</w:t>
      </w:r>
      <w:r w:rsidRPr="00F41E78">
        <w:rPr>
          <w:rFonts w:cs="FrankRuehl"/>
          <w:sz w:val="18"/>
          <w:szCs w:val="22"/>
          <w:rtl/>
          <w:lang w:eastAsia="he-IL"/>
        </w:rPr>
        <w:t xml:space="preserve">-4.6% </w:t>
      </w:r>
      <w:r w:rsidRPr="00F41E78">
        <w:rPr>
          <w:rFonts w:cs="FrankRuehl" w:hint="eastAsia"/>
          <w:sz w:val="18"/>
          <w:szCs w:val="22"/>
          <w:rtl/>
          <w:lang w:eastAsia="he-IL"/>
        </w:rPr>
        <w:t>מתוכ</w:t>
      </w:r>
      <w:r w:rsidRPr="00F41E78">
        <w:rPr>
          <w:rFonts w:cs="FrankRuehl" w:hint="cs"/>
          <w:sz w:val="18"/>
          <w:szCs w:val="22"/>
          <w:rtl/>
          <w:lang w:eastAsia="he-IL"/>
        </w:rPr>
        <w:t>ן</w:t>
      </w:r>
      <w:r w:rsidRPr="00F41E78">
        <w:rPr>
          <w:rFonts w:cs="FrankRuehl"/>
          <w:sz w:val="18"/>
          <w:szCs w:val="22"/>
          <w:rtl/>
          <w:lang w:eastAsia="he-IL"/>
        </w:rPr>
        <w:t>)</w:t>
      </w:r>
      <w:r w:rsidRPr="00F41E78">
        <w:rPr>
          <w:rFonts w:cs="FrankRuehl" w:hint="cs"/>
          <w:sz w:val="18"/>
          <w:szCs w:val="22"/>
          <w:rtl/>
          <w:lang w:eastAsia="he-IL"/>
        </w:rPr>
        <w:t>, שיעור המסים הממשלתיים הוא כ-0.9% ממחיר הדירה ושיעור המע"ם כ-13.8% בממוצע ממחיר הדירה. בממוצע ארצי - עלויות אלו, שעליהן יש לממשלה השפעה ישירה, שיעורן כ-37% ממחיר הדירה. עוד נמצא במחקר כי באזור המרכז (לא כולל העיר תל אביב) שיעורן של עלויות הקרקע המושבחת והמפותחת בתוספת מע"ם הוא כ-38% ממחיר הדירה ובתל אביב כ-47%</w:t>
      </w:r>
      <w:r>
        <w:rPr>
          <w:rFonts w:cs="FrankRuehl"/>
          <w:sz w:val="18"/>
          <w:szCs w:val="22"/>
          <w:vertAlign w:val="superscript"/>
          <w:rtl/>
          <w:lang w:eastAsia="he-IL"/>
        </w:rPr>
        <w:footnoteReference w:id="148"/>
      </w:r>
      <w:r w:rsidRPr="00F41E78">
        <w:rPr>
          <w:rFonts w:cs="FrankRuehl" w:hint="cs"/>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נמצא כי משנת 2008, דהיינו בתקופה שחלה עלייה חדה במחירי הדירות, לא בחנו אגף הכלכלן הראשי, אג"ת ורשות המסים את רכיבי עלויות הבנייה למגורים ואת משקלם במחיר הדירה בכלל ואת שיעור המסים וחלקה של המדינה במחיר הדירה בפרט. יתרה מזאת, הם גם לא בחנו את מחירי הדירות לפי אזורים שונים ולא נעשתה כל הבחנה בין זכאים ובין משקיעים המספקים את הדירות הזמינות להשכרה. בחינה זו היא בגדר תשומה במסגרת תהליך קבלת ההחלטות, והיא מסייעת בין היתר לבחון אמצעים שיסייעו בפתרון מצוקת הדיור וכן לבחון מחדש את ההשפעה והאפקטיביות של האמצעים הננקטים בשוק המגורים בכלל ושל קביעת שיעורי המס השונים והפטורים הקבועים בחוקי המס בפרט. </w:t>
      </w:r>
    </w:p>
    <w:p w:rsidR="00E97EDA" w:rsidRPr="00F41E78" w:rsidP="004160DB">
      <w:pPr>
        <w:spacing w:after="240" w:line="230" w:lineRule="exact"/>
        <w:jc w:val="both"/>
        <w:rPr>
          <w:rFonts w:cs="FrankRuehl"/>
          <w:sz w:val="18"/>
          <w:szCs w:val="22"/>
          <w:rtl/>
          <w:lang w:eastAsia="he-IL"/>
        </w:rPr>
      </w:pPr>
      <w:r w:rsidRPr="00F41E78">
        <w:rPr>
          <w:rFonts w:cs="FrankRuehl" w:hint="cs"/>
          <w:sz w:val="18"/>
          <w:szCs w:val="22"/>
          <w:rtl/>
          <w:lang w:eastAsia="he-IL"/>
        </w:rPr>
        <w:t xml:space="preserve">בתשובת אגף הכלכלן הראשי נמסר שהטענה לפיה הממשלה משפיעה באופן ישיר על 37% לפחות ממחיר דירה, מרמזת על כך שיש ביכולתה להפחית את מחירי הדיור, </w:t>
      </w:r>
      <w:r w:rsidRPr="00F41E78">
        <w:rPr>
          <w:rFonts w:cs="FrankRuehl" w:hint="eastAsia"/>
          <w:sz w:val="18"/>
          <w:szCs w:val="22"/>
          <w:rtl/>
          <w:lang w:eastAsia="he-IL"/>
        </w:rPr>
        <w:t>תוך</w:t>
      </w:r>
      <w:r w:rsidRPr="00F41E78">
        <w:rPr>
          <w:rFonts w:cs="FrankRuehl"/>
          <w:sz w:val="18"/>
          <w:szCs w:val="22"/>
          <w:rtl/>
          <w:lang w:eastAsia="he-IL"/>
        </w:rPr>
        <w:t xml:space="preserve"> </w:t>
      </w:r>
      <w:r w:rsidRPr="00F41E78">
        <w:rPr>
          <w:rFonts w:cs="FrankRuehl" w:hint="eastAsia"/>
          <w:sz w:val="18"/>
          <w:szCs w:val="22"/>
          <w:rtl/>
          <w:lang w:eastAsia="he-IL"/>
        </w:rPr>
        <w:t>התעלמות</w:t>
      </w:r>
      <w:r w:rsidRPr="00F41E78">
        <w:rPr>
          <w:rFonts w:cs="FrankRuehl"/>
          <w:sz w:val="18"/>
          <w:szCs w:val="22"/>
          <w:rtl/>
          <w:lang w:eastAsia="he-IL"/>
        </w:rPr>
        <w:t xml:space="preserve"> </w:t>
      </w:r>
      <w:r w:rsidRPr="00F41E78">
        <w:rPr>
          <w:rFonts w:cs="FrankRuehl" w:hint="eastAsia"/>
          <w:sz w:val="18"/>
          <w:szCs w:val="22"/>
          <w:rtl/>
          <w:lang w:eastAsia="he-IL"/>
        </w:rPr>
        <w:t>מכך</w:t>
      </w:r>
      <w:r w:rsidRPr="00F41E78">
        <w:rPr>
          <w:rFonts w:cs="FrankRuehl"/>
          <w:sz w:val="18"/>
          <w:szCs w:val="22"/>
          <w:rtl/>
          <w:lang w:eastAsia="he-IL"/>
        </w:rPr>
        <w:t xml:space="preserve"> </w:t>
      </w:r>
      <w:r w:rsidRPr="00F41E78">
        <w:rPr>
          <w:rFonts w:cs="FrankRuehl" w:hint="eastAsia"/>
          <w:sz w:val="18"/>
          <w:szCs w:val="22"/>
          <w:rtl/>
          <w:lang w:eastAsia="he-IL"/>
        </w:rPr>
        <w:t>שהממשלה</w:t>
      </w:r>
      <w:r w:rsidRPr="00F41E78">
        <w:rPr>
          <w:rFonts w:cs="FrankRuehl"/>
          <w:sz w:val="18"/>
          <w:szCs w:val="22"/>
          <w:rtl/>
          <w:lang w:eastAsia="he-IL"/>
        </w:rPr>
        <w:t xml:space="preserve"> </w:t>
      </w:r>
      <w:r w:rsidRPr="00F41E78">
        <w:rPr>
          <w:rFonts w:cs="FrankRuehl" w:hint="eastAsia"/>
          <w:sz w:val="18"/>
          <w:szCs w:val="22"/>
          <w:rtl/>
          <w:lang w:eastAsia="he-IL"/>
        </w:rPr>
        <w:t>נותנת</w:t>
      </w:r>
      <w:r w:rsidRPr="00F41E78">
        <w:rPr>
          <w:rFonts w:cs="FrankRuehl"/>
          <w:sz w:val="18"/>
          <w:szCs w:val="22"/>
          <w:rtl/>
          <w:lang w:eastAsia="he-IL"/>
        </w:rPr>
        <w:t xml:space="preserve"> </w:t>
      </w:r>
      <w:r w:rsidRPr="00F41E78">
        <w:rPr>
          <w:rFonts w:cs="FrankRuehl" w:hint="eastAsia"/>
          <w:sz w:val="18"/>
          <w:szCs w:val="22"/>
          <w:rtl/>
          <w:lang w:eastAsia="he-IL"/>
        </w:rPr>
        <w:t>שירותים</w:t>
      </w:r>
      <w:r w:rsidRPr="00F41E78">
        <w:rPr>
          <w:rFonts w:cs="FrankRuehl"/>
          <w:sz w:val="18"/>
          <w:szCs w:val="22"/>
          <w:rtl/>
          <w:lang w:eastAsia="he-IL"/>
        </w:rPr>
        <w:t xml:space="preserve"> </w:t>
      </w:r>
      <w:r w:rsidRPr="00F41E78">
        <w:rPr>
          <w:rFonts w:cs="FrankRuehl" w:hint="eastAsia"/>
          <w:sz w:val="18"/>
          <w:szCs w:val="22"/>
          <w:rtl/>
          <w:lang w:eastAsia="he-IL"/>
        </w:rPr>
        <w:t>בתמורה</w:t>
      </w:r>
      <w:r w:rsidRPr="00F41E78">
        <w:rPr>
          <w:rFonts w:cs="FrankRuehl"/>
          <w:sz w:val="18"/>
          <w:szCs w:val="22"/>
          <w:rtl/>
          <w:lang w:eastAsia="he-IL"/>
        </w:rPr>
        <w:t xml:space="preserve"> (</w:t>
      </w:r>
      <w:r w:rsidRPr="00F41E78">
        <w:rPr>
          <w:rFonts w:cs="FrankRuehl" w:hint="eastAsia"/>
          <w:sz w:val="18"/>
          <w:szCs w:val="22"/>
          <w:rtl/>
          <w:lang w:eastAsia="he-IL"/>
        </w:rPr>
        <w:t>ביצוע</w:t>
      </w:r>
      <w:r w:rsidRPr="00F41E78">
        <w:rPr>
          <w:rFonts w:cs="FrankRuehl"/>
          <w:sz w:val="18"/>
          <w:szCs w:val="22"/>
          <w:rtl/>
          <w:lang w:eastAsia="he-IL"/>
        </w:rPr>
        <w:t xml:space="preserve"> </w:t>
      </w:r>
      <w:r w:rsidRPr="00F41E78">
        <w:rPr>
          <w:rFonts w:cs="FrankRuehl" w:hint="eastAsia"/>
          <w:sz w:val="18"/>
          <w:szCs w:val="22"/>
          <w:rtl/>
          <w:lang w:eastAsia="he-IL"/>
        </w:rPr>
        <w:t>עבודות</w:t>
      </w:r>
      <w:r w:rsidRPr="00F41E78">
        <w:rPr>
          <w:rFonts w:cs="FrankRuehl"/>
          <w:sz w:val="18"/>
          <w:szCs w:val="22"/>
          <w:rtl/>
          <w:lang w:eastAsia="he-IL"/>
        </w:rPr>
        <w:t xml:space="preserve"> פיתוח </w:t>
      </w:r>
      <w:r w:rsidRPr="00F41E78">
        <w:rPr>
          <w:rFonts w:cs="FrankRuehl" w:hint="eastAsia"/>
          <w:sz w:val="18"/>
          <w:szCs w:val="22"/>
          <w:rtl/>
          <w:lang w:eastAsia="he-IL"/>
        </w:rPr>
        <w:t>וכו</w:t>
      </w:r>
      <w:r w:rsidRPr="00F41E78">
        <w:rPr>
          <w:rFonts w:cs="FrankRuehl"/>
          <w:sz w:val="18"/>
          <w:szCs w:val="22"/>
          <w:rtl/>
          <w:lang w:eastAsia="he-IL"/>
        </w:rPr>
        <w:t xml:space="preserve">'), </w:t>
      </w:r>
      <w:r w:rsidRPr="00F41E78">
        <w:rPr>
          <w:rFonts w:cs="FrankRuehl" w:hint="eastAsia"/>
          <w:sz w:val="18"/>
          <w:szCs w:val="22"/>
          <w:rtl/>
          <w:lang w:eastAsia="he-IL"/>
        </w:rPr>
        <w:t>ומשמעות</w:t>
      </w:r>
      <w:r w:rsidRPr="00F41E78">
        <w:rPr>
          <w:rFonts w:cs="FrankRuehl"/>
          <w:sz w:val="18"/>
          <w:szCs w:val="22"/>
          <w:rtl/>
          <w:lang w:eastAsia="he-IL"/>
        </w:rPr>
        <w:t xml:space="preserve"> </w:t>
      </w:r>
      <w:r w:rsidRPr="00F41E78">
        <w:rPr>
          <w:rFonts w:cs="FrankRuehl" w:hint="eastAsia"/>
          <w:sz w:val="18"/>
          <w:szCs w:val="22"/>
          <w:rtl/>
          <w:lang w:eastAsia="he-IL"/>
        </w:rPr>
        <w:t>הצעד</w:t>
      </w:r>
      <w:r w:rsidRPr="00F41E78">
        <w:rPr>
          <w:rFonts w:cs="FrankRuehl"/>
          <w:sz w:val="18"/>
          <w:szCs w:val="22"/>
          <w:rtl/>
          <w:lang w:eastAsia="he-IL"/>
        </w:rPr>
        <w:t xml:space="preserve"> </w:t>
      </w:r>
      <w:r w:rsidRPr="00F41E78">
        <w:rPr>
          <w:rFonts w:cs="FrankRuehl" w:hint="eastAsia"/>
          <w:sz w:val="18"/>
          <w:szCs w:val="22"/>
          <w:rtl/>
          <w:lang w:eastAsia="he-IL"/>
        </w:rPr>
        <w:t>היא</w:t>
      </w:r>
      <w:r w:rsidRPr="00F41E78">
        <w:rPr>
          <w:rFonts w:cs="FrankRuehl"/>
          <w:sz w:val="18"/>
          <w:szCs w:val="22"/>
          <w:rtl/>
          <w:lang w:eastAsia="he-IL"/>
        </w:rPr>
        <w:t xml:space="preserve"> </w:t>
      </w:r>
      <w:r w:rsidRPr="00F41E78">
        <w:rPr>
          <w:rFonts w:cs="FrankRuehl" w:hint="eastAsia"/>
          <w:sz w:val="18"/>
          <w:szCs w:val="22"/>
          <w:rtl/>
          <w:lang w:eastAsia="he-IL"/>
        </w:rPr>
        <w:t>סבסוד</w:t>
      </w:r>
      <w:r w:rsidRPr="00F41E78">
        <w:rPr>
          <w:rFonts w:cs="FrankRuehl"/>
          <w:sz w:val="18"/>
          <w:szCs w:val="22"/>
          <w:rtl/>
          <w:lang w:eastAsia="he-IL"/>
        </w:rPr>
        <w:t xml:space="preserve"> </w:t>
      </w:r>
      <w:r w:rsidRPr="00F41E78">
        <w:rPr>
          <w:rFonts w:cs="FrankRuehl" w:hint="eastAsia"/>
          <w:sz w:val="18"/>
          <w:szCs w:val="22"/>
          <w:rtl/>
          <w:lang w:eastAsia="he-IL"/>
        </w:rPr>
        <w:t>ישיר</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בניית</w:t>
      </w:r>
      <w:r w:rsidRPr="00F41E78">
        <w:rPr>
          <w:rFonts w:cs="FrankRuehl"/>
          <w:sz w:val="18"/>
          <w:szCs w:val="22"/>
          <w:rtl/>
          <w:lang w:eastAsia="he-IL"/>
        </w:rPr>
        <w:t xml:space="preserve"> </w:t>
      </w:r>
      <w:r w:rsidRPr="00F41E78">
        <w:rPr>
          <w:rFonts w:cs="FrankRuehl" w:hint="eastAsia"/>
          <w:sz w:val="18"/>
          <w:szCs w:val="22"/>
          <w:rtl/>
          <w:lang w:eastAsia="he-IL"/>
        </w:rPr>
        <w:t>דירות</w:t>
      </w:r>
      <w:r w:rsidRPr="00F41E78">
        <w:rPr>
          <w:rFonts w:cs="FrankRuehl"/>
          <w:sz w:val="18"/>
          <w:szCs w:val="22"/>
          <w:rtl/>
          <w:lang w:eastAsia="he-IL"/>
        </w:rPr>
        <w:t xml:space="preserve"> </w:t>
      </w:r>
      <w:r w:rsidRPr="00F41E78">
        <w:rPr>
          <w:rFonts w:cs="FrankRuehl" w:hint="eastAsia"/>
          <w:sz w:val="18"/>
          <w:szCs w:val="22"/>
          <w:rtl/>
          <w:lang w:eastAsia="he-IL"/>
        </w:rPr>
        <w:t>על</w:t>
      </w:r>
      <w:r w:rsidRPr="00F41E78">
        <w:rPr>
          <w:rFonts w:cs="FrankRuehl"/>
          <w:sz w:val="18"/>
          <w:szCs w:val="22"/>
          <w:rtl/>
          <w:lang w:eastAsia="he-IL"/>
        </w:rPr>
        <w:t xml:space="preserve"> </w:t>
      </w:r>
      <w:r w:rsidRPr="00F41E78">
        <w:rPr>
          <w:rFonts w:cs="FrankRuehl" w:hint="eastAsia"/>
          <w:sz w:val="18"/>
          <w:szCs w:val="22"/>
          <w:rtl/>
          <w:lang w:eastAsia="he-IL"/>
        </w:rPr>
        <w:t>ידי</w:t>
      </w:r>
      <w:r w:rsidRPr="00F41E78">
        <w:rPr>
          <w:rFonts w:cs="FrankRuehl"/>
          <w:sz w:val="18"/>
          <w:szCs w:val="22"/>
          <w:rtl/>
          <w:lang w:eastAsia="he-IL"/>
        </w:rPr>
        <w:t xml:space="preserve"> </w:t>
      </w:r>
      <w:r w:rsidRPr="00F41E78">
        <w:rPr>
          <w:rFonts w:cs="FrankRuehl" w:hint="eastAsia"/>
          <w:sz w:val="18"/>
          <w:szCs w:val="22"/>
          <w:rtl/>
          <w:lang w:eastAsia="he-IL"/>
        </w:rPr>
        <w:t>הממשלה</w:t>
      </w:r>
      <w:r w:rsidRPr="00F41E78">
        <w:rPr>
          <w:rFonts w:cs="FrankRuehl"/>
          <w:sz w:val="18"/>
          <w:szCs w:val="22"/>
          <w:rtl/>
          <w:lang w:eastAsia="he-IL"/>
        </w:rPr>
        <w:t xml:space="preserve">, </w:t>
      </w:r>
      <w:r w:rsidRPr="00F41E78">
        <w:rPr>
          <w:rFonts w:cs="FrankRuehl" w:hint="eastAsia"/>
          <w:sz w:val="18"/>
          <w:szCs w:val="22"/>
          <w:rtl/>
          <w:lang w:eastAsia="he-IL"/>
        </w:rPr>
        <w:t>וכי</w:t>
      </w:r>
      <w:r w:rsidRPr="00F41E78">
        <w:rPr>
          <w:rFonts w:cs="FrankRuehl"/>
          <w:sz w:val="18"/>
          <w:szCs w:val="22"/>
          <w:rtl/>
          <w:lang w:eastAsia="he-IL"/>
        </w:rPr>
        <w:t xml:space="preserve"> </w:t>
      </w:r>
      <w:r w:rsidRPr="00F41E78">
        <w:rPr>
          <w:rFonts w:cs="FrankRuehl" w:hint="eastAsia"/>
          <w:sz w:val="18"/>
          <w:szCs w:val="22"/>
          <w:rtl/>
          <w:lang w:eastAsia="he-IL"/>
        </w:rPr>
        <w:t>הדבר</w:t>
      </w:r>
      <w:r w:rsidRPr="00F41E78">
        <w:rPr>
          <w:rFonts w:cs="FrankRuehl"/>
          <w:sz w:val="18"/>
          <w:szCs w:val="22"/>
          <w:rtl/>
          <w:lang w:eastAsia="he-IL"/>
        </w:rPr>
        <w:t xml:space="preserve"> </w:t>
      </w:r>
      <w:r w:rsidRPr="00F41E78">
        <w:rPr>
          <w:rFonts w:cs="FrankRuehl" w:hint="eastAsia"/>
          <w:sz w:val="18"/>
          <w:szCs w:val="22"/>
          <w:rtl/>
          <w:lang w:eastAsia="he-IL"/>
        </w:rPr>
        <w:t>יגרום</w:t>
      </w:r>
      <w:r w:rsidRPr="00F41E78">
        <w:rPr>
          <w:rFonts w:cs="FrankRuehl"/>
          <w:sz w:val="18"/>
          <w:szCs w:val="22"/>
          <w:rtl/>
          <w:lang w:eastAsia="he-IL"/>
        </w:rPr>
        <w:t xml:space="preserve"> </w:t>
      </w:r>
      <w:r w:rsidRPr="00F41E78">
        <w:rPr>
          <w:rFonts w:cs="FrankRuehl" w:hint="eastAsia"/>
          <w:sz w:val="18"/>
          <w:szCs w:val="22"/>
          <w:rtl/>
          <w:lang w:eastAsia="he-IL"/>
        </w:rPr>
        <w:t>להגברת</w:t>
      </w:r>
      <w:r w:rsidRPr="00F41E78">
        <w:rPr>
          <w:rFonts w:cs="FrankRuehl"/>
          <w:sz w:val="18"/>
          <w:szCs w:val="22"/>
          <w:rtl/>
          <w:lang w:eastAsia="he-IL"/>
        </w:rPr>
        <w:t xml:space="preserve"> </w:t>
      </w:r>
      <w:r w:rsidRPr="00F41E78">
        <w:rPr>
          <w:rFonts w:cs="FrankRuehl" w:hint="eastAsia"/>
          <w:sz w:val="18"/>
          <w:szCs w:val="22"/>
          <w:rtl/>
          <w:lang w:eastAsia="he-IL"/>
        </w:rPr>
        <w:t>הביקוש</w:t>
      </w:r>
      <w:r w:rsidRPr="00F41E78">
        <w:rPr>
          <w:rFonts w:cs="FrankRuehl"/>
          <w:sz w:val="18"/>
          <w:szCs w:val="22"/>
          <w:rtl/>
          <w:lang w:eastAsia="he-IL"/>
        </w:rPr>
        <w:t xml:space="preserve"> </w:t>
      </w:r>
      <w:r w:rsidRPr="00F41E78">
        <w:rPr>
          <w:rFonts w:cs="FrankRuehl" w:hint="eastAsia"/>
          <w:sz w:val="18"/>
          <w:szCs w:val="22"/>
          <w:rtl/>
          <w:lang w:eastAsia="he-IL"/>
        </w:rPr>
        <w:t>לדירות</w:t>
      </w:r>
      <w:r w:rsidRPr="00F41E78">
        <w:rPr>
          <w:rFonts w:cs="FrankRuehl"/>
          <w:sz w:val="18"/>
          <w:szCs w:val="22"/>
          <w:rtl/>
          <w:lang w:eastAsia="he-IL"/>
        </w:rPr>
        <w:t>.</w:t>
      </w:r>
      <w:r w:rsidRPr="00F41E78">
        <w:rPr>
          <w:rFonts w:cs="FrankRuehl" w:hint="cs"/>
          <w:sz w:val="18"/>
          <w:szCs w:val="22"/>
          <w:rtl/>
          <w:lang w:eastAsia="he-IL"/>
        </w:rPr>
        <w:t xml:space="preserve"> </w:t>
      </w:r>
    </w:p>
    <w:p w:rsidR="00D22B16" w:rsidRPr="00F41E78" w:rsidP="00D22B16">
      <w:pPr>
        <w:pStyle w:val="RESHET"/>
        <w:keepLines/>
        <w:rPr>
          <w:rtl/>
        </w:rPr>
      </w:pPr>
      <w:r w:rsidRPr="00F41E78">
        <w:rPr>
          <w:rFonts w:hint="cs"/>
          <w:rtl/>
        </w:rPr>
        <w:t>משרד מבקר המדינה מעיר לאגף הכלכלן הראשי, לאג"ת ולרשות המסים כי ראוי שייזמו מפעם לפעם מעקב ומחקר מעודכנים המציגים נתונים עדכניים על השינויים ברכיבי מחירי הדירות לצורך קביעת מדיניות מיסוי מקרקעין ותשומות לבחינת פתרונות למצוקת הדיור.</w:t>
      </w:r>
    </w:p>
    <w:p w:rsidR="00E97EDA" w:rsidRPr="00F41E78" w:rsidP="00A7557B">
      <w:pPr>
        <w:spacing w:after="120" w:line="230" w:lineRule="exact"/>
        <w:jc w:val="both"/>
        <w:rPr>
          <w:rFonts w:cs="FrankRuehl"/>
          <w:b/>
          <w:bCs/>
          <w:sz w:val="18"/>
          <w:szCs w:val="22"/>
          <w:rtl/>
          <w:lang w:eastAsia="he-IL"/>
        </w:rPr>
      </w:pPr>
    </w:p>
    <w:p w:rsidR="00E97EDA" w:rsidRPr="00E97EDA" w:rsidP="00A7557B">
      <w:pPr>
        <w:pStyle w:val="KOT4"/>
        <w:rPr>
          <w:rtl/>
          <w:lang w:eastAsia="he-IL"/>
        </w:rPr>
      </w:pPr>
      <w:r w:rsidRPr="00E97EDA">
        <w:rPr>
          <w:rFonts w:hint="cs"/>
          <w:rtl/>
          <w:lang w:eastAsia="he-IL"/>
        </w:rPr>
        <w:t>השימוש במס שבח ככלי בתחום הדיור</w:t>
      </w:r>
    </w:p>
    <w:p w:rsidR="00E97EDA" w:rsidRPr="00F41E78" w:rsidP="00A7557B">
      <w:pPr>
        <w:spacing w:after="120" w:line="230" w:lineRule="exact"/>
        <w:jc w:val="both"/>
        <w:rPr>
          <w:rFonts w:cs="FrankRuehl"/>
          <w:sz w:val="18"/>
          <w:szCs w:val="22"/>
          <w:rtl/>
          <w:lang w:eastAsia="he-IL"/>
        </w:rPr>
      </w:pPr>
      <w:r w:rsidRPr="00F41E78">
        <w:rPr>
          <w:rFonts w:cs="FrankRuehl" w:hint="eastAsia"/>
          <w:sz w:val="18"/>
          <w:szCs w:val="22"/>
          <w:rtl/>
          <w:lang w:eastAsia="he-IL"/>
        </w:rPr>
        <w:t>לפני</w:t>
      </w:r>
      <w:r w:rsidRPr="00F41E78">
        <w:rPr>
          <w:rFonts w:cs="FrankRuehl"/>
          <w:sz w:val="18"/>
          <w:szCs w:val="22"/>
          <w:rtl/>
          <w:lang w:eastAsia="he-IL"/>
        </w:rPr>
        <w:t xml:space="preserve"> </w:t>
      </w:r>
      <w:r w:rsidRPr="00F41E78">
        <w:rPr>
          <w:rFonts w:cs="FrankRuehl" w:hint="cs"/>
          <w:sz w:val="18"/>
          <w:szCs w:val="22"/>
          <w:rtl/>
          <w:lang w:eastAsia="he-IL"/>
        </w:rPr>
        <w:t>יותר</w:t>
      </w:r>
      <w:r w:rsidRPr="00F41E78">
        <w:rPr>
          <w:rFonts w:cs="FrankRuehl"/>
          <w:sz w:val="18"/>
          <w:szCs w:val="22"/>
          <w:rtl/>
          <w:lang w:eastAsia="he-IL"/>
        </w:rPr>
        <w:t xml:space="preserve"> </w:t>
      </w:r>
      <w:r w:rsidRPr="00F41E78">
        <w:rPr>
          <w:rFonts w:cs="FrankRuehl" w:hint="eastAsia"/>
          <w:sz w:val="18"/>
          <w:szCs w:val="22"/>
          <w:rtl/>
          <w:lang w:eastAsia="he-IL"/>
        </w:rPr>
        <w:t>מעשור</w:t>
      </w:r>
      <w:r w:rsidRPr="00F41E78">
        <w:rPr>
          <w:rFonts w:cs="FrankRuehl" w:hint="cs"/>
          <w:sz w:val="18"/>
          <w:szCs w:val="22"/>
          <w:rtl/>
          <w:lang w:eastAsia="he-IL"/>
        </w:rPr>
        <w:t>, בעקבות המלצות ועדת רבינוביץ</w:t>
      </w:r>
      <w:r>
        <w:rPr>
          <w:rFonts w:cs="FrankRuehl"/>
          <w:sz w:val="18"/>
          <w:szCs w:val="22"/>
          <w:vertAlign w:val="superscript"/>
          <w:rtl/>
          <w:lang w:eastAsia="he-IL"/>
        </w:rPr>
        <w:footnoteReference w:id="149"/>
      </w:r>
      <w:r w:rsidRPr="00F41E78">
        <w:rPr>
          <w:rFonts w:cs="FrankRuehl" w:hint="cs"/>
          <w:sz w:val="18"/>
          <w:szCs w:val="22"/>
          <w:rtl/>
          <w:lang w:eastAsia="he-IL"/>
        </w:rPr>
        <w:t xml:space="preserve"> תוקן חוק מיסוי מקרקעין</w:t>
      </w:r>
      <w:r>
        <w:rPr>
          <w:rFonts w:cs="FrankRuehl"/>
          <w:sz w:val="18"/>
          <w:szCs w:val="22"/>
          <w:vertAlign w:val="superscript"/>
          <w:rtl/>
          <w:lang w:eastAsia="he-IL"/>
        </w:rPr>
        <w:footnoteReference w:id="150"/>
      </w:r>
      <w:r w:rsidRPr="00F41E78">
        <w:rPr>
          <w:rFonts w:cs="FrankRuehl" w:hint="cs"/>
          <w:sz w:val="18"/>
          <w:szCs w:val="22"/>
          <w:rtl/>
          <w:lang w:eastAsia="he-IL"/>
        </w:rPr>
        <w:t xml:space="preserve"> </w:t>
      </w:r>
      <w:r w:rsidRPr="00F41E78">
        <w:rPr>
          <w:rFonts w:cs="FrankRuehl" w:hint="eastAsia"/>
          <w:sz w:val="18"/>
          <w:szCs w:val="22"/>
          <w:rtl/>
          <w:lang w:eastAsia="he-IL"/>
        </w:rPr>
        <w:t>ומס</w:t>
      </w:r>
      <w:r w:rsidRPr="00F41E78">
        <w:rPr>
          <w:rFonts w:cs="FrankRuehl"/>
          <w:sz w:val="18"/>
          <w:szCs w:val="22"/>
          <w:rtl/>
          <w:lang w:eastAsia="he-IL"/>
        </w:rPr>
        <w:t xml:space="preserve"> </w:t>
      </w:r>
      <w:r w:rsidRPr="00F41E78">
        <w:rPr>
          <w:rFonts w:cs="FrankRuehl" w:hint="eastAsia"/>
          <w:sz w:val="18"/>
          <w:szCs w:val="22"/>
          <w:rtl/>
          <w:lang w:eastAsia="he-IL"/>
        </w:rPr>
        <w:t>השבח</w:t>
      </w:r>
      <w:r w:rsidRPr="00F41E78">
        <w:rPr>
          <w:rFonts w:cs="FrankRuehl"/>
          <w:sz w:val="18"/>
          <w:szCs w:val="22"/>
          <w:rtl/>
          <w:lang w:eastAsia="he-IL"/>
        </w:rPr>
        <w:t xml:space="preserve"> </w:t>
      </w:r>
      <w:r w:rsidRPr="00F41E78">
        <w:rPr>
          <w:rFonts w:cs="FrankRuehl" w:hint="eastAsia"/>
          <w:sz w:val="18"/>
          <w:szCs w:val="22"/>
          <w:rtl/>
          <w:lang w:eastAsia="he-IL"/>
        </w:rPr>
        <w:t>הופחת</w:t>
      </w:r>
      <w:r w:rsidRPr="00F41E78">
        <w:rPr>
          <w:rFonts w:cs="FrankRuehl"/>
          <w:sz w:val="18"/>
          <w:szCs w:val="22"/>
          <w:rtl/>
          <w:lang w:eastAsia="he-IL"/>
        </w:rPr>
        <w:t xml:space="preserve"> </w:t>
      </w:r>
      <w:r w:rsidRPr="00F41E78">
        <w:rPr>
          <w:rFonts w:cs="FrankRuehl" w:hint="eastAsia"/>
          <w:sz w:val="18"/>
          <w:szCs w:val="22"/>
          <w:rtl/>
          <w:lang w:eastAsia="he-IL"/>
        </w:rPr>
        <w:t>בשיעור</w:t>
      </w:r>
      <w:r w:rsidRPr="00F41E78">
        <w:rPr>
          <w:rFonts w:cs="FrankRuehl"/>
          <w:sz w:val="18"/>
          <w:szCs w:val="22"/>
          <w:rtl/>
          <w:lang w:eastAsia="he-IL"/>
        </w:rPr>
        <w:t xml:space="preserve"> </w:t>
      </w:r>
      <w:r w:rsidRPr="00F41E78">
        <w:rPr>
          <w:rFonts w:cs="FrankRuehl" w:hint="eastAsia"/>
          <w:sz w:val="18"/>
          <w:szCs w:val="22"/>
          <w:rtl/>
          <w:lang w:eastAsia="he-IL"/>
        </w:rPr>
        <w:t>ניכר</w:t>
      </w:r>
      <w:r w:rsidRPr="00F41E78">
        <w:rPr>
          <w:rFonts w:cs="FrankRuehl"/>
          <w:sz w:val="18"/>
          <w:szCs w:val="22"/>
          <w:rtl/>
          <w:lang w:eastAsia="he-IL"/>
        </w:rPr>
        <w:t xml:space="preserve">: </w:t>
      </w:r>
      <w:r w:rsidRPr="00F41E78">
        <w:rPr>
          <w:rFonts w:cs="FrankRuehl" w:hint="eastAsia"/>
          <w:sz w:val="18"/>
          <w:szCs w:val="22"/>
          <w:rtl/>
          <w:lang w:eastAsia="he-IL"/>
        </w:rPr>
        <w:t>מהמס</w:t>
      </w:r>
      <w:r w:rsidRPr="00F41E78">
        <w:rPr>
          <w:rFonts w:cs="FrankRuehl"/>
          <w:sz w:val="18"/>
          <w:szCs w:val="22"/>
          <w:rtl/>
          <w:lang w:eastAsia="he-IL"/>
        </w:rPr>
        <w:t xml:space="preserve"> </w:t>
      </w:r>
      <w:r w:rsidRPr="00F41E78">
        <w:rPr>
          <w:rFonts w:cs="FrankRuehl" w:hint="eastAsia"/>
          <w:sz w:val="18"/>
          <w:szCs w:val="22"/>
          <w:rtl/>
          <w:lang w:eastAsia="he-IL"/>
        </w:rPr>
        <w:t>השולי</w:t>
      </w:r>
      <w:r w:rsidRPr="00F41E78">
        <w:rPr>
          <w:rFonts w:cs="FrankRuehl"/>
          <w:sz w:val="18"/>
          <w:szCs w:val="22"/>
          <w:rtl/>
          <w:lang w:eastAsia="he-IL"/>
        </w:rPr>
        <w:t xml:space="preserve"> </w:t>
      </w:r>
      <w:r w:rsidRPr="00F41E78">
        <w:rPr>
          <w:rFonts w:cs="FrankRuehl" w:hint="eastAsia"/>
          <w:sz w:val="18"/>
          <w:szCs w:val="22"/>
          <w:rtl/>
          <w:lang w:eastAsia="he-IL"/>
        </w:rPr>
        <w:t>שחל</w:t>
      </w:r>
      <w:r w:rsidRPr="00F41E78">
        <w:rPr>
          <w:rFonts w:cs="FrankRuehl"/>
          <w:sz w:val="18"/>
          <w:szCs w:val="22"/>
          <w:rtl/>
          <w:lang w:eastAsia="he-IL"/>
        </w:rPr>
        <w:t xml:space="preserve"> </w:t>
      </w:r>
      <w:r w:rsidRPr="00F41E78">
        <w:rPr>
          <w:rFonts w:cs="FrankRuehl" w:hint="eastAsia"/>
          <w:sz w:val="18"/>
          <w:szCs w:val="22"/>
          <w:rtl/>
          <w:lang w:eastAsia="he-IL"/>
        </w:rPr>
        <w:t>על</w:t>
      </w:r>
      <w:r w:rsidRPr="00F41E78">
        <w:rPr>
          <w:rFonts w:cs="FrankRuehl"/>
          <w:sz w:val="18"/>
          <w:szCs w:val="22"/>
          <w:rtl/>
          <w:lang w:eastAsia="he-IL"/>
        </w:rPr>
        <w:t xml:space="preserve"> </w:t>
      </w:r>
      <w:r w:rsidRPr="00F41E78">
        <w:rPr>
          <w:rFonts w:cs="FrankRuehl" w:hint="eastAsia"/>
          <w:sz w:val="18"/>
          <w:szCs w:val="22"/>
          <w:rtl/>
          <w:lang w:eastAsia="he-IL"/>
        </w:rPr>
        <w:t>האזרח</w:t>
      </w:r>
      <w:r w:rsidRPr="00F41E78">
        <w:rPr>
          <w:rFonts w:cs="FrankRuehl"/>
          <w:sz w:val="18"/>
          <w:szCs w:val="22"/>
          <w:rtl/>
          <w:lang w:eastAsia="he-IL"/>
        </w:rPr>
        <w:t xml:space="preserve"> </w:t>
      </w:r>
      <w:r w:rsidRPr="00F41E78">
        <w:rPr>
          <w:rFonts w:cs="FrankRuehl" w:hint="eastAsia"/>
          <w:sz w:val="18"/>
          <w:szCs w:val="22"/>
          <w:rtl/>
          <w:lang w:eastAsia="he-IL"/>
        </w:rPr>
        <w:t>או</w:t>
      </w:r>
      <w:r w:rsidRPr="00F41E78">
        <w:rPr>
          <w:rFonts w:cs="FrankRuehl"/>
          <w:sz w:val="18"/>
          <w:szCs w:val="22"/>
          <w:rtl/>
          <w:lang w:eastAsia="he-IL"/>
        </w:rPr>
        <w:t xml:space="preserve"> </w:t>
      </w:r>
      <w:r w:rsidRPr="00F41E78">
        <w:rPr>
          <w:rFonts w:cs="FrankRuehl" w:hint="eastAsia"/>
          <w:sz w:val="18"/>
          <w:szCs w:val="22"/>
          <w:rtl/>
          <w:lang w:eastAsia="he-IL"/>
        </w:rPr>
        <w:t>ממס</w:t>
      </w:r>
      <w:r w:rsidRPr="00F41E78">
        <w:rPr>
          <w:rFonts w:cs="FrankRuehl"/>
          <w:sz w:val="18"/>
          <w:szCs w:val="22"/>
          <w:rtl/>
          <w:lang w:eastAsia="he-IL"/>
        </w:rPr>
        <w:t xml:space="preserve"> </w:t>
      </w:r>
      <w:r w:rsidRPr="00F41E78">
        <w:rPr>
          <w:rFonts w:cs="FrankRuehl" w:hint="eastAsia"/>
          <w:sz w:val="18"/>
          <w:szCs w:val="22"/>
          <w:rtl/>
          <w:lang w:eastAsia="he-IL"/>
        </w:rPr>
        <w:t>החברות</w:t>
      </w:r>
      <w:r w:rsidRPr="00F41E78">
        <w:rPr>
          <w:rFonts w:cs="FrankRuehl"/>
          <w:sz w:val="18"/>
          <w:szCs w:val="22"/>
          <w:rtl/>
          <w:lang w:eastAsia="he-IL"/>
        </w:rPr>
        <w:t xml:space="preserve"> </w:t>
      </w:r>
      <w:r w:rsidRPr="00F41E78">
        <w:rPr>
          <w:rFonts w:cs="FrankRuehl" w:hint="eastAsia"/>
          <w:sz w:val="18"/>
          <w:szCs w:val="22"/>
          <w:rtl/>
          <w:lang w:eastAsia="he-IL"/>
        </w:rPr>
        <w:t>שחל</w:t>
      </w:r>
      <w:r w:rsidRPr="00F41E78">
        <w:rPr>
          <w:rFonts w:cs="FrankRuehl"/>
          <w:sz w:val="18"/>
          <w:szCs w:val="22"/>
          <w:rtl/>
          <w:lang w:eastAsia="he-IL"/>
        </w:rPr>
        <w:t xml:space="preserve"> </w:t>
      </w:r>
      <w:r w:rsidRPr="00F41E78">
        <w:rPr>
          <w:rFonts w:cs="FrankRuehl" w:hint="eastAsia"/>
          <w:sz w:val="18"/>
          <w:szCs w:val="22"/>
          <w:rtl/>
          <w:lang w:eastAsia="he-IL"/>
        </w:rPr>
        <w:t>על</w:t>
      </w:r>
      <w:r w:rsidRPr="00F41E78">
        <w:rPr>
          <w:rFonts w:cs="FrankRuehl"/>
          <w:sz w:val="18"/>
          <w:szCs w:val="22"/>
          <w:rtl/>
          <w:lang w:eastAsia="he-IL"/>
        </w:rPr>
        <w:t xml:space="preserve"> </w:t>
      </w:r>
      <w:r w:rsidRPr="00F41E78">
        <w:rPr>
          <w:rFonts w:cs="FrankRuehl" w:hint="eastAsia"/>
          <w:sz w:val="18"/>
          <w:szCs w:val="22"/>
          <w:rtl/>
          <w:lang w:eastAsia="he-IL"/>
        </w:rPr>
        <w:t>חברה</w:t>
      </w:r>
      <w:r w:rsidRPr="00F41E78">
        <w:rPr>
          <w:rFonts w:cs="FrankRuehl"/>
          <w:sz w:val="18"/>
          <w:szCs w:val="22"/>
          <w:rtl/>
          <w:lang w:eastAsia="he-IL"/>
        </w:rPr>
        <w:t>, לשיעור של 25% על השבח הריאלי שיחושב באופן ליניארי</w:t>
      </w:r>
      <w:r>
        <w:rPr>
          <w:rFonts w:cs="FrankRuehl"/>
          <w:sz w:val="18"/>
          <w:szCs w:val="22"/>
          <w:vertAlign w:val="superscript"/>
          <w:rtl/>
          <w:lang w:eastAsia="he-IL"/>
        </w:rPr>
        <w:footnoteReference w:id="151"/>
      </w:r>
      <w:r w:rsidRPr="00F41E78">
        <w:rPr>
          <w:rFonts w:cs="FrankRuehl" w:hint="cs"/>
          <w:sz w:val="18"/>
          <w:szCs w:val="22"/>
          <w:rtl/>
          <w:lang w:eastAsia="he-IL"/>
        </w:rPr>
        <w:t xml:space="preserve"> למן היום הקובע והלאה. זאת מתוך רצון לשפר את רמת הוודאות ולהאיץ את הפעילות בענף הנדל"ן. ועדה שנייה שהוקמה הובילה למיסוי פרסונלי במקום המיסוי הטריטוריאלי והטלת מס על רווחי הון בבורסה</w:t>
      </w:r>
      <w:r>
        <w:rPr>
          <w:rFonts w:cs="FrankRuehl"/>
          <w:sz w:val="18"/>
          <w:szCs w:val="22"/>
          <w:vertAlign w:val="superscript"/>
          <w:rtl/>
          <w:lang w:eastAsia="he-IL"/>
        </w:rPr>
        <w:footnoteReference w:id="152"/>
      </w:r>
      <w:r w:rsidRPr="00F41E78">
        <w:rPr>
          <w:rFonts w:cs="FrankRuehl" w:hint="cs"/>
          <w:sz w:val="18"/>
          <w:szCs w:val="22"/>
          <w:rtl/>
          <w:lang w:eastAsia="he-IL"/>
        </w:rPr>
        <w:t xml:space="preserve">. </w:t>
      </w:r>
    </w:p>
    <w:p w:rsidR="00711180" w:rsidRPr="00F41E78" w:rsidP="00A7557B">
      <w:pPr>
        <w:spacing w:after="120" w:line="230" w:lineRule="exact"/>
        <w:jc w:val="both"/>
        <w:rPr>
          <w:rFonts w:cs="FrankRuehl"/>
          <w:sz w:val="18"/>
          <w:szCs w:val="22"/>
          <w:rtl/>
          <w:lang w:eastAsia="he-IL"/>
        </w:rPr>
      </w:pPr>
    </w:p>
    <w:p w:rsidR="00E97EDA" w:rsidRPr="00E97EDA" w:rsidP="00A7557B">
      <w:pPr>
        <w:pStyle w:val="KOT5"/>
        <w:rPr>
          <w:rtl/>
        </w:rPr>
      </w:pPr>
      <w:r w:rsidRPr="00E97EDA">
        <w:rPr>
          <w:rFonts w:hint="cs"/>
          <w:rtl/>
        </w:rPr>
        <w:t>השינויים במגמות של רכישת דירות להשקעה בעקבות הרפורמות במס</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השילוב של הפחתת מס השבח על דירות עם הטלת מס על אפיקי השקעה אחרים בשוק ההון עודד את הציבור לבחון את אפשרויות ההשקעה בדירות להשכרה. עוד יש לציין שעל רקע העלייה הגדולה מברית המועצות ניתנו בשנות התשעים של המאה העשרים פטורים נוספים שהביאו להקלות במס לצורך השקעה בדירות להשכרה. במועד סיום הביקורת עדיין </w:t>
      </w:r>
      <w:r w:rsidRPr="00F41E78">
        <w:rPr>
          <w:rFonts w:cs="FrankRuehl" w:hint="eastAsia"/>
          <w:sz w:val="18"/>
          <w:szCs w:val="22"/>
          <w:rtl/>
          <w:lang w:eastAsia="he-IL"/>
        </w:rPr>
        <w:t>היו</w:t>
      </w:r>
      <w:r w:rsidRPr="00F41E78">
        <w:rPr>
          <w:rFonts w:cs="FrankRuehl" w:hint="cs"/>
          <w:sz w:val="18"/>
          <w:szCs w:val="22"/>
          <w:rtl/>
          <w:lang w:eastAsia="he-IL"/>
        </w:rPr>
        <w:t xml:space="preserve"> כמה מהן תקפות:</w:t>
      </w:r>
    </w:p>
    <w:p w:rsidR="00E97EDA" w:rsidRPr="00F41E78" w:rsidP="004160DB">
      <w:pPr>
        <w:spacing w:after="120" w:line="230" w:lineRule="exact"/>
        <w:ind w:left="340" w:hanging="340"/>
        <w:jc w:val="both"/>
        <w:rPr>
          <w:rFonts w:cs="FrankRuehl"/>
          <w:sz w:val="18"/>
          <w:szCs w:val="22"/>
          <w:lang w:eastAsia="he-IL"/>
        </w:rPr>
      </w:pPr>
      <w:r w:rsidRPr="00F41E78">
        <w:rPr>
          <w:rFonts w:cs="FrankRuehl" w:hint="cs"/>
          <w:sz w:val="18"/>
          <w:szCs w:val="22"/>
          <w:rtl/>
          <w:lang w:eastAsia="he-IL"/>
        </w:rPr>
        <w:t>1.</w:t>
      </w:r>
      <w:r w:rsidRPr="00F41E78">
        <w:rPr>
          <w:rFonts w:cs="FrankRuehl" w:hint="cs"/>
          <w:sz w:val="18"/>
          <w:szCs w:val="22"/>
          <w:rtl/>
          <w:lang w:eastAsia="he-IL"/>
        </w:rPr>
        <w:tab/>
        <w:t>פטור ממס שבח במכירת דירת מגורים - בשנת 1992 חוקקה הוראת שעה</w:t>
      </w:r>
      <w:r>
        <w:rPr>
          <w:rFonts w:cs="FrankRuehl"/>
          <w:sz w:val="18"/>
          <w:szCs w:val="22"/>
          <w:vertAlign w:val="superscript"/>
          <w:rtl/>
          <w:lang w:eastAsia="he-IL"/>
        </w:rPr>
        <w:footnoteReference w:id="153"/>
      </w:r>
      <w:r w:rsidRPr="00F41E78">
        <w:rPr>
          <w:rFonts w:cs="FrankRuehl" w:hint="cs"/>
          <w:sz w:val="18"/>
          <w:szCs w:val="22"/>
          <w:rtl/>
          <w:lang w:eastAsia="he-IL"/>
        </w:rPr>
        <w:t xml:space="preserve"> למתן פטור ממס שבח במכירת דירת מגורים, שאפשרה בתנאים מסוימים מכירה של עד שתי דירות מגורים בשנה בפטור ממס שבח. כשפג תוקפה של הוראת השעה תוקן חוק מיסוי מקרקעין</w:t>
      </w:r>
      <w:r>
        <w:rPr>
          <w:rFonts w:cs="FrankRuehl"/>
          <w:sz w:val="18"/>
          <w:szCs w:val="22"/>
          <w:vertAlign w:val="superscript"/>
          <w:rtl/>
          <w:lang w:eastAsia="he-IL"/>
        </w:rPr>
        <w:footnoteReference w:id="154"/>
      </w:r>
      <w:r w:rsidRPr="00F41E78">
        <w:rPr>
          <w:rFonts w:cs="FrankRuehl" w:hint="cs"/>
          <w:sz w:val="18"/>
          <w:szCs w:val="22"/>
          <w:rtl/>
          <w:lang w:eastAsia="he-IL"/>
        </w:rPr>
        <w:t xml:space="preserve"> והוסדרו הוראות פטור ממס שבח במכירת דירה. אחת האפשרויות לפטור התקיימה במקרה שהמוכר לא מכר בארבע השנים שקדמו למכירה האמורה דירת מגורים אחרת בפטור ממס.</w:t>
      </w:r>
    </w:p>
    <w:p w:rsidR="00E97EDA" w:rsidRPr="00F41E78" w:rsidP="004160DB">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2.</w:t>
      </w:r>
      <w:r w:rsidRPr="00F41E78">
        <w:rPr>
          <w:rFonts w:cs="FrankRuehl" w:hint="cs"/>
          <w:sz w:val="18"/>
          <w:szCs w:val="22"/>
          <w:rtl/>
          <w:lang w:eastAsia="he-IL"/>
        </w:rPr>
        <w:tab/>
        <w:t>פטור ממס למשקיעים פרטיים על הכנסה משכר דירה למגורים</w:t>
      </w:r>
      <w:r>
        <w:rPr>
          <w:rFonts w:cs="FrankRuehl"/>
          <w:sz w:val="18"/>
          <w:szCs w:val="22"/>
          <w:vertAlign w:val="superscript"/>
          <w:rtl/>
          <w:lang w:eastAsia="he-IL"/>
        </w:rPr>
        <w:footnoteReference w:id="155"/>
      </w:r>
      <w:r w:rsidRPr="00F41E78">
        <w:rPr>
          <w:rFonts w:cs="FrankRuehl" w:hint="cs"/>
          <w:sz w:val="18"/>
          <w:szCs w:val="22"/>
          <w:rtl/>
          <w:lang w:eastAsia="he-IL"/>
        </w:rPr>
        <w:t xml:space="preserve"> - הפטור ממס ניתן ליחיד כהוראת שעה, על הכנסה שסכומה מוגבל</w:t>
      </w:r>
      <w:r>
        <w:rPr>
          <w:rFonts w:cs="FrankRuehl"/>
          <w:sz w:val="18"/>
          <w:szCs w:val="22"/>
          <w:vertAlign w:val="superscript"/>
          <w:rtl/>
          <w:lang w:eastAsia="he-IL"/>
        </w:rPr>
        <w:footnoteReference w:id="156"/>
      </w:r>
      <w:r w:rsidRPr="00F41E78">
        <w:rPr>
          <w:rFonts w:cs="FrankRuehl" w:hint="cs"/>
          <w:sz w:val="18"/>
          <w:szCs w:val="22"/>
          <w:rtl/>
          <w:lang w:eastAsia="he-IL"/>
        </w:rPr>
        <w:t xml:space="preserve">, מהשכרת דירת מגורים </w:t>
      </w:r>
      <w:r w:rsidRPr="00F41E78">
        <w:rPr>
          <w:rFonts w:cs="FrankRuehl"/>
          <w:sz w:val="18"/>
          <w:szCs w:val="22"/>
          <w:rtl/>
          <w:lang w:eastAsia="he-IL"/>
        </w:rPr>
        <w:t>עבור</w:t>
      </w:r>
      <w:r w:rsidRPr="00F41E78">
        <w:rPr>
          <w:rFonts w:cs="FrankRuehl" w:hint="cs"/>
          <w:sz w:val="18"/>
          <w:szCs w:val="22"/>
          <w:rtl/>
          <w:lang w:eastAsia="he-IL"/>
        </w:rPr>
        <w:t xml:space="preserve"> חודש השכרה כלשהו בשנת מס. בשנת 2007, במסגרת </w:t>
      </w:r>
      <w:r w:rsidRPr="00F41E78">
        <w:rPr>
          <w:rFonts w:cs="FrankRuehl" w:hint="eastAsia"/>
          <w:sz w:val="18"/>
          <w:szCs w:val="22"/>
          <w:rtl/>
          <w:lang w:eastAsia="he-IL"/>
        </w:rPr>
        <w:t>חוק</w:t>
      </w:r>
      <w:r w:rsidRPr="00F41E78">
        <w:rPr>
          <w:rFonts w:cs="FrankRuehl"/>
          <w:sz w:val="18"/>
          <w:szCs w:val="22"/>
          <w:rtl/>
          <w:lang w:eastAsia="he-IL"/>
        </w:rPr>
        <w:t xml:space="preserve"> </w:t>
      </w:r>
      <w:r w:rsidRPr="00F41E78">
        <w:rPr>
          <w:rFonts w:cs="FrankRuehl" w:hint="eastAsia"/>
          <w:sz w:val="18"/>
          <w:szCs w:val="22"/>
          <w:rtl/>
          <w:lang w:eastAsia="he-IL"/>
        </w:rPr>
        <w:t>ההסדרים</w:t>
      </w:r>
      <w:r w:rsidRPr="00F41E78">
        <w:rPr>
          <w:rFonts w:cs="FrankRuehl" w:hint="cs"/>
          <w:sz w:val="18"/>
          <w:szCs w:val="22"/>
          <w:rtl/>
          <w:lang w:eastAsia="he-IL"/>
        </w:rPr>
        <w:t>, הפך החוק</w:t>
      </w:r>
      <w:r>
        <w:rPr>
          <w:rFonts w:cs="FrankRuehl"/>
          <w:sz w:val="18"/>
          <w:szCs w:val="22"/>
          <w:vertAlign w:val="superscript"/>
          <w:rtl/>
          <w:lang w:eastAsia="he-IL"/>
        </w:rPr>
        <w:footnoteReference w:id="157"/>
      </w:r>
      <w:r w:rsidRPr="00F41E78">
        <w:rPr>
          <w:rFonts w:cs="FrankRuehl" w:hint="cs"/>
          <w:sz w:val="18"/>
          <w:szCs w:val="22"/>
          <w:rtl/>
          <w:lang w:eastAsia="he-IL"/>
        </w:rPr>
        <w:t xml:space="preserve"> להוראה של קבע בין השאר על מנת ליצור ודאות ויציבות </w:t>
      </w:r>
      <w:r w:rsidRPr="00F41E78">
        <w:rPr>
          <w:rFonts w:cs="FrankRuehl" w:hint="eastAsia"/>
          <w:sz w:val="18"/>
          <w:szCs w:val="22"/>
          <w:rtl/>
          <w:lang w:eastAsia="he-IL"/>
        </w:rPr>
        <w:t>בעניין</w:t>
      </w:r>
      <w:r w:rsidRPr="00F41E78">
        <w:rPr>
          <w:rFonts w:cs="FrankRuehl"/>
          <w:sz w:val="18"/>
          <w:szCs w:val="22"/>
          <w:rtl/>
          <w:lang w:eastAsia="he-IL"/>
        </w:rPr>
        <w:t xml:space="preserve"> </w:t>
      </w:r>
      <w:r w:rsidRPr="00F41E78">
        <w:rPr>
          <w:rFonts w:cs="FrankRuehl" w:hint="eastAsia"/>
          <w:sz w:val="18"/>
          <w:szCs w:val="22"/>
          <w:rtl/>
          <w:lang w:eastAsia="he-IL"/>
        </w:rPr>
        <w:t>זה</w:t>
      </w:r>
      <w:r w:rsidRPr="00F41E78">
        <w:rPr>
          <w:rFonts w:cs="FrankRuehl" w:hint="cs"/>
          <w:sz w:val="18"/>
          <w:szCs w:val="22"/>
          <w:rtl/>
          <w:lang w:eastAsia="he-IL"/>
        </w:rPr>
        <w:t>.</w:t>
      </w:r>
    </w:p>
    <w:p w:rsidR="00E97EDA" w:rsidRPr="00F41E78" w:rsidP="004160DB">
      <w:pPr>
        <w:spacing w:after="240" w:line="230" w:lineRule="exact"/>
        <w:jc w:val="both"/>
        <w:rPr>
          <w:rFonts w:cs="FrankRuehl"/>
          <w:sz w:val="18"/>
          <w:szCs w:val="22"/>
          <w:u w:val="single"/>
          <w:rtl/>
          <w:lang w:eastAsia="he-IL"/>
        </w:rPr>
      </w:pPr>
      <w:r w:rsidRPr="00F41E78">
        <w:rPr>
          <w:rFonts w:cs="FrankRuehl" w:hint="cs"/>
          <w:sz w:val="18"/>
          <w:szCs w:val="22"/>
          <w:rtl/>
          <w:lang w:eastAsia="he-IL"/>
        </w:rPr>
        <w:t xml:space="preserve">התרשים להלן מדגים את הצלחת מדיניות המסים בעידוד רכישת דירות להשקעה בשנים </w:t>
      </w:r>
      <w:r w:rsidR="004160DB">
        <w:rPr>
          <w:rFonts w:cs="FrankRuehl"/>
          <w:sz w:val="18"/>
          <w:szCs w:val="22"/>
          <w:rtl/>
          <w:lang w:eastAsia="he-IL"/>
        </w:rPr>
        <w:br/>
      </w:r>
      <w:r w:rsidRPr="00F41E78">
        <w:rPr>
          <w:rFonts w:cs="FrankRuehl" w:hint="cs"/>
          <w:sz w:val="18"/>
          <w:szCs w:val="22"/>
          <w:rtl/>
          <w:lang w:eastAsia="he-IL"/>
        </w:rPr>
        <w:t xml:space="preserve">2012-2002 </w:t>
      </w:r>
      <w:r w:rsidRPr="00F41E78">
        <w:rPr>
          <w:rFonts w:cs="FrankRuehl" w:hint="eastAsia"/>
          <w:sz w:val="18"/>
          <w:szCs w:val="22"/>
          <w:rtl/>
          <w:lang w:eastAsia="he-IL"/>
        </w:rPr>
        <w:t>בעלייה</w:t>
      </w:r>
      <w:r w:rsidRPr="00F41E78">
        <w:rPr>
          <w:rFonts w:cs="FrankRuehl"/>
          <w:sz w:val="18"/>
          <w:szCs w:val="22"/>
          <w:rtl/>
          <w:lang w:eastAsia="he-IL"/>
        </w:rPr>
        <w:t xml:space="preserve"> </w:t>
      </w:r>
      <w:r w:rsidRPr="00F41E78">
        <w:rPr>
          <w:rFonts w:cs="FrankRuehl" w:hint="eastAsia"/>
          <w:sz w:val="18"/>
          <w:szCs w:val="22"/>
          <w:rtl/>
          <w:lang w:eastAsia="he-IL"/>
        </w:rPr>
        <w:t>הניכרת</w:t>
      </w:r>
      <w:r w:rsidRPr="00F41E78">
        <w:rPr>
          <w:rFonts w:cs="FrankRuehl"/>
          <w:sz w:val="18"/>
          <w:szCs w:val="22"/>
          <w:rtl/>
          <w:lang w:eastAsia="he-IL"/>
        </w:rPr>
        <w:t xml:space="preserve"> </w:t>
      </w:r>
      <w:r w:rsidRPr="00F41E78">
        <w:rPr>
          <w:rFonts w:cs="FrankRuehl" w:hint="eastAsia"/>
          <w:sz w:val="18"/>
          <w:szCs w:val="22"/>
          <w:rtl/>
          <w:lang w:eastAsia="he-IL"/>
        </w:rPr>
        <w:t>במספר</w:t>
      </w:r>
      <w:r w:rsidRPr="00F41E78">
        <w:rPr>
          <w:rFonts w:cs="FrankRuehl"/>
          <w:sz w:val="18"/>
          <w:szCs w:val="22"/>
          <w:rtl/>
          <w:lang w:eastAsia="he-IL"/>
        </w:rPr>
        <w:t xml:space="preserve"> </w:t>
      </w:r>
      <w:r w:rsidRPr="00F41E78">
        <w:rPr>
          <w:rFonts w:cs="FrankRuehl" w:hint="eastAsia"/>
          <w:sz w:val="18"/>
          <w:szCs w:val="22"/>
          <w:rtl/>
          <w:lang w:eastAsia="he-IL"/>
        </w:rPr>
        <w:t>הדירות</w:t>
      </w:r>
      <w:r w:rsidRPr="00F41E78">
        <w:rPr>
          <w:rFonts w:cs="FrankRuehl"/>
          <w:sz w:val="18"/>
          <w:szCs w:val="22"/>
          <w:rtl/>
          <w:lang w:eastAsia="he-IL"/>
        </w:rPr>
        <w:t xml:space="preserve"> </w:t>
      </w:r>
      <w:r w:rsidRPr="00F41E78">
        <w:rPr>
          <w:rFonts w:cs="FrankRuehl" w:hint="eastAsia"/>
          <w:sz w:val="18"/>
          <w:szCs w:val="22"/>
          <w:rtl/>
          <w:lang w:eastAsia="he-IL"/>
        </w:rPr>
        <w:t>שנרכשו</w:t>
      </w:r>
      <w:r w:rsidRPr="00F41E78">
        <w:rPr>
          <w:rFonts w:cs="FrankRuehl"/>
          <w:sz w:val="18"/>
          <w:szCs w:val="22"/>
          <w:rtl/>
          <w:lang w:eastAsia="he-IL"/>
        </w:rPr>
        <w:t xml:space="preserve"> </w:t>
      </w:r>
      <w:r w:rsidRPr="00F41E78">
        <w:rPr>
          <w:rFonts w:cs="FrankRuehl" w:hint="eastAsia"/>
          <w:sz w:val="18"/>
          <w:szCs w:val="22"/>
          <w:rtl/>
          <w:lang w:eastAsia="he-IL"/>
        </w:rPr>
        <w:t>לשם</w:t>
      </w:r>
      <w:r w:rsidRPr="00F41E78">
        <w:rPr>
          <w:rFonts w:cs="FrankRuehl"/>
          <w:sz w:val="18"/>
          <w:szCs w:val="22"/>
          <w:rtl/>
          <w:lang w:eastAsia="he-IL"/>
        </w:rPr>
        <w:t xml:space="preserve"> </w:t>
      </w:r>
      <w:r w:rsidRPr="00F41E78">
        <w:rPr>
          <w:rFonts w:cs="FrankRuehl" w:hint="eastAsia"/>
          <w:sz w:val="18"/>
          <w:szCs w:val="22"/>
          <w:rtl/>
          <w:lang w:eastAsia="he-IL"/>
        </w:rPr>
        <w:t>השקעה</w:t>
      </w:r>
      <w:r w:rsidRPr="00F41E78">
        <w:rPr>
          <w:rFonts w:cs="FrankRuehl"/>
          <w:sz w:val="18"/>
          <w:szCs w:val="22"/>
          <w:rtl/>
          <w:lang w:eastAsia="he-IL"/>
        </w:rPr>
        <w:t>.</w:t>
      </w:r>
      <w:r w:rsidRPr="00F41E78">
        <w:rPr>
          <w:rFonts w:cs="FrankRuehl" w:hint="cs"/>
          <w:sz w:val="18"/>
          <w:szCs w:val="22"/>
          <w:u w:val="single"/>
          <w:rtl/>
          <w:lang w:eastAsia="he-IL"/>
        </w:rPr>
        <w:t xml:space="preserve"> </w:t>
      </w:r>
    </w:p>
    <w:p w:rsidR="00143E57" w:rsidRPr="00687567" w:rsidP="004160DB">
      <w:pPr>
        <w:spacing w:after="240" w:line="240" w:lineRule="atLeast"/>
        <w:ind w:left="12"/>
        <w:jc w:val="center"/>
        <w:rPr>
          <w:rFonts w:ascii="Arial" w:hAnsi="Arial" w:cs="Arial"/>
          <w:u w:val="single"/>
          <w:rtl/>
          <w:lang w:eastAsia="he-IL"/>
        </w:rPr>
      </w:pPr>
      <w:r>
        <w:rPr>
          <w:noProof/>
        </w:rPr>
        <w:pict>
          <v:shape id="_x0000_i1045" type="#_x0000_t75" style="width:340pt;height:204.5pt">
            <v:imagedata r:id="rId33" o:title="B1-6-C9"/>
          </v:shape>
        </w:pic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מנתוני אגף הכלכלן הראשי עולה שבשנים 2007-2002 הוכפל מספר הדירות שנרכשו להשקעה</w:t>
      </w:r>
      <w:r>
        <w:rPr>
          <w:rFonts w:cs="FrankRuehl"/>
          <w:sz w:val="18"/>
          <w:szCs w:val="22"/>
          <w:vertAlign w:val="superscript"/>
          <w:rtl/>
          <w:lang w:eastAsia="he-IL"/>
        </w:rPr>
        <w:footnoteReference w:id="158"/>
      </w:r>
      <w:r w:rsidRPr="00F41E78">
        <w:rPr>
          <w:rFonts w:cs="FrankRuehl" w:hint="cs"/>
          <w:sz w:val="18"/>
          <w:szCs w:val="22"/>
          <w:rtl/>
          <w:lang w:eastAsia="he-IL"/>
        </w:rPr>
        <w:t xml:space="preserve"> מכ-14,000 בשנת 2002 למספר שיא של כ-29,000 בשנת 2007. שיעור הדירות שנרכשו להשקעה עלה לשיא של כ-33% ברבעון השני של 2009 ושיעורו הממוצע באותה שנה היה כ-31% לעומת שיעור של כ-22.4% בלבד בשנת 2002. מניתוח נתונים שעשה אגף הכלכלן הראשי</w:t>
      </w:r>
      <w:r>
        <w:rPr>
          <w:rFonts w:cs="FrankRuehl"/>
          <w:sz w:val="18"/>
          <w:szCs w:val="22"/>
          <w:vertAlign w:val="superscript"/>
          <w:rtl/>
          <w:lang w:eastAsia="he-IL"/>
        </w:rPr>
        <w:footnoteReference w:id="159"/>
      </w:r>
      <w:r w:rsidRPr="00F41E78">
        <w:rPr>
          <w:rFonts w:cs="FrankRuehl" w:hint="cs"/>
          <w:sz w:val="18"/>
          <w:szCs w:val="22"/>
          <w:rtl/>
          <w:lang w:eastAsia="he-IL"/>
        </w:rPr>
        <w:t xml:space="preserve"> עולה כי בשנים 2009-2002 שני גורמים מרכזיים גרמו לגידול בשיעור הדירות שנרכשו להשקעה - הרפורמות בעקבות החלטות הוועדה למיסוי מקרקעין והוועדה למיסוי שוק ההון והמשבר הפיננסי שפרץ בסוף 2007. הקיטון בשנת 2011 מקורו בהעלאת הריבית שקבע בנק ישראל בשנה זו, בצעדי המיסוי להגדלת מס רכישה ובכוונה לבטל פטורים ממס שבח במכירת דירה בשנת 2011. מהנתונים עולה כי שיעור המשקיעים מכלל רוכשי הדירות למגורים בשנים 2012-2011 ירד בכ-7-6 נקודות אחוז לעומת 2009. לפי דוח מינהל הכנסות המדינה לשנים 2012-2011 חלק מהירידה הושפע מצעדי מיסוי שמשרד האוצר החל ליזום בשנת 2010 כמתואר להלן. </w:t>
      </w:r>
    </w:p>
    <w:p w:rsidR="00E97EDA" w:rsidRPr="00F41E78" w:rsidP="00A7557B">
      <w:pPr>
        <w:spacing w:after="120" w:line="230" w:lineRule="exact"/>
        <w:jc w:val="both"/>
        <w:rPr>
          <w:rFonts w:cs="FrankRuehl"/>
          <w:sz w:val="18"/>
          <w:szCs w:val="22"/>
          <w:rtl/>
          <w:lang w:eastAsia="he-IL"/>
        </w:rPr>
      </w:pPr>
    </w:p>
    <w:p w:rsidR="00E97EDA" w:rsidRPr="00E97EDA" w:rsidP="00A7557B">
      <w:pPr>
        <w:pStyle w:val="KOT5"/>
        <w:rPr>
          <w:rtl/>
          <w:lang w:eastAsia="he-IL"/>
        </w:rPr>
      </w:pPr>
      <w:r w:rsidRPr="00E97EDA">
        <w:rPr>
          <w:rFonts w:hint="cs"/>
          <w:rtl/>
          <w:lang w:eastAsia="he-IL"/>
        </w:rPr>
        <w:t>היזמה לביטול פטור מס שבח ומימושה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ביולי 2011 יזם אג"ת</w:t>
      </w:r>
      <w:r>
        <w:rPr>
          <w:rFonts w:cs="FrankRuehl"/>
          <w:sz w:val="18"/>
          <w:szCs w:val="22"/>
          <w:vertAlign w:val="superscript"/>
          <w:rtl/>
          <w:lang w:eastAsia="he-IL"/>
        </w:rPr>
        <w:footnoteReference w:id="160"/>
      </w:r>
      <w:r w:rsidRPr="00F41E78">
        <w:rPr>
          <w:rFonts w:cs="FrankRuehl" w:hint="cs"/>
          <w:sz w:val="18"/>
          <w:szCs w:val="22"/>
          <w:rtl/>
          <w:lang w:eastAsia="he-IL"/>
        </w:rPr>
        <w:t xml:space="preserve"> הצעת חוק לביטול הפטור ממס שבח למוכר דירה שבבעלותו כמה דירות, וזאת בשל העלייה הניכרת במחירי הדיור והמחסור בהיצע הדירות וכדי להשוות את מסלולי המיסוי של השקעה באפיקי הנדל"ן למסלולי המיסוי של אפיקי השקעה אחרים</w:t>
      </w:r>
      <w:r>
        <w:rPr>
          <w:rFonts w:cs="FrankRuehl"/>
          <w:sz w:val="18"/>
          <w:szCs w:val="22"/>
          <w:vertAlign w:val="superscript"/>
          <w:rtl/>
          <w:lang w:eastAsia="he-IL"/>
        </w:rPr>
        <w:footnoteReference w:id="161"/>
      </w:r>
      <w:r w:rsidRPr="00F41E78">
        <w:rPr>
          <w:rFonts w:cs="FrankRuehl" w:hint="cs"/>
          <w:sz w:val="18"/>
          <w:szCs w:val="22"/>
          <w:rtl/>
          <w:lang w:eastAsia="he-IL"/>
        </w:rPr>
        <w:t>. בדברי ההסבר להצעה נכתב כי האפשרות למכור דירת מגורים מזכה בפטור ממס שבח בכל ארבע שנים מעכבת כניסת דירות לשוק משיקולי מיסוי, ואף יוצרת אפיק השקעה פטור לנדל"ן, במובחן ממסלולים אחרים (כמו השקעה בשוק ההון).</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בדיוני ועדת הכספים</w:t>
      </w:r>
      <w:r>
        <w:rPr>
          <w:rFonts w:cs="FrankRuehl"/>
          <w:sz w:val="18"/>
          <w:szCs w:val="22"/>
          <w:vertAlign w:val="superscript"/>
          <w:rtl/>
          <w:lang w:eastAsia="he-IL"/>
        </w:rPr>
        <w:footnoteReference w:id="162"/>
      </w:r>
      <w:r w:rsidRPr="00F41E78">
        <w:rPr>
          <w:rFonts w:cs="FrankRuehl" w:hint="cs"/>
          <w:sz w:val="18"/>
          <w:szCs w:val="22"/>
          <w:rtl/>
          <w:lang w:eastAsia="he-IL"/>
        </w:rPr>
        <w:t xml:space="preserve"> בנושא מתכונת החוק שהציע אג"ת הועלה הקושי הנדרש בהצגת הסכמת בן זוג לבחירת תקופת שבח פטורה וכן צוין שמתכונת החוק מסובכת. נציג לשכת רואי חשבון מסר בישיבת ועדת הכספים כי מתכונת החוק המוצעת מסובכת וקשה גם לרואי חשבון הנחשבים בעלי מקצוע בתחום. בישיבה ב-24.7.11 אמר נציג לשכת עורכי הדין בנוגע למתכונת החוק כי "</w:t>
      </w:r>
      <w:r w:rsidRPr="00F41E78">
        <w:rPr>
          <w:rFonts w:cs="FrankRuehl"/>
          <w:sz w:val="18"/>
          <w:szCs w:val="22"/>
          <w:rtl/>
          <w:lang w:eastAsia="he-IL"/>
        </w:rPr>
        <w:t>ראשית, אין מחלוקת ביחס לנושא של האחדה של שיעורי המס ביחס להשקעות. הבעיה האמיתית היא שהדרך הזאת היא איומה, נוראית</w:t>
      </w:r>
      <w:r w:rsidRPr="00F41E78">
        <w:rPr>
          <w:rFonts w:cs="FrankRuehl" w:hint="cs"/>
          <w:sz w:val="18"/>
          <w:szCs w:val="22"/>
          <w:rtl/>
          <w:lang w:eastAsia="he-IL"/>
        </w:rPr>
        <w:t>". הוא ציין כי נדרש לקיים דיון מקצועי ומסודר בכל מיני הצעות אחרות וכי ישנם פתרונות אחרים לחיוב במס שבח. מתכונת החיוב במס שבח שהציע אג"ת לא התקבלה בישיבת ועדת הכספים ואג"ת העדיף שלא לקבל הצעת פשרה שהציעה ועדת הכספים.</w:t>
      </w:r>
    </w:p>
    <w:p w:rsidR="00E97EDA" w:rsidRPr="00F41E78" w:rsidP="00E655F5">
      <w:pPr>
        <w:spacing w:after="120" w:line="230" w:lineRule="exact"/>
        <w:jc w:val="both"/>
        <w:rPr>
          <w:rFonts w:cs="FrankRuehl"/>
          <w:sz w:val="18"/>
          <w:szCs w:val="22"/>
          <w:rtl/>
          <w:lang w:eastAsia="he-IL"/>
        </w:rPr>
      </w:pPr>
      <w:r w:rsidRPr="00F41E78">
        <w:rPr>
          <w:rFonts w:cs="FrankRuehl" w:hint="cs"/>
          <w:sz w:val="18"/>
          <w:szCs w:val="22"/>
          <w:rtl/>
          <w:lang w:eastAsia="he-IL"/>
        </w:rPr>
        <w:t xml:space="preserve">בפגישה ב-13.05.13 </w:t>
      </w:r>
      <w:r w:rsidRPr="00582A43">
        <w:rPr>
          <w:rFonts w:cs="FrankRuehl" w:hint="cs"/>
          <w:sz w:val="18"/>
          <w:szCs w:val="22"/>
          <w:rtl/>
          <w:lang w:eastAsia="he-IL"/>
        </w:rPr>
        <w:t xml:space="preserve">מסר </w:t>
      </w:r>
      <w:r w:rsidRPr="00582A43" w:rsidR="00797ADA">
        <w:rPr>
          <w:rFonts w:cs="FrankRuehl" w:hint="cs"/>
          <w:sz w:val="18"/>
          <w:szCs w:val="22"/>
          <w:rtl/>
          <w:lang w:eastAsia="he-IL"/>
        </w:rPr>
        <w:t xml:space="preserve">נציג </w:t>
      </w:r>
      <w:r w:rsidRPr="00582A43">
        <w:rPr>
          <w:rFonts w:cs="FrankRuehl" w:hint="cs"/>
          <w:sz w:val="18"/>
          <w:szCs w:val="22"/>
          <w:rtl/>
          <w:lang w:eastAsia="he-IL"/>
        </w:rPr>
        <w:t>רשות המסים לנציגי</w:t>
      </w:r>
      <w:r w:rsidRPr="00F41E78">
        <w:rPr>
          <w:rFonts w:cs="FrankRuehl" w:hint="cs"/>
          <w:sz w:val="18"/>
          <w:szCs w:val="22"/>
          <w:rtl/>
          <w:lang w:eastAsia="he-IL"/>
        </w:rPr>
        <w:t xml:space="preserve"> משרד מבקר המדינה כי התנגדה למתכונת המוצעת והתריעה לפני אג"ת על הסיבוך במתכונת המוצעת ועל העלות התפעולית הגבוהה המחייבים שינוי מחשובי וקליטת עשרות עובדים חדשים. הרשות הוסיפה כי צפתה חיכוך רב עם ציבור הנישומים במסגרת גביית המס במתכונת זו, ואף הציעה לאג"ת מתכונת אחרת. אג"ת מסר לנציגי משרד מבקר המדינה כי יזם מתכונת זו מפני שהיא מחייבת את השבח הנצבר על הדירות באופן מדויק, וכי מתכונת זו אושרה על ידי הנהלת משרד האוצר.</w:t>
      </w:r>
    </w:p>
    <w:p w:rsidR="00E97EDA" w:rsidRPr="00F41E78" w:rsidP="00840B6C">
      <w:pPr>
        <w:spacing w:after="120" w:line="230" w:lineRule="exact"/>
        <w:jc w:val="both"/>
        <w:rPr>
          <w:rFonts w:cs="FrankRuehl"/>
          <w:sz w:val="18"/>
          <w:szCs w:val="22"/>
          <w:lang w:eastAsia="he-IL"/>
        </w:rPr>
      </w:pPr>
      <w:r w:rsidRPr="00F41E78">
        <w:rPr>
          <w:rFonts w:cs="FrankRuehl" w:hint="eastAsia"/>
          <w:sz w:val="18"/>
          <w:szCs w:val="22"/>
          <w:rtl/>
          <w:lang w:eastAsia="he-IL"/>
        </w:rPr>
        <w:t>סגן</w:t>
      </w:r>
      <w:r w:rsidRPr="00F41E78">
        <w:rPr>
          <w:rFonts w:cs="FrankRuehl" w:hint="cs"/>
          <w:sz w:val="18"/>
          <w:szCs w:val="22"/>
          <w:rtl/>
          <w:lang w:eastAsia="he-IL"/>
        </w:rPr>
        <w:t xml:space="preserve"> הממונה </w:t>
      </w:r>
      <w:r w:rsidRPr="00582A43">
        <w:rPr>
          <w:rFonts w:cs="FrankRuehl" w:hint="cs"/>
          <w:sz w:val="18"/>
          <w:szCs w:val="22"/>
          <w:rtl/>
          <w:lang w:eastAsia="he-IL"/>
        </w:rPr>
        <w:t>על התקציבים מסר בינואר 2014 למשרד</w:t>
      </w:r>
      <w:r w:rsidRPr="00F41E78">
        <w:rPr>
          <w:rFonts w:cs="FrankRuehl" w:hint="cs"/>
          <w:sz w:val="18"/>
          <w:szCs w:val="22"/>
          <w:rtl/>
          <w:lang w:eastAsia="he-IL"/>
        </w:rPr>
        <w:t xml:space="preserve"> מבקר המדינה (להלן - תגובת אג"ת) כי בעת גיבוש תיקון 71 לחוק אכן העלתה רשות המסים קשיים תפעוליים שהתיקון יכול לגרום להם. בעת החלטת שר האוצר על התיקון לא העלתה רשות המסים הצעה חלופית וראש הרשות הודיע כי יישם את התיקון המוצע. אנשי רשות המסים כתבו את הצעת החוק וקידמו אותה. עוד מסר אג"ת בתגובתו כי בעת קידום מדיניות יש לשקול את יתרונותיה ואת חסרונותיה ואף את הקשיים המינהליים הכרוכים בה, והדבר כמובן נעשה במקרה זה שבו השר הכריע כי יש לקדם מדיניות של גביית מס ממשקיעים על אף הקשיים המינהליים הכרוכים בה.</w:t>
      </w:r>
    </w:p>
    <w:p w:rsidR="00E97EDA" w:rsidRPr="00F41E78" w:rsidP="004160DB">
      <w:pPr>
        <w:spacing w:after="240" w:line="230" w:lineRule="exact"/>
        <w:jc w:val="both"/>
        <w:rPr>
          <w:rFonts w:cs="FrankRuehl"/>
          <w:sz w:val="18"/>
          <w:szCs w:val="22"/>
          <w:rtl/>
          <w:lang w:eastAsia="he-IL"/>
        </w:rPr>
      </w:pPr>
      <w:r w:rsidRPr="00F41E78">
        <w:rPr>
          <w:rFonts w:cs="FrankRuehl" w:hint="cs"/>
          <w:sz w:val="18"/>
          <w:szCs w:val="22"/>
          <w:rtl/>
          <w:lang w:eastAsia="he-IL"/>
        </w:rPr>
        <w:t xml:space="preserve">מנהל אגף א לשומת מקרקעין ברשות המסים מסר בפברואר 2012 למשרד מבקר המדינה (להלן - תגובת רשות המסים) כי הרפורמה בשוק הדיור דרשה משנה זהירות. כמו כן, מנגנון המס אשר היה </w:t>
      </w:r>
      <w:r w:rsidRPr="00F41E78">
        <w:rPr>
          <w:rFonts w:cs="FrankRuehl" w:hint="cs"/>
          <w:sz w:val="18"/>
          <w:szCs w:val="22"/>
          <w:rtl/>
          <w:lang w:eastAsia="he-IL"/>
        </w:rPr>
        <w:t xml:space="preserve">קיים במשך שנים רבות לא מיסה את הדירה שבה מתגורר התא המשפחתי. הניסיון להגיע למודל מדויק הממסה את הדירות להשקעה בלבד היה כרוך בחקיקה מסורבלת וקשה מאוד ליישום במישור התפעולי. במסגרת המודל שנבחר בשנת 2013 בסופו של תהליך בחינה יסודי ומעמיק ניתנה עדיפות לפשטות התפעולית על פני הדיוק במקרים מסוימים. </w:t>
      </w:r>
      <w:r w:rsidRPr="00F41E78">
        <w:rPr>
          <w:rFonts w:cs="FrankRuehl" w:hint="eastAsia"/>
          <w:sz w:val="18"/>
          <w:szCs w:val="22"/>
          <w:rtl/>
          <w:lang w:eastAsia="he-IL"/>
        </w:rPr>
        <w:t>הצורך</w:t>
      </w:r>
      <w:r w:rsidRPr="00F41E78">
        <w:rPr>
          <w:rFonts w:cs="FrankRuehl"/>
          <w:sz w:val="18"/>
          <w:szCs w:val="22"/>
          <w:rtl/>
          <w:lang w:eastAsia="he-IL"/>
        </w:rPr>
        <w:t xml:space="preserve"> </w:t>
      </w:r>
      <w:r w:rsidRPr="00F41E78">
        <w:rPr>
          <w:rFonts w:cs="FrankRuehl" w:hint="eastAsia"/>
          <w:sz w:val="18"/>
          <w:szCs w:val="22"/>
          <w:rtl/>
          <w:lang w:eastAsia="he-IL"/>
        </w:rPr>
        <w:t>להתאים</w:t>
      </w:r>
      <w:r w:rsidRPr="00F41E78">
        <w:rPr>
          <w:rFonts w:cs="FrankRuehl"/>
          <w:sz w:val="18"/>
          <w:szCs w:val="22"/>
          <w:rtl/>
          <w:lang w:eastAsia="he-IL"/>
        </w:rPr>
        <w:t xml:space="preserve"> </w:t>
      </w:r>
      <w:r w:rsidRPr="00F41E78">
        <w:rPr>
          <w:rFonts w:cs="FrankRuehl" w:hint="eastAsia"/>
          <w:sz w:val="18"/>
          <w:szCs w:val="22"/>
          <w:rtl/>
          <w:lang w:eastAsia="he-IL"/>
        </w:rPr>
        <w:t>את</w:t>
      </w:r>
      <w:r w:rsidRPr="00F41E78">
        <w:rPr>
          <w:rFonts w:cs="FrankRuehl"/>
          <w:sz w:val="18"/>
          <w:szCs w:val="22"/>
          <w:rtl/>
          <w:lang w:eastAsia="he-IL"/>
        </w:rPr>
        <w:t xml:space="preserve"> </w:t>
      </w:r>
      <w:r w:rsidRPr="00F41E78">
        <w:rPr>
          <w:rFonts w:cs="FrankRuehl" w:hint="eastAsia"/>
          <w:sz w:val="18"/>
          <w:szCs w:val="22"/>
          <w:rtl/>
          <w:lang w:eastAsia="he-IL"/>
        </w:rPr>
        <w:t>מערכת</w:t>
      </w:r>
      <w:r w:rsidRPr="00F41E78">
        <w:rPr>
          <w:rFonts w:cs="FrankRuehl"/>
          <w:sz w:val="18"/>
          <w:szCs w:val="22"/>
          <w:rtl/>
          <w:lang w:eastAsia="he-IL"/>
        </w:rPr>
        <w:t xml:space="preserve"> </w:t>
      </w:r>
      <w:r w:rsidRPr="00F41E78">
        <w:rPr>
          <w:rFonts w:cs="FrankRuehl" w:hint="eastAsia"/>
          <w:sz w:val="18"/>
          <w:szCs w:val="22"/>
          <w:rtl/>
          <w:lang w:eastAsia="he-IL"/>
        </w:rPr>
        <w:t>המיסוי</w:t>
      </w:r>
      <w:r w:rsidRPr="00F41E78">
        <w:rPr>
          <w:rFonts w:cs="FrankRuehl"/>
          <w:sz w:val="18"/>
          <w:szCs w:val="22"/>
          <w:rtl/>
          <w:lang w:eastAsia="he-IL"/>
        </w:rPr>
        <w:t xml:space="preserve"> </w:t>
      </w:r>
      <w:r w:rsidRPr="00F41E78">
        <w:rPr>
          <w:rFonts w:cs="FrankRuehl" w:hint="eastAsia"/>
          <w:sz w:val="18"/>
          <w:szCs w:val="22"/>
          <w:rtl/>
          <w:lang w:eastAsia="he-IL"/>
        </w:rPr>
        <w:t>בנדל</w:t>
      </w:r>
      <w:r w:rsidRPr="00F41E78">
        <w:rPr>
          <w:rFonts w:cs="FrankRuehl"/>
          <w:sz w:val="18"/>
          <w:szCs w:val="22"/>
          <w:rtl/>
          <w:lang w:eastAsia="he-IL"/>
        </w:rPr>
        <w:t xml:space="preserve">"ן </w:t>
      </w:r>
      <w:r w:rsidRPr="00F41E78">
        <w:rPr>
          <w:rFonts w:cs="FrankRuehl" w:hint="eastAsia"/>
          <w:sz w:val="18"/>
          <w:szCs w:val="22"/>
          <w:rtl/>
          <w:lang w:eastAsia="he-IL"/>
        </w:rPr>
        <w:t>לשינויים</w:t>
      </w:r>
      <w:r w:rsidRPr="00F41E78">
        <w:rPr>
          <w:rFonts w:cs="FrankRuehl"/>
          <w:sz w:val="18"/>
          <w:szCs w:val="22"/>
          <w:rtl/>
          <w:lang w:eastAsia="he-IL"/>
        </w:rPr>
        <w:t xml:space="preserve"> </w:t>
      </w:r>
      <w:r w:rsidRPr="00F41E78">
        <w:rPr>
          <w:rFonts w:cs="FrankRuehl" w:hint="eastAsia"/>
          <w:sz w:val="18"/>
          <w:szCs w:val="22"/>
          <w:rtl/>
          <w:lang w:eastAsia="he-IL"/>
        </w:rPr>
        <w:t>בשוק</w:t>
      </w:r>
      <w:r w:rsidRPr="00F41E78">
        <w:rPr>
          <w:rFonts w:cs="FrankRuehl"/>
          <w:sz w:val="18"/>
          <w:szCs w:val="22"/>
          <w:rtl/>
          <w:lang w:eastAsia="he-IL"/>
        </w:rPr>
        <w:t xml:space="preserve"> </w:t>
      </w:r>
      <w:r w:rsidRPr="00F41E78">
        <w:rPr>
          <w:rFonts w:cs="FrankRuehl" w:hint="eastAsia"/>
          <w:sz w:val="18"/>
          <w:szCs w:val="22"/>
          <w:rtl/>
          <w:lang w:eastAsia="he-IL"/>
        </w:rPr>
        <w:t>מחד</w:t>
      </w:r>
      <w:r w:rsidRPr="00F41E78">
        <w:rPr>
          <w:rFonts w:cs="FrankRuehl"/>
          <w:sz w:val="18"/>
          <w:szCs w:val="22"/>
          <w:rtl/>
          <w:lang w:eastAsia="he-IL"/>
        </w:rPr>
        <w:t xml:space="preserve"> </w:t>
      </w:r>
      <w:r w:rsidRPr="00F41E78">
        <w:rPr>
          <w:rFonts w:cs="FrankRuehl" w:hint="eastAsia"/>
          <w:sz w:val="18"/>
          <w:szCs w:val="22"/>
          <w:rtl/>
          <w:lang w:eastAsia="he-IL"/>
        </w:rPr>
        <w:t>גיסא</w:t>
      </w:r>
      <w:r w:rsidRPr="00F41E78">
        <w:rPr>
          <w:rFonts w:cs="FrankRuehl"/>
          <w:sz w:val="18"/>
          <w:szCs w:val="22"/>
          <w:rtl/>
          <w:lang w:eastAsia="he-IL"/>
        </w:rPr>
        <w:t xml:space="preserve"> לא יכולה להיעשות במנותק מהצורך החשוב לא פחות לשמור על יציבות וודאות מיסוית מ</w:t>
      </w:r>
      <w:r w:rsidRPr="00F41E78">
        <w:rPr>
          <w:rFonts w:cs="FrankRuehl" w:hint="eastAsia"/>
          <w:sz w:val="18"/>
          <w:szCs w:val="22"/>
          <w:rtl/>
          <w:lang w:eastAsia="he-IL"/>
        </w:rPr>
        <w:t>אידך</w:t>
      </w:r>
      <w:r w:rsidRPr="00F41E78">
        <w:rPr>
          <w:rFonts w:cs="FrankRuehl"/>
          <w:sz w:val="18"/>
          <w:szCs w:val="22"/>
          <w:rtl/>
          <w:lang w:eastAsia="he-IL"/>
        </w:rPr>
        <w:t xml:space="preserve"> </w:t>
      </w:r>
      <w:r w:rsidRPr="00F41E78">
        <w:rPr>
          <w:rFonts w:cs="FrankRuehl" w:hint="eastAsia"/>
          <w:sz w:val="18"/>
          <w:szCs w:val="22"/>
          <w:rtl/>
          <w:lang w:eastAsia="he-IL"/>
        </w:rPr>
        <w:t>גיסא</w:t>
      </w:r>
      <w:r w:rsidRPr="00F41E78">
        <w:rPr>
          <w:rFonts w:cs="FrankRuehl"/>
          <w:sz w:val="18"/>
          <w:szCs w:val="22"/>
          <w:rtl/>
          <w:lang w:eastAsia="he-IL"/>
        </w:rPr>
        <w:t>.</w:t>
      </w:r>
      <w:r w:rsidRPr="00F41E78">
        <w:rPr>
          <w:rFonts w:cs="FrankRuehl" w:hint="cs"/>
          <w:sz w:val="18"/>
          <w:szCs w:val="22"/>
          <w:rtl/>
          <w:lang w:eastAsia="he-IL"/>
        </w:rPr>
        <w:t xml:space="preserve"> </w:t>
      </w:r>
    </w:p>
    <w:p w:rsidR="00D22B16" w:rsidRPr="00F41E78" w:rsidP="00D22B16">
      <w:pPr>
        <w:pStyle w:val="RESHET"/>
        <w:keepLines/>
        <w:rPr>
          <w:rtl/>
        </w:rPr>
      </w:pPr>
      <w:r w:rsidRPr="00F41E78">
        <w:rPr>
          <w:rFonts w:hint="cs"/>
          <w:rtl/>
        </w:rPr>
        <w:t>נמצא כי במאי 2013, לאחר רכישתן של כ-165,000 דירות שנקנו על ידי משקיעים בשנים 2012-2007</w:t>
      </w:r>
      <w:r>
        <w:rPr>
          <w:vertAlign w:val="superscript"/>
          <w:rtl/>
        </w:rPr>
        <w:footnoteReference w:id="163"/>
      </w:r>
      <w:r w:rsidRPr="00F41E78">
        <w:rPr>
          <w:rFonts w:hint="cs"/>
          <w:rtl/>
        </w:rPr>
        <w:t xml:space="preserve"> ועליית מחירי הדיור במשך חמש שנים, הממשלה אישרה תיקון לחוק מיסוי מקרקעין שעניינו חיוב דירות להשקעה במס שבח במועד מכירתן, במתכונת</w:t>
      </w:r>
      <w:r>
        <w:rPr>
          <w:vertAlign w:val="superscript"/>
          <w:rtl/>
        </w:rPr>
        <w:footnoteReference w:id="164"/>
      </w:r>
      <w:r w:rsidRPr="00F41E78">
        <w:rPr>
          <w:rFonts w:hint="cs"/>
          <w:rtl/>
        </w:rPr>
        <w:t xml:space="preserve"> המתחשבת בהערות שהעלתה רשות המסים כבר בשנת 2011. באוגוסט 2013 התקבל התיקון בכנסת.</w:t>
      </w:r>
    </w:p>
    <w:p w:rsidR="00E97EDA" w:rsidRPr="00F41E78" w:rsidP="000449EE">
      <w:pPr>
        <w:spacing w:before="180" w:after="120" w:line="230" w:lineRule="exact"/>
        <w:jc w:val="both"/>
        <w:rPr>
          <w:rFonts w:cs="FrankRuehl"/>
          <w:sz w:val="18"/>
          <w:szCs w:val="22"/>
          <w:rtl/>
          <w:lang w:eastAsia="he-IL"/>
        </w:rPr>
      </w:pPr>
      <w:r w:rsidRPr="00F41E78">
        <w:rPr>
          <w:rFonts w:cs="FrankRuehl" w:hint="cs"/>
          <w:sz w:val="18"/>
          <w:szCs w:val="22"/>
          <w:rtl/>
          <w:lang w:eastAsia="he-IL"/>
        </w:rPr>
        <w:t>במתכונת החדשה לחיוב במס שבח נקבע כי מ-1.1.14 שיעור המס יעמוד על 25% מהשבח המוטל על מכירת כל דירת מגורים שאינה דירה יחידה (להלן - דירה נוספת). המס שיוטל בגין שבח בדירת מגורים יהיה לינאר</w:t>
      </w:r>
      <w:r w:rsidRPr="00F41E78">
        <w:rPr>
          <w:rFonts w:cs="FrankRuehl" w:hint="eastAsia"/>
          <w:sz w:val="18"/>
          <w:szCs w:val="22"/>
          <w:rtl/>
          <w:lang w:eastAsia="he-IL"/>
        </w:rPr>
        <w:t>י</w:t>
      </w:r>
      <w:r w:rsidRPr="00F41E78">
        <w:rPr>
          <w:rFonts w:cs="FrankRuehl" w:hint="cs"/>
          <w:sz w:val="18"/>
          <w:szCs w:val="22"/>
          <w:rtl/>
          <w:lang w:eastAsia="he-IL"/>
        </w:rPr>
        <w:t xml:space="preserve"> באופן שהשבח המיוחס לתקופה שעד תחילת התיקון יהיה פטור. עוד נקבע שיבוטל הפטור ממס שבח לדירת מגורים נוספת אחת לארבע שנים.</w:t>
      </w:r>
    </w:p>
    <w:p w:rsidR="00E97EDA" w:rsidRPr="00F41E78" w:rsidP="00A7557B">
      <w:pPr>
        <w:spacing w:after="120" w:line="230" w:lineRule="exact"/>
        <w:jc w:val="both"/>
        <w:rPr>
          <w:rFonts w:cs="FrankRuehl"/>
          <w:sz w:val="18"/>
          <w:szCs w:val="22"/>
          <w:rtl/>
          <w:lang w:eastAsia="he-IL"/>
        </w:rPr>
      </w:pPr>
    </w:p>
    <w:p w:rsidR="00711180" w:rsidRPr="00F41E78" w:rsidP="00A7557B">
      <w:pPr>
        <w:spacing w:after="120" w:line="230" w:lineRule="exact"/>
        <w:jc w:val="both"/>
        <w:rPr>
          <w:rFonts w:cs="FrankRuehl"/>
          <w:sz w:val="18"/>
          <w:szCs w:val="22"/>
          <w:rtl/>
          <w:lang w:eastAsia="he-IL"/>
        </w:rPr>
      </w:pPr>
    </w:p>
    <w:p w:rsidR="00E97EDA" w:rsidRPr="00E97EDA" w:rsidP="00A7557B">
      <w:pPr>
        <w:pStyle w:val="KOT4"/>
        <w:rPr>
          <w:rtl/>
          <w:lang w:eastAsia="he-IL"/>
        </w:rPr>
      </w:pPr>
      <w:r w:rsidRPr="00E97EDA">
        <w:rPr>
          <w:rFonts w:hint="cs"/>
          <w:rtl/>
          <w:lang w:eastAsia="he-IL"/>
        </w:rPr>
        <w:t>מעקב אחר אופן התאמת הוראות מיסוי מקרקעין לשינויים במשק</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מדיניות מיסוי המקרקעין כוללת היבט</w:t>
      </w:r>
      <w:r w:rsidRPr="00F41E78">
        <w:rPr>
          <w:rFonts w:cs="FrankRuehl" w:hint="eastAsia"/>
          <w:sz w:val="18"/>
          <w:szCs w:val="22"/>
          <w:rtl/>
          <w:lang w:eastAsia="he-IL"/>
        </w:rPr>
        <w:t>י</w:t>
      </w:r>
      <w:r w:rsidRPr="00F41E78">
        <w:rPr>
          <w:rFonts w:cs="FrankRuehl" w:hint="cs"/>
          <w:sz w:val="18"/>
          <w:szCs w:val="22"/>
          <w:rtl/>
          <w:lang w:eastAsia="he-IL"/>
        </w:rPr>
        <w:t xml:space="preserve"> מקרו העוסקים בצדדים הפיסקליים קצרי הטווח וארוכי הטווח והיבטי מיקרו הנוגעים למדיניות משקית וחברתית, כמו תמיכה בפתרון משבר הדיור. לכן, ראוי שמדיניות מיסוי המקרקעין תיקבע בראייה מערכתית ולאחר בחינת השפעתן של חלופות שונות על הדינמיק</w:t>
      </w:r>
      <w:r w:rsidRPr="00F41E78">
        <w:rPr>
          <w:rFonts w:cs="FrankRuehl" w:hint="eastAsia"/>
          <w:sz w:val="18"/>
          <w:szCs w:val="22"/>
          <w:rtl/>
          <w:lang w:eastAsia="he-IL"/>
        </w:rPr>
        <w:t>ה</w:t>
      </w:r>
      <w:r w:rsidRPr="00F41E78">
        <w:rPr>
          <w:rFonts w:cs="FrankRuehl" w:hint="cs"/>
          <w:sz w:val="18"/>
          <w:szCs w:val="22"/>
          <w:rtl/>
          <w:lang w:eastAsia="he-IL"/>
        </w:rPr>
        <w:t xml:space="preserve"> הכלכלית ועל התכנון המקרו-כלכלי מתוך איזון בין רכיבי המס השונים ושיעוריו ובחינת השפעותיו על התנהגות הציבור.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ביוני 2013 מסר הכלכלן הראשי לנציגי משרד מבקר המדינה כי בשל מחסור בכוח אדם אין נעשה תכנון ומחקר רציף בנושא הקשרים וההשפעות ההדדיות בין ההיבטים המקרו-כלכליים של המיסוי בכלל ושל מיסוי המקרקעין בפרט ובין השפעות המיקרו. כמו כן, אין נעשה מעקב אחר השפעת צעדי מדיניות שננקטו. עוד מסר כי מינהל הכנסות המדינה נמצא בעיצומו של תהליך שדרוג ומיצוב שבמסגרתו תשופר ראיית המקרו של מדיניות המס ומיסוי המקרקעין, לרבות ניתוחים והשוואות בין-לאומיות. שינויים במדיניות כלכלית נעשים במקרים רבים באמצעות שינויים במדיניות ההכנסות ממסים של המדינה, וכך גם נעשה במיסוי מקרקעין. במסגרת שדרוג האגף ישופרו גם רמת המעקב ברמת המיקרו ושיתוף הפעולה עם גורמים אחרים היוזמים שינויים ספציפיים בחקיקת מיסוי מקרקעין.</w:t>
      </w:r>
    </w:p>
    <w:p w:rsidR="00E97EDA" w:rsidRPr="00F41E78" w:rsidP="004160DB">
      <w:pPr>
        <w:spacing w:after="240" w:line="230" w:lineRule="exact"/>
        <w:jc w:val="both"/>
        <w:rPr>
          <w:rFonts w:cs="FrankRuehl"/>
          <w:sz w:val="18"/>
          <w:szCs w:val="22"/>
          <w:rtl/>
          <w:lang w:eastAsia="he-IL"/>
        </w:rPr>
      </w:pPr>
      <w:r w:rsidRPr="00F41E78">
        <w:rPr>
          <w:rFonts w:cs="FrankRuehl" w:hint="cs"/>
          <w:sz w:val="18"/>
          <w:szCs w:val="22"/>
          <w:rtl/>
          <w:lang w:eastAsia="he-IL"/>
        </w:rPr>
        <w:t>בפגישה במאי 2013 מסר סמנכ"ל לעניינים מקצועיים ברשות המסים לנציגי משרד מבקר המדינה כי המעקב אחר סעיפים בחקיקת מיסוי מקרקעין צריך להתבצע ביזמת הגורם שיזם את החקיקה. עוד מסר כי לעתים בתהליך שאינו מובנה או עקבי גם רשות המסים מוצאת חוסר הלימה של החקיקה או תפוגה של סעיפים ומפנה את תשומת לבו של הגורם שיזם את הסעיפים לסוגיות האמורות.</w:t>
      </w:r>
    </w:p>
    <w:p w:rsidR="00D22B16" w:rsidRPr="00F41E78" w:rsidP="00D22B16">
      <w:pPr>
        <w:pStyle w:val="RESHET"/>
        <w:keepLines/>
        <w:rPr>
          <w:rtl/>
        </w:rPr>
      </w:pPr>
      <w:r w:rsidRPr="00F41E78">
        <w:rPr>
          <w:rFonts w:hint="cs"/>
          <w:rtl/>
        </w:rPr>
        <w:t xml:space="preserve">הביקורת העלתה כי באגף הכלכלן הראשי, באג"ת וברשות המסים אין נעשה תהליך מוסדר ומובנה של מעקב אחר התאמת סעיפים שונים בהוראות מיסוי המקרקעין למצבו המשתנה של המשק, אם בהיבטי המקרו אם בהיבטי המיקרו, ושל מעקב אחר תום תוקפן של הוראות שעה. כמו כן, לא נבחן אם הושגו מטרות הממשלה הקבועות בהוראות חוק שונות שחוקקו בעבר. </w:t>
      </w:r>
    </w:p>
    <w:p w:rsidR="004160DB" w:rsidP="004160DB">
      <w:pPr>
        <w:spacing w:after="120" w:line="230" w:lineRule="exact"/>
        <w:jc w:val="both"/>
        <w:rPr>
          <w:rFonts w:cs="FrankRuehl"/>
          <w:sz w:val="22"/>
          <w:szCs w:val="22"/>
          <w:rtl/>
        </w:rPr>
      </w:pPr>
    </w:p>
    <w:p w:rsidR="004160DB" w:rsidP="004160DB">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4160DB" w:rsidP="004160DB">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 xml:space="preserve">מדיניות המסים היא כלי מרכזי בארגז הכלים המצוי בידי הממשלה לטיפול במשבר הדיור ולהתמודדות עמו. הביקורת העלתה ליקויים במשרד האוצר - באגף הכלכלן הראשי, באג"ת וברשות המסים </w:t>
      </w:r>
      <w:r w:rsidRPr="00F41E78">
        <w:rPr>
          <w:rtl/>
        </w:rPr>
        <w:t>-</w:t>
      </w:r>
      <w:r w:rsidRPr="00F41E78">
        <w:rPr>
          <w:rFonts w:hint="cs"/>
          <w:rtl/>
        </w:rPr>
        <w:t xml:space="preserve"> בבחינה ובטיפול בהשלכות של השפעות מיסוי המקרקעין על מצוקת הדיור ובטיפול בנושא, והיעדר עבודת מטה מתאימה לבחינת השפעת חלופות שונות על מדיניות המיסוי והשפעתן הממתנת על מחירי שוק הדיור. על משרד האוצר לבחון דרכים אפקטיביות לשימוש בכלי המיסוי אם ברצונו </w:t>
      </w:r>
      <w:r w:rsidRPr="00F41E78">
        <w:rPr>
          <w:rFonts w:hint="eastAsia"/>
          <w:rtl/>
        </w:rPr>
        <w:t>לרסן</w:t>
      </w:r>
      <w:r w:rsidRPr="00F41E78">
        <w:rPr>
          <w:rFonts w:hint="cs"/>
          <w:rtl/>
        </w:rPr>
        <w:t xml:space="preserve"> את המשך עליית מחירי הדיור, תוך כדי הגדלת היצע </w:t>
      </w:r>
      <w:r w:rsidRPr="00F41E78">
        <w:rPr>
          <w:rFonts w:hint="eastAsia"/>
          <w:rtl/>
        </w:rPr>
        <w:t>הדירות</w:t>
      </w:r>
      <w:r w:rsidRPr="00F41E78">
        <w:rPr>
          <w:rtl/>
        </w:rPr>
        <w:t xml:space="preserve"> </w:t>
      </w:r>
      <w:r w:rsidRPr="00F41E78">
        <w:rPr>
          <w:rFonts w:hint="eastAsia"/>
          <w:rtl/>
        </w:rPr>
        <w:t>וריסון</w:t>
      </w:r>
      <w:r w:rsidRPr="00F41E78">
        <w:rPr>
          <w:rFonts w:hint="cs"/>
          <w:rtl/>
        </w:rPr>
        <w:t xml:space="preserve"> הביקוש. </w:t>
      </w:r>
    </w:p>
    <w:p w:rsidR="00D22B16" w:rsidP="00D22B16">
      <w:pPr>
        <w:pStyle w:val="RESHET"/>
        <w:keepLines/>
        <w:rPr>
          <w:rtl/>
        </w:rPr>
      </w:pPr>
      <w:r w:rsidRPr="00F41E78">
        <w:rPr>
          <w:rFonts w:hint="cs"/>
          <w:rtl/>
        </w:rPr>
        <w:t xml:space="preserve">משרד מבקר המדינה מעיר כי בשל ריבוי ההשפעות של הוראות מיסוי המקרקעין ומורכבותן נדרש שיתוף פעולה בין כמה גורמים מאסדרים ואחראים לתחום הדיור והמיסוי. מערכת מיסוי מקרקעין שאיננה בנויה כראוי, או שאינה מותאמת למצב המשק, עלולה שלא להתאים למדיניות הפיסקלית של הממשלה מחד גיסא, ולפגוע באפשרות להשיג את יעדי הממשלה, כגון: גיבוש פתרונות למצוקת הדיור, צמצום פערים חברתיים והעלאת רמת החיים מאידך גיסא. </w:t>
      </w:r>
    </w:p>
    <w:p w:rsidR="006E3D08" w:rsidRPr="00F41E78" w:rsidP="006E3D08">
      <w:pPr>
        <w:rPr>
          <w:rtl/>
        </w:rPr>
      </w:pPr>
    </w:p>
    <w:p w:rsidR="004A767A" w:rsidP="00A7557B">
      <w:pPr>
        <w:spacing w:after="120" w:line="230" w:lineRule="exact"/>
        <w:jc w:val="both"/>
        <w:rPr>
          <w:rFonts w:cs="FrankRuehl"/>
          <w:sz w:val="18"/>
          <w:szCs w:val="22"/>
          <w:rtl/>
        </w:rPr>
        <w:sectPr w:rsidSect="009F1012">
          <w:footnotePr>
            <w:numRestart w:val="eachSect"/>
          </w:footnotePr>
          <w:pgSz w:w="11906" w:h="16838" w:code="9"/>
          <w:pgMar w:top="1758" w:right="2552" w:bottom="4253" w:left="2552" w:header="1247" w:footer="1134" w:gutter="0"/>
          <w:cols w:space="720"/>
          <w:rtlGutter/>
        </w:sectPr>
      </w:pPr>
    </w:p>
    <w:p w:rsidR="004A767A" w:rsidP="00A7557B">
      <w:pPr>
        <w:spacing w:after="120" w:line="230" w:lineRule="exact"/>
        <w:jc w:val="both"/>
        <w:rPr>
          <w:rFonts w:cs="FrankRuehl"/>
          <w:sz w:val="18"/>
          <w:szCs w:val="22"/>
          <w:rtl/>
        </w:rPr>
      </w:pPr>
    </w:p>
    <w:p w:rsidR="004A767A" w:rsidP="00A7557B">
      <w:pPr>
        <w:spacing w:after="120" w:line="230" w:lineRule="exact"/>
        <w:jc w:val="both"/>
        <w:rPr>
          <w:rFonts w:cs="FrankRuehl"/>
          <w:sz w:val="18"/>
          <w:szCs w:val="22"/>
          <w:rtl/>
        </w:rPr>
        <w:sectPr w:rsidSect="004A767A">
          <w:footnotePr>
            <w:numRestart w:val="eachSect"/>
          </w:footnotePr>
          <w:pgSz w:w="11906" w:h="16838" w:code="9"/>
          <w:pgMar w:top="1758" w:right="2552" w:bottom="4253" w:left="2552" w:header="1247" w:footer="1134" w:gutter="0"/>
          <w:cols w:space="720"/>
          <w:titlePg/>
          <w:rtlGutter/>
        </w:sectPr>
      </w:pPr>
    </w:p>
    <w:p w:rsidR="00E97EDA" w:rsidRPr="00F41E78" w:rsidP="00A7557B">
      <w:pPr>
        <w:spacing w:after="120" w:line="230" w:lineRule="exact"/>
        <w:jc w:val="both"/>
        <w:rPr>
          <w:rFonts w:cs="FrankRuehl"/>
          <w:sz w:val="18"/>
          <w:szCs w:val="22"/>
          <w:rtl/>
        </w:rPr>
      </w:pPr>
    </w:p>
    <w:p w:rsidR="004A767A" w:rsidP="004A767A">
      <w:pPr>
        <w:spacing w:after="120" w:line="230" w:lineRule="exact"/>
        <w:jc w:val="center"/>
        <w:rPr>
          <w:rtl/>
        </w:rPr>
      </w:pPr>
    </w:p>
    <w:p w:rsidR="004A767A" w:rsidP="004A767A">
      <w:pPr>
        <w:spacing w:after="120" w:line="230" w:lineRule="exact"/>
        <w:jc w:val="center"/>
      </w:pPr>
    </w:p>
    <w:p w:rsidR="004A767A" w:rsidP="004A767A">
      <w:pPr>
        <w:spacing w:after="120" w:line="230" w:lineRule="exact"/>
        <w:jc w:val="center"/>
        <w:rPr>
          <w:rtl/>
        </w:rPr>
      </w:pPr>
    </w:p>
    <w:p w:rsidR="004A767A" w:rsidP="004A767A">
      <w:pPr>
        <w:spacing w:after="120" w:line="230" w:lineRule="exact"/>
        <w:jc w:val="center"/>
      </w:pPr>
    </w:p>
    <w:p w:rsidR="004A767A" w:rsidP="004A767A">
      <w:pPr>
        <w:spacing w:after="120" w:line="230" w:lineRule="exact"/>
        <w:jc w:val="center"/>
      </w:pPr>
    </w:p>
    <w:p w:rsidR="004A767A" w:rsidP="004A767A">
      <w:pPr>
        <w:spacing w:after="120" w:line="230" w:lineRule="exact"/>
        <w:jc w:val="center"/>
      </w:pPr>
    </w:p>
    <w:p w:rsidR="004A767A" w:rsidP="004A767A">
      <w:pPr>
        <w:spacing w:after="120" w:line="230" w:lineRule="exact"/>
        <w:jc w:val="center"/>
        <w:rPr>
          <w:rtl/>
        </w:rPr>
      </w:pPr>
    </w:p>
    <w:p w:rsidR="004A767A" w:rsidP="004A767A">
      <w:pPr>
        <w:spacing w:after="120" w:line="230" w:lineRule="exact"/>
        <w:jc w:val="center"/>
        <w:rPr>
          <w:rtl/>
        </w:rPr>
      </w:pPr>
    </w:p>
    <w:p w:rsidR="004A767A" w:rsidP="00F4484B">
      <w:pPr>
        <w:pStyle w:val="KOT1"/>
        <w:tabs>
          <w:tab w:val="right" w:leader="dot" w:pos="6237"/>
          <w:tab w:val="left" w:pos="6350"/>
        </w:tabs>
        <w:spacing w:after="120"/>
        <w:outlineLvl w:val="0"/>
        <w:rPr>
          <w:b w:val="0"/>
          <w:bCs w:val="0"/>
          <w:sz w:val="32"/>
          <w:szCs w:val="32"/>
          <w:rtl/>
        </w:rPr>
      </w:pPr>
      <w:r>
        <w:rPr>
          <w:rFonts w:hint="cs"/>
          <w:b w:val="0"/>
          <w:bCs w:val="0"/>
          <w:sz w:val="32"/>
          <w:szCs w:val="32"/>
          <w:rtl/>
        </w:rPr>
        <w:t>שער</w:t>
      </w:r>
      <w:r>
        <w:rPr>
          <w:b w:val="0"/>
          <w:bCs w:val="0"/>
          <w:sz w:val="32"/>
          <w:szCs w:val="32"/>
          <w:rtl/>
        </w:rPr>
        <w:t xml:space="preserve"> </w:t>
      </w:r>
      <w:r>
        <w:rPr>
          <w:rFonts w:hint="cs"/>
          <w:b w:val="0"/>
          <w:bCs w:val="0"/>
          <w:sz w:val="32"/>
          <w:szCs w:val="32"/>
          <w:rtl/>
        </w:rPr>
        <w:t>שלישי</w:t>
      </w:r>
      <w:r w:rsidR="00F4484B">
        <w:rPr>
          <w:b w:val="0"/>
          <w:bCs w:val="0"/>
          <w:sz w:val="32"/>
          <w:szCs w:val="32"/>
          <w:rtl/>
        </w:rPr>
        <w:br/>
      </w:r>
      <w:r w:rsidRPr="00F4484B" w:rsidR="00F4484B">
        <w:rPr>
          <w:rFonts w:hint="cs"/>
          <w:sz w:val="40"/>
          <w:szCs w:val="40"/>
          <w:rtl/>
        </w:rPr>
        <w:t>שרשרת הייצור של יחידות דיור</w:t>
      </w:r>
      <w:r w:rsidRPr="00F4484B" w:rsidR="00F4484B">
        <w:rPr>
          <w:sz w:val="40"/>
          <w:szCs w:val="40"/>
          <w:rtl/>
        </w:rPr>
        <w:br/>
      </w:r>
      <w:r w:rsidRPr="00F4484B" w:rsidR="00F4484B">
        <w:rPr>
          <w:rFonts w:hint="cs"/>
          <w:sz w:val="40"/>
          <w:szCs w:val="40"/>
          <w:rtl/>
        </w:rPr>
        <w:t>מתכנון מתארי עד רישוי בנייה</w:t>
      </w:r>
    </w:p>
    <w:p w:rsidR="00E97EDA" w:rsidRPr="004A767A" w:rsidP="004A767A">
      <w:pPr>
        <w:tabs>
          <w:tab w:val="right" w:leader="dot" w:pos="6237"/>
          <w:tab w:val="left" w:pos="6350"/>
        </w:tabs>
        <w:spacing w:after="120" w:line="240" w:lineRule="atLeast"/>
        <w:jc w:val="center"/>
        <w:rPr>
          <w:b/>
          <w:bCs/>
          <w:sz w:val="40"/>
          <w:szCs w:val="40"/>
          <w:rtl/>
        </w:rPr>
      </w:pPr>
    </w:p>
    <w:p w:rsidR="004A767A" w:rsidP="00A7557B">
      <w:pPr>
        <w:spacing w:after="120" w:line="230" w:lineRule="exact"/>
        <w:jc w:val="both"/>
        <w:rPr>
          <w:rFonts w:cs="FrankRuehl"/>
          <w:sz w:val="18"/>
          <w:szCs w:val="22"/>
          <w:rtl/>
          <w:lang w:eastAsia="he-IL"/>
        </w:rPr>
        <w:sectPr w:rsidSect="004A767A">
          <w:footnotePr>
            <w:numRestart w:val="eachSect"/>
          </w:footnotePr>
          <w:pgSz w:w="11906" w:h="16838" w:code="9"/>
          <w:pgMar w:top="1758" w:right="2552" w:bottom="4253" w:left="2552" w:header="1247" w:footer="1134" w:gutter="0"/>
          <w:cols w:space="720"/>
          <w:titlePg/>
          <w:rtlGutter/>
        </w:sectPr>
      </w:pPr>
    </w:p>
    <w:p w:rsidR="004A767A" w:rsidP="00A7557B">
      <w:pPr>
        <w:spacing w:after="120" w:line="230" w:lineRule="exact"/>
        <w:jc w:val="both"/>
        <w:rPr>
          <w:rFonts w:cs="FrankRuehl"/>
          <w:sz w:val="18"/>
          <w:szCs w:val="22"/>
          <w:rtl/>
          <w:lang w:eastAsia="he-IL"/>
        </w:rPr>
      </w:pPr>
    </w:p>
    <w:p w:rsidR="004A767A" w:rsidP="00A7557B">
      <w:pPr>
        <w:spacing w:after="120" w:line="230" w:lineRule="exact"/>
        <w:jc w:val="both"/>
        <w:rPr>
          <w:rFonts w:cs="FrankRuehl"/>
          <w:sz w:val="18"/>
          <w:szCs w:val="22"/>
          <w:rtl/>
          <w:lang w:eastAsia="he-IL"/>
        </w:rPr>
      </w:pPr>
    </w:p>
    <w:p w:rsidR="004A767A" w:rsidP="00A7557B">
      <w:pPr>
        <w:spacing w:after="120" w:line="230" w:lineRule="exact"/>
        <w:jc w:val="both"/>
        <w:rPr>
          <w:rFonts w:cs="FrankRuehl"/>
          <w:sz w:val="18"/>
          <w:szCs w:val="22"/>
          <w:rtl/>
          <w:lang w:eastAsia="he-IL"/>
        </w:rPr>
        <w:sectPr w:rsidSect="004A767A">
          <w:footnotePr>
            <w:numRestart w:val="eachSect"/>
          </w:footnotePr>
          <w:pgSz w:w="11906" w:h="16838" w:code="9"/>
          <w:pgMar w:top="1758" w:right="2552" w:bottom="4253" w:left="2552" w:header="1247" w:footer="1134" w:gutter="0"/>
          <w:cols w:space="720"/>
          <w:titlePg/>
          <w:rtlGutter/>
        </w:sectPr>
      </w:pPr>
    </w:p>
    <w:p w:rsidR="00A74F1A" w:rsidP="00A74F1A">
      <w:pPr>
        <w:pStyle w:val="KOT2"/>
        <w:outlineLvl w:val="0"/>
        <w:rPr>
          <w:rtl/>
        </w:rPr>
      </w:pPr>
      <w:r>
        <w:rPr>
          <w:rFonts w:hint="cs"/>
          <w:rtl/>
        </w:rPr>
        <w:t>מבוא</w:t>
      </w:r>
    </w:p>
    <w:p w:rsidR="00D5796D" w:rsidRPr="00F41E78" w:rsidP="00A7557B">
      <w:pPr>
        <w:spacing w:after="120" w:line="230" w:lineRule="exact"/>
        <w:jc w:val="both"/>
        <w:rPr>
          <w:rFonts w:cs="FrankRuehl"/>
          <w:sz w:val="18"/>
          <w:szCs w:val="22"/>
          <w:rtl/>
          <w:lang w:eastAsia="he-IL"/>
        </w:rPr>
      </w:pPr>
      <w:r w:rsidRPr="00F41E78">
        <w:rPr>
          <w:rFonts w:cs="FrankRuehl"/>
          <w:sz w:val="18"/>
          <w:szCs w:val="22"/>
          <w:rtl/>
          <w:lang w:eastAsia="he-IL"/>
        </w:rPr>
        <w:t xml:space="preserve">בשרשרת הייצור של יחידות דיור כמה תהליכים עיקריים. </w:t>
      </w:r>
      <w:r w:rsidRPr="00F41E78">
        <w:rPr>
          <w:rFonts w:cs="FrankRuehl" w:hint="cs"/>
          <w:sz w:val="18"/>
          <w:szCs w:val="22"/>
          <w:rtl/>
          <w:lang w:eastAsia="he-IL"/>
        </w:rPr>
        <w:t>ראשון התהליכים הוא</w:t>
      </w:r>
      <w:r w:rsidRPr="00F41E78">
        <w:rPr>
          <w:rFonts w:cs="FrankRuehl"/>
          <w:sz w:val="18"/>
          <w:szCs w:val="22"/>
          <w:rtl/>
          <w:lang w:eastAsia="he-IL"/>
        </w:rPr>
        <w:t xml:space="preserve"> </w:t>
      </w:r>
      <w:r w:rsidRPr="00F41E78">
        <w:rPr>
          <w:rFonts w:cs="FrankRuehl" w:hint="eastAsia"/>
          <w:sz w:val="18"/>
          <w:szCs w:val="22"/>
          <w:rtl/>
          <w:lang w:eastAsia="he-IL"/>
        </w:rPr>
        <w:t>התכנון</w:t>
      </w:r>
      <w:r w:rsidRPr="00F41E78">
        <w:rPr>
          <w:rFonts w:cs="FrankRuehl"/>
          <w:sz w:val="18"/>
          <w:szCs w:val="22"/>
          <w:rtl/>
          <w:lang w:eastAsia="he-IL"/>
        </w:rPr>
        <w:t xml:space="preserve"> </w:t>
      </w:r>
      <w:r w:rsidRPr="00F41E78">
        <w:rPr>
          <w:rFonts w:cs="FrankRuehl" w:hint="eastAsia"/>
          <w:sz w:val="18"/>
          <w:szCs w:val="22"/>
          <w:rtl/>
          <w:lang w:eastAsia="he-IL"/>
        </w:rPr>
        <w:t>הסטטוטורי</w:t>
      </w:r>
      <w:r w:rsidRPr="00F41E78">
        <w:rPr>
          <w:rFonts w:cs="FrankRuehl"/>
          <w:sz w:val="18"/>
          <w:szCs w:val="22"/>
          <w:rtl/>
          <w:lang w:eastAsia="he-IL"/>
        </w:rPr>
        <w:t xml:space="preserve">, </w:t>
      </w:r>
      <w:r w:rsidRPr="00F41E78">
        <w:rPr>
          <w:rFonts w:cs="FrankRuehl" w:hint="eastAsia"/>
          <w:sz w:val="18"/>
          <w:szCs w:val="22"/>
          <w:rtl/>
          <w:lang w:eastAsia="he-IL"/>
        </w:rPr>
        <w:t>דהיינו</w:t>
      </w:r>
      <w:r w:rsidRPr="00F41E78">
        <w:rPr>
          <w:rFonts w:cs="FrankRuehl"/>
          <w:sz w:val="18"/>
          <w:szCs w:val="22"/>
          <w:rtl/>
          <w:lang w:eastAsia="he-IL"/>
        </w:rPr>
        <w:t xml:space="preserve"> </w:t>
      </w:r>
      <w:r w:rsidRPr="00F41E78">
        <w:rPr>
          <w:rFonts w:cs="FrankRuehl" w:hint="eastAsia"/>
          <w:sz w:val="18"/>
          <w:szCs w:val="22"/>
          <w:rtl/>
          <w:lang w:eastAsia="he-IL"/>
        </w:rPr>
        <w:t>תכנון</w:t>
      </w:r>
      <w:r w:rsidRPr="00F41E78">
        <w:rPr>
          <w:rFonts w:cs="FrankRuehl"/>
          <w:sz w:val="18"/>
          <w:szCs w:val="22"/>
          <w:rtl/>
          <w:lang w:eastAsia="he-IL"/>
        </w:rPr>
        <w:t xml:space="preserve"> </w:t>
      </w:r>
      <w:r w:rsidRPr="00F41E78">
        <w:rPr>
          <w:rFonts w:cs="FrankRuehl" w:hint="eastAsia"/>
          <w:sz w:val="18"/>
          <w:szCs w:val="22"/>
          <w:rtl/>
          <w:lang w:eastAsia="he-IL"/>
        </w:rPr>
        <w:t>הקרקע</w:t>
      </w:r>
      <w:r w:rsidRPr="00F41E78">
        <w:rPr>
          <w:rFonts w:cs="FrankRuehl"/>
          <w:sz w:val="18"/>
          <w:szCs w:val="22"/>
          <w:rtl/>
          <w:lang w:eastAsia="he-IL"/>
        </w:rPr>
        <w:t xml:space="preserve"> </w:t>
      </w:r>
      <w:r w:rsidRPr="00F41E78">
        <w:rPr>
          <w:rFonts w:cs="FrankRuehl" w:hint="eastAsia"/>
          <w:sz w:val="18"/>
          <w:szCs w:val="22"/>
          <w:rtl/>
          <w:lang w:eastAsia="he-IL"/>
        </w:rPr>
        <w:t>ואישור</w:t>
      </w:r>
      <w:r w:rsidRPr="00F41E78">
        <w:rPr>
          <w:rFonts w:cs="FrankRuehl"/>
          <w:sz w:val="18"/>
          <w:szCs w:val="22"/>
          <w:rtl/>
          <w:lang w:eastAsia="he-IL"/>
        </w:rPr>
        <w:t xml:space="preserve"> </w:t>
      </w:r>
      <w:r w:rsidRPr="00F41E78">
        <w:rPr>
          <w:rFonts w:cs="FrankRuehl" w:hint="eastAsia"/>
          <w:sz w:val="18"/>
          <w:szCs w:val="22"/>
          <w:rtl/>
          <w:lang w:eastAsia="he-IL"/>
        </w:rPr>
        <w:t>התכניות</w:t>
      </w:r>
      <w:r w:rsidRPr="00F41E78">
        <w:rPr>
          <w:rFonts w:cs="FrankRuehl"/>
          <w:sz w:val="18"/>
          <w:szCs w:val="22"/>
          <w:rtl/>
          <w:lang w:eastAsia="he-IL"/>
        </w:rPr>
        <w:t xml:space="preserve"> </w:t>
      </w:r>
      <w:r w:rsidRPr="00F41E78">
        <w:rPr>
          <w:rFonts w:cs="FrankRuehl" w:hint="eastAsia"/>
          <w:sz w:val="18"/>
          <w:szCs w:val="22"/>
          <w:rtl/>
          <w:lang w:eastAsia="he-IL"/>
        </w:rPr>
        <w:t>כחוק</w:t>
      </w:r>
      <w:r w:rsidRPr="00F41E78">
        <w:rPr>
          <w:rFonts w:cs="FrankRuehl"/>
          <w:sz w:val="18"/>
          <w:szCs w:val="22"/>
          <w:rtl/>
          <w:lang w:eastAsia="he-IL"/>
        </w:rPr>
        <w:t xml:space="preserve">, </w:t>
      </w:r>
      <w:r w:rsidRPr="00F41E78">
        <w:rPr>
          <w:rFonts w:cs="FrankRuehl" w:hint="eastAsia"/>
          <w:sz w:val="18"/>
          <w:szCs w:val="22"/>
          <w:rtl/>
          <w:lang w:eastAsia="he-IL"/>
        </w:rPr>
        <w:t>ולו</w:t>
      </w:r>
      <w:r w:rsidRPr="00F41E78">
        <w:rPr>
          <w:rFonts w:cs="FrankRuehl"/>
          <w:sz w:val="18"/>
          <w:szCs w:val="22"/>
          <w:rtl/>
          <w:lang w:eastAsia="he-IL"/>
        </w:rPr>
        <w:t xml:space="preserve"> </w:t>
      </w:r>
      <w:r w:rsidRPr="00F41E78">
        <w:rPr>
          <w:rFonts w:cs="FrankRuehl" w:hint="eastAsia"/>
          <w:sz w:val="18"/>
          <w:szCs w:val="22"/>
          <w:rtl/>
          <w:lang w:eastAsia="he-IL"/>
        </w:rPr>
        <w:t>כמה</w:t>
      </w:r>
      <w:r w:rsidRPr="00F41E78">
        <w:rPr>
          <w:rFonts w:cs="FrankRuehl"/>
          <w:sz w:val="18"/>
          <w:szCs w:val="22"/>
          <w:rtl/>
          <w:lang w:eastAsia="he-IL"/>
        </w:rPr>
        <w:t xml:space="preserve"> </w:t>
      </w:r>
      <w:r w:rsidRPr="00F41E78">
        <w:rPr>
          <w:rFonts w:cs="FrankRuehl" w:hint="eastAsia"/>
          <w:sz w:val="18"/>
          <w:szCs w:val="22"/>
          <w:rtl/>
          <w:lang w:eastAsia="he-IL"/>
        </w:rPr>
        <w:t>רמות</w:t>
      </w:r>
      <w:r w:rsidRPr="00F41E78">
        <w:rPr>
          <w:rFonts w:cs="FrankRuehl"/>
          <w:sz w:val="18"/>
          <w:szCs w:val="22"/>
          <w:rtl/>
          <w:lang w:eastAsia="he-IL"/>
        </w:rPr>
        <w:t xml:space="preserve"> </w:t>
      </w:r>
      <w:r w:rsidRPr="00F41E78">
        <w:rPr>
          <w:rFonts w:cs="FrankRuehl" w:hint="eastAsia"/>
          <w:sz w:val="18"/>
          <w:szCs w:val="22"/>
          <w:rtl/>
          <w:lang w:eastAsia="he-IL"/>
        </w:rPr>
        <w:t>תכנון</w:t>
      </w:r>
      <w:r w:rsidRPr="00F41E78">
        <w:rPr>
          <w:rFonts w:cs="FrankRuehl"/>
          <w:sz w:val="18"/>
          <w:szCs w:val="22"/>
          <w:rtl/>
          <w:lang w:eastAsia="he-IL"/>
        </w:rPr>
        <w:t xml:space="preserve"> - </w:t>
      </w:r>
      <w:r w:rsidRPr="00F41E78">
        <w:rPr>
          <w:rFonts w:cs="FrankRuehl" w:hint="eastAsia"/>
          <w:sz w:val="18"/>
          <w:szCs w:val="22"/>
          <w:rtl/>
          <w:lang w:eastAsia="he-IL"/>
        </w:rPr>
        <w:t>תכנון</w:t>
      </w:r>
      <w:r w:rsidRPr="00F41E78">
        <w:rPr>
          <w:rFonts w:cs="FrankRuehl"/>
          <w:sz w:val="18"/>
          <w:szCs w:val="22"/>
          <w:rtl/>
          <w:lang w:eastAsia="he-IL"/>
        </w:rPr>
        <w:t xml:space="preserve"> </w:t>
      </w:r>
      <w:r w:rsidRPr="00F41E78">
        <w:rPr>
          <w:rFonts w:cs="FrankRuehl" w:hint="eastAsia"/>
          <w:sz w:val="18"/>
          <w:szCs w:val="22"/>
          <w:rtl/>
          <w:lang w:eastAsia="he-IL"/>
        </w:rPr>
        <w:t>מתארי</w:t>
      </w:r>
      <w:r w:rsidRPr="00F41E78">
        <w:rPr>
          <w:rFonts w:cs="FrankRuehl"/>
          <w:sz w:val="18"/>
          <w:szCs w:val="22"/>
          <w:rtl/>
          <w:lang w:eastAsia="he-IL"/>
        </w:rPr>
        <w:t xml:space="preserve"> </w:t>
      </w:r>
      <w:r w:rsidRPr="00F41E78">
        <w:rPr>
          <w:rFonts w:cs="FrankRuehl" w:hint="eastAsia"/>
          <w:sz w:val="18"/>
          <w:szCs w:val="22"/>
          <w:rtl/>
          <w:lang w:eastAsia="he-IL"/>
        </w:rPr>
        <w:t>וכוללני</w:t>
      </w:r>
      <w:r w:rsidRPr="00F41E78">
        <w:rPr>
          <w:rFonts w:cs="FrankRuehl"/>
          <w:sz w:val="18"/>
          <w:szCs w:val="22"/>
          <w:rtl/>
          <w:lang w:eastAsia="he-IL"/>
        </w:rPr>
        <w:t xml:space="preserve"> (ארצי, </w:t>
      </w:r>
      <w:r w:rsidRPr="00F41E78">
        <w:rPr>
          <w:rFonts w:cs="FrankRuehl" w:hint="eastAsia"/>
          <w:sz w:val="18"/>
          <w:szCs w:val="22"/>
          <w:rtl/>
          <w:lang w:eastAsia="he-IL"/>
        </w:rPr>
        <w:t>מחוזי</w:t>
      </w:r>
      <w:r w:rsidRPr="00F41E78">
        <w:rPr>
          <w:rFonts w:cs="FrankRuehl"/>
          <w:sz w:val="18"/>
          <w:szCs w:val="22"/>
          <w:rtl/>
          <w:lang w:eastAsia="he-IL"/>
        </w:rPr>
        <w:t xml:space="preserve"> </w:t>
      </w:r>
      <w:r w:rsidRPr="00F41E78">
        <w:rPr>
          <w:rFonts w:cs="FrankRuehl" w:hint="eastAsia"/>
          <w:sz w:val="18"/>
          <w:szCs w:val="22"/>
          <w:rtl/>
          <w:lang w:eastAsia="he-IL"/>
        </w:rPr>
        <w:t>ומקומי</w:t>
      </w:r>
      <w:r w:rsidRPr="00F41E78">
        <w:rPr>
          <w:rFonts w:cs="FrankRuehl"/>
          <w:sz w:val="18"/>
          <w:szCs w:val="22"/>
          <w:rtl/>
          <w:lang w:eastAsia="he-IL"/>
        </w:rPr>
        <w:t xml:space="preserve">) </w:t>
      </w:r>
      <w:r w:rsidRPr="00F41E78">
        <w:rPr>
          <w:rFonts w:cs="FrankRuehl" w:hint="eastAsia"/>
          <w:sz w:val="18"/>
          <w:szCs w:val="22"/>
          <w:rtl/>
          <w:lang w:eastAsia="he-IL"/>
        </w:rPr>
        <w:t>ותכנון</w:t>
      </w:r>
      <w:r w:rsidRPr="00F41E78">
        <w:rPr>
          <w:rFonts w:cs="FrankRuehl"/>
          <w:sz w:val="18"/>
          <w:szCs w:val="22"/>
          <w:rtl/>
          <w:lang w:eastAsia="he-IL"/>
        </w:rPr>
        <w:t xml:space="preserve"> </w:t>
      </w:r>
      <w:r w:rsidRPr="00F41E78">
        <w:rPr>
          <w:rFonts w:cs="FrankRuehl" w:hint="eastAsia"/>
          <w:sz w:val="18"/>
          <w:szCs w:val="22"/>
          <w:rtl/>
          <w:lang w:eastAsia="he-IL"/>
        </w:rPr>
        <w:t>מפורט</w:t>
      </w:r>
      <w:r w:rsidRPr="00F41E78">
        <w:rPr>
          <w:rFonts w:cs="FrankRuehl"/>
          <w:sz w:val="18"/>
          <w:szCs w:val="22"/>
          <w:rtl/>
          <w:lang w:eastAsia="he-IL"/>
        </w:rPr>
        <w:t xml:space="preserve"> </w:t>
      </w:r>
      <w:r w:rsidRPr="00F41E78">
        <w:rPr>
          <w:rFonts w:cs="FrankRuehl" w:hint="eastAsia"/>
          <w:sz w:val="18"/>
          <w:szCs w:val="22"/>
          <w:rtl/>
          <w:lang w:eastAsia="he-IL"/>
        </w:rPr>
        <w:t>הנגזר</w:t>
      </w:r>
      <w:r w:rsidRPr="00F41E78">
        <w:rPr>
          <w:rFonts w:cs="FrankRuehl"/>
          <w:sz w:val="18"/>
          <w:szCs w:val="22"/>
          <w:rtl/>
          <w:lang w:eastAsia="he-IL"/>
        </w:rPr>
        <w:t xml:space="preserve"> </w:t>
      </w:r>
      <w:r w:rsidRPr="00F41E78">
        <w:rPr>
          <w:rFonts w:cs="FrankRuehl" w:hint="eastAsia"/>
          <w:sz w:val="18"/>
          <w:szCs w:val="22"/>
          <w:rtl/>
          <w:lang w:eastAsia="he-IL"/>
        </w:rPr>
        <w:t>ממנו</w:t>
      </w:r>
      <w:r w:rsidRPr="00F41E78">
        <w:rPr>
          <w:rFonts w:cs="FrankRuehl"/>
          <w:sz w:val="18"/>
          <w:szCs w:val="22"/>
          <w:rtl/>
          <w:lang w:eastAsia="he-IL"/>
        </w:rPr>
        <w:t xml:space="preserve">. </w:t>
      </w:r>
      <w:r w:rsidRPr="00F41E78">
        <w:rPr>
          <w:rFonts w:cs="FrankRuehl" w:hint="eastAsia"/>
          <w:sz w:val="18"/>
          <w:szCs w:val="22"/>
          <w:rtl/>
          <w:lang w:eastAsia="he-IL"/>
        </w:rPr>
        <w:t>התכנון</w:t>
      </w:r>
      <w:r w:rsidRPr="00F41E78">
        <w:rPr>
          <w:rFonts w:cs="FrankRuehl"/>
          <w:sz w:val="18"/>
          <w:szCs w:val="22"/>
          <w:rtl/>
          <w:lang w:eastAsia="he-IL"/>
        </w:rPr>
        <w:t xml:space="preserve"> </w:t>
      </w:r>
      <w:r w:rsidRPr="00F41E78">
        <w:rPr>
          <w:rFonts w:cs="FrankRuehl" w:hint="eastAsia"/>
          <w:sz w:val="18"/>
          <w:szCs w:val="22"/>
          <w:rtl/>
          <w:lang w:eastAsia="he-IL"/>
        </w:rPr>
        <w:t>המתארי</w:t>
      </w:r>
      <w:r w:rsidRPr="00F41E78">
        <w:rPr>
          <w:rFonts w:cs="FrankRuehl"/>
          <w:sz w:val="18"/>
          <w:szCs w:val="22"/>
          <w:rtl/>
          <w:lang w:eastAsia="he-IL"/>
        </w:rPr>
        <w:t xml:space="preserve"> </w:t>
      </w:r>
      <w:r w:rsidRPr="00F41E78">
        <w:rPr>
          <w:rFonts w:cs="FrankRuehl" w:hint="eastAsia"/>
          <w:sz w:val="18"/>
          <w:szCs w:val="22"/>
          <w:rtl/>
          <w:lang w:eastAsia="he-IL"/>
        </w:rPr>
        <w:t>יוצר</w:t>
      </w:r>
      <w:r w:rsidRPr="00F41E78">
        <w:rPr>
          <w:rFonts w:cs="FrankRuehl"/>
          <w:sz w:val="18"/>
          <w:szCs w:val="22"/>
          <w:rtl/>
          <w:lang w:eastAsia="he-IL"/>
        </w:rPr>
        <w:t xml:space="preserve"> </w:t>
      </w:r>
      <w:r w:rsidRPr="00F41E78">
        <w:rPr>
          <w:rFonts w:cs="FrankRuehl" w:hint="eastAsia"/>
          <w:sz w:val="18"/>
          <w:szCs w:val="22"/>
          <w:rtl/>
          <w:lang w:eastAsia="he-IL"/>
        </w:rPr>
        <w:t>את</w:t>
      </w:r>
      <w:r w:rsidRPr="00F41E78">
        <w:rPr>
          <w:rFonts w:cs="FrankRuehl"/>
          <w:sz w:val="18"/>
          <w:szCs w:val="22"/>
          <w:rtl/>
          <w:lang w:eastAsia="he-IL"/>
        </w:rPr>
        <w:t xml:space="preserve"> </w:t>
      </w:r>
      <w:r w:rsidRPr="00F41E78">
        <w:rPr>
          <w:rFonts w:cs="FrankRuehl" w:hint="eastAsia"/>
          <w:sz w:val="18"/>
          <w:szCs w:val="22"/>
          <w:rtl/>
          <w:lang w:eastAsia="he-IL"/>
        </w:rPr>
        <w:t>התנאים</w:t>
      </w:r>
      <w:r w:rsidRPr="00F41E78">
        <w:rPr>
          <w:rFonts w:cs="FrankRuehl"/>
          <w:sz w:val="18"/>
          <w:szCs w:val="22"/>
          <w:rtl/>
          <w:lang w:eastAsia="he-IL"/>
        </w:rPr>
        <w:t xml:space="preserve"> </w:t>
      </w:r>
      <w:r w:rsidRPr="00F41E78">
        <w:rPr>
          <w:rFonts w:cs="FrankRuehl" w:hint="eastAsia"/>
          <w:sz w:val="18"/>
          <w:szCs w:val="22"/>
          <w:rtl/>
          <w:lang w:eastAsia="he-IL"/>
        </w:rPr>
        <w:t>להשגת</w:t>
      </w:r>
      <w:r w:rsidRPr="00F41E78">
        <w:rPr>
          <w:rFonts w:cs="FrankRuehl"/>
          <w:sz w:val="18"/>
          <w:szCs w:val="22"/>
          <w:rtl/>
          <w:lang w:eastAsia="he-IL"/>
        </w:rPr>
        <w:t xml:space="preserve"> </w:t>
      </w:r>
      <w:r w:rsidRPr="00F41E78">
        <w:rPr>
          <w:rFonts w:cs="FrankRuehl" w:hint="eastAsia"/>
          <w:sz w:val="18"/>
          <w:szCs w:val="22"/>
          <w:rtl/>
          <w:lang w:eastAsia="he-IL"/>
        </w:rPr>
        <w:t>יעדי</w:t>
      </w:r>
      <w:r w:rsidRPr="00F41E78">
        <w:rPr>
          <w:rFonts w:cs="FrankRuehl" w:hint="cs"/>
          <w:sz w:val="18"/>
          <w:szCs w:val="22"/>
          <w:rtl/>
          <w:lang w:eastAsia="he-IL"/>
        </w:rPr>
        <w:t>ם</w:t>
      </w:r>
      <w:r w:rsidRPr="00F41E78">
        <w:rPr>
          <w:rFonts w:cs="FrankRuehl"/>
          <w:sz w:val="18"/>
          <w:szCs w:val="22"/>
          <w:rtl/>
          <w:lang w:eastAsia="he-IL"/>
        </w:rPr>
        <w:t xml:space="preserve"> </w:t>
      </w:r>
      <w:r w:rsidRPr="00F41E78">
        <w:rPr>
          <w:rFonts w:cs="FrankRuehl" w:hint="eastAsia"/>
          <w:sz w:val="18"/>
          <w:szCs w:val="22"/>
          <w:rtl/>
          <w:lang w:eastAsia="he-IL"/>
        </w:rPr>
        <w:t>לאומיים</w:t>
      </w:r>
      <w:r w:rsidRPr="00F41E78">
        <w:rPr>
          <w:rFonts w:cs="FrankRuehl"/>
          <w:sz w:val="18"/>
          <w:szCs w:val="22"/>
          <w:rtl/>
          <w:lang w:eastAsia="he-IL"/>
        </w:rPr>
        <w:t xml:space="preserve"> </w:t>
      </w:r>
      <w:r w:rsidRPr="00F41E78">
        <w:rPr>
          <w:rFonts w:cs="FrankRuehl" w:hint="eastAsia"/>
          <w:sz w:val="18"/>
          <w:szCs w:val="22"/>
          <w:rtl/>
          <w:lang w:eastAsia="he-IL"/>
        </w:rPr>
        <w:t>ו</w:t>
      </w:r>
      <w:r w:rsidRPr="00F41E78">
        <w:rPr>
          <w:rFonts w:cs="FrankRuehl" w:hint="cs"/>
          <w:sz w:val="18"/>
          <w:szCs w:val="22"/>
          <w:rtl/>
          <w:lang w:eastAsia="he-IL"/>
        </w:rPr>
        <w:t>מתן מענה ל</w:t>
      </w:r>
      <w:r w:rsidRPr="00F41E78">
        <w:rPr>
          <w:rFonts w:cs="FrankRuehl" w:hint="eastAsia"/>
          <w:sz w:val="18"/>
          <w:szCs w:val="22"/>
          <w:rtl/>
          <w:lang w:eastAsia="he-IL"/>
        </w:rPr>
        <w:t>צורכי</w:t>
      </w:r>
      <w:r w:rsidRPr="00F41E78">
        <w:rPr>
          <w:rFonts w:cs="FrankRuehl"/>
          <w:sz w:val="18"/>
          <w:szCs w:val="22"/>
          <w:rtl/>
          <w:lang w:eastAsia="he-IL"/>
        </w:rPr>
        <w:t xml:space="preserve"> </w:t>
      </w:r>
      <w:r w:rsidRPr="00F41E78">
        <w:rPr>
          <w:rFonts w:cs="FrankRuehl" w:hint="eastAsia"/>
          <w:sz w:val="18"/>
          <w:szCs w:val="22"/>
          <w:rtl/>
          <w:lang w:eastAsia="he-IL"/>
        </w:rPr>
        <w:t>החברה</w:t>
      </w:r>
      <w:r w:rsidRPr="00F41E78">
        <w:rPr>
          <w:rFonts w:cs="FrankRuehl"/>
          <w:sz w:val="18"/>
          <w:szCs w:val="22"/>
          <w:rtl/>
          <w:lang w:eastAsia="he-IL"/>
        </w:rPr>
        <w:t xml:space="preserve"> </w:t>
      </w:r>
      <w:r w:rsidRPr="00F41E78">
        <w:rPr>
          <w:rFonts w:cs="FrankRuehl" w:hint="eastAsia"/>
          <w:sz w:val="18"/>
          <w:szCs w:val="22"/>
          <w:rtl/>
          <w:lang w:eastAsia="he-IL"/>
        </w:rPr>
        <w:t>בטווח</w:t>
      </w:r>
      <w:r w:rsidRPr="00F41E78">
        <w:rPr>
          <w:rFonts w:cs="FrankRuehl"/>
          <w:sz w:val="18"/>
          <w:szCs w:val="22"/>
          <w:rtl/>
          <w:lang w:eastAsia="he-IL"/>
        </w:rPr>
        <w:t xml:space="preserve"> </w:t>
      </w:r>
      <w:r w:rsidRPr="00F41E78">
        <w:rPr>
          <w:rFonts w:cs="FrankRuehl" w:hint="eastAsia"/>
          <w:sz w:val="18"/>
          <w:szCs w:val="22"/>
          <w:rtl/>
          <w:lang w:eastAsia="he-IL"/>
        </w:rPr>
        <w:t>הארוך</w:t>
      </w:r>
      <w:r w:rsidRPr="00F41E78">
        <w:rPr>
          <w:rFonts w:cs="FrankRuehl"/>
          <w:sz w:val="18"/>
          <w:szCs w:val="22"/>
          <w:rtl/>
          <w:lang w:eastAsia="he-IL"/>
        </w:rPr>
        <w:t xml:space="preserve"> </w:t>
      </w:r>
      <w:r w:rsidRPr="00F41E78">
        <w:rPr>
          <w:rFonts w:cs="FrankRuehl" w:hint="eastAsia"/>
          <w:sz w:val="18"/>
          <w:szCs w:val="22"/>
          <w:rtl/>
          <w:lang w:eastAsia="he-IL"/>
        </w:rPr>
        <w:t>באמצעות</w:t>
      </w:r>
      <w:r w:rsidRPr="00F41E78">
        <w:rPr>
          <w:rFonts w:cs="FrankRuehl"/>
          <w:sz w:val="18"/>
          <w:szCs w:val="22"/>
          <w:rtl/>
          <w:lang w:eastAsia="he-IL"/>
        </w:rPr>
        <w:t xml:space="preserve"> </w:t>
      </w:r>
      <w:r w:rsidRPr="00F41E78">
        <w:rPr>
          <w:rFonts w:cs="FrankRuehl" w:hint="cs"/>
          <w:sz w:val="18"/>
          <w:szCs w:val="22"/>
          <w:rtl/>
          <w:lang w:eastAsia="he-IL"/>
        </w:rPr>
        <w:t xml:space="preserve">קביעת </w:t>
      </w:r>
      <w:r w:rsidRPr="00F41E78">
        <w:rPr>
          <w:rFonts w:cs="FrankRuehl" w:hint="eastAsia"/>
          <w:sz w:val="18"/>
          <w:szCs w:val="22"/>
          <w:rtl/>
          <w:lang w:eastAsia="he-IL"/>
        </w:rPr>
        <w:t>ייעוד</w:t>
      </w:r>
      <w:r w:rsidRPr="00F41E78">
        <w:rPr>
          <w:rFonts w:cs="FrankRuehl" w:hint="cs"/>
          <w:sz w:val="18"/>
          <w:szCs w:val="22"/>
          <w:rtl/>
          <w:lang w:eastAsia="he-IL"/>
        </w:rPr>
        <w:t>י</w:t>
      </w:r>
      <w:r w:rsidRPr="00F41E78">
        <w:rPr>
          <w:rFonts w:cs="FrankRuehl"/>
          <w:sz w:val="18"/>
          <w:szCs w:val="22"/>
          <w:rtl/>
          <w:lang w:eastAsia="he-IL"/>
        </w:rPr>
        <w:t xml:space="preserve"> </w:t>
      </w:r>
      <w:r w:rsidRPr="00F41E78">
        <w:rPr>
          <w:rFonts w:cs="FrankRuehl" w:hint="cs"/>
          <w:sz w:val="18"/>
          <w:szCs w:val="22"/>
          <w:rtl/>
          <w:lang w:eastAsia="he-IL"/>
        </w:rPr>
        <w:t>הקרקע</w:t>
      </w:r>
      <w:r w:rsidRPr="00F41E78">
        <w:rPr>
          <w:rFonts w:cs="FrankRuehl"/>
          <w:sz w:val="18"/>
          <w:szCs w:val="22"/>
          <w:rtl/>
          <w:lang w:eastAsia="he-IL"/>
        </w:rPr>
        <w:t xml:space="preserve">. </w:t>
      </w:r>
      <w:r w:rsidRPr="00F41E78">
        <w:rPr>
          <w:rFonts w:cs="FrankRuehl" w:hint="eastAsia"/>
          <w:sz w:val="18"/>
          <w:szCs w:val="22"/>
          <w:rtl/>
          <w:lang w:eastAsia="he-IL"/>
        </w:rPr>
        <w:t>התכניות</w:t>
      </w:r>
      <w:r w:rsidRPr="00F41E78">
        <w:rPr>
          <w:rFonts w:cs="FrankRuehl"/>
          <w:sz w:val="18"/>
          <w:szCs w:val="22"/>
          <w:rtl/>
          <w:lang w:eastAsia="he-IL"/>
        </w:rPr>
        <w:t xml:space="preserve"> </w:t>
      </w:r>
      <w:r w:rsidRPr="00F41E78">
        <w:rPr>
          <w:rFonts w:cs="FrankRuehl" w:hint="eastAsia"/>
          <w:sz w:val="18"/>
          <w:szCs w:val="22"/>
          <w:rtl/>
          <w:lang w:eastAsia="he-IL"/>
        </w:rPr>
        <w:t>המפורטות</w:t>
      </w:r>
      <w:r w:rsidRPr="00F41E78">
        <w:rPr>
          <w:rFonts w:cs="FrankRuehl"/>
          <w:sz w:val="18"/>
          <w:szCs w:val="22"/>
          <w:rtl/>
          <w:lang w:eastAsia="he-IL"/>
        </w:rPr>
        <w:t xml:space="preserve"> </w:t>
      </w:r>
      <w:r w:rsidRPr="00F41E78">
        <w:rPr>
          <w:rFonts w:cs="FrankRuehl" w:hint="cs"/>
          <w:sz w:val="18"/>
          <w:szCs w:val="22"/>
          <w:rtl/>
          <w:lang w:eastAsia="he-IL"/>
        </w:rPr>
        <w:t>הן הבסיס למתן היתרי בנייה.</w:t>
      </w:r>
    </w:p>
    <w:p w:rsidR="00D5796D"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לאחר התכנון </w:t>
      </w:r>
      <w:r w:rsidRPr="00F41E78">
        <w:rPr>
          <w:rFonts w:cs="FrankRuehl" w:hint="eastAsia"/>
          <w:sz w:val="18"/>
          <w:szCs w:val="22"/>
          <w:rtl/>
          <w:lang w:eastAsia="he-IL"/>
        </w:rPr>
        <w:t>המפורט</w:t>
      </w:r>
      <w:r w:rsidRPr="00F41E78">
        <w:rPr>
          <w:rFonts w:cs="FrankRuehl" w:hint="cs"/>
          <w:sz w:val="18"/>
          <w:szCs w:val="22"/>
          <w:rtl/>
          <w:lang w:eastAsia="he-IL"/>
        </w:rPr>
        <w:t xml:space="preserve"> ניתן לשווק את הקרקעות </w:t>
      </w:r>
      <w:r w:rsidRPr="00F41E78">
        <w:rPr>
          <w:rFonts w:cs="FrankRuehl"/>
          <w:sz w:val="18"/>
          <w:szCs w:val="22"/>
          <w:rtl/>
          <w:lang w:eastAsia="he-IL"/>
        </w:rPr>
        <w:t>(קרקעות בניהול רמ"י)</w:t>
      </w:r>
      <w:r w:rsidRPr="00F41E78">
        <w:rPr>
          <w:rFonts w:cs="FrankRuehl" w:hint="cs"/>
          <w:sz w:val="18"/>
          <w:szCs w:val="22"/>
          <w:rtl/>
          <w:lang w:eastAsia="he-IL"/>
        </w:rPr>
        <w:t xml:space="preserve"> ואחר כך לממש את התכניות. מימוש התכניות של שכונות מגורים חדשות כולל את פיתוח הקרקע, את הקמת התשתיות המוניצפליות הנדרשות, את הנפקת היתרי בנייה לבנייני המגורים וכמובן את תהליכי הבנייה עצמם.</w:t>
      </w:r>
    </w:p>
    <w:p w:rsidR="00D5796D" w:rsidRPr="00F41E78" w:rsidP="004A767A">
      <w:pPr>
        <w:spacing w:after="240" w:line="230" w:lineRule="exact"/>
        <w:jc w:val="both"/>
        <w:rPr>
          <w:rFonts w:cs="FrankRuehl"/>
          <w:sz w:val="18"/>
          <w:szCs w:val="22"/>
          <w:rtl/>
          <w:lang w:eastAsia="he-IL"/>
        </w:rPr>
      </w:pPr>
      <w:r w:rsidRPr="00F41E78">
        <w:rPr>
          <w:rFonts w:cs="FrankRuehl" w:hint="cs"/>
          <w:sz w:val="18"/>
          <w:szCs w:val="22"/>
          <w:rtl/>
          <w:lang w:eastAsia="he-IL"/>
        </w:rPr>
        <w:t>שער זה עוסק בנושאים אלו: היבטים הנוגעים לתכנון המתארי ברמותיו השונות; התכנון המפורט למגורים - מצב המלאי התכנוני, ייזום התכנון והליכי התכנון; תהליכי שיווק הקרקע; ותהליכי מימוש התכניות (פיתוח הקרקע ותהליכי רישוי הבנייה). הביקורת לא עסקה בסוגיות הקשורות לענף הבנייה (כמו זמינות כוח אדם וחומרי בנייה).</w:t>
      </w:r>
    </w:p>
    <w:p w:rsidR="00534F5E" w:rsidRPr="00687567" w:rsidP="004A767A">
      <w:pPr>
        <w:spacing w:after="240" w:line="240" w:lineRule="atLeast"/>
        <w:jc w:val="center"/>
        <w:rPr>
          <w:rFonts w:ascii="Arial" w:hAnsi="Arial" w:cs="Arial"/>
          <w:lang w:eastAsia="he-IL"/>
        </w:rPr>
      </w:pPr>
      <w:r>
        <w:rPr>
          <w:rFonts w:ascii="Arial" w:hAnsi="Arial" w:cs="Arial"/>
          <w:lang w:eastAsia="he-IL"/>
        </w:rPr>
        <w:pict>
          <v:shape id="_x0000_i1046" type="#_x0000_t75" style="width:335pt;height:203pt;mso-left-percent:-10001;mso-position-horizontal-relative:char;mso-position-vertical-relative:line;mso-top-percent:-10001">
            <v:imagedata r:id="rId34" o:title=""/>
            <w10:wrap type="none"/>
          </v:shape>
        </w:pict>
      </w:r>
    </w:p>
    <w:p w:rsidR="00D5796D" w:rsidRPr="00F41E78" w:rsidP="00A7557B">
      <w:pPr>
        <w:tabs>
          <w:tab w:val="left" w:pos="372"/>
        </w:tabs>
        <w:spacing w:after="120" w:line="230" w:lineRule="exact"/>
        <w:jc w:val="both"/>
        <w:rPr>
          <w:rFonts w:cs="FrankRuehl"/>
          <w:sz w:val="18"/>
          <w:szCs w:val="22"/>
          <w:rtl/>
          <w:lang w:eastAsia="he-IL"/>
        </w:rPr>
      </w:pPr>
      <w:r w:rsidRPr="00F41E78">
        <w:rPr>
          <w:rFonts w:cs="FrankRuehl" w:hint="cs"/>
          <w:sz w:val="18"/>
          <w:szCs w:val="22"/>
          <w:rtl/>
          <w:lang w:eastAsia="he-IL"/>
        </w:rPr>
        <w:t xml:space="preserve">התהליכים האמורים משפיעים על ההיצע בשוק הדיור ועל </w:t>
      </w:r>
      <w:r w:rsidRPr="00F41E78">
        <w:rPr>
          <w:rFonts w:cs="FrankRuehl"/>
          <w:sz w:val="18"/>
          <w:szCs w:val="22"/>
          <w:rtl/>
          <w:lang w:eastAsia="he-IL"/>
        </w:rPr>
        <w:t>יכולת</w:t>
      </w:r>
      <w:r w:rsidRPr="00F41E78">
        <w:rPr>
          <w:rFonts w:cs="FrankRuehl" w:hint="eastAsia"/>
          <w:sz w:val="18"/>
          <w:szCs w:val="22"/>
          <w:rtl/>
          <w:lang w:eastAsia="he-IL"/>
        </w:rPr>
        <w:t>ה</w:t>
      </w:r>
      <w:r w:rsidRPr="00F41E78">
        <w:rPr>
          <w:rFonts w:cs="FrankRuehl" w:hint="cs"/>
          <w:sz w:val="18"/>
          <w:szCs w:val="22"/>
          <w:rtl/>
          <w:lang w:eastAsia="he-IL"/>
        </w:rPr>
        <w:t xml:space="preserve"> של הממשלה לשנותו ולווסת את מחיריו. חוסר ודאות בתהליכים אלה מעכב את פיתוח שוק הדיור, מקשה על המדינה לנהל מדיניות דיור מושכלת ויעילה ופוגע בכלכלתה. התמודדות עם משבר הדיור מותנית ביזמות התכנון של רמ"י ושל גורמים אחרים המקבלים ממנה הרשאות לתכנון, בתוצרים של מוסדות התכנון ובמימוש התכניות; מכאן מקורה של החשיבות בניהול תהליכים אלו ובייעולם. </w:t>
      </w:r>
    </w:p>
    <w:p w:rsidR="00D5796D" w:rsidRPr="00F41E78" w:rsidP="00A7557B">
      <w:pPr>
        <w:spacing w:after="120" w:line="230" w:lineRule="exact"/>
        <w:jc w:val="both"/>
        <w:rPr>
          <w:rFonts w:cs="FrankRuehl"/>
          <w:sz w:val="18"/>
          <w:szCs w:val="22"/>
          <w:rtl/>
          <w:lang w:eastAsia="he-IL"/>
        </w:rPr>
      </w:pPr>
    </w:p>
    <w:p w:rsidR="00256A1C" w:rsidP="00A7557B">
      <w:pPr>
        <w:spacing w:after="120" w:line="230" w:lineRule="exact"/>
        <w:jc w:val="both"/>
        <w:rPr>
          <w:rFonts w:cs="FrankRuehl"/>
          <w:sz w:val="18"/>
          <w:szCs w:val="22"/>
          <w:rtl/>
          <w:lang w:eastAsia="he-IL"/>
        </w:rPr>
        <w:sectPr w:rsidSect="004A767A">
          <w:footnotePr>
            <w:numRestart w:val="eachSect"/>
          </w:footnotePr>
          <w:pgSz w:w="11906" w:h="16838" w:code="9"/>
          <w:pgMar w:top="1758" w:right="2552" w:bottom="4253" w:left="2552" w:header="1247" w:footer="1134" w:gutter="0"/>
          <w:cols w:space="720"/>
          <w:rtlGutter/>
        </w:sectPr>
      </w:pPr>
    </w:p>
    <w:p w:rsidR="00711180" w:rsidRPr="00F41E78" w:rsidP="00A7557B">
      <w:pPr>
        <w:spacing w:after="120" w:line="230" w:lineRule="exact"/>
        <w:jc w:val="both"/>
        <w:rPr>
          <w:rFonts w:cs="FrankRuehl"/>
          <w:sz w:val="18"/>
          <w:szCs w:val="22"/>
          <w:lang w:eastAsia="he-IL"/>
        </w:rPr>
      </w:pPr>
    </w:p>
    <w:p w:rsidR="00256A1C" w:rsidP="00FF71E2">
      <w:pPr>
        <w:pStyle w:val="KOT2"/>
        <w:outlineLvl w:val="0"/>
        <w:rPr>
          <w:b w:val="0"/>
          <w:bCs w:val="0"/>
          <w:sz w:val="28"/>
          <w:szCs w:val="28"/>
          <w:rtl/>
        </w:rPr>
        <w:sectPr w:rsidSect="00256A1C">
          <w:footnotePr>
            <w:numRestart w:val="eachSect"/>
          </w:footnotePr>
          <w:pgSz w:w="11906" w:h="16838" w:code="9"/>
          <w:pgMar w:top="1758" w:right="2552" w:bottom="4253" w:left="2552" w:header="1247" w:footer="1134" w:gutter="0"/>
          <w:cols w:space="720"/>
          <w:titlePg/>
          <w:rtlGutter/>
        </w:sectPr>
      </w:pPr>
    </w:p>
    <w:p w:rsidR="00E97EDA" w:rsidRPr="00CB33CD" w:rsidP="00FF71E2">
      <w:pPr>
        <w:pStyle w:val="KOT2"/>
        <w:outlineLvl w:val="0"/>
        <w:rPr>
          <w:rtl/>
        </w:rPr>
      </w:pPr>
      <w:r w:rsidRPr="00A74F1A">
        <w:rPr>
          <w:rFonts w:hint="cs"/>
          <w:b w:val="0"/>
          <w:bCs w:val="0"/>
          <w:sz w:val="28"/>
          <w:szCs w:val="28"/>
          <w:rtl/>
        </w:rPr>
        <w:t>פרק ראשון</w:t>
      </w:r>
      <w:r w:rsidRPr="00A74F1A">
        <w:rPr>
          <w:b w:val="0"/>
          <w:bCs w:val="0"/>
          <w:sz w:val="28"/>
          <w:szCs w:val="28"/>
          <w:rtl/>
        </w:rPr>
        <w:br/>
      </w:r>
      <w:r w:rsidRPr="00CB33CD">
        <w:rPr>
          <w:rFonts w:hint="cs"/>
          <w:rtl/>
        </w:rPr>
        <w:t>התכנון המתארי הכוללני</w:t>
      </w:r>
      <w:r>
        <w:rPr>
          <w:rFonts w:hint="cs"/>
          <w:rt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התכנון המתארי עוסק בייעוד קרקעות לצרכים שונים, כמו מגורים, תעסוקה ומסחר, ובקביעת הוראות וכללים לפיתוחן הנאות של הקרקעות ולאופן השימוש בהן. התכנון נעשה ברמה הארצית, המחוזית והמקומית, ועליו להבטיח שהפיתוח הפיזי ייעשה על סמך תפיסה כוללנית ומתוך התחשבות בצורכי החברה בדור הזה ובדורות הבאים. לכן, בתהליך קבלת החלטות בתחום התכנון מעורבים שיקולים חברתיים, כלכליים וסביבתיים וכן הצורך לאזן ביניהם.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הליכי התכנון ותהליכי רישוי הבנייה מוסדרים כאמור בדברי חקיקה שונים, בעיקר בחוק התכנון והבנייה ובתקנות שהותקנו מכוחו. חוק התכנון והבנייה קובע כאמור מדרג של מוסדות תכנון ומסמיך אותם לקבל החלטות בנוגע לתכנון המרחבי.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על פי חוק זה, כדי להפוך קרקע לזמינה לבנייה יש לאשר תכניות מפורטות</w:t>
      </w:r>
      <w:r>
        <w:rPr>
          <w:rFonts w:cs="FrankRuehl"/>
          <w:sz w:val="18"/>
          <w:szCs w:val="22"/>
          <w:vertAlign w:val="superscript"/>
          <w:rtl/>
          <w:lang w:eastAsia="he-IL"/>
        </w:rPr>
        <w:footnoteReference w:id="165"/>
      </w:r>
      <w:r w:rsidRPr="00F41E78">
        <w:rPr>
          <w:rFonts w:cs="FrankRuehl" w:hint="cs"/>
          <w:sz w:val="18"/>
          <w:szCs w:val="22"/>
          <w:rtl/>
          <w:lang w:eastAsia="he-IL"/>
        </w:rPr>
        <w:t xml:space="preserve"> במוסדות התכנון המוסמכים לכך (בדרך כלל מדובר בוועדות המקומיות והמחוזיות); על התכניות המפורטות לעלות בקנה אחד עם תכניות המתאר הארציות, המחוזיות והמקומיות. בית המשפט העליון ביטא עמדה זאת כשקבע ש"אין תכנון ואין בנייה ואין זכויות בנייה או שימוש לפיהן אלא לפי הוראות התכניות השונות לדרגותיהן. מותר לבנות רק במסגרת המותרת בתכנית"</w:t>
      </w:r>
      <w:r>
        <w:rPr>
          <w:rFonts w:cs="FrankRuehl"/>
          <w:sz w:val="18"/>
          <w:szCs w:val="22"/>
          <w:vertAlign w:val="superscript"/>
          <w:rtl/>
          <w:lang w:eastAsia="he-IL"/>
        </w:rPr>
        <w:footnoteReference w:id="166"/>
      </w:r>
      <w:r w:rsidRPr="00F41E78">
        <w:rPr>
          <w:rFonts w:cs="FrankRuehl" w:hint="cs"/>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החוק הזה גם קובע כי כדי לממש תכניות מפורטות לאחר אישורן ולהתחיל לבנות על הקרקע ולהשתמש בה נדרש היתר בנייה. הוועדות המקומיות או רשויות הרישוי המקומיות</w:t>
      </w:r>
      <w:r>
        <w:rPr>
          <w:rFonts w:cs="FrankRuehl"/>
          <w:sz w:val="18"/>
          <w:szCs w:val="22"/>
          <w:vertAlign w:val="superscript"/>
          <w:rtl/>
          <w:lang w:eastAsia="he-IL"/>
        </w:rPr>
        <w:footnoteReference w:id="167"/>
      </w:r>
      <w:r w:rsidRPr="00F41E78">
        <w:rPr>
          <w:rFonts w:cs="FrankRuehl" w:hint="cs"/>
          <w:sz w:val="18"/>
          <w:szCs w:val="22"/>
          <w:rtl/>
          <w:lang w:eastAsia="he-IL"/>
        </w:rPr>
        <w:t xml:space="preserve"> הן אלו המוציאות את היתרי הבנייה כפי שנקבע בחוק ובתקנותיו, ועל ההיתרים להתאים להוראות התכניות השונות. </w:t>
      </w:r>
    </w:p>
    <w:p w:rsidR="00711180" w:rsidRPr="00F41E78" w:rsidP="00A7557B">
      <w:pPr>
        <w:spacing w:after="120" w:line="230" w:lineRule="exact"/>
        <w:jc w:val="both"/>
        <w:rPr>
          <w:rFonts w:cs="FrankRuehl"/>
          <w:sz w:val="18"/>
          <w:szCs w:val="22"/>
          <w:rtl/>
          <w:lang w:eastAsia="he-IL"/>
        </w:rPr>
      </w:pPr>
    </w:p>
    <w:p w:rsidR="00711180" w:rsidRPr="00F41E78" w:rsidP="00A7557B">
      <w:pPr>
        <w:spacing w:after="120" w:line="230" w:lineRule="exact"/>
        <w:jc w:val="both"/>
        <w:rPr>
          <w:rFonts w:cs="FrankRuehl"/>
          <w:sz w:val="18"/>
          <w:szCs w:val="22"/>
          <w:rtl/>
          <w:lang w:eastAsia="he-IL"/>
        </w:rPr>
      </w:pPr>
    </w:p>
    <w:p w:rsidR="00E97EDA" w:rsidRPr="00CB33CD" w:rsidP="00A7557B">
      <w:pPr>
        <w:pStyle w:val="KOT4"/>
        <w:rPr>
          <w:rtl/>
          <w:lang w:eastAsia="he-IL"/>
        </w:rPr>
      </w:pPr>
      <w:r w:rsidRPr="00CB33CD">
        <w:rPr>
          <w:rFonts w:hint="cs"/>
          <w:rtl/>
          <w:lang w:eastAsia="he-IL"/>
        </w:rPr>
        <w:t>התכנון המתארי ברמה הארצית</w:t>
      </w:r>
      <w:r>
        <w:rPr>
          <w:rFonts w:hint="cs"/>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מדיניות התכנון הלאומית מעוגנת בתכניות מתאר ארציות המחולקות לתכניות נושאיות (למשל תכניות לדרכים, לתחנות תדלוק, לגנים לאומיים וכיוצא באלו) ולתכניות משולבות המשקפות את עקרונות הפיתוח הכוללניים של המדינה. התכנון הארצי הכוללני נקבע לפי תחזיות על התפתחות האוכלוסייה ועל צרכיה (פרוגרמות), והוא מייעד עתודות קרקע לפיתוח בהתאם לכך ועל פי שיקולים חברתיים וסביבתיים.</w:t>
      </w:r>
    </w:p>
    <w:p w:rsidR="00E97EDA"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תכנית מתאר ארצית משולבת לבנייה, לפיתוח ולשימור - תמ"א 35</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הליכי גיבושה של תמ"א 35 החלו בשנת 1998 ובנובמבר 2005 אישרה אותה הממשלה. שנת היעד של התכנית היא 2020 (להלן - שנת היעד) ואלו כמה ממטרותיה: מתן מענה לצורכי הבנייה </w:t>
      </w:r>
      <w:r w:rsidRPr="00F41E78">
        <w:rPr>
          <w:rFonts w:cs="FrankRuehl" w:hint="cs"/>
          <w:sz w:val="18"/>
          <w:szCs w:val="22"/>
          <w:rtl/>
          <w:lang w:eastAsia="he-IL"/>
        </w:rPr>
        <w:t>והפיתוח של מדינת ישראל, הכוונת הפיתוח לאזורים העירוניים</w:t>
      </w:r>
      <w:r>
        <w:rPr>
          <w:rFonts w:cs="FrankRuehl"/>
          <w:sz w:val="18"/>
          <w:szCs w:val="22"/>
          <w:vertAlign w:val="superscript"/>
          <w:rtl/>
          <w:lang w:eastAsia="he-IL"/>
        </w:rPr>
        <w:footnoteReference w:id="168"/>
      </w:r>
      <w:r w:rsidRPr="00F41E78">
        <w:rPr>
          <w:rFonts w:cs="FrankRuehl" w:hint="cs"/>
          <w:sz w:val="18"/>
          <w:szCs w:val="22"/>
          <w:rtl/>
          <w:lang w:eastAsia="he-IL"/>
        </w:rPr>
        <w:t xml:space="preserve">, צמצום הפרבור, שמירה על עתודות קרקע לדורות הבאים, שמירה על ערכי טבע, חקלאות, נוף ומורשת, וכן מתן חשיבות לרציפותם של השטחים הפתוחים.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בדומה לתמ"אות קודמות קבעה תמ"א 35 הוראות תכנון התומכות בפיזור האוכלוסייה. במסמכי התמ"א שאישרה הממשלה נכללה רשימה מפורטת של אמצעי מדיניות שיסייעו בהשגת מטרות התכנית, ובכלל זה אמצעים שיעודדו את פיתוח אזורי צפון הארץ ודרומה ויסייעו בצמצום הפערים החברתיים.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תמ"א 35 מבוססת על פרוגרמה</w:t>
      </w:r>
      <w:r w:rsidRPr="00F41E78">
        <w:rPr>
          <w:rFonts w:cs="FrankRuehl"/>
          <w:sz w:val="18"/>
          <w:szCs w:val="22"/>
          <w:rtl/>
          <w:lang w:eastAsia="he-IL"/>
        </w:rPr>
        <w:t xml:space="preserve"> </w:t>
      </w:r>
      <w:r w:rsidRPr="00F41E78">
        <w:rPr>
          <w:rFonts w:cs="FrankRuehl" w:hint="cs"/>
          <w:sz w:val="18"/>
          <w:szCs w:val="22"/>
          <w:rtl/>
          <w:lang w:eastAsia="he-IL"/>
        </w:rPr>
        <w:t>ועל תחזיות של גידול האוכלוסייה ושל צורכי החברה עד שנת היעד. התמ"א נועדה ליצור תנאים שיאפשרו תוספת של כ-45,000 יח"ד בשנה לפי תחזיות על הביקושים הצפויים</w:t>
      </w:r>
      <w:r>
        <w:rPr>
          <w:rFonts w:cs="FrankRuehl"/>
          <w:sz w:val="18"/>
          <w:szCs w:val="22"/>
          <w:vertAlign w:val="superscript"/>
          <w:rtl/>
          <w:lang w:eastAsia="he-IL"/>
        </w:rPr>
        <w:footnoteReference w:id="169"/>
      </w:r>
      <w:r w:rsidRPr="00F41E78">
        <w:rPr>
          <w:rFonts w:cs="FrankRuehl" w:hint="cs"/>
          <w:sz w:val="18"/>
          <w:szCs w:val="22"/>
          <w:rtl/>
          <w:lang w:eastAsia="he-IL"/>
        </w:rPr>
        <w:t>. התמ"א קבעה יעדי אוכלוסייה רצויים לכל מחוז ולפיהם יוסט חלק מהפיתוח מאזור המרכז לצפון הארץ ולדרומה. ביעדים אלו באה לידי ביטוי תפיסה המכוונת ליצירה של ארבעה מטרופוליני</w:t>
      </w:r>
      <w:r w:rsidRPr="00F41E78">
        <w:rPr>
          <w:rFonts w:cs="FrankRuehl" w:hint="eastAsia"/>
          <w:sz w:val="18"/>
          <w:szCs w:val="22"/>
          <w:rtl/>
          <w:lang w:eastAsia="he-IL"/>
        </w:rPr>
        <w:t>ם</w:t>
      </w:r>
      <w:r>
        <w:rPr>
          <w:rFonts w:cs="FrankRuehl"/>
          <w:sz w:val="18"/>
          <w:szCs w:val="22"/>
          <w:vertAlign w:val="superscript"/>
          <w:rtl/>
          <w:lang w:eastAsia="he-IL"/>
        </w:rPr>
        <w:footnoteReference w:id="170"/>
      </w:r>
      <w:r w:rsidRPr="00F41E78">
        <w:rPr>
          <w:rFonts w:cs="FrankRuehl" w:hint="cs"/>
          <w:sz w:val="18"/>
          <w:szCs w:val="22"/>
          <w:rtl/>
          <w:lang w:eastAsia="he-IL"/>
        </w:rPr>
        <w:t xml:space="preserve">. יעדי האוכלוסייה למחוזות מתבססים על פרוגרמות של תכניות מתאר מחוזיות שכבר היו מאושרות בחלקן בעת הכנת התמ"א ועל מדיניות פיזור האוכלוסייה.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תמ"א 35 התבססה על תחזית בדבר הצורך להוסיף כ-175 מיליון מ"ר של שטחי בנייה ל-150 מיליון מ"ר שכבר היו בנויים בשנת 1995 (עת הוחל בגיבושה), כלומר תוספת של כ-115%. אולם תוספת שטח הקרקע לפיתוח עומדת על 50% בלבד (הוספה של 600 קמ"ר ל-1,200 קמ"ר שכבר היו מפותחים בשנת 1995). בתמ"א נקבעו כללים לוויסות הפיתוח באמצעות חלוקת שטח המדינה לאזורים מוטי פיתוח ולאזורים מוטי שימור. כמו כן נקבעו בה הוראות לפיתוח רצוף של אזורים (פיתוח צמוד דופן) ושל מכסות צפיפות בנייה מזעריות. התמ"א מבוססת אפוא על עקרונות ציפוף הבנייה ועל מיצוי עתודות הקרקע באזורים מפותחים (בתוך היישובים), וזאת כדי לייעל את השימוש במשאב הקרקע ההולך ופוחת, בייחוד באזורי הביקוש.</w:t>
      </w:r>
    </w:p>
    <w:p w:rsidR="00711180"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המעקב אחר יישום תמ"א 35 ועדכונה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במסמכי התמ"א נקבעו הוראות</w:t>
      </w:r>
      <w:r>
        <w:rPr>
          <w:rFonts w:cs="FrankRuehl"/>
          <w:sz w:val="18"/>
          <w:szCs w:val="22"/>
          <w:vertAlign w:val="superscript"/>
          <w:rtl/>
          <w:lang w:eastAsia="he-IL"/>
        </w:rPr>
        <w:footnoteReference w:id="171"/>
      </w:r>
      <w:r w:rsidRPr="00F41E78">
        <w:rPr>
          <w:rFonts w:cs="FrankRuehl" w:hint="cs"/>
          <w:sz w:val="18"/>
          <w:szCs w:val="22"/>
          <w:rtl/>
          <w:lang w:eastAsia="he-IL"/>
        </w:rPr>
        <w:t xml:space="preserve"> למעקב אחר יישומה של התכנית ועדכונה. לפי הוראות אלו, אחת לארבע שנים תבחן המועצה הארצית את הצורך בשינויהּ ותורה על שינוי אם מצאה לנכון לעשות כן. עוד נקבע בהוראות שתיקון התמ"א יותנה בקבלת התייחסותן של הוועדות המחוזיות, בבחינה כוללת של המצב ובדיווח תקופתי הנוגע להשגת יעדיה וליישומה. </w:t>
      </w:r>
      <w:r w:rsidRPr="00F41E78">
        <w:rPr>
          <w:rFonts w:cs="FrankRuehl"/>
          <w:sz w:val="18"/>
          <w:szCs w:val="22"/>
          <w:rtl/>
          <w:lang w:eastAsia="he-IL"/>
        </w:rPr>
        <w:t>כאמור, בסוף 2009</w:t>
      </w:r>
      <w:r w:rsidRPr="00F41E78">
        <w:rPr>
          <w:rFonts w:cs="FrankRuehl" w:hint="cs"/>
          <w:sz w:val="18"/>
          <w:szCs w:val="22"/>
          <w:rtl/>
          <w:lang w:eastAsia="he-IL"/>
        </w:rPr>
        <w:t xml:space="preserve"> </w:t>
      </w:r>
      <w:r w:rsidRPr="00F41E78">
        <w:rPr>
          <w:rFonts w:cs="FrankRuehl"/>
          <w:sz w:val="18"/>
          <w:szCs w:val="22"/>
          <w:rtl/>
          <w:lang w:eastAsia="he-IL"/>
        </w:rPr>
        <w:t>הי</w:t>
      </w:r>
      <w:r w:rsidRPr="00F41E78">
        <w:rPr>
          <w:rFonts w:cs="FrankRuehl" w:hint="cs"/>
          <w:sz w:val="18"/>
          <w:szCs w:val="22"/>
          <w:rtl/>
          <w:lang w:eastAsia="he-IL"/>
        </w:rPr>
        <w:t>י</w:t>
      </w:r>
      <w:r w:rsidRPr="00F41E78">
        <w:rPr>
          <w:rFonts w:cs="FrankRuehl"/>
          <w:sz w:val="18"/>
          <w:szCs w:val="22"/>
          <w:rtl/>
          <w:lang w:eastAsia="he-IL"/>
        </w:rPr>
        <w:t>תה אמורה להתקבל החלטה על עדכונה.</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תהליכי עדכונה של תמ"א 35</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במרץ 2008 החל לפעול צוות מתכננים שנבחר לבחון את העדכונים הנדרשים בתמ"א ואת יישומה (להלן - צוות המעקב). צוות המעקב הכין שלושה דוחות מקיפים הנוגעים להיבטים שונים ביישום התמ"א. בין היתר ניתח הצוות את הבנייה שנוספה מאז הוכנה התמ"א, את פריסתה במרחב ואת השינויים הדמוגרפיים במחוזות, על בסיס נתונים שהיו ידועים בשנת 2007, כדי לבחון את קצב מיצוי עתודות הקרקע ולבדוק אם אופן ניצולן עולה בקנה אחד עם מטרות התמ"א. צוות המעקב בחן אם חלו שינויים בצורכי הפיתוח ואם יספיקו עתודות הקרקע שנותרו למילוי הצרכים גם מעבר לשנת היעד.</w:t>
      </w:r>
    </w:p>
    <w:p w:rsidR="00E97EDA" w:rsidRPr="00F41E78" w:rsidP="004A767A">
      <w:pPr>
        <w:spacing w:after="240" w:line="224" w:lineRule="exact"/>
        <w:jc w:val="both"/>
        <w:rPr>
          <w:rFonts w:cs="FrankRuehl"/>
          <w:sz w:val="18"/>
          <w:szCs w:val="22"/>
          <w:rtl/>
          <w:lang w:eastAsia="he-IL"/>
        </w:rPr>
      </w:pPr>
      <w:r w:rsidRPr="00F41E78">
        <w:rPr>
          <w:rFonts w:cs="FrankRuehl" w:hint="cs"/>
          <w:sz w:val="18"/>
          <w:szCs w:val="22"/>
          <w:rtl/>
          <w:lang w:eastAsia="he-IL"/>
        </w:rPr>
        <w:t>ועדת היגוי</w:t>
      </w:r>
      <w:r>
        <w:rPr>
          <w:rFonts w:cs="FrankRuehl"/>
          <w:sz w:val="18"/>
          <w:szCs w:val="22"/>
          <w:vertAlign w:val="superscript"/>
          <w:rtl/>
          <w:lang w:eastAsia="he-IL"/>
        </w:rPr>
        <w:footnoteReference w:id="172"/>
      </w:r>
      <w:r w:rsidRPr="00F41E78">
        <w:rPr>
          <w:rFonts w:cs="FrankRuehl" w:hint="cs"/>
          <w:sz w:val="18"/>
          <w:szCs w:val="22"/>
          <w:rtl/>
          <w:lang w:eastAsia="he-IL"/>
        </w:rPr>
        <w:t xml:space="preserve"> ליוותה את הכנתם של שלושת הדוחות ובשנים 2010-2008 הם נדונו, על פי קצב השלמתם, בישיבותיה של הוועדה ושל המועצה הארצית. במהלך 2011 גיבש צוות המעקב דוח רביעי שכלל המלצות עקרוניות לעדכון התמ"א, על פי הצרכים הצפויים עד 2030. נמצא שהדיונים על דוח זה הופסקו באוגוסט 2011 בעקבות בקשתה של מנהלת מינהל התכנון שבמשרד הפנים ללמוד את הנושא</w:t>
      </w:r>
      <w:r>
        <w:rPr>
          <w:rFonts w:cs="FrankRuehl"/>
          <w:sz w:val="18"/>
          <w:szCs w:val="22"/>
          <w:vertAlign w:val="superscript"/>
          <w:rtl/>
          <w:lang w:eastAsia="he-IL"/>
        </w:rPr>
        <w:footnoteReference w:id="173"/>
      </w:r>
      <w:r w:rsidRPr="00F41E78">
        <w:rPr>
          <w:rFonts w:cs="FrankRuehl" w:hint="cs"/>
          <w:sz w:val="18"/>
          <w:szCs w:val="22"/>
          <w:rtl/>
          <w:lang w:eastAsia="he-IL"/>
        </w:rPr>
        <w:t xml:space="preserve"> ולבחון מחדש חלק מהנחות היסוד ששימשו לחישוב עתודות הקרקע. במהלך 2012 נעשתה עבודת מטה נוספת שבחנה מחדש את השאלה אם עתודות הקרקע הכלולות בתמ"א מספיקות, ובעקבותיה תיקן צוות המעקב את המלצותיו משנת 2011. בשנת 2013 התחדשו הדיונים בוועדת ההיגוי על דוח ההמלצות המתוקן לשינוי התמ"א. </w:t>
      </w:r>
      <w:r w:rsidRPr="00F41E78">
        <w:rPr>
          <w:rFonts w:cs="FrankRuehl" w:hint="eastAsia"/>
          <w:sz w:val="18"/>
          <w:szCs w:val="22"/>
          <w:rtl/>
          <w:lang w:eastAsia="he-IL"/>
        </w:rPr>
        <w:t>נכון</w:t>
      </w:r>
      <w:r w:rsidRPr="00F41E78">
        <w:rPr>
          <w:rFonts w:cs="FrankRuehl"/>
          <w:sz w:val="18"/>
          <w:szCs w:val="22"/>
          <w:rtl/>
          <w:lang w:eastAsia="he-IL"/>
        </w:rPr>
        <w:t xml:space="preserve"> </w:t>
      </w:r>
      <w:r w:rsidRPr="00F41E78">
        <w:rPr>
          <w:rFonts w:cs="FrankRuehl" w:hint="eastAsia"/>
          <w:sz w:val="18"/>
          <w:szCs w:val="22"/>
          <w:rtl/>
          <w:lang w:eastAsia="he-IL"/>
        </w:rPr>
        <w:t>למועד</w:t>
      </w:r>
      <w:r w:rsidRPr="00F41E78">
        <w:rPr>
          <w:rFonts w:cs="FrankRuehl"/>
          <w:sz w:val="18"/>
          <w:szCs w:val="22"/>
          <w:rtl/>
          <w:lang w:eastAsia="he-IL"/>
        </w:rPr>
        <w:t xml:space="preserve"> </w:t>
      </w:r>
      <w:r w:rsidRPr="00F41E78">
        <w:rPr>
          <w:rFonts w:cs="FrankRuehl" w:hint="eastAsia"/>
          <w:sz w:val="18"/>
          <w:szCs w:val="22"/>
          <w:rtl/>
          <w:lang w:eastAsia="he-IL"/>
        </w:rPr>
        <w:t>סיום</w:t>
      </w:r>
      <w:r w:rsidRPr="00F41E78">
        <w:rPr>
          <w:rFonts w:cs="FrankRuehl"/>
          <w:sz w:val="18"/>
          <w:szCs w:val="22"/>
          <w:rtl/>
          <w:lang w:eastAsia="he-IL"/>
        </w:rPr>
        <w:t xml:space="preserve"> </w:t>
      </w:r>
      <w:r w:rsidRPr="00F41E78">
        <w:rPr>
          <w:rFonts w:cs="FrankRuehl" w:hint="eastAsia"/>
          <w:sz w:val="18"/>
          <w:szCs w:val="22"/>
          <w:rtl/>
          <w:lang w:eastAsia="he-IL"/>
        </w:rPr>
        <w:t>הביקורת</w:t>
      </w:r>
      <w:r w:rsidRPr="00F41E78">
        <w:rPr>
          <w:rFonts w:cs="FrankRuehl"/>
          <w:sz w:val="18"/>
          <w:szCs w:val="22"/>
          <w:rtl/>
          <w:lang w:eastAsia="he-IL"/>
        </w:rPr>
        <w:t xml:space="preserve">, </w:t>
      </w:r>
      <w:r w:rsidRPr="00F41E78">
        <w:rPr>
          <w:rFonts w:cs="FrankRuehl" w:hint="eastAsia"/>
          <w:sz w:val="18"/>
          <w:szCs w:val="22"/>
          <w:rtl/>
          <w:lang w:eastAsia="he-IL"/>
        </w:rPr>
        <w:t>דצמבר</w:t>
      </w:r>
      <w:r w:rsidRPr="00F41E78">
        <w:rPr>
          <w:rFonts w:cs="FrankRuehl"/>
          <w:sz w:val="18"/>
          <w:szCs w:val="22"/>
          <w:rtl/>
          <w:lang w:eastAsia="he-IL"/>
        </w:rPr>
        <w:t xml:space="preserve"> 2013,</w:t>
      </w:r>
      <w:r w:rsidRPr="00F41E78">
        <w:rPr>
          <w:rFonts w:cs="FrankRuehl" w:hint="cs"/>
          <w:sz w:val="18"/>
          <w:szCs w:val="22"/>
          <w:rtl/>
          <w:lang w:eastAsia="he-IL"/>
        </w:rPr>
        <w:t xml:space="preserve"> טרם קיבלה המועצה הארצית החלטות בדבר עדכונה של תמ"א 35.</w:t>
      </w:r>
    </w:p>
    <w:p w:rsidR="00D22B16" w:rsidRPr="00F41E78" w:rsidP="00D22B16">
      <w:pPr>
        <w:pStyle w:val="RESHET"/>
        <w:keepLines/>
        <w:spacing w:line="224" w:lineRule="exact"/>
        <w:rPr>
          <w:rtl/>
        </w:rPr>
      </w:pPr>
      <w:r w:rsidRPr="00F41E78">
        <w:rPr>
          <w:rFonts w:hint="cs"/>
          <w:rtl/>
        </w:rPr>
        <w:t xml:space="preserve">מאז אישור תמ"א 35 חלפו יותר משמונה שנים, ואף שהוראותיה קובעות כי יש לבחון את הצורך בעדכונה אחת לארבע שנים, טרם הושלם תהליך קבלת ההחלטות הראשון על עדכונה. </w:t>
      </w:r>
    </w:p>
    <w:p w:rsidR="00E97EDA" w:rsidRPr="00F41E78" w:rsidP="004A767A">
      <w:pPr>
        <w:spacing w:before="180" w:after="240" w:line="224" w:lineRule="exact"/>
        <w:jc w:val="both"/>
        <w:rPr>
          <w:rFonts w:cs="FrankRuehl"/>
          <w:sz w:val="18"/>
          <w:szCs w:val="22"/>
          <w:rtl/>
          <w:lang w:eastAsia="he-IL"/>
        </w:rPr>
      </w:pPr>
      <w:r w:rsidRPr="00F41E78">
        <w:rPr>
          <w:rFonts w:cs="FrankRuehl" w:hint="cs"/>
          <w:sz w:val="18"/>
          <w:szCs w:val="22"/>
          <w:rtl/>
          <w:lang w:eastAsia="he-IL"/>
        </w:rPr>
        <w:t xml:space="preserve">ישנה חשיבות לכך שהחלטות על שינוי התמ"א יתקבלו לאחר בדיקה יסודית ומעמיקה, כפי שנעשה בפועל. אולם העובדה שהעדכון המוצע לתמ"א 35 מתבסס על ניתוח נתונים משנת 2007 מעלה את החשש שהנתונים אינם מעודכנים דיים. יתרה מכך, נתונים אלו משקפים מגמות שהיו קיימות זמן לא רב לאחר אישור התמ"א, וספק אם יש בהן די כדי </w:t>
      </w:r>
      <w:r w:rsidRPr="00F41E78">
        <w:rPr>
          <w:rFonts w:cs="FrankRuehl" w:hint="eastAsia"/>
          <w:sz w:val="18"/>
          <w:szCs w:val="22"/>
          <w:rtl/>
          <w:lang w:eastAsia="he-IL"/>
        </w:rPr>
        <w:t>ללמד</w:t>
      </w:r>
      <w:r w:rsidRPr="00F41E78">
        <w:rPr>
          <w:rFonts w:cs="FrankRuehl"/>
          <w:sz w:val="18"/>
          <w:szCs w:val="22"/>
          <w:rtl/>
          <w:lang w:eastAsia="he-IL"/>
        </w:rPr>
        <w:t xml:space="preserve"> </w:t>
      </w:r>
      <w:r w:rsidRPr="00F41E78">
        <w:rPr>
          <w:rFonts w:cs="FrankRuehl" w:hint="cs"/>
          <w:sz w:val="18"/>
          <w:szCs w:val="22"/>
          <w:rtl/>
          <w:lang w:eastAsia="he-IL"/>
        </w:rPr>
        <w:t>על מידת השפעתה של התכנית על פיתוח מדינת ישראל.</w:t>
      </w:r>
    </w:p>
    <w:p w:rsidR="00D22B16" w:rsidRPr="00F41E78" w:rsidP="00D22B16">
      <w:pPr>
        <w:pStyle w:val="RESHET"/>
        <w:keepLines/>
        <w:spacing w:line="224" w:lineRule="exact"/>
        <w:rPr>
          <w:rtl/>
        </w:rPr>
      </w:pPr>
      <w:r w:rsidRPr="00F41E78">
        <w:rPr>
          <w:rFonts w:hint="cs"/>
          <w:rtl/>
        </w:rPr>
        <w:t xml:space="preserve">לנוכח התמשכותם של תהליכי עדכון התמ"א (כחצי עשור), על מינהל התכנון לשקול את המתכונת הרצויה לעדכונה כדי שההחלטות בנושא ימשיכו להתבסס על בדיקה יסודית ומקיפה, </w:t>
      </w:r>
      <w:r w:rsidRPr="00F41E78">
        <w:rPr>
          <w:rFonts w:hint="eastAsia"/>
          <w:rtl/>
        </w:rPr>
        <w:t>אך</w:t>
      </w:r>
      <w:r w:rsidRPr="00F41E78">
        <w:rPr>
          <w:rtl/>
        </w:rPr>
        <w:t xml:space="preserve"> </w:t>
      </w:r>
      <w:r w:rsidRPr="00F41E78">
        <w:rPr>
          <w:rFonts w:hint="cs"/>
          <w:rtl/>
        </w:rPr>
        <w:t xml:space="preserve">תהליך קבלתן לא יימשך </w:t>
      </w:r>
      <w:r w:rsidRPr="00F41E78">
        <w:rPr>
          <w:rtl/>
        </w:rPr>
        <w:t>זמן רב כל כך</w:t>
      </w:r>
      <w:r w:rsidRPr="00F41E78">
        <w:rPr>
          <w:rFonts w:hint="cs"/>
          <w:rtl/>
        </w:rPr>
        <w:t xml:space="preserve">. </w:t>
      </w:r>
    </w:p>
    <w:p w:rsidR="00D22B16" w:rsidRPr="00F41E78" w:rsidP="00D22B16">
      <w:pPr>
        <w:pStyle w:val="RESHET"/>
        <w:keepLines/>
        <w:spacing w:line="224" w:lineRule="exact"/>
        <w:rPr>
          <w:rtl/>
        </w:rPr>
      </w:pPr>
      <w:r w:rsidRPr="00F41E78">
        <w:rPr>
          <w:rFonts w:hint="cs"/>
          <w:rtl/>
        </w:rPr>
        <w:t xml:space="preserve">משרד מבקר המדינה מדגיש שההחלטות על עדכון תמ"א 35 צריכות להתבסס על נתונים עדכניים ככל האפשר. כמו כן, על מינהל התכנון לגבש עקרונות לשימור הידע בנושא ולמיסודן של שיטות העבודה, בייחוד לנוכח העובדה שדוחות המעקב על העדכון גובשו בידי צוות חיצוני. </w:t>
      </w:r>
    </w:p>
    <w:p w:rsidR="00E97EDA" w:rsidRPr="00F41E78" w:rsidP="004A767A">
      <w:pPr>
        <w:spacing w:before="180" w:after="240" w:line="224" w:lineRule="exact"/>
        <w:jc w:val="both"/>
        <w:rPr>
          <w:rFonts w:cs="FrankRuehl"/>
          <w:sz w:val="18"/>
          <w:szCs w:val="22"/>
          <w:rtl/>
          <w:lang w:eastAsia="he-IL"/>
        </w:rPr>
      </w:pPr>
      <w:r w:rsidRPr="00F41E78">
        <w:rPr>
          <w:rFonts w:cs="FrankRuehl" w:hint="cs"/>
          <w:sz w:val="18"/>
          <w:szCs w:val="22"/>
          <w:rtl/>
          <w:lang w:eastAsia="he-IL"/>
        </w:rPr>
        <w:t>בעקבות המלצות ועדת טרכטנברג החליטה הממשלה במרץ 2012 (החלטה מס' 4434) להורות למינהל התכנון להגיש לאישורה של המועצה הארצית את התיקונים הנדרשים לעדכון תמ"א 35. על פי ההחלטה, בתיקונים צריכה לבוא לידי ביטוי מדיניות הממשלה בכל הנוגע ליצירת עתודות קרקע נרחבות וזמינות למילוי צורכי הדיור של אוכלוסיית המדינה עד 2040, בין היתר באמצעות הגדלת השטחים שנקבעו בתמ"א כמיועדים לפיתוח (מרקמים עירוניים), בהתחשב במכלול השיקולים התכנוניים. הממשלה החליטה כי שר הפנים ידווח לה על פעילות המועצה הארצית בתוך שישה חודשים מיום קבלת ההחלטה.</w:t>
      </w:r>
    </w:p>
    <w:p w:rsidR="00D22B16" w:rsidRPr="00F41E78" w:rsidP="00D22B16">
      <w:pPr>
        <w:pStyle w:val="RESHET"/>
        <w:keepLines/>
        <w:spacing w:line="224" w:lineRule="exact"/>
        <w:rPr>
          <w:rtl/>
        </w:rPr>
      </w:pPr>
      <w:r w:rsidRPr="00F41E78">
        <w:rPr>
          <w:rFonts w:hint="cs"/>
          <w:rtl/>
        </w:rPr>
        <w:t xml:space="preserve">בביקורת נמצא שבמהלך 2012 לא דנה ועדת ההיגוי בעדכון התמ"א משום שבאותה עת כאמור שקדו מינהל התכנון וצוות המעקב על עבודת מטה שעסקה בחישוב מחודש של עתודות הקרקע הזמינות לפיתוח בתכנון המתארי וביכולתן לספק מענה לצרכים בשוק הדיור, בייחוד במרכז הארץ, וליעדים שהציבה הממשלה לאישור יח"ד בתכניות מפורטות. </w:t>
      </w:r>
    </w:p>
    <w:p w:rsidR="00E97EDA" w:rsidRPr="00F41E78" w:rsidP="004A767A">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נמצא כי בדצמבר 2012 העלה מינהל התכנון לדיון במועצה הארצית הצעה לתקן באופן חלקי את תמ"א 35. הדבר עורר מחלוקת בין חברי המועצה הארצית וחלקם סברו שאין לקיים את הדיון. גם היועצת המשפטית למועצה ציינה כי היא רואה קושי בתהליך קבלת ההחלטות המוצע. חברי המועצה נימקו את התנגדותם לדון בתיקון המוצע בכך שהוא לא נדון בוועדת ההיגוי ולא ראוי לקדם תיקון חלקי של התמ"א בלי להתייחס </w:t>
      </w:r>
      <w:r w:rsidRPr="00F41E78">
        <w:rPr>
          <w:rFonts w:cs="FrankRuehl" w:hint="eastAsia"/>
          <w:sz w:val="18"/>
          <w:szCs w:val="22"/>
          <w:rtl/>
          <w:lang w:eastAsia="he-IL"/>
        </w:rPr>
        <w:t>למכלול</w:t>
      </w:r>
      <w:r w:rsidRPr="00F41E78">
        <w:rPr>
          <w:rFonts w:cs="FrankRuehl" w:hint="cs"/>
          <w:sz w:val="18"/>
          <w:szCs w:val="22"/>
          <w:rtl/>
          <w:lang w:eastAsia="he-IL"/>
        </w:rPr>
        <w:t xml:space="preserve"> התיקונים הנדרשים ובלי שהוצגה למועצה עמדתה של </w:t>
      </w:r>
      <w:r w:rsidRPr="00F41E78">
        <w:rPr>
          <w:rFonts w:cs="FrankRuehl" w:hint="eastAsia"/>
          <w:sz w:val="18"/>
          <w:szCs w:val="22"/>
          <w:rtl/>
          <w:lang w:eastAsia="he-IL"/>
        </w:rPr>
        <w:t>הוועדה</w:t>
      </w:r>
      <w:r w:rsidRPr="00F41E78">
        <w:rPr>
          <w:rFonts w:cs="FrankRuehl"/>
          <w:sz w:val="18"/>
          <w:szCs w:val="22"/>
          <w:rtl/>
          <w:lang w:eastAsia="he-IL"/>
        </w:rPr>
        <w:t xml:space="preserve"> </w:t>
      </w:r>
      <w:r w:rsidRPr="00F41E78">
        <w:rPr>
          <w:rFonts w:cs="FrankRuehl" w:hint="eastAsia"/>
          <w:sz w:val="18"/>
          <w:szCs w:val="22"/>
          <w:rtl/>
          <w:lang w:eastAsia="he-IL"/>
        </w:rPr>
        <w:t>המחוזית</w:t>
      </w:r>
      <w:r w:rsidRPr="00F41E78">
        <w:rPr>
          <w:rFonts w:cs="FrankRuehl" w:hint="cs"/>
          <w:sz w:val="18"/>
          <w:szCs w:val="22"/>
          <w:rtl/>
          <w:lang w:eastAsia="he-IL"/>
        </w:rPr>
        <w:t xml:space="preserve"> לתכנון ולבנייה</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מחוז</w:t>
      </w:r>
      <w:r w:rsidRPr="00F41E78">
        <w:rPr>
          <w:rFonts w:cs="FrankRuehl"/>
          <w:sz w:val="18"/>
          <w:szCs w:val="22"/>
          <w:rtl/>
          <w:lang w:eastAsia="he-IL"/>
        </w:rPr>
        <w:t xml:space="preserve"> </w:t>
      </w:r>
      <w:r w:rsidRPr="00F41E78">
        <w:rPr>
          <w:rFonts w:cs="FrankRuehl" w:hint="eastAsia"/>
          <w:sz w:val="18"/>
          <w:szCs w:val="22"/>
          <w:rtl/>
          <w:lang w:eastAsia="he-IL"/>
        </w:rPr>
        <w:t>מרכז</w:t>
      </w:r>
      <w:r w:rsidRPr="00F41E78">
        <w:rPr>
          <w:rFonts w:cs="FrankRuehl" w:hint="cs"/>
          <w:sz w:val="18"/>
          <w:szCs w:val="22"/>
          <w:rtl/>
          <w:lang w:eastAsia="he-IL"/>
        </w:rPr>
        <w:t xml:space="preserve"> </w:t>
      </w:r>
      <w:r w:rsidRPr="00F41E78">
        <w:rPr>
          <w:rFonts w:cs="FrankRuehl"/>
          <w:sz w:val="18"/>
          <w:szCs w:val="22"/>
          <w:rtl/>
          <w:lang w:eastAsia="he-IL"/>
        </w:rPr>
        <w:t xml:space="preserve">(להלן - </w:t>
      </w:r>
      <w:r w:rsidRPr="00F41E78">
        <w:rPr>
          <w:rFonts w:cs="FrankRuehl" w:hint="eastAsia"/>
          <w:sz w:val="18"/>
          <w:szCs w:val="22"/>
          <w:rtl/>
          <w:lang w:eastAsia="he-IL"/>
        </w:rPr>
        <w:t>הוועדה</w:t>
      </w:r>
      <w:r w:rsidRPr="00F41E78">
        <w:rPr>
          <w:rFonts w:cs="FrankRuehl"/>
          <w:sz w:val="18"/>
          <w:szCs w:val="22"/>
          <w:rtl/>
          <w:lang w:eastAsia="he-IL"/>
        </w:rPr>
        <w:t xml:space="preserve"> </w:t>
      </w:r>
      <w:r w:rsidRPr="00F41E78">
        <w:rPr>
          <w:rFonts w:cs="FrankRuehl" w:hint="eastAsia"/>
          <w:sz w:val="18"/>
          <w:szCs w:val="22"/>
          <w:rtl/>
          <w:lang w:eastAsia="he-IL"/>
        </w:rPr>
        <w:t>המחוזית</w:t>
      </w:r>
      <w:r w:rsidRPr="00F41E78">
        <w:rPr>
          <w:rFonts w:cs="FrankRuehl"/>
          <w:sz w:val="18"/>
          <w:szCs w:val="22"/>
          <w:rtl/>
          <w:lang w:eastAsia="he-IL"/>
        </w:rPr>
        <w:t xml:space="preserve"> </w:t>
      </w:r>
      <w:r w:rsidRPr="00F41E78">
        <w:rPr>
          <w:rFonts w:cs="FrankRuehl" w:hint="eastAsia"/>
          <w:sz w:val="18"/>
          <w:szCs w:val="22"/>
          <w:rtl/>
          <w:lang w:eastAsia="he-IL"/>
        </w:rPr>
        <w:t>מרכז</w:t>
      </w:r>
      <w:r w:rsidRPr="00F41E78">
        <w:rPr>
          <w:rFonts w:cs="FrankRuehl"/>
          <w:sz w:val="18"/>
          <w:szCs w:val="22"/>
          <w:rtl/>
          <w:lang w:eastAsia="he-IL"/>
        </w:rPr>
        <w:t>)</w:t>
      </w:r>
      <w:r w:rsidRPr="00F41E78">
        <w:rPr>
          <w:rFonts w:cs="FrankRuehl" w:hint="cs"/>
          <w:sz w:val="18"/>
          <w:szCs w:val="22"/>
          <w:rtl/>
          <w:lang w:eastAsia="he-IL"/>
        </w:rPr>
        <w:t xml:space="preserve"> (התיקונים שהוצעו נוגעים לתכנית </w:t>
      </w:r>
      <w:r w:rsidRPr="00F41E78">
        <w:rPr>
          <w:rFonts w:cs="FrankRuehl" w:hint="eastAsia"/>
          <w:sz w:val="18"/>
          <w:szCs w:val="22"/>
          <w:rtl/>
          <w:lang w:eastAsia="he-IL"/>
        </w:rPr>
        <w:t>המתאר</w:t>
      </w:r>
      <w:r w:rsidRPr="00F41E78">
        <w:rPr>
          <w:rFonts w:cs="FrankRuehl" w:hint="cs"/>
          <w:sz w:val="18"/>
          <w:szCs w:val="22"/>
          <w:rtl/>
          <w:lang w:eastAsia="he-IL"/>
        </w:rPr>
        <w:t xml:space="preserve"> המחוזית של מחוז המרכז). הגורמים המקצועיים במחוז מרכז התנגדו גם הם להצעת התיקון משום שסברו שהיא פורצת את מסגרות התכנון הקיימות ללא כל צורך, והיא עלולה להביא לידי התגברות הספקולציות בנוגע לפיתוח קרקעות במחוז המרכז ולעליית מחירי הקרקע. הם גם סברו כי ניתן לתת מענה לצורכי הדיור באמצעות הסרתם של חסמים לאישור תכניות שתאפשר תכנון על פי עקרונות תכנית </w:t>
      </w:r>
      <w:r w:rsidRPr="00F41E78">
        <w:rPr>
          <w:rFonts w:cs="FrankRuehl" w:hint="eastAsia"/>
          <w:sz w:val="18"/>
          <w:szCs w:val="22"/>
          <w:rtl/>
          <w:lang w:eastAsia="he-IL"/>
        </w:rPr>
        <w:t>המתאר</w:t>
      </w:r>
      <w:r w:rsidRPr="00F41E78">
        <w:rPr>
          <w:rFonts w:cs="FrankRuehl" w:hint="cs"/>
          <w:sz w:val="18"/>
          <w:szCs w:val="22"/>
          <w:rtl/>
          <w:lang w:eastAsia="he-IL"/>
        </w:rPr>
        <w:t xml:space="preserve"> המחוזית והאיזונים שבה. </w:t>
      </w:r>
    </w:p>
    <w:p w:rsidR="00E97EDA" w:rsidRPr="00F41E78" w:rsidP="004A767A">
      <w:pPr>
        <w:spacing w:after="240" w:line="230" w:lineRule="exact"/>
        <w:jc w:val="both"/>
        <w:rPr>
          <w:rFonts w:cs="FrankRuehl"/>
          <w:sz w:val="18"/>
          <w:szCs w:val="22"/>
          <w:rtl/>
          <w:lang w:eastAsia="he-IL"/>
        </w:rPr>
      </w:pPr>
      <w:r w:rsidRPr="00F41E78">
        <w:rPr>
          <w:rFonts w:cs="FrankRuehl" w:hint="cs"/>
          <w:sz w:val="18"/>
          <w:szCs w:val="22"/>
          <w:rtl/>
          <w:lang w:eastAsia="he-IL"/>
        </w:rPr>
        <w:t>לנוכח ההתנגדויות החליט יו"ר המועצה הארצית לקיים את הדיון בהצעה אך לא להחליט אם לאשרה או לדחותה. בתום הדיון החליטה המועצה כי עדכונה של תמ"א 35 יובא לדיון נוסף אצלה, לאחר שהשינויים המוצעים ייבחנו במשותף עם הוועדה המחוזית מרכז ועם נציגי השלטון המקומי, ולאחר דיון בוועדת ההיגוי במכלול הנושאים הרלוונטיים. ואכן, במאי 2013 דנה מליאת הוועדה המחוזית מרכז בהצעות והחלה הידברות בנושא גם עם נציגי השלטון המקומי; נמצא כי השינויים שמינהל התכנון מציע נתונים במחלוקת שיש ללבנה.</w:t>
      </w:r>
    </w:p>
    <w:p w:rsidR="00D22B16" w:rsidRPr="00F41E78" w:rsidP="00D22B16">
      <w:pPr>
        <w:pStyle w:val="RESHET"/>
        <w:keepLines/>
        <w:rPr>
          <w:rtl/>
        </w:rPr>
      </w:pPr>
      <w:r w:rsidRPr="00F41E78">
        <w:rPr>
          <w:rFonts w:hint="cs"/>
          <w:rtl/>
        </w:rPr>
        <w:t>השתלשלות העניינים הזאת ממחישה עד כמה חשוב שתהליך קבלת ההחלטות הנוגע לעדכון התמ"א ייעשה באופן סדור ושקוף ומתוך מבט כוללני, כמתחייב לפי סדרי מינהל תקין. יש לשתף בעדכון המוצע את הגורמים הרלוונטיים, לדון בפתיחות במחלוקות ולאזן בין מכלול האינטרסים.</w:t>
      </w:r>
    </w:p>
    <w:p w:rsidR="00E97EDA" w:rsidRPr="00F41E78" w:rsidP="004A767A">
      <w:pPr>
        <w:spacing w:before="180" w:after="120" w:line="230" w:lineRule="exact"/>
        <w:jc w:val="both"/>
        <w:rPr>
          <w:rFonts w:cs="FrankRuehl"/>
          <w:sz w:val="18"/>
          <w:szCs w:val="22"/>
          <w:rtl/>
          <w:lang w:eastAsia="he-IL"/>
        </w:rPr>
      </w:pPr>
      <w:r w:rsidRPr="00F41E78">
        <w:rPr>
          <w:rFonts w:cs="FrankRuehl" w:hint="cs"/>
          <w:sz w:val="18"/>
          <w:szCs w:val="22"/>
          <w:rtl/>
          <w:lang w:eastAsia="he-IL"/>
        </w:rPr>
        <w:t>בתשובתו מדצמבר 2013 מסר משרד הפנים כי החלטת המועצה הארצית מדצמבר 2012 העלתה צרכים חדשים שמקורם בהחלטות הממשלה הנוגעות למלאי תכנוני זמין למגורים במרכז הארץ. בעקבות זאת יזם המשרד וקיים עשרות ישיבות עם כל הגורמים הנוגעים בדבר והדיונים תרמו לשקיפות ולשיתוף מקצועי.</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ממצאי צוות המעקב - השגת יעדי התמ"א</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בדוחותיו התרכז צוות המעקב בשני נושאים והם מימוש מדיניות פיזור האוכלוסייה ומצב עתודות הקרקע לפיתוח. כדי לבדוק אם בעתודות הקרקע יש די כדי לתת מענה לצרכים, עדכן הצוות את "מודל הביקושים" - תחשיב של הגורמים המשפיעים על הביקושים לבנייה וחישוב היקפי הבנייה שיהיה אפשר לממש בעתודות הקרקע.</w:t>
      </w:r>
    </w:p>
    <w:p w:rsidR="00E97EDA" w:rsidRPr="00F41E78" w:rsidP="00A7557B">
      <w:pPr>
        <w:spacing w:after="120" w:line="230" w:lineRule="exact"/>
        <w:jc w:val="both"/>
        <w:outlineLvl w:val="5"/>
        <w:rPr>
          <w:rFonts w:cs="FrankRuehl"/>
          <w:spacing w:val="40"/>
          <w:sz w:val="18"/>
          <w:szCs w:val="22"/>
          <w:rtl/>
          <w:lang w:eastAsia="he-IL"/>
        </w:rPr>
      </w:pPr>
    </w:p>
    <w:p w:rsidR="00E97EDA" w:rsidRPr="00CB33CD" w:rsidP="00A7557B">
      <w:pPr>
        <w:pStyle w:val="KOT7"/>
        <w:rPr>
          <w:rtl/>
          <w:lang w:eastAsia="he-IL"/>
        </w:rPr>
      </w:pPr>
      <w:r w:rsidRPr="00CB33CD">
        <w:rPr>
          <w:rFonts w:hint="cs"/>
          <w:rtl/>
          <w:lang w:eastAsia="he-IL"/>
        </w:rPr>
        <w:t>מדיניות פיזור האוכלוסייה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צוות המעקב מצא שמגמות גידול האוכלוסייה במחוזות שונות מהיעדים הרצויים שקבעה תמ"א 35 לשנת היעד; מטרת התמ"א לתת עדיפות לפיתוח הגליל והנגב ולמתן את הפיתוח במרכז הארץ אינה מושגת במידה הרצויה. להלן נתונים מפורטים לפי מחוזות:</w:t>
      </w:r>
    </w:p>
    <w:p w:rsidR="00E97EDA" w:rsidRPr="009A309E" w:rsidP="00256A1C">
      <w:pPr>
        <w:pStyle w:val="tab-name"/>
        <w:keepLines/>
        <w:rPr>
          <w:rtl/>
          <w:lang w:eastAsia="he-IL"/>
        </w:rPr>
      </w:pPr>
      <w:r w:rsidRPr="004A767A">
        <w:rPr>
          <w:rFonts w:hint="cs"/>
          <w:b w:val="0"/>
          <w:bCs w:val="0"/>
          <w:sz w:val="20"/>
          <w:szCs w:val="20"/>
          <w:rtl/>
          <w:lang w:eastAsia="he-IL"/>
        </w:rPr>
        <w:t xml:space="preserve">לוח </w:t>
      </w:r>
      <w:r w:rsidR="004125A3">
        <w:rPr>
          <w:rFonts w:hint="cs"/>
          <w:b w:val="0"/>
          <w:bCs w:val="0"/>
          <w:sz w:val="20"/>
          <w:szCs w:val="20"/>
          <w:rtl/>
          <w:lang w:eastAsia="he-IL"/>
        </w:rPr>
        <w:t>1</w:t>
      </w:r>
      <w:r w:rsidRPr="004A767A" w:rsidR="004A767A">
        <w:rPr>
          <w:b w:val="0"/>
          <w:bCs w:val="0"/>
          <w:sz w:val="20"/>
          <w:szCs w:val="20"/>
          <w:rtl/>
          <w:lang w:eastAsia="he-IL"/>
        </w:rPr>
        <w:br/>
      </w:r>
      <w:r w:rsidRPr="009A309E">
        <w:rPr>
          <w:rFonts w:hint="cs"/>
          <w:rtl/>
          <w:lang w:eastAsia="he-IL"/>
        </w:rPr>
        <w:t xml:space="preserve">פערים בין מגמות קיימות של גידול האוכלוסייה </w:t>
      </w:r>
      <w:r w:rsidR="004A767A">
        <w:rPr>
          <w:rtl/>
          <w:lang w:eastAsia="he-IL"/>
        </w:rPr>
        <w:br/>
      </w:r>
      <w:r w:rsidRPr="009A309E">
        <w:rPr>
          <w:rFonts w:hint="cs"/>
          <w:rtl/>
          <w:lang w:eastAsia="he-IL"/>
        </w:rPr>
        <w:t xml:space="preserve">ובין יעדי תמ"א 35 לשנת היעד 2020, לפי מחוזות </w:t>
      </w:r>
      <w:r w:rsidRPr="009A309E">
        <w:rPr>
          <w:rtl/>
          <w:lang w:eastAsia="he-IL"/>
        </w:rPr>
        <w:t>(</w:t>
      </w:r>
      <w:r w:rsidRPr="009A309E">
        <w:rPr>
          <w:rFonts w:hint="eastAsia"/>
          <w:rtl/>
          <w:lang w:eastAsia="he-IL"/>
        </w:rPr>
        <w:t>באלפי</w:t>
      </w:r>
      <w:r w:rsidRPr="009A309E">
        <w:rPr>
          <w:rtl/>
          <w:lang w:eastAsia="he-IL"/>
        </w:rPr>
        <w:t xml:space="preserve"> </w:t>
      </w:r>
      <w:r w:rsidRPr="009A309E">
        <w:rPr>
          <w:rFonts w:hint="eastAsia"/>
          <w:rtl/>
          <w:lang w:eastAsia="he-IL"/>
        </w:rPr>
        <w:t>נפש</w:t>
      </w:r>
      <w:r w:rsidRPr="009A309E">
        <w:rPr>
          <w:rtl/>
          <w:lang w:eastAsia="he-IL"/>
        </w:rPr>
        <w:t>)</w:t>
      </w:r>
      <w:r w:rsidRPr="009A309E">
        <w:rPr>
          <w:rFonts w:hint="cs"/>
          <w:rtl/>
          <w:lang w:eastAsia="he-IL"/>
        </w:rPr>
        <w:t xml:space="preserve"> </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
      <w:tblGrid>
        <w:gridCol w:w="1179"/>
        <w:gridCol w:w="2044"/>
        <w:gridCol w:w="1590"/>
        <w:gridCol w:w="947"/>
        <w:gridCol w:w="931"/>
      </w:tblGrid>
      <w:tr w:rsidTr="00D23931">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Ex>
        <w:trPr>
          <w:jc w:val="center"/>
        </w:trPr>
        <w:tc>
          <w:tcPr>
            <w:tcW w:w="1077" w:type="dxa"/>
            <w:tcBorders>
              <w:top w:val="single" w:sz="12" w:space="0" w:color="auto"/>
              <w:bottom w:val="single" w:sz="12" w:space="0" w:color="auto"/>
            </w:tcBorders>
            <w:shd w:val="pct10" w:color="auto" w:fill="auto"/>
            <w:vAlign w:val="bottom"/>
          </w:tcPr>
          <w:p w:rsidR="004A767A" w:rsidRPr="004A767A" w:rsidP="004A767A">
            <w:pPr>
              <w:jc w:val="center"/>
              <w:rPr>
                <w:rFonts w:ascii="FrankRuehl" w:hAnsi="FrankRuehl" w:cs="FrankRuehl"/>
                <w:b/>
                <w:bCs/>
                <w:sz w:val="20"/>
                <w:szCs w:val="20"/>
                <w:rtl/>
                <w:lang w:eastAsia="he-IL"/>
              </w:rPr>
            </w:pPr>
            <w:r w:rsidRPr="004A767A">
              <w:rPr>
                <w:rFonts w:ascii="FrankRuehl" w:hAnsi="FrankRuehl" w:cs="FrankRuehl" w:hint="cs"/>
                <w:b/>
                <w:bCs/>
                <w:sz w:val="20"/>
                <w:szCs w:val="20"/>
                <w:rtl/>
                <w:lang w:eastAsia="he-IL"/>
              </w:rPr>
              <w:t>מחוז</w:t>
            </w:r>
          </w:p>
        </w:tc>
        <w:tc>
          <w:tcPr>
            <w:tcW w:w="1867" w:type="dxa"/>
            <w:tcBorders>
              <w:top w:val="single" w:sz="12" w:space="0" w:color="auto"/>
              <w:bottom w:val="single" w:sz="12" w:space="0" w:color="auto"/>
            </w:tcBorders>
            <w:shd w:val="pct10" w:color="auto" w:fill="auto"/>
            <w:vAlign w:val="bottom"/>
          </w:tcPr>
          <w:p w:rsidR="004A767A" w:rsidRPr="004A767A" w:rsidP="004A767A">
            <w:pPr>
              <w:jc w:val="center"/>
              <w:rPr>
                <w:rFonts w:ascii="FrankRuehl" w:hAnsi="FrankRuehl" w:cs="FrankRuehl"/>
                <w:b/>
                <w:bCs/>
                <w:sz w:val="20"/>
                <w:szCs w:val="20"/>
                <w:rtl/>
                <w:lang w:eastAsia="he-IL"/>
              </w:rPr>
            </w:pPr>
            <w:r w:rsidRPr="004A767A">
              <w:rPr>
                <w:rFonts w:ascii="FrankRuehl" w:hAnsi="FrankRuehl" w:cs="FrankRuehl" w:hint="cs"/>
                <w:b/>
                <w:bCs/>
                <w:sz w:val="20"/>
                <w:szCs w:val="20"/>
                <w:rtl/>
                <w:lang w:eastAsia="he-IL"/>
              </w:rPr>
              <w:t>תחזית האוכלוסייה</w:t>
            </w:r>
            <w:r w:rsidRPr="004A767A">
              <w:rPr>
                <w:rFonts w:ascii="FrankRuehl" w:hAnsi="FrankRuehl" w:cs="FrankRuehl"/>
                <w:b/>
                <w:bCs/>
                <w:sz w:val="20"/>
                <w:szCs w:val="20"/>
                <w:lang w:eastAsia="he-IL"/>
              </w:rPr>
              <w:br/>
            </w:r>
            <w:r w:rsidRPr="004A767A">
              <w:rPr>
                <w:rFonts w:ascii="FrankRuehl" w:hAnsi="FrankRuehl" w:cs="FrankRuehl" w:hint="cs"/>
                <w:b/>
                <w:bCs/>
                <w:sz w:val="20"/>
                <w:szCs w:val="20"/>
                <w:rtl/>
                <w:lang w:eastAsia="he-IL"/>
              </w:rPr>
              <w:t>(המשך מגמות קיימות)</w:t>
            </w:r>
            <w:r w:rsidRPr="004A767A">
              <w:rPr>
                <w:rFonts w:ascii="FrankRuehl" w:hAnsi="FrankRuehl" w:cs="FrankRuehl"/>
                <w:b/>
                <w:bCs/>
                <w:sz w:val="20"/>
                <w:szCs w:val="20"/>
                <w:lang w:eastAsia="he-IL"/>
              </w:rPr>
              <w:br/>
            </w:r>
            <w:r w:rsidRPr="004A767A">
              <w:rPr>
                <w:rFonts w:ascii="FrankRuehl" w:hAnsi="FrankRuehl" w:cs="FrankRuehl" w:hint="cs"/>
                <w:b/>
                <w:bCs/>
                <w:sz w:val="20"/>
                <w:szCs w:val="20"/>
                <w:rtl/>
                <w:lang w:eastAsia="he-IL"/>
              </w:rPr>
              <w:t>לפי צוות המעקב</w:t>
            </w:r>
          </w:p>
        </w:tc>
        <w:tc>
          <w:tcPr>
            <w:tcW w:w="1453" w:type="dxa"/>
            <w:tcBorders>
              <w:top w:val="single" w:sz="12" w:space="0" w:color="auto"/>
              <w:bottom w:val="single" w:sz="12" w:space="0" w:color="auto"/>
            </w:tcBorders>
            <w:shd w:val="pct10" w:color="auto" w:fill="auto"/>
            <w:vAlign w:val="bottom"/>
          </w:tcPr>
          <w:p w:rsidR="004A767A" w:rsidRPr="004A767A" w:rsidP="004A767A">
            <w:pPr>
              <w:jc w:val="center"/>
              <w:rPr>
                <w:rFonts w:ascii="FrankRuehl" w:hAnsi="FrankRuehl" w:cs="FrankRuehl"/>
                <w:b/>
                <w:bCs/>
                <w:sz w:val="20"/>
                <w:szCs w:val="20"/>
                <w:rtl/>
                <w:lang w:eastAsia="he-IL"/>
              </w:rPr>
            </w:pPr>
            <w:r w:rsidRPr="004A767A">
              <w:rPr>
                <w:rFonts w:ascii="FrankRuehl" w:hAnsi="FrankRuehl" w:cs="FrankRuehl" w:hint="cs"/>
                <w:b/>
                <w:bCs/>
                <w:sz w:val="20"/>
                <w:szCs w:val="20"/>
                <w:rtl/>
                <w:lang w:eastAsia="he-IL"/>
              </w:rPr>
              <w:t xml:space="preserve">יעדי התמ"א </w:t>
            </w:r>
            <w:r w:rsidRPr="004A767A">
              <w:rPr>
                <w:rFonts w:ascii="FrankRuehl" w:hAnsi="FrankRuehl" w:cs="FrankRuehl"/>
                <w:b/>
                <w:bCs/>
                <w:sz w:val="20"/>
                <w:szCs w:val="20"/>
                <w:lang w:eastAsia="he-IL"/>
              </w:rPr>
              <w:br/>
            </w:r>
            <w:r w:rsidRPr="004A767A">
              <w:rPr>
                <w:rFonts w:ascii="FrankRuehl" w:hAnsi="FrankRuehl" w:cs="FrankRuehl" w:hint="cs"/>
                <w:b/>
                <w:bCs/>
                <w:sz w:val="20"/>
                <w:szCs w:val="20"/>
                <w:rtl/>
                <w:lang w:eastAsia="he-IL"/>
              </w:rPr>
              <w:t>(לשנת 2020)</w:t>
            </w:r>
          </w:p>
        </w:tc>
        <w:tc>
          <w:tcPr>
            <w:tcW w:w="1716" w:type="dxa"/>
            <w:gridSpan w:val="2"/>
            <w:tcBorders>
              <w:top w:val="single" w:sz="12" w:space="0" w:color="auto"/>
              <w:bottom w:val="single" w:sz="12" w:space="0" w:color="auto"/>
            </w:tcBorders>
            <w:shd w:val="pct10" w:color="auto" w:fill="auto"/>
            <w:vAlign w:val="bottom"/>
          </w:tcPr>
          <w:p w:rsidR="004A767A" w:rsidRPr="004A767A" w:rsidP="004A767A">
            <w:pPr>
              <w:jc w:val="center"/>
              <w:rPr>
                <w:rFonts w:ascii="FrankRuehl" w:hAnsi="FrankRuehl" w:cs="FrankRuehl"/>
                <w:b/>
                <w:bCs/>
                <w:sz w:val="20"/>
                <w:szCs w:val="20"/>
                <w:rtl/>
                <w:lang w:eastAsia="he-IL"/>
              </w:rPr>
            </w:pPr>
            <w:r w:rsidRPr="004A767A">
              <w:rPr>
                <w:rFonts w:ascii="FrankRuehl" w:hAnsi="FrankRuehl" w:cs="FrankRuehl" w:hint="cs"/>
                <w:b/>
                <w:bCs/>
                <w:sz w:val="20"/>
                <w:szCs w:val="20"/>
                <w:rtl/>
                <w:lang w:eastAsia="he-IL"/>
              </w:rPr>
              <w:t>הפרש</w:t>
            </w:r>
          </w:p>
        </w:tc>
      </w:tr>
      <w:tr w:rsidTr="00D23931">
        <w:tblPrEx>
          <w:tblW w:w="6691" w:type="dxa"/>
          <w:jc w:val="center"/>
          <w:tblLook w:val="01E0"/>
        </w:tblPrEx>
        <w:trPr>
          <w:jc w:val="center"/>
        </w:trPr>
        <w:tc>
          <w:tcPr>
            <w:tcW w:w="1077" w:type="dxa"/>
            <w:tcBorders>
              <w:top w:val="single" w:sz="12" w:space="0" w:color="auto"/>
            </w:tcBorders>
            <w:shd w:val="clear" w:color="auto" w:fill="auto"/>
            <w:vAlign w:val="center"/>
          </w:tcPr>
          <w:p w:rsidR="00E97EDA" w:rsidRPr="004A767A" w:rsidP="004A767A">
            <w:pPr>
              <w:rPr>
                <w:rFonts w:ascii="FrankRuehl" w:hAnsi="FrankRuehl" w:cs="FrankRuehl"/>
                <w:sz w:val="20"/>
                <w:szCs w:val="20"/>
                <w:rtl/>
                <w:lang w:eastAsia="he-IL"/>
              </w:rPr>
            </w:pPr>
            <w:bookmarkStart w:id="35" w:name="OLE_LINK1" w:colFirst="0" w:colLast="3"/>
            <w:r w:rsidRPr="004A767A">
              <w:rPr>
                <w:rFonts w:ascii="FrankRuehl" w:hAnsi="FrankRuehl" w:cs="FrankRuehl" w:hint="cs"/>
                <w:sz w:val="20"/>
                <w:szCs w:val="20"/>
                <w:rtl/>
                <w:lang w:eastAsia="he-IL"/>
              </w:rPr>
              <w:t>ירושלים</w:t>
            </w:r>
          </w:p>
        </w:tc>
        <w:tc>
          <w:tcPr>
            <w:tcW w:w="1867" w:type="dxa"/>
            <w:tcBorders>
              <w:top w:val="single" w:sz="12" w:space="0" w:color="auto"/>
            </w:tcBorders>
            <w:shd w:val="clear" w:color="auto" w:fill="auto"/>
            <w:vAlign w:val="center"/>
          </w:tcPr>
          <w:p w:rsidR="00E97EDA" w:rsidRPr="004A767A" w:rsidP="004A767A">
            <w:pPr>
              <w:pStyle w:val="FootnoteText"/>
              <w:tabs>
                <w:tab w:val="decimal" w:pos="617"/>
              </w:tabs>
              <w:rPr>
                <w:rFonts w:ascii="FrankRuehl" w:hAnsi="FrankRuehl" w:cs="FrankRuehl"/>
                <w:rtl/>
                <w:lang w:eastAsia="he-IL"/>
              </w:rPr>
            </w:pPr>
            <w:r w:rsidRPr="004A767A">
              <w:rPr>
                <w:rFonts w:ascii="FrankRuehl" w:hAnsi="FrankRuehl" w:cs="FrankRuehl" w:hint="cs"/>
                <w:rtl/>
                <w:lang w:eastAsia="he-IL"/>
              </w:rPr>
              <w:t>1,143</w:t>
            </w:r>
          </w:p>
        </w:tc>
        <w:tc>
          <w:tcPr>
            <w:tcW w:w="1453" w:type="dxa"/>
            <w:tcBorders>
              <w:top w:val="single" w:sz="12" w:space="0" w:color="auto"/>
            </w:tcBorders>
            <w:shd w:val="clear" w:color="auto" w:fill="auto"/>
            <w:vAlign w:val="center"/>
          </w:tcPr>
          <w:p w:rsidR="00E97EDA" w:rsidRPr="004A767A" w:rsidP="004A767A">
            <w:pPr>
              <w:pStyle w:val="FootnoteText"/>
              <w:tabs>
                <w:tab w:val="decimal" w:pos="460"/>
              </w:tabs>
              <w:rPr>
                <w:rFonts w:ascii="FrankRuehl" w:hAnsi="FrankRuehl" w:cs="FrankRuehl"/>
                <w:rtl/>
                <w:lang w:eastAsia="he-IL"/>
              </w:rPr>
            </w:pPr>
            <w:r w:rsidRPr="004A767A">
              <w:rPr>
                <w:rFonts w:ascii="FrankRuehl" w:hAnsi="FrankRuehl" w:cs="FrankRuehl" w:hint="cs"/>
                <w:rtl/>
                <w:lang w:eastAsia="he-IL"/>
              </w:rPr>
              <w:t>1,070</w:t>
            </w:r>
          </w:p>
        </w:tc>
        <w:tc>
          <w:tcPr>
            <w:tcW w:w="865" w:type="dxa"/>
            <w:tcBorders>
              <w:top w:val="single" w:sz="12" w:space="0" w:color="auto"/>
              <w:bottom w:val="nil"/>
              <w:right w:val="nil"/>
            </w:tcBorders>
          </w:tcPr>
          <w:p w:rsidR="00E97EDA" w:rsidRPr="004A767A" w:rsidP="004A767A">
            <w:pPr>
              <w:pStyle w:val="FootnoteText"/>
              <w:tabs>
                <w:tab w:val="decimal" w:pos="167"/>
              </w:tabs>
              <w:rPr>
                <w:rFonts w:ascii="FrankRuehl" w:hAnsi="FrankRuehl" w:cs="FrankRuehl"/>
                <w:rtl/>
                <w:lang w:eastAsia="he-IL"/>
              </w:rPr>
            </w:pPr>
            <w:r w:rsidRPr="004A767A">
              <w:rPr>
                <w:rFonts w:ascii="FrankRuehl" w:hAnsi="FrankRuehl" w:cs="FrankRuehl" w:hint="cs"/>
                <w:rtl/>
                <w:lang w:eastAsia="he-IL"/>
              </w:rPr>
              <w:t xml:space="preserve">73 </w:t>
            </w:r>
          </w:p>
        </w:tc>
        <w:tc>
          <w:tcPr>
            <w:tcW w:w="851" w:type="dxa"/>
            <w:tcBorders>
              <w:top w:val="single" w:sz="12" w:space="0" w:color="auto"/>
              <w:left w:val="nil"/>
              <w:bottom w:val="nil"/>
            </w:tcBorders>
          </w:tcPr>
          <w:p w:rsidR="00E97EDA" w:rsidRPr="004A767A" w:rsidP="004A767A">
            <w:pPr>
              <w:pStyle w:val="FootnoteText"/>
              <w:tabs>
                <w:tab w:val="decimal" w:pos="232"/>
              </w:tabs>
              <w:rPr>
                <w:rFonts w:ascii="FrankRuehl" w:hAnsi="FrankRuehl" w:cs="FrankRuehl"/>
                <w:lang w:eastAsia="he-IL"/>
              </w:rPr>
            </w:pPr>
            <w:r w:rsidRPr="004A767A">
              <w:rPr>
                <w:rFonts w:ascii="FrankRuehl" w:hAnsi="FrankRuehl" w:cs="FrankRuehl" w:hint="cs"/>
                <w:rtl/>
                <w:lang w:eastAsia="he-IL"/>
              </w:rPr>
              <w:t>(7%)</w:t>
            </w:r>
          </w:p>
        </w:tc>
      </w:tr>
      <w:tr w:rsidTr="00D23931">
        <w:tblPrEx>
          <w:tblW w:w="6691" w:type="dxa"/>
          <w:jc w:val="center"/>
          <w:tblLook w:val="01E0"/>
        </w:tblPrEx>
        <w:trPr>
          <w:jc w:val="center"/>
        </w:trPr>
        <w:tc>
          <w:tcPr>
            <w:tcW w:w="1077" w:type="dxa"/>
            <w:shd w:val="clear" w:color="auto" w:fill="auto"/>
            <w:vAlign w:val="center"/>
          </w:tcPr>
          <w:p w:rsidR="00E97EDA" w:rsidRPr="004A767A" w:rsidP="004A767A">
            <w:pPr>
              <w:rPr>
                <w:rFonts w:ascii="FrankRuehl" w:hAnsi="FrankRuehl" w:cs="FrankRuehl"/>
                <w:sz w:val="20"/>
                <w:szCs w:val="20"/>
                <w:rtl/>
                <w:lang w:eastAsia="he-IL"/>
              </w:rPr>
            </w:pPr>
            <w:r w:rsidRPr="004A767A">
              <w:rPr>
                <w:rFonts w:ascii="FrankRuehl" w:hAnsi="FrankRuehl" w:cs="FrankRuehl" w:hint="cs"/>
                <w:sz w:val="20"/>
                <w:szCs w:val="20"/>
                <w:rtl/>
                <w:lang w:eastAsia="he-IL"/>
              </w:rPr>
              <w:t>הצפון</w:t>
            </w:r>
          </w:p>
        </w:tc>
        <w:tc>
          <w:tcPr>
            <w:tcW w:w="1867" w:type="dxa"/>
            <w:shd w:val="clear" w:color="auto" w:fill="auto"/>
            <w:vAlign w:val="center"/>
          </w:tcPr>
          <w:p w:rsidR="00E97EDA" w:rsidRPr="004A767A" w:rsidP="004A767A">
            <w:pPr>
              <w:tabs>
                <w:tab w:val="decimal" w:pos="617"/>
              </w:tabs>
              <w:rPr>
                <w:rFonts w:ascii="FrankRuehl" w:hAnsi="FrankRuehl" w:cs="FrankRuehl"/>
                <w:sz w:val="20"/>
                <w:szCs w:val="20"/>
                <w:rtl/>
                <w:lang w:eastAsia="he-IL"/>
              </w:rPr>
            </w:pPr>
            <w:r w:rsidRPr="004A767A">
              <w:rPr>
                <w:rFonts w:ascii="FrankRuehl" w:hAnsi="FrankRuehl" w:cs="FrankRuehl" w:hint="cs"/>
                <w:sz w:val="20"/>
                <w:szCs w:val="20"/>
                <w:rtl/>
                <w:lang w:eastAsia="he-IL"/>
              </w:rPr>
              <w:t>1,479</w:t>
            </w:r>
          </w:p>
        </w:tc>
        <w:tc>
          <w:tcPr>
            <w:tcW w:w="1453" w:type="dxa"/>
            <w:shd w:val="clear" w:color="auto" w:fill="auto"/>
            <w:vAlign w:val="center"/>
          </w:tcPr>
          <w:p w:rsidR="00E97EDA" w:rsidRPr="004A767A" w:rsidP="004A767A">
            <w:pPr>
              <w:tabs>
                <w:tab w:val="decimal" w:pos="460"/>
              </w:tabs>
              <w:rPr>
                <w:rFonts w:ascii="FrankRuehl" w:hAnsi="FrankRuehl" w:cs="FrankRuehl"/>
                <w:sz w:val="20"/>
                <w:szCs w:val="20"/>
                <w:rtl/>
                <w:lang w:eastAsia="he-IL"/>
              </w:rPr>
            </w:pPr>
            <w:r w:rsidRPr="004A767A">
              <w:rPr>
                <w:rFonts w:ascii="FrankRuehl" w:hAnsi="FrankRuehl" w:cs="FrankRuehl" w:hint="cs"/>
                <w:sz w:val="20"/>
                <w:szCs w:val="20"/>
                <w:rtl/>
                <w:lang w:eastAsia="he-IL"/>
              </w:rPr>
              <w:t>1,730</w:t>
            </w:r>
          </w:p>
        </w:tc>
        <w:tc>
          <w:tcPr>
            <w:tcW w:w="865" w:type="dxa"/>
            <w:tcBorders>
              <w:top w:val="nil"/>
              <w:bottom w:val="nil"/>
              <w:right w:val="nil"/>
            </w:tcBorders>
          </w:tcPr>
          <w:p w:rsidR="00E97EDA" w:rsidRPr="004A767A" w:rsidP="004A767A">
            <w:pPr>
              <w:tabs>
                <w:tab w:val="decimal" w:pos="167"/>
              </w:tabs>
              <w:rPr>
                <w:rFonts w:ascii="FrankRuehl" w:hAnsi="FrankRuehl" w:cs="FrankRuehl"/>
                <w:sz w:val="20"/>
                <w:szCs w:val="20"/>
                <w:lang w:eastAsia="he-IL"/>
              </w:rPr>
            </w:pPr>
            <w:r w:rsidRPr="004A767A">
              <w:rPr>
                <w:rFonts w:ascii="FrankRuehl" w:hAnsi="FrankRuehl" w:cs="FrankRuehl" w:hint="cs"/>
                <w:sz w:val="20"/>
                <w:szCs w:val="20"/>
                <w:rtl/>
                <w:lang w:eastAsia="he-IL"/>
              </w:rPr>
              <w:t>251-</w:t>
            </w:r>
          </w:p>
        </w:tc>
        <w:tc>
          <w:tcPr>
            <w:tcW w:w="851" w:type="dxa"/>
            <w:tcBorders>
              <w:top w:val="nil"/>
              <w:left w:val="nil"/>
              <w:bottom w:val="nil"/>
            </w:tcBorders>
          </w:tcPr>
          <w:p w:rsidR="00E97EDA" w:rsidRPr="004A767A" w:rsidP="004A767A">
            <w:pPr>
              <w:tabs>
                <w:tab w:val="decimal" w:pos="232"/>
              </w:tabs>
              <w:rPr>
                <w:rFonts w:ascii="FrankRuehl" w:hAnsi="FrankRuehl" w:cs="FrankRuehl"/>
                <w:sz w:val="20"/>
                <w:szCs w:val="20"/>
                <w:lang w:eastAsia="he-IL"/>
              </w:rPr>
            </w:pPr>
            <w:r w:rsidRPr="004A767A">
              <w:rPr>
                <w:rFonts w:ascii="FrankRuehl" w:hAnsi="FrankRuehl" w:cs="FrankRuehl" w:hint="cs"/>
                <w:sz w:val="20"/>
                <w:szCs w:val="20"/>
                <w:rtl/>
                <w:lang w:eastAsia="he-IL"/>
              </w:rPr>
              <w:t>(15%-)</w:t>
            </w:r>
          </w:p>
        </w:tc>
      </w:tr>
      <w:tr w:rsidTr="00D23931">
        <w:tblPrEx>
          <w:tblW w:w="6691" w:type="dxa"/>
          <w:jc w:val="center"/>
          <w:tblLook w:val="01E0"/>
        </w:tblPrEx>
        <w:trPr>
          <w:jc w:val="center"/>
        </w:trPr>
        <w:tc>
          <w:tcPr>
            <w:tcW w:w="1077" w:type="dxa"/>
            <w:shd w:val="clear" w:color="auto" w:fill="auto"/>
            <w:vAlign w:val="center"/>
          </w:tcPr>
          <w:p w:rsidR="00E97EDA" w:rsidRPr="004A767A" w:rsidP="004A767A">
            <w:pPr>
              <w:rPr>
                <w:rFonts w:ascii="FrankRuehl" w:hAnsi="FrankRuehl" w:cs="FrankRuehl"/>
                <w:sz w:val="20"/>
                <w:szCs w:val="20"/>
                <w:rtl/>
                <w:lang w:eastAsia="he-IL"/>
              </w:rPr>
            </w:pPr>
            <w:r w:rsidRPr="004A767A">
              <w:rPr>
                <w:rFonts w:ascii="FrankRuehl" w:hAnsi="FrankRuehl" w:cs="FrankRuehl" w:hint="cs"/>
                <w:sz w:val="20"/>
                <w:szCs w:val="20"/>
                <w:rtl/>
                <w:lang w:eastAsia="he-IL"/>
              </w:rPr>
              <w:t>חיפה</w:t>
            </w:r>
          </w:p>
        </w:tc>
        <w:tc>
          <w:tcPr>
            <w:tcW w:w="1867" w:type="dxa"/>
            <w:shd w:val="clear" w:color="auto" w:fill="auto"/>
            <w:vAlign w:val="center"/>
          </w:tcPr>
          <w:p w:rsidR="00E97EDA" w:rsidRPr="004A767A" w:rsidP="004A767A">
            <w:pPr>
              <w:tabs>
                <w:tab w:val="decimal" w:pos="617"/>
              </w:tabs>
              <w:rPr>
                <w:rFonts w:ascii="FrankRuehl" w:hAnsi="FrankRuehl" w:cs="FrankRuehl"/>
                <w:sz w:val="20"/>
                <w:szCs w:val="20"/>
                <w:rtl/>
                <w:lang w:eastAsia="he-IL"/>
              </w:rPr>
            </w:pPr>
            <w:r w:rsidRPr="004A767A">
              <w:rPr>
                <w:rFonts w:ascii="FrankRuehl" w:hAnsi="FrankRuehl" w:cs="FrankRuehl" w:hint="cs"/>
                <w:sz w:val="20"/>
                <w:szCs w:val="20"/>
                <w:rtl/>
                <w:lang w:eastAsia="he-IL"/>
              </w:rPr>
              <w:t>955</w:t>
            </w:r>
          </w:p>
        </w:tc>
        <w:tc>
          <w:tcPr>
            <w:tcW w:w="1453" w:type="dxa"/>
            <w:shd w:val="clear" w:color="auto" w:fill="auto"/>
            <w:vAlign w:val="center"/>
          </w:tcPr>
          <w:p w:rsidR="00E97EDA" w:rsidRPr="004A767A" w:rsidP="004A767A">
            <w:pPr>
              <w:tabs>
                <w:tab w:val="decimal" w:pos="460"/>
              </w:tabs>
              <w:rPr>
                <w:rFonts w:ascii="FrankRuehl" w:hAnsi="FrankRuehl" w:cs="FrankRuehl"/>
                <w:sz w:val="20"/>
                <w:szCs w:val="20"/>
                <w:rtl/>
                <w:lang w:eastAsia="he-IL"/>
              </w:rPr>
            </w:pPr>
            <w:r w:rsidRPr="004A767A">
              <w:rPr>
                <w:rFonts w:ascii="FrankRuehl" w:hAnsi="FrankRuehl" w:cs="FrankRuehl" w:hint="cs"/>
                <w:sz w:val="20"/>
                <w:szCs w:val="20"/>
                <w:rtl/>
                <w:lang w:eastAsia="he-IL"/>
              </w:rPr>
              <w:t>1,108</w:t>
            </w:r>
          </w:p>
        </w:tc>
        <w:tc>
          <w:tcPr>
            <w:tcW w:w="865" w:type="dxa"/>
            <w:tcBorders>
              <w:top w:val="nil"/>
              <w:bottom w:val="nil"/>
              <w:right w:val="nil"/>
            </w:tcBorders>
          </w:tcPr>
          <w:p w:rsidR="00E97EDA" w:rsidRPr="004A767A" w:rsidP="004A767A">
            <w:pPr>
              <w:tabs>
                <w:tab w:val="decimal" w:pos="167"/>
              </w:tabs>
              <w:rPr>
                <w:rFonts w:ascii="FrankRuehl" w:hAnsi="FrankRuehl" w:cs="FrankRuehl"/>
                <w:sz w:val="20"/>
                <w:szCs w:val="20"/>
                <w:lang w:eastAsia="he-IL"/>
              </w:rPr>
            </w:pPr>
            <w:r w:rsidRPr="004A767A">
              <w:rPr>
                <w:rFonts w:ascii="FrankRuehl" w:hAnsi="FrankRuehl" w:cs="FrankRuehl" w:hint="cs"/>
                <w:sz w:val="20"/>
                <w:szCs w:val="20"/>
                <w:rtl/>
                <w:lang w:eastAsia="he-IL"/>
              </w:rPr>
              <w:t>153-</w:t>
            </w:r>
          </w:p>
        </w:tc>
        <w:tc>
          <w:tcPr>
            <w:tcW w:w="851" w:type="dxa"/>
            <w:tcBorders>
              <w:top w:val="nil"/>
              <w:left w:val="nil"/>
              <w:bottom w:val="nil"/>
            </w:tcBorders>
          </w:tcPr>
          <w:p w:rsidR="00E97EDA" w:rsidRPr="004A767A" w:rsidP="004A767A">
            <w:pPr>
              <w:tabs>
                <w:tab w:val="decimal" w:pos="232"/>
              </w:tabs>
              <w:rPr>
                <w:rFonts w:ascii="FrankRuehl" w:hAnsi="FrankRuehl" w:cs="FrankRuehl"/>
                <w:sz w:val="20"/>
                <w:szCs w:val="20"/>
                <w:lang w:eastAsia="he-IL"/>
              </w:rPr>
            </w:pPr>
            <w:r w:rsidRPr="004A767A">
              <w:rPr>
                <w:rFonts w:ascii="FrankRuehl" w:hAnsi="FrankRuehl" w:cs="FrankRuehl" w:hint="cs"/>
                <w:sz w:val="20"/>
                <w:szCs w:val="20"/>
                <w:rtl/>
                <w:lang w:eastAsia="he-IL"/>
              </w:rPr>
              <w:t>(14%-)</w:t>
            </w:r>
          </w:p>
        </w:tc>
      </w:tr>
      <w:tr w:rsidTr="00D23931">
        <w:tblPrEx>
          <w:tblW w:w="6691" w:type="dxa"/>
          <w:jc w:val="center"/>
          <w:tblLook w:val="01E0"/>
        </w:tblPrEx>
        <w:trPr>
          <w:jc w:val="center"/>
        </w:trPr>
        <w:tc>
          <w:tcPr>
            <w:tcW w:w="1077" w:type="dxa"/>
            <w:shd w:val="clear" w:color="auto" w:fill="auto"/>
            <w:vAlign w:val="center"/>
          </w:tcPr>
          <w:p w:rsidR="00E97EDA" w:rsidRPr="004A767A" w:rsidP="004A767A">
            <w:pPr>
              <w:rPr>
                <w:rFonts w:ascii="FrankRuehl" w:hAnsi="FrankRuehl" w:cs="FrankRuehl"/>
                <w:sz w:val="20"/>
                <w:szCs w:val="20"/>
                <w:rtl/>
                <w:lang w:eastAsia="he-IL"/>
              </w:rPr>
            </w:pPr>
            <w:r w:rsidRPr="004A767A">
              <w:rPr>
                <w:rFonts w:ascii="FrankRuehl" w:hAnsi="FrankRuehl" w:cs="FrankRuehl" w:hint="cs"/>
                <w:sz w:val="20"/>
                <w:szCs w:val="20"/>
                <w:rtl/>
                <w:lang w:eastAsia="he-IL"/>
              </w:rPr>
              <w:t>המרכז</w:t>
            </w:r>
          </w:p>
        </w:tc>
        <w:tc>
          <w:tcPr>
            <w:tcW w:w="1867" w:type="dxa"/>
            <w:shd w:val="clear" w:color="auto" w:fill="auto"/>
            <w:vAlign w:val="center"/>
          </w:tcPr>
          <w:p w:rsidR="00E97EDA" w:rsidRPr="004A767A" w:rsidP="004A767A">
            <w:pPr>
              <w:tabs>
                <w:tab w:val="decimal" w:pos="617"/>
              </w:tabs>
              <w:ind w:firstLine="48"/>
              <w:rPr>
                <w:rFonts w:ascii="FrankRuehl" w:hAnsi="FrankRuehl" w:cs="FrankRuehl"/>
                <w:sz w:val="20"/>
                <w:szCs w:val="20"/>
                <w:rtl/>
                <w:lang w:eastAsia="he-IL"/>
              </w:rPr>
            </w:pPr>
            <w:r w:rsidRPr="004A767A">
              <w:rPr>
                <w:rFonts w:ascii="FrankRuehl" w:hAnsi="FrankRuehl" w:cs="FrankRuehl" w:hint="cs"/>
                <w:sz w:val="20"/>
                <w:szCs w:val="20"/>
                <w:rtl/>
                <w:lang w:eastAsia="he-IL"/>
              </w:rPr>
              <w:t>2,308</w:t>
            </w:r>
          </w:p>
        </w:tc>
        <w:tc>
          <w:tcPr>
            <w:tcW w:w="1453" w:type="dxa"/>
            <w:shd w:val="clear" w:color="auto" w:fill="auto"/>
            <w:vAlign w:val="center"/>
          </w:tcPr>
          <w:p w:rsidR="00E97EDA" w:rsidRPr="004A767A" w:rsidP="004A767A">
            <w:pPr>
              <w:tabs>
                <w:tab w:val="decimal" w:pos="460"/>
              </w:tabs>
              <w:rPr>
                <w:rFonts w:ascii="FrankRuehl" w:hAnsi="FrankRuehl" w:cs="FrankRuehl"/>
                <w:sz w:val="20"/>
                <w:szCs w:val="20"/>
                <w:rtl/>
                <w:lang w:eastAsia="he-IL"/>
              </w:rPr>
            </w:pPr>
            <w:r w:rsidRPr="004A767A">
              <w:rPr>
                <w:rFonts w:ascii="FrankRuehl" w:hAnsi="FrankRuehl" w:cs="FrankRuehl" w:hint="cs"/>
                <w:sz w:val="20"/>
                <w:szCs w:val="20"/>
                <w:rtl/>
                <w:lang w:eastAsia="he-IL"/>
              </w:rPr>
              <w:t>1,883</w:t>
            </w:r>
          </w:p>
        </w:tc>
        <w:tc>
          <w:tcPr>
            <w:tcW w:w="865" w:type="dxa"/>
            <w:tcBorders>
              <w:top w:val="nil"/>
              <w:bottom w:val="nil"/>
              <w:right w:val="nil"/>
            </w:tcBorders>
          </w:tcPr>
          <w:p w:rsidR="00E97EDA" w:rsidRPr="004A767A" w:rsidP="004A767A">
            <w:pPr>
              <w:tabs>
                <w:tab w:val="decimal" w:pos="167"/>
              </w:tabs>
              <w:rPr>
                <w:rFonts w:ascii="FrankRuehl" w:hAnsi="FrankRuehl" w:cs="FrankRuehl"/>
                <w:sz w:val="20"/>
                <w:szCs w:val="20"/>
                <w:lang w:eastAsia="he-IL"/>
              </w:rPr>
            </w:pPr>
            <w:r w:rsidRPr="004A767A">
              <w:rPr>
                <w:rFonts w:ascii="FrankRuehl" w:hAnsi="FrankRuehl" w:cs="FrankRuehl" w:hint="cs"/>
                <w:sz w:val="20"/>
                <w:szCs w:val="20"/>
                <w:rtl/>
                <w:lang w:eastAsia="he-IL"/>
              </w:rPr>
              <w:t>425-</w:t>
            </w:r>
          </w:p>
        </w:tc>
        <w:tc>
          <w:tcPr>
            <w:tcW w:w="851" w:type="dxa"/>
            <w:tcBorders>
              <w:top w:val="nil"/>
              <w:left w:val="nil"/>
              <w:bottom w:val="nil"/>
            </w:tcBorders>
          </w:tcPr>
          <w:p w:rsidR="00E97EDA" w:rsidRPr="004A767A" w:rsidP="004A767A">
            <w:pPr>
              <w:tabs>
                <w:tab w:val="decimal" w:pos="232"/>
              </w:tabs>
              <w:rPr>
                <w:rFonts w:ascii="FrankRuehl" w:hAnsi="FrankRuehl" w:cs="FrankRuehl"/>
                <w:sz w:val="20"/>
                <w:szCs w:val="20"/>
                <w:lang w:eastAsia="he-IL"/>
              </w:rPr>
            </w:pPr>
            <w:r w:rsidRPr="004A767A">
              <w:rPr>
                <w:rFonts w:ascii="FrankRuehl" w:hAnsi="FrankRuehl" w:cs="FrankRuehl" w:hint="cs"/>
                <w:sz w:val="20"/>
                <w:szCs w:val="20"/>
                <w:rtl/>
                <w:lang w:eastAsia="he-IL"/>
              </w:rPr>
              <w:t>(23%)</w:t>
            </w:r>
          </w:p>
        </w:tc>
      </w:tr>
      <w:tr w:rsidTr="00D23931">
        <w:tblPrEx>
          <w:tblW w:w="6691" w:type="dxa"/>
          <w:jc w:val="center"/>
          <w:tblLook w:val="01E0"/>
        </w:tblPrEx>
        <w:trPr>
          <w:jc w:val="center"/>
        </w:trPr>
        <w:tc>
          <w:tcPr>
            <w:tcW w:w="1077" w:type="dxa"/>
            <w:shd w:val="clear" w:color="auto" w:fill="auto"/>
            <w:vAlign w:val="center"/>
          </w:tcPr>
          <w:p w:rsidR="00E97EDA" w:rsidRPr="004A767A" w:rsidP="004A767A">
            <w:pPr>
              <w:rPr>
                <w:rFonts w:ascii="FrankRuehl" w:hAnsi="FrankRuehl" w:cs="FrankRuehl"/>
                <w:sz w:val="20"/>
                <w:szCs w:val="20"/>
                <w:rtl/>
                <w:lang w:eastAsia="he-IL"/>
              </w:rPr>
            </w:pPr>
            <w:r w:rsidRPr="004A767A">
              <w:rPr>
                <w:rFonts w:ascii="FrankRuehl" w:hAnsi="FrankRuehl" w:cs="FrankRuehl" w:hint="cs"/>
                <w:sz w:val="20"/>
                <w:szCs w:val="20"/>
                <w:rtl/>
                <w:lang w:eastAsia="he-IL"/>
              </w:rPr>
              <w:t>תל אביב</w:t>
            </w:r>
          </w:p>
        </w:tc>
        <w:tc>
          <w:tcPr>
            <w:tcW w:w="1867" w:type="dxa"/>
            <w:shd w:val="clear" w:color="auto" w:fill="auto"/>
            <w:vAlign w:val="center"/>
          </w:tcPr>
          <w:p w:rsidR="00E97EDA" w:rsidRPr="004A767A" w:rsidP="004A767A">
            <w:pPr>
              <w:tabs>
                <w:tab w:val="decimal" w:pos="617"/>
              </w:tabs>
              <w:rPr>
                <w:rFonts w:ascii="FrankRuehl" w:hAnsi="FrankRuehl" w:cs="FrankRuehl"/>
                <w:sz w:val="20"/>
                <w:szCs w:val="20"/>
                <w:rtl/>
                <w:lang w:eastAsia="he-IL"/>
              </w:rPr>
            </w:pPr>
            <w:r w:rsidRPr="004A767A">
              <w:rPr>
                <w:rFonts w:ascii="FrankRuehl" w:hAnsi="FrankRuehl" w:cs="FrankRuehl" w:hint="cs"/>
                <w:sz w:val="20"/>
                <w:szCs w:val="20"/>
                <w:rtl/>
                <w:lang w:eastAsia="he-IL"/>
              </w:rPr>
              <w:t>1,359</w:t>
            </w:r>
          </w:p>
        </w:tc>
        <w:tc>
          <w:tcPr>
            <w:tcW w:w="1453" w:type="dxa"/>
            <w:shd w:val="clear" w:color="auto" w:fill="auto"/>
            <w:vAlign w:val="center"/>
          </w:tcPr>
          <w:p w:rsidR="00E97EDA" w:rsidRPr="004A767A" w:rsidP="004A767A">
            <w:pPr>
              <w:tabs>
                <w:tab w:val="decimal" w:pos="460"/>
              </w:tabs>
              <w:rPr>
                <w:rFonts w:ascii="FrankRuehl" w:hAnsi="FrankRuehl" w:cs="FrankRuehl"/>
                <w:sz w:val="20"/>
                <w:szCs w:val="20"/>
                <w:rtl/>
                <w:lang w:eastAsia="he-IL"/>
              </w:rPr>
            </w:pPr>
            <w:r w:rsidRPr="004A767A">
              <w:rPr>
                <w:rFonts w:ascii="FrankRuehl" w:hAnsi="FrankRuehl" w:cs="FrankRuehl" w:hint="cs"/>
                <w:sz w:val="20"/>
                <w:szCs w:val="20"/>
                <w:rtl/>
                <w:lang w:eastAsia="he-IL"/>
              </w:rPr>
              <w:t>1,331</w:t>
            </w:r>
          </w:p>
        </w:tc>
        <w:tc>
          <w:tcPr>
            <w:tcW w:w="865" w:type="dxa"/>
            <w:tcBorders>
              <w:top w:val="nil"/>
              <w:bottom w:val="nil"/>
              <w:right w:val="nil"/>
            </w:tcBorders>
          </w:tcPr>
          <w:p w:rsidR="00E97EDA" w:rsidRPr="004A767A" w:rsidP="004A767A">
            <w:pPr>
              <w:tabs>
                <w:tab w:val="decimal" w:pos="167"/>
              </w:tabs>
              <w:rPr>
                <w:rFonts w:ascii="FrankRuehl" w:hAnsi="FrankRuehl" w:cs="FrankRuehl"/>
                <w:sz w:val="20"/>
                <w:szCs w:val="20"/>
                <w:lang w:eastAsia="he-IL"/>
              </w:rPr>
            </w:pPr>
            <w:r w:rsidRPr="004A767A">
              <w:rPr>
                <w:rFonts w:ascii="FrankRuehl" w:hAnsi="FrankRuehl" w:cs="FrankRuehl" w:hint="cs"/>
                <w:sz w:val="20"/>
                <w:szCs w:val="20"/>
                <w:rtl/>
                <w:lang w:eastAsia="he-IL"/>
              </w:rPr>
              <w:t>28-</w:t>
            </w:r>
          </w:p>
        </w:tc>
        <w:tc>
          <w:tcPr>
            <w:tcW w:w="851" w:type="dxa"/>
            <w:tcBorders>
              <w:top w:val="nil"/>
              <w:left w:val="nil"/>
              <w:bottom w:val="nil"/>
            </w:tcBorders>
          </w:tcPr>
          <w:p w:rsidR="00E97EDA" w:rsidRPr="004A767A" w:rsidP="004A767A">
            <w:pPr>
              <w:tabs>
                <w:tab w:val="decimal" w:pos="232"/>
              </w:tabs>
              <w:rPr>
                <w:rFonts w:ascii="FrankRuehl" w:hAnsi="FrankRuehl" w:cs="FrankRuehl"/>
                <w:sz w:val="20"/>
                <w:szCs w:val="20"/>
                <w:lang w:eastAsia="he-IL"/>
              </w:rPr>
            </w:pPr>
            <w:r w:rsidRPr="004A767A">
              <w:rPr>
                <w:rFonts w:ascii="FrankRuehl" w:hAnsi="FrankRuehl" w:cs="FrankRuehl" w:hint="cs"/>
                <w:sz w:val="20"/>
                <w:szCs w:val="20"/>
                <w:rtl/>
                <w:lang w:eastAsia="he-IL"/>
              </w:rPr>
              <w:t>(2%)</w:t>
            </w:r>
          </w:p>
        </w:tc>
      </w:tr>
      <w:tr w:rsidTr="00D23931">
        <w:tblPrEx>
          <w:tblW w:w="6691" w:type="dxa"/>
          <w:jc w:val="center"/>
          <w:tblLook w:val="01E0"/>
        </w:tblPrEx>
        <w:trPr>
          <w:jc w:val="center"/>
        </w:trPr>
        <w:tc>
          <w:tcPr>
            <w:tcW w:w="1077" w:type="dxa"/>
            <w:shd w:val="clear" w:color="auto" w:fill="auto"/>
            <w:vAlign w:val="center"/>
          </w:tcPr>
          <w:p w:rsidR="00E97EDA" w:rsidRPr="004A767A" w:rsidP="004A767A">
            <w:pPr>
              <w:rPr>
                <w:rFonts w:ascii="FrankRuehl" w:hAnsi="FrankRuehl" w:cs="FrankRuehl"/>
                <w:sz w:val="20"/>
                <w:szCs w:val="20"/>
                <w:rtl/>
                <w:lang w:eastAsia="he-IL"/>
              </w:rPr>
            </w:pPr>
            <w:r w:rsidRPr="004A767A">
              <w:rPr>
                <w:rFonts w:ascii="FrankRuehl" w:hAnsi="FrankRuehl" w:cs="FrankRuehl" w:hint="cs"/>
                <w:sz w:val="20"/>
                <w:szCs w:val="20"/>
                <w:rtl/>
                <w:lang w:eastAsia="he-IL"/>
              </w:rPr>
              <w:t>הדרום</w:t>
            </w:r>
          </w:p>
        </w:tc>
        <w:tc>
          <w:tcPr>
            <w:tcW w:w="1867" w:type="dxa"/>
            <w:shd w:val="clear" w:color="auto" w:fill="auto"/>
            <w:vAlign w:val="center"/>
          </w:tcPr>
          <w:p w:rsidR="00E97EDA" w:rsidRPr="004A767A" w:rsidP="004A767A">
            <w:pPr>
              <w:tabs>
                <w:tab w:val="decimal" w:pos="617"/>
              </w:tabs>
              <w:rPr>
                <w:rFonts w:ascii="FrankRuehl" w:hAnsi="FrankRuehl" w:cs="FrankRuehl"/>
                <w:sz w:val="20"/>
                <w:szCs w:val="20"/>
                <w:rtl/>
                <w:lang w:eastAsia="he-IL"/>
              </w:rPr>
            </w:pPr>
            <w:r w:rsidRPr="004A767A">
              <w:rPr>
                <w:rFonts w:ascii="FrankRuehl" w:hAnsi="FrankRuehl" w:cs="FrankRuehl" w:hint="cs"/>
                <w:sz w:val="20"/>
                <w:szCs w:val="20"/>
                <w:rtl/>
                <w:lang w:eastAsia="he-IL"/>
              </w:rPr>
              <w:t>1,294</w:t>
            </w:r>
          </w:p>
        </w:tc>
        <w:tc>
          <w:tcPr>
            <w:tcW w:w="1453" w:type="dxa"/>
            <w:shd w:val="clear" w:color="auto" w:fill="auto"/>
            <w:vAlign w:val="center"/>
          </w:tcPr>
          <w:p w:rsidR="00E97EDA" w:rsidRPr="004A767A" w:rsidP="004A767A">
            <w:pPr>
              <w:tabs>
                <w:tab w:val="decimal" w:pos="460"/>
              </w:tabs>
              <w:rPr>
                <w:rFonts w:ascii="FrankRuehl" w:hAnsi="FrankRuehl" w:cs="FrankRuehl"/>
                <w:sz w:val="20"/>
                <w:szCs w:val="20"/>
                <w:rtl/>
                <w:lang w:eastAsia="he-IL"/>
              </w:rPr>
            </w:pPr>
            <w:r w:rsidRPr="004A767A">
              <w:rPr>
                <w:rFonts w:ascii="FrankRuehl" w:hAnsi="FrankRuehl" w:cs="FrankRuehl" w:hint="cs"/>
                <w:sz w:val="20"/>
                <w:szCs w:val="20"/>
                <w:rtl/>
                <w:lang w:eastAsia="he-IL"/>
              </w:rPr>
              <w:t>1,492</w:t>
            </w:r>
          </w:p>
        </w:tc>
        <w:tc>
          <w:tcPr>
            <w:tcW w:w="865" w:type="dxa"/>
            <w:tcBorders>
              <w:top w:val="nil"/>
              <w:bottom w:val="single" w:sz="12" w:space="0" w:color="auto"/>
              <w:right w:val="nil"/>
            </w:tcBorders>
          </w:tcPr>
          <w:p w:rsidR="00E97EDA" w:rsidRPr="004A767A" w:rsidP="004A767A">
            <w:pPr>
              <w:tabs>
                <w:tab w:val="decimal" w:pos="167"/>
              </w:tabs>
              <w:rPr>
                <w:rFonts w:ascii="FrankRuehl" w:hAnsi="FrankRuehl" w:cs="FrankRuehl"/>
                <w:sz w:val="20"/>
                <w:szCs w:val="20"/>
                <w:lang w:eastAsia="he-IL"/>
              </w:rPr>
            </w:pPr>
            <w:r w:rsidRPr="004A767A">
              <w:rPr>
                <w:rFonts w:ascii="FrankRuehl" w:hAnsi="FrankRuehl" w:cs="FrankRuehl" w:hint="cs"/>
                <w:sz w:val="20"/>
                <w:szCs w:val="20"/>
                <w:rtl/>
                <w:lang w:eastAsia="he-IL"/>
              </w:rPr>
              <w:t>198-</w:t>
            </w:r>
          </w:p>
        </w:tc>
        <w:tc>
          <w:tcPr>
            <w:tcW w:w="851" w:type="dxa"/>
            <w:tcBorders>
              <w:top w:val="nil"/>
              <w:left w:val="nil"/>
              <w:bottom w:val="single" w:sz="12" w:space="0" w:color="auto"/>
            </w:tcBorders>
          </w:tcPr>
          <w:p w:rsidR="00E97EDA" w:rsidRPr="004A767A" w:rsidP="004A767A">
            <w:pPr>
              <w:tabs>
                <w:tab w:val="decimal" w:pos="232"/>
              </w:tabs>
              <w:rPr>
                <w:rFonts w:ascii="FrankRuehl" w:hAnsi="FrankRuehl" w:cs="FrankRuehl"/>
                <w:sz w:val="20"/>
                <w:szCs w:val="20"/>
                <w:lang w:eastAsia="he-IL"/>
              </w:rPr>
            </w:pPr>
            <w:r w:rsidRPr="004A767A">
              <w:rPr>
                <w:rFonts w:ascii="FrankRuehl" w:hAnsi="FrankRuehl" w:cs="FrankRuehl" w:hint="cs"/>
                <w:sz w:val="20"/>
                <w:szCs w:val="20"/>
                <w:rtl/>
                <w:lang w:eastAsia="he-IL"/>
              </w:rPr>
              <w:t>(13%-)</w:t>
            </w:r>
          </w:p>
        </w:tc>
      </w:tr>
    </w:tbl>
    <w:p w:rsidR="004A767A" w:rsidP="004A767A">
      <w:pPr>
        <w:jc w:val="both"/>
        <w:rPr>
          <w:rFonts w:cs="FrankRuehl"/>
          <w:b/>
          <w:bCs/>
          <w:sz w:val="18"/>
          <w:szCs w:val="22"/>
          <w:lang w:eastAsia="he-IL"/>
        </w:rPr>
      </w:pPr>
      <w:bookmarkEnd w:id="35"/>
    </w:p>
    <w:p w:rsidR="00D22B16" w:rsidRPr="00F41E78" w:rsidP="00D22B16">
      <w:pPr>
        <w:pStyle w:val="RESHET"/>
        <w:keepLines/>
        <w:rPr>
          <w:rtl/>
        </w:rPr>
      </w:pPr>
      <w:r w:rsidRPr="00F41E78">
        <w:rPr>
          <w:rFonts w:hint="cs"/>
          <w:rtl/>
        </w:rPr>
        <w:t xml:space="preserve">בכל המחוזות נמצאו פערים בין היעדים הרצויים למגמות הקיימות. הפער הגדול ביותר הוא במחוז המרכז שעל פי המגמות תחרוג אוכלוסייתו בשנת היעד בכ-400,000 תושבים. גם היעדים לצפון הארץ ולדרומה אינם מושגים ומספר התושבים במצטבר יהיה קטן </w:t>
      </w:r>
      <w:r>
        <w:br/>
      </w:r>
      <w:r w:rsidRPr="00F41E78">
        <w:rPr>
          <w:rFonts w:hint="cs"/>
          <w:rtl/>
        </w:rPr>
        <w:t xml:space="preserve">בכ-600,000 תושבים. </w:t>
      </w:r>
    </w:p>
    <w:p w:rsidR="00E97EDA" w:rsidRPr="00F41E78" w:rsidP="004A767A">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עוד מצא צוות המעקב כי קיימת הגירה מתמשכת ממחוזות הפריפריה אל מרכז הארץ. כבר בשנת 2007, בחלק מהנפות של מחוז המרכז, חרגה האוכלוסייה מהיעדים שנקבעו להן לשנת היעד, לעומת נפות באר שבע וחיפה שנרשם בהן פיגור בהשגת יעדי התמ"א </w:t>
      </w:r>
      <w:r w:rsidRPr="00F41E78">
        <w:rPr>
          <w:rFonts w:cs="FrankRuehl"/>
          <w:sz w:val="18"/>
          <w:szCs w:val="22"/>
          <w:rtl/>
          <w:lang w:eastAsia="he-IL"/>
        </w:rPr>
        <w:t>(</w:t>
      </w:r>
      <w:r w:rsidRPr="00F41E78">
        <w:rPr>
          <w:rFonts w:cs="FrankRuehl" w:hint="cs"/>
          <w:sz w:val="18"/>
          <w:szCs w:val="22"/>
          <w:rtl/>
          <w:lang w:eastAsia="he-IL"/>
        </w:rPr>
        <w:t>ראו</w:t>
      </w:r>
      <w:r w:rsidRPr="00F41E78">
        <w:rPr>
          <w:rFonts w:cs="FrankRuehl"/>
          <w:sz w:val="18"/>
          <w:szCs w:val="22"/>
          <w:rtl/>
          <w:lang w:eastAsia="he-IL"/>
        </w:rPr>
        <w:t xml:space="preserve"> </w:t>
      </w:r>
      <w:r w:rsidRPr="00F41E78">
        <w:rPr>
          <w:rFonts w:cs="FrankRuehl" w:hint="eastAsia"/>
          <w:sz w:val="18"/>
          <w:szCs w:val="22"/>
          <w:rtl/>
          <w:lang w:eastAsia="he-IL"/>
        </w:rPr>
        <w:t>להלן</w:t>
      </w:r>
      <w:r w:rsidRPr="00F41E78">
        <w:rPr>
          <w:rFonts w:cs="FrankRuehl"/>
          <w:sz w:val="18"/>
          <w:szCs w:val="22"/>
          <w:rtl/>
          <w:lang w:eastAsia="he-IL"/>
        </w:rPr>
        <w:t xml:space="preserve"> </w:t>
      </w:r>
      <w:r w:rsidRPr="00F41E78">
        <w:rPr>
          <w:rFonts w:cs="FrankRuehl" w:hint="eastAsia"/>
          <w:sz w:val="18"/>
          <w:szCs w:val="22"/>
          <w:rtl/>
          <w:lang w:eastAsia="he-IL"/>
        </w:rPr>
        <w:t>בפרק</w:t>
      </w:r>
      <w:r w:rsidRPr="00F41E78">
        <w:rPr>
          <w:rFonts w:cs="FrankRuehl"/>
          <w:sz w:val="18"/>
          <w:szCs w:val="22"/>
          <w:rtl/>
          <w:lang w:eastAsia="he-IL"/>
        </w:rPr>
        <w:t xml:space="preserve"> </w:t>
      </w:r>
      <w:r w:rsidRPr="00F41E78">
        <w:rPr>
          <w:rFonts w:cs="FrankRuehl" w:hint="cs"/>
          <w:sz w:val="18"/>
          <w:szCs w:val="22"/>
          <w:rtl/>
          <w:lang w:eastAsia="he-IL"/>
        </w:rPr>
        <w:t>"</w:t>
      </w:r>
      <w:r w:rsidRPr="00F41E78">
        <w:rPr>
          <w:rFonts w:cs="FrankRuehl" w:hint="eastAsia"/>
          <w:sz w:val="18"/>
          <w:szCs w:val="22"/>
          <w:rtl/>
          <w:lang w:eastAsia="he-IL"/>
        </w:rPr>
        <w:t>היבטים</w:t>
      </w:r>
      <w:r w:rsidRPr="00F41E78">
        <w:rPr>
          <w:rFonts w:cs="FrankRuehl"/>
          <w:sz w:val="18"/>
          <w:szCs w:val="22"/>
          <w:rtl/>
          <w:lang w:eastAsia="he-IL"/>
        </w:rPr>
        <w:t xml:space="preserve"> </w:t>
      </w:r>
      <w:r w:rsidRPr="00F41E78">
        <w:rPr>
          <w:rFonts w:cs="FrankRuehl" w:hint="cs"/>
          <w:sz w:val="18"/>
          <w:szCs w:val="22"/>
          <w:rtl/>
          <w:lang w:eastAsia="he-IL"/>
        </w:rPr>
        <w:t xml:space="preserve">של </w:t>
      </w:r>
      <w:r w:rsidRPr="00F41E78">
        <w:rPr>
          <w:rFonts w:cs="FrankRuehl" w:hint="eastAsia"/>
          <w:sz w:val="18"/>
          <w:szCs w:val="22"/>
          <w:rtl/>
          <w:lang w:eastAsia="he-IL"/>
        </w:rPr>
        <w:t>תכנון</w:t>
      </w:r>
      <w:r w:rsidRPr="00F41E78">
        <w:rPr>
          <w:rFonts w:cs="FrankRuehl"/>
          <w:sz w:val="18"/>
          <w:szCs w:val="22"/>
          <w:rtl/>
          <w:lang w:eastAsia="he-IL"/>
        </w:rPr>
        <w:t xml:space="preserve"> </w:t>
      </w:r>
      <w:r w:rsidRPr="00F41E78">
        <w:rPr>
          <w:rFonts w:cs="FrankRuehl" w:hint="eastAsia"/>
          <w:sz w:val="18"/>
          <w:szCs w:val="22"/>
          <w:rtl/>
          <w:lang w:eastAsia="he-IL"/>
        </w:rPr>
        <w:t>למגורים</w:t>
      </w:r>
      <w:r w:rsidRPr="00F41E78">
        <w:rPr>
          <w:rFonts w:cs="FrankRuehl"/>
          <w:sz w:val="18"/>
          <w:szCs w:val="22"/>
          <w:rtl/>
          <w:lang w:eastAsia="he-IL"/>
        </w:rPr>
        <w:t xml:space="preserve"> </w:t>
      </w:r>
      <w:r w:rsidRPr="00F41E78">
        <w:rPr>
          <w:rFonts w:cs="FrankRuehl" w:hint="eastAsia"/>
          <w:sz w:val="18"/>
          <w:szCs w:val="22"/>
          <w:rtl/>
          <w:lang w:eastAsia="he-IL"/>
        </w:rPr>
        <w:t>בדרג</w:t>
      </w:r>
      <w:r w:rsidRPr="00F41E78">
        <w:rPr>
          <w:rFonts w:cs="FrankRuehl"/>
          <w:sz w:val="18"/>
          <w:szCs w:val="22"/>
          <w:rtl/>
          <w:lang w:eastAsia="he-IL"/>
        </w:rPr>
        <w:t xml:space="preserve"> </w:t>
      </w:r>
      <w:r w:rsidRPr="00F41E78">
        <w:rPr>
          <w:rFonts w:cs="FrankRuehl" w:hint="eastAsia"/>
          <w:sz w:val="18"/>
          <w:szCs w:val="22"/>
          <w:rtl/>
          <w:lang w:eastAsia="he-IL"/>
        </w:rPr>
        <w:t>המחוזי</w:t>
      </w:r>
      <w:r w:rsidRPr="00F41E78">
        <w:rPr>
          <w:rFonts w:cs="FrankRuehl" w:hint="cs"/>
          <w:sz w:val="18"/>
          <w:szCs w:val="22"/>
          <w:rtl/>
          <w:lang w:eastAsia="he-IL"/>
        </w:rPr>
        <w:t>"</w:t>
      </w:r>
      <w:r w:rsidRPr="00F41E78">
        <w:rPr>
          <w:rFonts w:cs="FrankRuehl"/>
          <w:sz w:val="18"/>
          <w:szCs w:val="22"/>
          <w:rtl/>
          <w:lang w:eastAsia="he-IL"/>
        </w:rPr>
        <w:t>)</w:t>
      </w:r>
      <w:r w:rsidRPr="00F41E78">
        <w:rPr>
          <w:rFonts w:cs="FrankRuehl" w:hint="cs"/>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p>
    <w:p w:rsidR="00E97EDA" w:rsidRPr="00CB33CD" w:rsidP="007D72F8">
      <w:pPr>
        <w:pStyle w:val="KOT7"/>
        <w:rPr>
          <w:rtl/>
          <w:lang w:eastAsia="he-IL"/>
        </w:rPr>
      </w:pPr>
      <w:r w:rsidRPr="00CB33CD">
        <w:rPr>
          <w:rFonts w:hint="cs"/>
          <w:rtl/>
          <w:lang w:eastAsia="he-IL"/>
        </w:rPr>
        <w:t>צמצום פערים כלכליים</w:t>
      </w:r>
      <w:r w:rsidRPr="007D72F8" w:rsidR="007D72F8">
        <w:rPr>
          <w:rFonts w:hint="cs"/>
          <w:spacing w:val="-20"/>
          <w:rtl/>
          <w:lang w:eastAsia="he-IL"/>
        </w:rPr>
        <w:t xml:space="preserve"> </w:t>
      </w:r>
      <w:r w:rsidRPr="00CB33CD">
        <w:rPr>
          <w:rFonts w:hint="cs"/>
          <w:rtl/>
          <w:lang w:eastAsia="he-IL"/>
        </w:rPr>
        <w:t>-חברתיים</w:t>
      </w:r>
    </w:p>
    <w:p w:rsidR="00E97EDA" w:rsidRPr="00F41E78" w:rsidP="00027101">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 xml:space="preserve">1. </w:t>
      </w:r>
      <w:r w:rsidRPr="00F41E78" w:rsidR="00711180">
        <w:rPr>
          <w:rFonts w:cs="FrankRuehl"/>
          <w:sz w:val="18"/>
          <w:szCs w:val="22"/>
          <w:rtl/>
          <w:lang w:eastAsia="he-IL"/>
        </w:rPr>
        <w:tab/>
      </w:r>
      <w:r w:rsidRPr="00F41E78">
        <w:rPr>
          <w:rFonts w:cs="FrankRuehl" w:hint="cs"/>
          <w:sz w:val="18"/>
          <w:szCs w:val="22"/>
          <w:rtl/>
          <w:lang w:eastAsia="he-IL"/>
        </w:rPr>
        <w:t>צוות המעקב מצא כי הפערים הכלכליים-חברתיים בין הפריפריה למרכז הולכים וגדלים, ובמקרים רבים לא נקטו משרדי הממשלה אמצעי מדיניות המעודדים מעבר של אוכלוסייה מהמרכז לפריפריה, כמו השקעה בתשתיות וביצירת אזורי תעסוקה. היו מקרים שהממשלה אף פעלה להעדפת הפיתוח במרכז הארץ למרות מדיניותה המוצהרת. למשל, היזמות הממשלתיות לבנייה ציבורית בשנים 2008-1995 העניקו העדפה למרכז על פני הפריפריה</w:t>
      </w:r>
      <w:r>
        <w:rPr>
          <w:rFonts w:cs="FrankRuehl"/>
          <w:sz w:val="18"/>
          <w:szCs w:val="22"/>
          <w:vertAlign w:val="superscript"/>
          <w:rtl/>
          <w:lang w:eastAsia="he-IL"/>
        </w:rPr>
        <w:footnoteReference w:id="174"/>
      </w:r>
      <w:r w:rsidRPr="00F41E78">
        <w:rPr>
          <w:rFonts w:cs="FrankRuehl" w:hint="cs"/>
          <w:sz w:val="18"/>
          <w:szCs w:val="22"/>
          <w:rtl/>
          <w:lang w:eastAsia="he-IL"/>
        </w:rPr>
        <w:t xml:space="preserve">; ההשקעות בתשתיות בגליל אינן ממומשות עדיין; ההטבות לרכישת דירות בפריפריה צומצמו בשנת 2003, צמצום שהביא לידי תמריץ שלילי לרכישת דירות באזור; ובמחוז הדרום טרם החלה הקמתם של אזורי תעסוקה לתעשיות עתירות ידע. גם את תהליך הפרבור לא הצליחה תמ"א 35 לצמצם באופן ניכר </w:t>
      </w:r>
      <w:r w:rsidRPr="00F41E78">
        <w:rPr>
          <w:rFonts w:cs="FrankRuehl"/>
          <w:sz w:val="18"/>
          <w:szCs w:val="22"/>
          <w:rtl/>
          <w:lang w:eastAsia="he-IL"/>
        </w:rPr>
        <w:t xml:space="preserve">(ראו </w:t>
      </w:r>
      <w:r w:rsidRPr="00F41E78">
        <w:rPr>
          <w:rFonts w:cs="FrankRuehl" w:hint="eastAsia"/>
          <w:sz w:val="18"/>
          <w:szCs w:val="22"/>
          <w:rtl/>
          <w:lang w:eastAsia="he-IL"/>
        </w:rPr>
        <w:t>להלן</w:t>
      </w:r>
      <w:r w:rsidRPr="00F41E78">
        <w:rPr>
          <w:rFonts w:cs="FrankRuehl"/>
          <w:sz w:val="18"/>
          <w:szCs w:val="22"/>
          <w:rtl/>
          <w:lang w:eastAsia="he-IL"/>
        </w:rPr>
        <w:t xml:space="preserve"> בפרק </w:t>
      </w:r>
      <w:r w:rsidRPr="00F41E78">
        <w:rPr>
          <w:rFonts w:cs="FrankRuehl" w:hint="cs"/>
          <w:sz w:val="18"/>
          <w:szCs w:val="22"/>
          <w:rtl/>
          <w:lang w:eastAsia="he-IL"/>
        </w:rPr>
        <w:t xml:space="preserve">"היבטים של </w:t>
      </w:r>
      <w:r w:rsidRPr="00F41E78">
        <w:rPr>
          <w:rFonts w:cs="FrankRuehl"/>
          <w:sz w:val="18"/>
          <w:szCs w:val="22"/>
          <w:rtl/>
          <w:lang w:eastAsia="he-IL"/>
        </w:rPr>
        <w:t xml:space="preserve">תכנון </w:t>
      </w:r>
      <w:r w:rsidRPr="00F41E78">
        <w:rPr>
          <w:rFonts w:cs="FrankRuehl" w:hint="cs"/>
          <w:sz w:val="18"/>
          <w:szCs w:val="22"/>
          <w:rtl/>
          <w:lang w:eastAsia="he-IL"/>
        </w:rPr>
        <w:t xml:space="preserve">למגורים </w:t>
      </w:r>
      <w:r w:rsidRPr="00F41E78">
        <w:rPr>
          <w:rFonts w:cs="FrankRuehl"/>
          <w:sz w:val="18"/>
          <w:szCs w:val="22"/>
          <w:rtl/>
          <w:lang w:eastAsia="he-IL"/>
        </w:rPr>
        <w:t>במרכז הארץ</w:t>
      </w:r>
      <w:r w:rsidRPr="00F41E78">
        <w:rPr>
          <w:rFonts w:cs="FrankRuehl" w:hint="cs"/>
          <w:sz w:val="18"/>
          <w:szCs w:val="22"/>
          <w:rtl/>
          <w:lang w:eastAsia="he-IL"/>
        </w:rPr>
        <w:t>"</w:t>
      </w:r>
      <w:r w:rsidRPr="00F41E78">
        <w:rPr>
          <w:rFonts w:cs="FrankRuehl"/>
          <w:sz w:val="18"/>
          <w:szCs w:val="22"/>
          <w:rtl/>
          <w:lang w:eastAsia="he-IL"/>
        </w:rPr>
        <w:t>)</w:t>
      </w:r>
      <w:r>
        <w:rPr>
          <w:rFonts w:cs="FrankRuehl"/>
          <w:sz w:val="18"/>
          <w:szCs w:val="22"/>
          <w:vertAlign w:val="superscript"/>
          <w:rtl/>
          <w:lang w:eastAsia="he-IL"/>
        </w:rPr>
        <w:footnoteReference w:id="175"/>
      </w:r>
      <w:r w:rsidRPr="00F41E78">
        <w:rPr>
          <w:rFonts w:cs="FrankRuehl" w:hint="cs"/>
          <w:sz w:val="18"/>
          <w:szCs w:val="22"/>
          <w:rtl/>
          <w:lang w:eastAsia="he-IL"/>
        </w:rPr>
        <w:t xml:space="preserve">. לפי צוות המעקב, מגמות אלו אינן רצויות ויש לפעול לצמצום הפערים. לפיכך, הוא קבע יעדי אוכלוסייה מתוקנים לשנת 2030 (על פי עקרונות התמ"א) שמימושם כרוך בנקיטת פעולות בתחומי התכנון, התעסוקה, הבריאות והתחבורה. </w:t>
      </w:r>
    </w:p>
    <w:p w:rsidR="00E97EDA" w:rsidRPr="00F41E78" w:rsidP="00027101">
      <w:pPr>
        <w:spacing w:after="120" w:line="230" w:lineRule="exact"/>
        <w:ind w:left="340" w:hanging="340"/>
        <w:jc w:val="both"/>
        <w:rPr>
          <w:rFonts w:cs="FrankRuehl"/>
          <w:sz w:val="18"/>
          <w:szCs w:val="22"/>
          <w:rtl/>
          <w:lang w:eastAsia="he-IL"/>
        </w:rPr>
      </w:pPr>
      <w:r>
        <w:rPr>
          <w:rFonts w:cs="FrankRuehl"/>
          <w:sz w:val="18"/>
          <w:szCs w:val="22"/>
          <w:lang w:eastAsia="he-IL"/>
        </w:rPr>
        <w:tab/>
      </w:r>
      <w:r w:rsidRPr="00F41E78">
        <w:rPr>
          <w:rFonts w:cs="FrankRuehl" w:hint="cs"/>
          <w:sz w:val="18"/>
          <w:szCs w:val="22"/>
          <w:rtl/>
          <w:lang w:eastAsia="he-IL"/>
        </w:rPr>
        <w:t xml:space="preserve">בתשובתו למשרד מבקר המדינה מינואר 2013 מסר משרד התחבורה כי בכל הנוגע לפיתוח הפריפריה אין בנמצא גוף מתכלל אחד. עוד מסר המשרד שבעשור האחרון הוא השקיע תקציבים רבים, לצורך פיתוח דרום הארץ וצפונה, בשורה ארוכה של מיזמים כמו סלילת </w:t>
      </w:r>
      <w:r w:rsidRPr="00F41E78">
        <w:rPr>
          <w:rFonts w:cs="FrankRuehl" w:hint="cs"/>
          <w:sz w:val="18"/>
          <w:szCs w:val="22"/>
          <w:rtl/>
          <w:lang w:eastAsia="he-IL"/>
        </w:rPr>
        <w:t xml:space="preserve">כבישים והרחבתם, פיתוח תשתית הרכבת והקמת מחלפים. המשרד הוסיף כי בפברואר 2010 החליטה הממשלה על תכנית מקיפה לפיתוח מיזמים תחבורתיים באזור הצפון והדרום בתקציב של כ-27.5 מיליארד ש"ח. </w:t>
      </w:r>
    </w:p>
    <w:p w:rsidR="00E97EDA" w:rsidRPr="00F41E78" w:rsidP="00027101">
      <w:pPr>
        <w:spacing w:after="120" w:line="230" w:lineRule="exact"/>
        <w:ind w:left="340" w:hanging="340"/>
        <w:jc w:val="both"/>
        <w:rPr>
          <w:rFonts w:cs="FrankRuehl"/>
          <w:sz w:val="18"/>
          <w:szCs w:val="22"/>
          <w:rtl/>
          <w:lang w:eastAsia="he-IL"/>
        </w:rPr>
      </w:pPr>
      <w:r>
        <w:rPr>
          <w:rFonts w:cs="FrankRuehl"/>
          <w:sz w:val="18"/>
          <w:szCs w:val="22"/>
          <w:lang w:eastAsia="he-IL"/>
        </w:rPr>
        <w:tab/>
      </w:r>
      <w:r w:rsidRPr="00F41E78">
        <w:rPr>
          <w:rFonts w:cs="FrankRuehl" w:hint="cs"/>
          <w:sz w:val="18"/>
          <w:szCs w:val="22"/>
          <w:rtl/>
          <w:lang w:eastAsia="he-IL"/>
        </w:rPr>
        <w:t>משרד ראש הממשלה מסר בתשובתו כי הממשלות ה-32 וה-33 נקטו כמה פעולות לחיזוק הפריפריה; למשל, קבלת החלטה על העתקת מחנות צה"ל לנגב, החלטות לעידוד התיישבות כמו תכנון חבל התיישבות חדש במבואות ערד וכן הענקת שנת לימודים חינם בפריפריה.</w:t>
      </w:r>
    </w:p>
    <w:p w:rsidR="00E97EDA" w:rsidRPr="00F41E78" w:rsidP="00027101">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 xml:space="preserve">2. </w:t>
      </w:r>
      <w:r w:rsidRPr="00F41E78" w:rsidR="00711180">
        <w:rPr>
          <w:rFonts w:cs="FrankRuehl"/>
          <w:sz w:val="18"/>
          <w:szCs w:val="22"/>
          <w:rtl/>
          <w:lang w:eastAsia="he-IL"/>
        </w:rPr>
        <w:tab/>
      </w:r>
      <w:r w:rsidRPr="00F41E78">
        <w:rPr>
          <w:rFonts w:cs="FrankRuehl" w:hint="cs"/>
          <w:sz w:val="18"/>
          <w:szCs w:val="22"/>
          <w:rtl/>
          <w:lang w:eastAsia="he-IL"/>
        </w:rPr>
        <w:t xml:space="preserve">בהחלטת הממשלה על אישור תמ"א 35 נקבע כי "משרדי הממשלה וגופי הסמך שלה יפעלו, ככל הניתן להטמעת אמצעי המדיניות המצורפים לתמ"א בפעולותיהם וידווחו לממשלה מדי שנה על יישומם". </w:t>
      </w:r>
    </w:p>
    <w:p w:rsidR="00E97EDA" w:rsidRPr="00F41E78" w:rsidP="00027101">
      <w:pPr>
        <w:spacing w:after="240" w:line="230" w:lineRule="exact"/>
        <w:ind w:left="340" w:hanging="340"/>
        <w:jc w:val="both"/>
        <w:rPr>
          <w:rFonts w:cs="FrankRuehl"/>
          <w:sz w:val="18"/>
          <w:szCs w:val="22"/>
          <w:rtl/>
          <w:lang w:eastAsia="he-IL"/>
        </w:rPr>
      </w:pPr>
      <w:r>
        <w:rPr>
          <w:rFonts w:cs="FrankRuehl"/>
          <w:sz w:val="18"/>
          <w:szCs w:val="22"/>
          <w:lang w:eastAsia="he-IL"/>
        </w:rPr>
        <w:tab/>
      </w:r>
      <w:r w:rsidRPr="00F41E78">
        <w:rPr>
          <w:rFonts w:cs="FrankRuehl" w:hint="cs"/>
          <w:sz w:val="18"/>
          <w:szCs w:val="22"/>
          <w:rtl/>
          <w:lang w:eastAsia="he-IL"/>
        </w:rPr>
        <w:t>אולם בפועל הציגו חלק מנציגי המשרדים בפני המועצה הארצית את דיווחיהם פעם אחת בלבד (במאי 2007). מסיכום הדיון דאז עולה כי הדיווח לא היה מלא ומנהל מינהל התכנון סבר שיש להשלימו. עוד עולה מהסיכום כי כבר בשלב ההוא זוהו ליקויים ביישום מדיניות התמ"א. מנהל מינהל התכנון הביע אכזבה מכך שנציגי רמ"י לא הציגו מידע מפורט על שיווק קרקעות למגורים. גם יו"ר המועצה הארצית הביע חוסר שביעות רצון מההשתתפות החלקית של נציגי הממשלה בדיון וביקש השלמות מידע על יישום מדיניות התמ"א.</w:t>
      </w:r>
    </w:p>
    <w:p w:rsidR="00D22B16" w:rsidRPr="00F41E78" w:rsidP="00D22B16">
      <w:pPr>
        <w:pStyle w:val="RESHET"/>
        <w:keepLines/>
        <w:ind w:left="567"/>
        <w:rPr>
          <w:rtl/>
        </w:rPr>
      </w:pPr>
      <w:r w:rsidRPr="00F41E78">
        <w:rPr>
          <w:rFonts w:hint="cs"/>
          <w:rtl/>
        </w:rPr>
        <w:t xml:space="preserve">בביקורת נמצא כי לא התקיימו דיונים נוספים במועצה הארצית בנושא זה. הדבר מנע מן המועצה מלמלא אחר אחד מתפקידיה הנגזרים מחוק התכנון והבנייה - ייעוץ לממשלה בנוגע לביצוע מדיניות התכנון הלאומית - ופגע בתיאום פעולות הממשלה ביישום מדיניות זו. </w:t>
      </w:r>
    </w:p>
    <w:p w:rsidR="00D22B16" w:rsidRPr="00F41E78" w:rsidP="00D22B16">
      <w:pPr>
        <w:pStyle w:val="RESHET"/>
        <w:keepLines/>
        <w:rPr>
          <w:rtl/>
        </w:rPr>
      </w:pPr>
      <w:r w:rsidRPr="00F41E78">
        <w:rPr>
          <w:rFonts w:hint="cs"/>
          <w:rtl/>
        </w:rPr>
        <w:t>הממצאים מלמדים על חוסר הצלחתה של הממשלה לאסדר כראוי את שוק הדיור באמצעות הכוונת הביקושים. נקיטת פעולות ל</w:t>
      </w:r>
      <w:r w:rsidRPr="00F41E78">
        <w:rPr>
          <w:rtl/>
        </w:rPr>
        <w:t>מיתון</w:t>
      </w:r>
      <w:r w:rsidRPr="00F41E78">
        <w:rPr>
          <w:rFonts w:hint="cs"/>
          <w:rtl/>
        </w:rPr>
        <w:t xml:space="preserve"> הביקושים באזור המרכז, בשילוב הגדלה של מלאי הדירות לאכלוס, עשויות לסייע לוויסות המחירים ולתרום להשגת יעדיה של מדיניות התכנון הלאומית.</w:t>
      </w:r>
    </w:p>
    <w:p w:rsidR="00D22B16" w:rsidRPr="00F41E78" w:rsidP="00D22B16">
      <w:pPr>
        <w:pStyle w:val="RESHET"/>
        <w:keepLines/>
        <w:rPr>
          <w:rtl/>
        </w:rPr>
      </w:pPr>
      <w:r w:rsidRPr="00F41E78">
        <w:rPr>
          <w:rFonts w:hint="cs"/>
          <w:rtl/>
        </w:rPr>
        <w:t>לדעת משרד מבקר המדינה חשוב שההתמודדות עם עליית מחירי הדיור, תביא בחשבון את יעדי התכנון הלאומי ארוכי הטווח. על משרדי הממשלה לנקוט פעולות שיביאו לידי הכוונת הפיתוח לאזורי הפריפריה ויסייעו בצמצום פערים חברתיים וכלכליים.</w:t>
      </w:r>
    </w:p>
    <w:p w:rsidR="00711180" w:rsidRPr="00F41E78" w:rsidP="00A7557B">
      <w:pPr>
        <w:spacing w:after="120" w:line="230" w:lineRule="exact"/>
        <w:jc w:val="both"/>
        <w:rPr>
          <w:rFonts w:cs="FrankRuehl"/>
          <w:b/>
          <w:bCs/>
          <w:sz w:val="18"/>
          <w:szCs w:val="22"/>
          <w:rtl/>
          <w:lang w:eastAsia="he-IL"/>
        </w:rPr>
      </w:pPr>
    </w:p>
    <w:p w:rsidR="00E97EDA" w:rsidRPr="00CB33CD" w:rsidP="00A7557B">
      <w:pPr>
        <w:pStyle w:val="KOT7"/>
        <w:rPr>
          <w:rtl/>
          <w:lang w:eastAsia="he-IL"/>
        </w:rPr>
      </w:pPr>
      <w:r w:rsidRPr="00CB33CD">
        <w:rPr>
          <w:rFonts w:hint="cs"/>
          <w:rtl/>
          <w:lang w:eastAsia="he-IL"/>
        </w:rPr>
        <w:t xml:space="preserve">עתודות הקרקע לפיתוח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צוות המעקב יצר מודל לבדיקת ההתאמה בין הביקושים החזויים עד 2030 ובין היקף עתודות הקרקע האפשריות לפיתוח על פי תכניות המתאר המחוזיות. בשנת 2011, בהתבסס על המודל, הגיע צוות המעקב למסקנה שעתודות הקרקע הריאליות לפיתוח בתכניות המתאר המחוזיות מספקות את מרב תוספת השטח הנדרש עבור אוכלוסיי</w:t>
      </w:r>
      <w:r w:rsidRPr="00F41E78">
        <w:rPr>
          <w:rFonts w:cs="FrankRuehl" w:hint="eastAsia"/>
          <w:sz w:val="18"/>
          <w:szCs w:val="22"/>
          <w:rtl/>
          <w:lang w:eastAsia="he-IL"/>
        </w:rPr>
        <w:t>ת</w:t>
      </w:r>
      <w:r w:rsidRPr="00F41E78">
        <w:rPr>
          <w:rFonts w:cs="FrankRuehl" w:hint="cs"/>
          <w:sz w:val="18"/>
          <w:szCs w:val="22"/>
          <w:rtl/>
          <w:lang w:eastAsia="he-IL"/>
        </w:rPr>
        <w:t xml:space="preserve"> היעד בשנת היעד (2020) ובשנת 2030. זאת בשל תהליכי הציפוף של השטחים הבנויים (בייחוד באזורי הביקוש) ובשל עלייה מתונה יחסית ברווחת הדיור (שטח הדירה לנפש). עם זאת, בבדיקה פרטנית לפי יישובים מצא הצוות כי במקרים מסוימים עשוי הפיתוח לגלוש לשטחים פתוחים. </w:t>
      </w:r>
    </w:p>
    <w:p w:rsidR="00E97EDA" w:rsidRPr="00F41E78" w:rsidP="00027101">
      <w:pPr>
        <w:spacing w:after="240" w:line="230" w:lineRule="exact"/>
        <w:jc w:val="both"/>
        <w:rPr>
          <w:rFonts w:cs="FrankRuehl"/>
          <w:sz w:val="18"/>
          <w:szCs w:val="22"/>
          <w:rtl/>
          <w:lang w:eastAsia="he-IL"/>
        </w:rPr>
      </w:pPr>
      <w:r w:rsidRPr="00F41E78">
        <w:rPr>
          <w:rFonts w:cs="FrankRuehl" w:hint="cs"/>
          <w:sz w:val="18"/>
          <w:szCs w:val="22"/>
          <w:rtl/>
          <w:lang w:eastAsia="he-IL"/>
        </w:rPr>
        <w:t xml:space="preserve">עתודות הקרקע לפיתוח בתכניות המתאר המחוזיות מסתכמות בכמיליון דונם, אך על פי הנחתו של הצוות רק כ-50% משטח זה הם בני פיתוח. על פי הערכתו, עד 2030 ינוצלו כ-56% מהשטחים האפשריים לפיתוח, ושיעורי הניצול הגבוהים יהיו במחוזות ירושלים והמרכז. מינהל התכנון לא בדק תרחישים לשנות יעד רחוקות יותר. </w:t>
      </w:r>
    </w:p>
    <w:p w:rsidR="00D22B16" w:rsidRPr="00F41E78" w:rsidP="00D22B16">
      <w:pPr>
        <w:pStyle w:val="RESHET"/>
        <w:keepLines/>
        <w:rPr>
          <w:rtl/>
        </w:rPr>
      </w:pPr>
      <w:r w:rsidRPr="00F41E78">
        <w:rPr>
          <w:rFonts w:hint="cs"/>
          <w:rtl/>
        </w:rPr>
        <w:t xml:space="preserve">לדעת משרד מבקר המדינה, על מינהל התכנון לגבש הערכות ארוכות טווח, גם עד 2040, וזאת על פי החלטת הממשלה </w:t>
      </w:r>
      <w:r w:rsidRPr="00F41E78">
        <w:rPr>
          <w:rFonts w:hint="eastAsia"/>
          <w:rtl/>
        </w:rPr>
        <w:t>מס</w:t>
      </w:r>
      <w:r w:rsidRPr="00F41E78">
        <w:rPr>
          <w:rtl/>
        </w:rPr>
        <w:t>' 4434</w:t>
      </w:r>
      <w:r w:rsidRPr="00F41E78">
        <w:rPr>
          <w:rFonts w:hint="cs"/>
          <w:rtl/>
        </w:rPr>
        <w:t xml:space="preserve"> </w:t>
      </w:r>
      <w:r w:rsidRPr="00F41E78">
        <w:rPr>
          <w:rtl/>
        </w:rPr>
        <w:t>ממרץ 2012</w:t>
      </w:r>
      <w:r w:rsidRPr="00F41E78">
        <w:rPr>
          <w:rFonts w:hint="cs"/>
          <w:rtl/>
        </w:rPr>
        <w:t xml:space="preserve"> ולנוכח העובדה כי הליכי התכנון ותהליכי הרישוי והבנייה, משלב התכנון המתארי ועד האכלוס, עלולים להימשך כשני עשורים. </w:t>
      </w:r>
    </w:p>
    <w:p w:rsidR="00E97EDA" w:rsidRPr="00F41E78" w:rsidP="00027101">
      <w:pPr>
        <w:spacing w:before="180" w:after="240" w:line="230" w:lineRule="exact"/>
        <w:jc w:val="both"/>
        <w:rPr>
          <w:rFonts w:cs="FrankRuehl"/>
          <w:sz w:val="18"/>
          <w:szCs w:val="22"/>
          <w:rtl/>
          <w:lang w:eastAsia="he-IL"/>
        </w:rPr>
      </w:pPr>
      <w:r w:rsidRPr="00F41E78">
        <w:rPr>
          <w:rFonts w:cs="FrankRuehl" w:hint="cs"/>
          <w:sz w:val="18"/>
          <w:szCs w:val="22"/>
          <w:rtl/>
          <w:lang w:eastAsia="he-IL"/>
        </w:rPr>
        <w:t>צוות המעקב הסיק מחישוביו כי בכל המחוזות (גם באזורי הביקוש) קיים מלאי מספיק של עתודות קרקע לפיתוח עד 2030. בדוח השלישי שלו צוין כי הנתונים שנאספו מראים על שיעור מיצוי נמוך יחסית של עתודות הקרקע המתוכננות בתכניות המתאר המחוזיות. המשמעות היא שיש בכוחו של המלאי הקיים לתת מענה לטווח שנים ארוך יותר מזה שנצפה בעת הכנת תמ"א 35</w:t>
      </w:r>
      <w:r>
        <w:rPr>
          <w:rFonts w:cs="FrankRuehl"/>
          <w:sz w:val="18"/>
          <w:szCs w:val="22"/>
          <w:vertAlign w:val="superscript"/>
          <w:rtl/>
          <w:lang w:eastAsia="he-IL"/>
        </w:rPr>
        <w:footnoteReference w:id="176"/>
      </w:r>
      <w:r w:rsidRPr="00F41E78">
        <w:rPr>
          <w:rFonts w:cs="FrankRuehl" w:hint="cs"/>
          <w:sz w:val="18"/>
          <w:szCs w:val="22"/>
          <w:rtl/>
          <w:lang w:eastAsia="he-IL"/>
        </w:rPr>
        <w:t xml:space="preserve">. </w:t>
      </w:r>
    </w:p>
    <w:p w:rsidR="00D22B16" w:rsidRPr="00F41E78" w:rsidP="00D22B16">
      <w:pPr>
        <w:pStyle w:val="RESHET"/>
        <w:keepLines/>
        <w:rPr>
          <w:rtl/>
        </w:rPr>
      </w:pPr>
      <w:r w:rsidRPr="00F41E78">
        <w:rPr>
          <w:rFonts w:hint="cs"/>
          <w:rtl/>
        </w:rPr>
        <w:t xml:space="preserve">צוות המעקב בחן אפוא אם תמ"א 35 נותנת מענה לצרכים הנדרשים ומשיגה את יעדיה. הצוות הגיע לידי מסקנה שבכל הקשור להיבט הכמותי הושג היעד במלואו והתמ"א העמידה היצע של עתודות קרקע לכל מיני שימושים. </w:t>
      </w:r>
    </w:p>
    <w:p w:rsidR="00E97EDA" w:rsidRPr="00F41E78" w:rsidP="00027101">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אולם בהתייחסו למחירי הדיור ציין הצוות כי עליות המחירים במחוזות המרכז ותל אביב מעידים על ביקוש גדול מההיצע. עוד ציין כי אין לצפות עוד שקרקעות לפיתוח יהיו פנויות מחסמים שונים (הצוות לא פירט אילו חסמים). בביקורת נמצא כי החסמים העיקריים בהליכי התכנון למגורים הם היעדרן של תשתיות תחבורה, מים וביוב </w:t>
      </w:r>
      <w:r w:rsidRPr="00F41E78">
        <w:rPr>
          <w:rFonts w:cs="FrankRuehl"/>
          <w:sz w:val="18"/>
          <w:szCs w:val="22"/>
          <w:rtl/>
          <w:lang w:eastAsia="he-IL"/>
        </w:rPr>
        <w:t xml:space="preserve">(ראו </w:t>
      </w:r>
      <w:r w:rsidRPr="00F41E78">
        <w:rPr>
          <w:rFonts w:cs="FrankRuehl" w:hint="eastAsia"/>
          <w:sz w:val="18"/>
          <w:szCs w:val="22"/>
          <w:rtl/>
          <w:lang w:eastAsia="he-IL"/>
        </w:rPr>
        <w:t>להלן</w:t>
      </w:r>
      <w:r w:rsidRPr="00F41E78">
        <w:rPr>
          <w:rFonts w:cs="FrankRuehl"/>
          <w:sz w:val="18"/>
          <w:szCs w:val="22"/>
          <w:rtl/>
          <w:lang w:eastAsia="he-IL"/>
        </w:rPr>
        <w:t xml:space="preserve"> </w:t>
      </w:r>
      <w:r w:rsidRPr="00F41E78">
        <w:rPr>
          <w:rFonts w:cs="FrankRuehl" w:hint="eastAsia"/>
          <w:sz w:val="18"/>
          <w:szCs w:val="22"/>
          <w:rtl/>
          <w:lang w:eastAsia="he-IL"/>
        </w:rPr>
        <w:t>בפרקים</w:t>
      </w:r>
      <w:r w:rsidRPr="00F41E78">
        <w:rPr>
          <w:rFonts w:cs="FrankRuehl"/>
          <w:sz w:val="18"/>
          <w:szCs w:val="22"/>
          <w:rtl/>
          <w:lang w:eastAsia="he-IL"/>
        </w:rPr>
        <w:t xml:space="preserve"> </w:t>
      </w:r>
      <w:r w:rsidRPr="00F41E78">
        <w:rPr>
          <w:rFonts w:cs="FrankRuehl" w:hint="cs"/>
          <w:sz w:val="18"/>
          <w:szCs w:val="22"/>
          <w:rtl/>
          <w:lang w:eastAsia="he-IL"/>
        </w:rPr>
        <w:t xml:space="preserve">"היבטים של </w:t>
      </w:r>
      <w:r w:rsidRPr="00F41E78">
        <w:rPr>
          <w:rFonts w:cs="FrankRuehl" w:hint="eastAsia"/>
          <w:sz w:val="18"/>
          <w:szCs w:val="22"/>
          <w:rtl/>
          <w:lang w:eastAsia="he-IL"/>
        </w:rPr>
        <w:t>תכנון</w:t>
      </w:r>
      <w:r w:rsidRPr="00F41E78">
        <w:rPr>
          <w:rFonts w:cs="FrankRuehl" w:hint="cs"/>
          <w:sz w:val="18"/>
          <w:szCs w:val="22"/>
          <w:rtl/>
          <w:lang w:eastAsia="he-IL"/>
        </w:rPr>
        <w:t xml:space="preserve"> למגורים</w:t>
      </w:r>
      <w:r w:rsidRPr="00F41E78">
        <w:rPr>
          <w:rFonts w:cs="FrankRuehl"/>
          <w:sz w:val="18"/>
          <w:szCs w:val="22"/>
          <w:rtl/>
          <w:lang w:eastAsia="he-IL"/>
        </w:rPr>
        <w:t xml:space="preserve"> </w:t>
      </w:r>
      <w:r w:rsidRPr="00F41E78">
        <w:rPr>
          <w:rFonts w:cs="FrankRuehl" w:hint="eastAsia"/>
          <w:sz w:val="18"/>
          <w:szCs w:val="22"/>
          <w:rtl/>
          <w:lang w:eastAsia="he-IL"/>
        </w:rPr>
        <w:t>במרכז</w:t>
      </w:r>
      <w:r w:rsidRPr="00F41E78">
        <w:rPr>
          <w:rFonts w:cs="FrankRuehl"/>
          <w:sz w:val="18"/>
          <w:szCs w:val="22"/>
          <w:rtl/>
          <w:lang w:eastAsia="he-IL"/>
        </w:rPr>
        <w:t xml:space="preserve"> </w:t>
      </w:r>
      <w:r w:rsidRPr="00F41E78">
        <w:rPr>
          <w:rFonts w:cs="FrankRuehl" w:hint="eastAsia"/>
          <w:sz w:val="18"/>
          <w:szCs w:val="22"/>
          <w:rtl/>
          <w:lang w:eastAsia="he-IL"/>
        </w:rPr>
        <w:t>הארץ</w:t>
      </w:r>
      <w:r w:rsidRPr="00F41E78">
        <w:rPr>
          <w:rFonts w:cs="FrankRuehl" w:hint="cs"/>
          <w:sz w:val="18"/>
          <w:szCs w:val="22"/>
          <w:rtl/>
          <w:lang w:eastAsia="he-IL"/>
        </w:rPr>
        <w:t>" ו"היבטים של תכנון למגורים</w:t>
      </w:r>
      <w:r w:rsidRPr="00F41E78">
        <w:rPr>
          <w:rFonts w:cs="FrankRuehl"/>
          <w:sz w:val="18"/>
          <w:szCs w:val="22"/>
          <w:rtl/>
          <w:lang w:eastAsia="he-IL"/>
        </w:rPr>
        <w:t xml:space="preserve"> </w:t>
      </w:r>
      <w:r w:rsidRPr="00F41E78">
        <w:rPr>
          <w:rFonts w:cs="FrankRuehl" w:hint="eastAsia"/>
          <w:sz w:val="18"/>
          <w:szCs w:val="22"/>
          <w:rtl/>
          <w:lang w:eastAsia="he-IL"/>
        </w:rPr>
        <w:t>במחוז</w:t>
      </w:r>
      <w:r w:rsidRPr="00F41E78">
        <w:rPr>
          <w:rFonts w:cs="FrankRuehl"/>
          <w:sz w:val="18"/>
          <w:szCs w:val="22"/>
          <w:rtl/>
          <w:lang w:eastAsia="he-IL"/>
        </w:rPr>
        <w:t xml:space="preserve"> </w:t>
      </w:r>
      <w:r w:rsidRPr="00F41E78">
        <w:rPr>
          <w:rFonts w:cs="FrankRuehl" w:hint="eastAsia"/>
          <w:sz w:val="18"/>
          <w:szCs w:val="22"/>
          <w:rtl/>
          <w:lang w:eastAsia="he-IL"/>
        </w:rPr>
        <w:t>הצפון</w:t>
      </w:r>
      <w:r w:rsidRPr="00F41E78">
        <w:rPr>
          <w:rFonts w:cs="FrankRuehl" w:hint="cs"/>
          <w:sz w:val="18"/>
          <w:szCs w:val="22"/>
          <w:rtl/>
          <w:lang w:eastAsia="he-IL"/>
        </w:rPr>
        <w:t>"</w:t>
      </w:r>
      <w:r w:rsidRPr="00F41E78">
        <w:rPr>
          <w:rFonts w:cs="FrankRuehl"/>
          <w:sz w:val="18"/>
          <w:szCs w:val="22"/>
          <w:rtl/>
          <w:lang w:eastAsia="he-IL"/>
        </w:rPr>
        <w:t>)</w:t>
      </w:r>
      <w:r w:rsidRPr="00F41E78">
        <w:rPr>
          <w:rFonts w:cs="FrankRuehl" w:hint="cs"/>
          <w:sz w:val="18"/>
          <w:szCs w:val="22"/>
          <w:rtl/>
          <w:lang w:eastAsia="he-IL"/>
        </w:rPr>
        <w:t>.</w:t>
      </w:r>
    </w:p>
    <w:p w:rsidR="00D22B16" w:rsidRPr="00F41E78" w:rsidP="00D22B16">
      <w:pPr>
        <w:pStyle w:val="RESHET"/>
        <w:keepLines/>
        <w:rPr>
          <w:rtl/>
        </w:rPr>
      </w:pPr>
      <w:r w:rsidRPr="00F41E78">
        <w:rPr>
          <w:rFonts w:hint="cs"/>
          <w:rtl/>
        </w:rPr>
        <w:t>צוות המעקב קבע כי סילוק החסמים הוא חלק ממדיניות התכנון וקיומם אינו מחייב הגדלת עתודות בפועל</w:t>
      </w:r>
      <w:r>
        <w:rPr>
          <w:vertAlign w:val="superscript"/>
          <w:rtl/>
        </w:rPr>
        <w:footnoteReference w:id="177"/>
      </w:r>
      <w:r w:rsidRPr="00F41E78">
        <w:rPr>
          <w:rFonts w:hint="cs"/>
          <w:rtl/>
        </w:rPr>
        <w:t>. בהמשך למסקנות אלו המליץ הצוות באותו מועד (2010) על שינויים מינוריים בכל הנוגע להוראות תמ"א 35 ולעקרונות הכוונת הפיתוח המרחבי.</w:t>
      </w:r>
    </w:p>
    <w:p w:rsidR="00E97EDA" w:rsidRPr="00F41E78" w:rsidP="00027101">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לעומת זאת, בדיון ועדת ההיגוי מפברואר 2010 ציין נציג רמ"י כי הרשות (מינהל מקרקעי ישראל דאז) בדקה את עתודות הקרקע בחלק מהמרקמים העירוניים (האזורים המיועדים לעיקר הפיתוח על פי תמ"א 35) והגיעה לידי מסקנה כי באזור הביקוש אין די עתודות קרקע בבעלות ציבורית שהן ריאליות לבנייה.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ממצאים דומים משתקפים גם בדוח שהזמינה רמ"י מצוות תכנון חיצוני (להלן - צוות רמ"י). צוות רמ"י בחן את עתודות הקרקע לתכנון מגורים ב-18 יישובים במרכז הארץ וניתח את הפחת של עתודות הקרקע המיועדות לפיתוח, שמקורו בחסמים ובאילוצים כמו מגבלות בנייה. צוות רמ"י הגיע לידי מסקנה כי אין הפוטנציאל הגלום בתכניות מתאר ארציות ומחוזיות יכול להתממש במלואו והדבר עלול להביא לידי מחסור בעשרות אלפי יח"ד בשנת 2030. מסקנות צוות רמ"י הוצגו לצוות המעקב של התמ"א ולגורמים המקצועיים במינהל התכנון.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בעקבות פערים אלו, וכן בעקבות דרישת מנהלת מינהל התכנון לבחון מחדש את הנחות היסוד בנוגע לחישובים של עתודות הקרקע, בדק צוות המעקב 55 מתחמים של עתודות קרקע לפיתוח במחוז המרכז. מניירות העבודה שלו עולה כי אם יימשכו מגמות הגידול הקיימות כיום במחוז המרכז יספיקו עתודות הקרקע בדוחק עד 2030; לפי התרחיש של רמ"י, שעל פיו יגדלו הביקושים באזור המרכז, לא יספיקו עתודות הקרקע במחוז המרכז.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נוסף לבדיקות אלו נדרש צוות המעקב לעדכן את תחזיותיו בנוגע לעתודות הקרקע לפי היעדים שהציבה הממשלה בהחלטותיה. יעדים אלו נקובים ביח"ד ולא בשטח קרקע לפיתוח, והדבר חייב את הצוות לעדכן את המודל שהנחה אותו. זאת ועוד, יעדי הממשלה למלאי התכנוני גדולים ב-50% מהצרכים בפועל, משום שהם מגלמים הערכות בדבר קשיי ישימות של חלק מהתכניות. למשל, בכל שנה ישנו צורך בתוספת של כ-40,000 יח"ד, אך בהחלטת הממשלה מס' 2019 מיולי 2010 נקבע שמספר יחידות הדיור בתכניות מפורטות מאושרות יסתכם ב-60,000 בכל שנה. צוות המעקב קבע כי עלול להיווצר פער של כ-80,000 יח"ד בין קיבולת יחידות הדיור הגלומה בתכנית המתאר המחוזית של מחוז המרכז ובין המלאי התכנוני העודף שנדרש לאשר במחוז זה על פי החלטת הממשלה האמורה (לשנת 2030). עוד קבע הצוות כי הדבר מחייב את עדכון הוראות תמ"א 35 ואת הגמשת אפשרויות הפיתוח הקיימות בהוראותיה כיום.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בדצמבר 2012 הועלו לדיון במועצה הארצית הצעות לעדכון הוראות תכנית המתאר המחוזית של מחוז המרכז. על פי החלטת המועצה הן אף נדונו עם הגורמים המקצועיים בלשכת התכנון של מחוז מרכז ועם נציגי השלטון המקומי. </w:t>
      </w:r>
      <w:r w:rsidRPr="00F41E78">
        <w:rPr>
          <w:rFonts w:cs="FrankRuehl" w:hint="eastAsia"/>
          <w:sz w:val="18"/>
          <w:szCs w:val="22"/>
          <w:rtl/>
          <w:lang w:eastAsia="he-IL"/>
        </w:rPr>
        <w:t>אולם</w:t>
      </w:r>
      <w:r w:rsidRPr="00F41E78">
        <w:rPr>
          <w:rFonts w:cs="FrankRuehl"/>
          <w:sz w:val="18"/>
          <w:szCs w:val="22"/>
          <w:rtl/>
          <w:lang w:eastAsia="he-IL"/>
        </w:rPr>
        <w:t xml:space="preserve"> </w:t>
      </w:r>
      <w:r w:rsidRPr="00F41E78">
        <w:rPr>
          <w:rFonts w:cs="FrankRuehl" w:hint="eastAsia"/>
          <w:sz w:val="18"/>
          <w:szCs w:val="22"/>
          <w:rtl/>
          <w:lang w:eastAsia="he-IL"/>
        </w:rPr>
        <w:t>עד</w:t>
      </w:r>
      <w:r w:rsidRPr="00F41E78">
        <w:rPr>
          <w:rFonts w:cs="FrankRuehl"/>
          <w:sz w:val="18"/>
          <w:szCs w:val="22"/>
          <w:rtl/>
          <w:lang w:eastAsia="he-IL"/>
        </w:rPr>
        <w:t xml:space="preserve"> </w:t>
      </w:r>
      <w:r w:rsidRPr="00F41E78">
        <w:rPr>
          <w:rFonts w:cs="FrankRuehl" w:hint="eastAsia"/>
          <w:sz w:val="18"/>
          <w:szCs w:val="22"/>
          <w:rtl/>
          <w:lang w:eastAsia="he-IL"/>
        </w:rPr>
        <w:t>מועד</w:t>
      </w:r>
      <w:r w:rsidRPr="00F41E78">
        <w:rPr>
          <w:rFonts w:cs="FrankRuehl"/>
          <w:sz w:val="18"/>
          <w:szCs w:val="22"/>
          <w:rtl/>
          <w:lang w:eastAsia="he-IL"/>
        </w:rPr>
        <w:t xml:space="preserve"> </w:t>
      </w:r>
      <w:r w:rsidRPr="00F41E78">
        <w:rPr>
          <w:rFonts w:cs="FrankRuehl" w:hint="eastAsia"/>
          <w:sz w:val="18"/>
          <w:szCs w:val="22"/>
          <w:rtl/>
          <w:lang w:eastAsia="he-IL"/>
        </w:rPr>
        <w:t>סיום</w:t>
      </w:r>
      <w:r w:rsidRPr="00F41E78">
        <w:rPr>
          <w:rFonts w:cs="FrankRuehl"/>
          <w:sz w:val="18"/>
          <w:szCs w:val="22"/>
          <w:rtl/>
          <w:lang w:eastAsia="he-IL"/>
        </w:rPr>
        <w:t xml:space="preserve"> </w:t>
      </w:r>
      <w:r w:rsidRPr="00F41E78">
        <w:rPr>
          <w:rFonts w:cs="FrankRuehl" w:hint="eastAsia"/>
          <w:sz w:val="18"/>
          <w:szCs w:val="22"/>
          <w:rtl/>
          <w:lang w:eastAsia="he-IL"/>
        </w:rPr>
        <w:t>הביקורת</w:t>
      </w:r>
      <w:r w:rsidRPr="00F41E78">
        <w:rPr>
          <w:rFonts w:cs="FrankRuehl" w:hint="cs"/>
          <w:sz w:val="18"/>
          <w:szCs w:val="22"/>
          <w:rtl/>
          <w:lang w:eastAsia="he-IL"/>
        </w:rPr>
        <w:t xml:space="preserve"> לא הושגו הסכמות בנושא. </w:t>
      </w:r>
    </w:p>
    <w:p w:rsidR="00E97EDA" w:rsidRPr="00F41E78" w:rsidP="00027101">
      <w:pPr>
        <w:spacing w:after="240" w:line="230" w:lineRule="exact"/>
        <w:jc w:val="both"/>
        <w:rPr>
          <w:rFonts w:cs="FrankRuehl"/>
          <w:sz w:val="18"/>
          <w:szCs w:val="22"/>
          <w:rtl/>
          <w:lang w:eastAsia="he-IL"/>
        </w:rPr>
      </w:pPr>
      <w:r w:rsidRPr="00F41E78">
        <w:rPr>
          <w:rFonts w:cs="FrankRuehl" w:hint="cs"/>
          <w:sz w:val="18"/>
          <w:szCs w:val="22"/>
          <w:rtl/>
          <w:lang w:eastAsia="he-IL"/>
        </w:rPr>
        <w:t>בתשובתו מינואר 2014 מסר משרד הבינוי כי זה כמה שנים שהוא מתריע בפני מינהל התכנון על כך שישנו מחסור בעתודות הקרקע לפיתוח בתמ"א 35. לעומת זאת, המשרד להגנת הסביבה מסר בתשובתו מינואר 2014 כי ישנה אפשרות לבנות מאות אלפי יח"ד חדשות באזורים הבנויים בתוך הערים והנתונים המפורטים בעניין זה לא הובאו בחשבון בתהליך עדכון התמ"א. יוצא אפוא שעדיין קיימות מחלוקות עמוקות בנושא. בתשובתה ממרץ 2013 מסרה החברה להגנת הטבע כי ישנן מחלוקות חריפות בנוגע לנתונים שלפיהם מבוקש להרחיב את השטחים לבינוי במחוז המרכז. עוד מסרה כי לנוכח כל אלו, אישור ההמלצות לעדכון תמ"א 35 מתעכב זה זמן רב והיעדרו יוצר חוסר ודאות במערכת התכנון ובשוק הדיור.</w:t>
      </w:r>
    </w:p>
    <w:p w:rsidR="00D22B16" w:rsidRPr="00F41E78" w:rsidP="00D22B16">
      <w:pPr>
        <w:pStyle w:val="RESHET"/>
        <w:keepLines/>
        <w:rPr>
          <w:rtl/>
        </w:rPr>
      </w:pPr>
      <w:r w:rsidRPr="00F41E78">
        <w:rPr>
          <w:rFonts w:hint="cs"/>
          <w:rtl/>
        </w:rPr>
        <w:t xml:space="preserve">הערכות מבוססות הנוגעות לעתודות הקרקע לפיתוח הן תנאי לקבלת החלטות מושכלות. מן האמור עולה כי לא היו הסכמות בנוגע לעתודות הקרקע לפיתוח ולטיבן של ההצעות לעדכון תמ"א 35. על כן, יש ללבן את שיטות החיזוי ואת ההערכות במסגרת דיון כולל ויסודי שיהיו שותפים לו כל הגורמים הרלוונטיים, כפי שנעשה. </w:t>
      </w:r>
    </w:p>
    <w:p w:rsidR="00D22B16" w:rsidRPr="00F41E78" w:rsidP="00D22B16">
      <w:pPr>
        <w:pStyle w:val="RESHET"/>
        <w:keepLines/>
        <w:rPr>
          <w:rtl/>
        </w:rPr>
      </w:pPr>
      <w:r w:rsidRPr="00F41E78">
        <w:rPr>
          <w:rFonts w:hint="cs"/>
          <w:rtl/>
        </w:rPr>
        <w:t xml:space="preserve">לדעת משרד מבקר המדינה, חשוב למצות את המאמצים להסרת חסמים המונעים את מימושן של תכניות מאושרות. יש לעשות זאת כדי להימנע מהצורך ליזום תכניות חדשות על עתודות קרקע שאינן מתוכננות, ובכך לאפשר שימוש יעיל בקרקע ולחסוך בעלויות התכנון. </w:t>
      </w:r>
    </w:p>
    <w:p w:rsidR="00E97EDA" w:rsidRPr="00F41E78" w:rsidP="00027101">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בתשובתו מסר משרד הפנים למשרד מבקר המדינה כי החסמים הקיימים באזורי הביקוש מונעים בנייה של יח"ד ולכן חשוב להסירם. כמו כן, ישנה חשיבות להכוונת הפיתוח לתוך הערים כדי לייעל את השימוש בקרקע, להשתמש בתשתיות קיימות ובתחבורה ציבורית וליצור מרחב ובו שימושים מעורבים. עוד מסר כי מינהל התכנון פועל רבות, בתיאום עם משרדי הממשלה האחרים, למיצוי המאמצים להסרת חסמים המונעים את מימושן של תכניות מאושרות. </w:t>
      </w:r>
    </w:p>
    <w:p w:rsidR="00E97EDA" w:rsidRPr="00F41E78" w:rsidP="00A7557B">
      <w:pPr>
        <w:spacing w:after="120" w:line="230" w:lineRule="exact"/>
        <w:jc w:val="both"/>
        <w:rPr>
          <w:rFonts w:cs="FrankRuehl"/>
          <w:sz w:val="18"/>
          <w:szCs w:val="22"/>
          <w:rtl/>
          <w:lang w:eastAsia="he-IL"/>
        </w:rPr>
      </w:pPr>
    </w:p>
    <w:p w:rsidR="00E97EDA" w:rsidRPr="00F41E78" w:rsidP="00A7557B">
      <w:pPr>
        <w:spacing w:after="120" w:line="230" w:lineRule="exact"/>
        <w:jc w:val="both"/>
        <w:rPr>
          <w:rFonts w:cs="FrankRuehl"/>
          <w:sz w:val="18"/>
          <w:szCs w:val="22"/>
          <w:rtl/>
          <w:lang w:eastAsia="he-IL"/>
        </w:rPr>
      </w:pPr>
    </w:p>
    <w:p w:rsidR="00E97EDA" w:rsidRPr="00CB33CD" w:rsidP="00A7557B">
      <w:pPr>
        <w:pStyle w:val="KOT4"/>
        <w:rPr>
          <w:rtl/>
          <w:lang w:eastAsia="he-IL"/>
        </w:rPr>
      </w:pPr>
      <w:r w:rsidRPr="00CB33CD">
        <w:rPr>
          <w:rFonts w:hint="cs"/>
          <w:rtl/>
          <w:lang w:eastAsia="he-IL"/>
        </w:rPr>
        <w:t>התכנון המתארי ברמות המחוזית והמקומית</w:t>
      </w:r>
    </w:p>
    <w:p w:rsidR="00E97EDA" w:rsidP="00A7557B">
      <w:pPr>
        <w:spacing w:after="120" w:line="230" w:lineRule="exact"/>
        <w:jc w:val="both"/>
        <w:rPr>
          <w:rFonts w:cs="FrankRuehl"/>
          <w:sz w:val="18"/>
          <w:szCs w:val="22"/>
          <w:lang w:eastAsia="he-IL"/>
        </w:rPr>
      </w:pPr>
      <w:r w:rsidRPr="00F41E78">
        <w:rPr>
          <w:rFonts w:cs="FrankRuehl" w:hint="cs"/>
          <w:sz w:val="18"/>
          <w:szCs w:val="22"/>
          <w:rtl/>
          <w:lang w:eastAsia="he-IL"/>
        </w:rPr>
        <w:t xml:space="preserve">קיומו של תכנון מתארי ברמות המחוזית והמקומית יש בו כדי לייעל את הליכי התכנון ולאפשר קבלת החלטות מיטביות לטווח הארוך, על פי עקרונות בהירים ושקופים ומתוך התחשבות במגוון שיקולים. </w:t>
      </w:r>
    </w:p>
    <w:p w:rsidR="00E97EDA" w:rsidRPr="00CB33CD" w:rsidP="00A7557B">
      <w:pPr>
        <w:pStyle w:val="KOT5"/>
        <w:rPr>
          <w:rtl/>
          <w:lang w:eastAsia="he-IL"/>
        </w:rPr>
      </w:pPr>
      <w:r w:rsidRPr="00CB33CD">
        <w:rPr>
          <w:rFonts w:hint="cs"/>
          <w:rtl/>
          <w:lang w:eastAsia="he-IL"/>
        </w:rPr>
        <w:t xml:space="preserve">התכנון המתארי </w:t>
      </w:r>
      <w:r w:rsidRPr="00CB33CD">
        <w:rPr>
          <w:rtl/>
          <w:lang w:eastAsia="he-IL"/>
        </w:rPr>
        <w:t xml:space="preserve">ברמה </w:t>
      </w:r>
      <w:r w:rsidRPr="00CB33CD">
        <w:rPr>
          <w:rFonts w:hint="eastAsia"/>
          <w:rtl/>
          <w:lang w:eastAsia="he-IL"/>
        </w:rPr>
        <w:t>המחוזית</w:t>
      </w:r>
    </w:p>
    <w:p w:rsidR="00E97EDA" w:rsidRPr="00F41E78" w:rsidP="003D1AF4">
      <w:pPr>
        <w:spacing w:after="120" w:line="230" w:lineRule="exact"/>
        <w:jc w:val="both"/>
        <w:rPr>
          <w:rFonts w:cs="FrankRuehl"/>
          <w:sz w:val="18"/>
          <w:szCs w:val="22"/>
          <w:rtl/>
          <w:lang w:eastAsia="he-IL"/>
        </w:rPr>
      </w:pPr>
      <w:r w:rsidRPr="00F41E78">
        <w:rPr>
          <w:rFonts w:cs="FrankRuehl" w:hint="cs"/>
          <w:sz w:val="18"/>
          <w:szCs w:val="22"/>
          <w:rtl/>
          <w:lang w:eastAsia="he-IL"/>
        </w:rPr>
        <w:t xml:space="preserve">בתכניות מתאר מחוזיות (להלן - תכניות מחוזיות) באים לידי ביטוי כיווני הפיתוח הרצויים בשטח המחוז לפי מאפייניו הגאוגרפיים ועל פי יעדי גידול האוכלוסייה. סעיף 56 לחוק התכנון והבנייה קובע כי </w:t>
      </w:r>
      <w:r w:rsidRPr="00F41E78">
        <w:rPr>
          <w:rFonts w:cs="FrankRuehl"/>
          <w:sz w:val="18"/>
          <w:szCs w:val="22"/>
          <w:rtl/>
          <w:lang w:eastAsia="he-IL"/>
        </w:rPr>
        <w:t>כל ועדה מחוזית</w:t>
      </w:r>
      <w:r w:rsidRPr="00F41E78">
        <w:rPr>
          <w:rFonts w:cs="FrankRuehl" w:hint="cs"/>
          <w:sz w:val="18"/>
          <w:szCs w:val="22"/>
          <w:rtl/>
          <w:lang w:eastAsia="he-IL"/>
        </w:rPr>
        <w:t xml:space="preserve"> לתכנון ולבנייה</w:t>
      </w:r>
      <w:r w:rsidRPr="00F41E78">
        <w:rPr>
          <w:rFonts w:cs="FrankRuehl"/>
          <w:sz w:val="18"/>
          <w:szCs w:val="22"/>
          <w:rtl/>
          <w:lang w:eastAsia="he-IL"/>
        </w:rPr>
        <w:t xml:space="preserve"> תכין ותגיש תכנית מתאר מחוזית</w:t>
      </w:r>
      <w:r w:rsidRPr="00F41E78">
        <w:rPr>
          <w:rFonts w:cs="FrankRuehl" w:hint="cs"/>
          <w:sz w:val="18"/>
          <w:szCs w:val="22"/>
          <w:rtl/>
          <w:lang w:eastAsia="he-IL"/>
        </w:rPr>
        <w:t xml:space="preserve"> לאישור המועצה הארצית</w:t>
      </w:r>
      <w:r w:rsidRPr="00F41E78">
        <w:rPr>
          <w:rFonts w:cs="FrankRuehl"/>
          <w:sz w:val="18"/>
          <w:szCs w:val="22"/>
          <w:rtl/>
          <w:lang w:eastAsia="he-IL"/>
        </w:rPr>
        <w:t xml:space="preserve">, כפי </w:t>
      </w:r>
      <w:r w:rsidRPr="00F41E78">
        <w:rPr>
          <w:rFonts w:cs="FrankRuehl" w:hint="cs"/>
          <w:sz w:val="18"/>
          <w:szCs w:val="22"/>
          <w:rtl/>
          <w:lang w:eastAsia="he-IL"/>
        </w:rPr>
        <w:t>שהמועצה תפרט</w:t>
      </w:r>
      <w:r w:rsidRPr="00F41E78">
        <w:rPr>
          <w:rFonts w:cs="FrankRuehl"/>
          <w:sz w:val="18"/>
          <w:szCs w:val="22"/>
          <w:rtl/>
          <w:lang w:eastAsia="he-IL"/>
        </w:rPr>
        <w:t xml:space="preserve"> בהוראה.</w:t>
      </w:r>
      <w:r w:rsidRPr="00F41E78">
        <w:rPr>
          <w:rFonts w:cs="FrankRuehl" w:hint="cs"/>
          <w:sz w:val="18"/>
          <w:szCs w:val="22"/>
          <w:rtl/>
          <w:lang w:eastAsia="he-IL"/>
        </w:rPr>
        <w:t xml:space="preserve"> התכניות המחוזיות הן נדבך מרכזי במדרג התכניות שהגדיר החוק. הן קובעות את מכסות הקרקע המיועדות לפיתוח עירוני וכפרי ואת ייעוד הקרקעות, והן אמורות ליצור את התנאים הראויים לתכנון מפורט יותר בתכניות מתאר מקומיות ובתכניות מפורטות.</w:t>
      </w:r>
    </w:p>
    <w:p w:rsidR="00E97EDA" w:rsidRPr="00F41E78" w:rsidP="00027101">
      <w:pPr>
        <w:spacing w:after="240" w:line="230" w:lineRule="exact"/>
        <w:jc w:val="both"/>
        <w:rPr>
          <w:rFonts w:cs="FrankRuehl"/>
          <w:sz w:val="18"/>
          <w:szCs w:val="22"/>
          <w:rtl/>
          <w:lang w:eastAsia="he-IL"/>
        </w:rPr>
      </w:pPr>
      <w:r w:rsidRPr="00F41E78">
        <w:rPr>
          <w:rFonts w:cs="FrankRuehl" w:hint="cs"/>
          <w:sz w:val="18"/>
          <w:szCs w:val="22"/>
          <w:rtl/>
          <w:lang w:eastAsia="he-IL"/>
        </w:rPr>
        <w:t xml:space="preserve">משרד הפנים עדכן את התכניות המחוזיות במהלך שני העשורים האחרונים, וכיום ישנן בכל המחוזות תכניות מעודכנות מאושרות. הכנתן ותהליך אישורן נעשים בד בבד עם עדכון מדיניות התכנון הלאומית, ובמקרים רבים הסתמכה תמ"א 35 על תפיסת התכנון שגובשה בתכניות המחוזיות שאישרה המועצה הארצית. </w:t>
      </w:r>
    </w:p>
    <w:p w:rsidR="00D22B16" w:rsidRPr="00F41E78" w:rsidP="00D22B16">
      <w:pPr>
        <w:pStyle w:val="RESHET"/>
        <w:keepLines/>
        <w:rPr>
          <w:rtl/>
        </w:rPr>
      </w:pPr>
      <w:r w:rsidRPr="00F41E78">
        <w:rPr>
          <w:rFonts w:hint="cs"/>
          <w:rtl/>
        </w:rPr>
        <w:t xml:space="preserve">חרף המאמץ המבורך לעדכן את נדבך התכנון המתארי המחוזי, ישנן תכניות מחוזיות שאושרו כבר בתחילת שנות האלפיים (למשל, התכניות של מחוזות המרכז והדרום) והכנתן נמשכה כמה שנים עד לאישורן; יוצא אפוא ששנת היעד לתכניות אלו כבר אינה מעודכנת. שנת היעד לתכנית המחוזית של מחוז הדרום היא 2010 ושנת היעד לתכנית המחוזית של מחוז המרכז היא השנה שבה הגיעה אוכלוסיית ישראל ל-8 מיליון נפש (2013). </w:t>
      </w:r>
    </w:p>
    <w:p w:rsidR="00D22B16" w:rsidRPr="00F41E78" w:rsidP="00D22B16">
      <w:pPr>
        <w:pStyle w:val="RESHET"/>
        <w:keepLines/>
        <w:rPr>
          <w:rtl/>
        </w:rPr>
      </w:pPr>
      <w:r w:rsidRPr="00F41E78">
        <w:rPr>
          <w:rFonts w:hint="cs"/>
          <w:rtl/>
        </w:rPr>
        <w:t>יש אפוא צורך לבחון את עדכניותם של יעדי התכניות המחוזיות ולברר אם הן אכן עונות על צורכי העשורים הקרובים. כמו כן, יש לבדוק אם הליכים שאירעו בפועל תואמים את עקרונות נדבך התכנון המתארי המחוזי.</w:t>
      </w:r>
    </w:p>
    <w:p w:rsidR="00E97EDA" w:rsidRPr="00256A1C" w:rsidP="00A7557B">
      <w:pPr>
        <w:spacing w:after="120" w:line="230" w:lineRule="exact"/>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מעקב אחר התכנון המתארי המחוזי ועדכונו</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בהוראות התכניות המחוזיות נקבעו הדרכים שבהן יש לעקוב אחר יישומן והצורך בעדכונן. למשל, בסעיף 12 להוראות התכנית המחוזית של מחוז הדרום נקבע כי תמונה ועדת משנה למעקב אחר ביצועה ולבקרה עליו. הוועדה המחוזית תאסוף נתונים לבחינת השגת היעדים ותדון בהם במליאתה לפחות אחת לשנה. עוד נקבע כי הוועדה המחוזית תדווח אחת לשנה למועצה הארצית על מצב התקדמות התכנית המחוזית.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נמצא כי סקירה במליאת הוועדה המחוזית אכן מתקיימת אחת לשנה, אבל היא עוסקת רק בתיקוני התכנית המחוזית ואין מוזכרים בה נתונים על השגת יעדי התכנית, כפי שנקבע בהוראות. יעדי האוכלוסייה הרצויים על פי התכנית המחוזית של מחוז הדרום לשנת 2010 לא הושגו (בחלק מהנפות הגידול חרג מהיעדים ובחלק אחר נרשם גידול שלילי), אך הוועדה המחוזית לא גיבשה מדיניות מעודכנת בנושא ולא בחנה דרכים להתמודד עם הפערים האלו. גם בלשכת התכנון של מחוז מרכז לא נעשתה עבודת מטה לעדכון התכנית המחוזית, אם כי לשכת התכנון יזמה עדכון משלה לקראת שנת העבודה הקרובה (2014). אין כל מעקב גם אחר יישום התכנית המחוזית של מחוז הצפון שאושרה בשנת 2007. בתשובתו מדצמבר 2013 ציין הממונה על מחוז חיפה כי לשכת </w:t>
      </w:r>
      <w:r w:rsidRPr="00F41E78">
        <w:rPr>
          <w:rFonts w:cs="FrankRuehl" w:hint="cs"/>
          <w:sz w:val="18"/>
          <w:szCs w:val="22"/>
          <w:rtl/>
          <w:lang w:eastAsia="he-IL"/>
        </w:rPr>
        <w:t>התכנון פועלת להגדרת מתווה למעקב אחר יישום התכנית ולבקרה עליו, והנושא יגובש עד תום הרבעון הראשון של 2014.</w:t>
      </w:r>
    </w:p>
    <w:p w:rsidR="00E97EDA" w:rsidRPr="00F41E78" w:rsidP="00027101">
      <w:pPr>
        <w:spacing w:after="240" w:line="230" w:lineRule="exact"/>
        <w:jc w:val="both"/>
        <w:rPr>
          <w:rFonts w:cs="FrankRuehl"/>
          <w:sz w:val="18"/>
          <w:szCs w:val="22"/>
          <w:rtl/>
          <w:lang w:eastAsia="he-IL"/>
        </w:rPr>
      </w:pPr>
      <w:r w:rsidRPr="00F41E78">
        <w:rPr>
          <w:rFonts w:cs="FrankRuehl" w:hint="cs"/>
          <w:sz w:val="18"/>
          <w:szCs w:val="22"/>
          <w:rtl/>
          <w:lang w:eastAsia="he-IL"/>
        </w:rPr>
        <w:t>בתשובת משרד הפנים ציינה מתכננת מחוז מרכז כי לפי בדיקה של לשכת התכנון ושל צוות העדכון של תמ"א 35, התכנית המחוזית מאפשרת לתת מענה לצרכים ליח"ד לפחות לעשרים השנים הקרובות.</w:t>
      </w:r>
    </w:p>
    <w:p w:rsidR="00D22B16" w:rsidRPr="00F41E78" w:rsidP="00D22B16">
      <w:pPr>
        <w:pStyle w:val="RESHET"/>
        <w:keepLines/>
        <w:rPr>
          <w:rtl/>
        </w:rPr>
      </w:pPr>
      <w:r w:rsidRPr="00F41E78">
        <w:rPr>
          <w:rFonts w:hint="cs"/>
          <w:rtl/>
        </w:rPr>
        <w:t>משרד מבקר המדינה מציין כי מעקב אחר יישום התכניות המחוזיות נוגע למכלול רחב של היבטים. על מינהל התכנון ועל המועצה הארצית לנסח הנחיות אחידות בדבר המתכונת הרצויה למעקב אחר התכניות המחוזיות ולעדכונן, על פי הוראותיהן של התכניות המחוזיות ועל סמך השנים שחלפו מאז אישורן, ולהעבירן לוועדות המחוזיות. בעת בחינת שיטת העדכון הרצויה לתכניות המחוזיות, עליהם להתחשב גם במנגנון העדכון של תמ"א 35 ולשקול דרכים שיסייעו להם לתאם בין מנגנוני העדכון, שיטות העבודה והמונחים המשמשים למעקב ולדיווח.</w:t>
      </w:r>
    </w:p>
    <w:p w:rsidR="00711180" w:rsidRPr="00256A1C"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 xml:space="preserve">התכנון המתארי </w:t>
      </w:r>
      <w:r w:rsidRPr="00CB33CD">
        <w:rPr>
          <w:rtl/>
          <w:lang w:eastAsia="he-IL"/>
        </w:rPr>
        <w:t xml:space="preserve">ברמה </w:t>
      </w:r>
      <w:r w:rsidRPr="00CB33CD">
        <w:rPr>
          <w:rFonts w:hint="eastAsia"/>
          <w:rtl/>
          <w:lang w:eastAsia="he-IL"/>
        </w:rPr>
        <w:t>המקומית</w:t>
      </w:r>
      <w:r w:rsidRPr="00CB33CD">
        <w:rPr>
          <w:rFonts w:hint="cs"/>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תכניות מתאר מקומיות (להלן - תכניות מקומיות) לתכנון הכולל של יישובים הן נדבך חשוב נוסף בהליכי התכנון. הן מאפשרות לפקח על פיתוח הקרקע במרחב התכנון המקומי והן מבטיחות תנאים נאותים לפיתוחו ומונעות מפגעים למיניהם. כמו כן, הן קובעות את ייעודי הקרקע ואת השימושים המותרים בה כדי שפיתוח היישובים ייעשה באופן מושכל וייתן מענה הולם לצורכי האוכלוסייה ביישוב.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בהוראות תמ"א 35 נקבע כי הוועדות המקומיות יכינו תכניות מתאר ליישובים המונים יותר </w:t>
      </w:r>
      <w:r w:rsidR="00027101">
        <w:rPr>
          <w:rFonts w:cs="FrankRuehl"/>
          <w:sz w:val="18"/>
          <w:szCs w:val="22"/>
          <w:lang w:eastAsia="he-IL"/>
        </w:rPr>
        <w:br/>
      </w:r>
      <w:r w:rsidRPr="00F41E78">
        <w:rPr>
          <w:rFonts w:cs="FrankRuehl" w:hint="cs"/>
          <w:sz w:val="18"/>
          <w:szCs w:val="22"/>
          <w:rtl/>
          <w:lang w:eastAsia="he-IL"/>
        </w:rPr>
        <w:t>מ-2,000 תושבים, אם התכניות שלהן אינן עדכניות. משרד מבקר המדינה כבר בדק בעבר היבטים הנוגעים לתכנון המתארי המקומי הכולל. בדוח שפורסם בשנת 2010</w:t>
      </w:r>
      <w:r>
        <w:rPr>
          <w:rFonts w:cs="FrankRuehl"/>
          <w:sz w:val="18"/>
          <w:szCs w:val="22"/>
          <w:vertAlign w:val="superscript"/>
          <w:rtl/>
          <w:lang w:eastAsia="he-IL"/>
        </w:rPr>
        <w:footnoteReference w:id="178"/>
      </w:r>
      <w:r w:rsidRPr="00F41E78">
        <w:rPr>
          <w:rFonts w:cs="FrankRuehl" w:hint="cs"/>
          <w:sz w:val="18"/>
          <w:szCs w:val="22"/>
          <w:rtl/>
          <w:lang w:eastAsia="he-IL"/>
        </w:rPr>
        <w:t xml:space="preserve"> הוא ציין כי בחצי מהעיריות ומהמועצות המקומיות בישראל אין חלות תכניות מתאר מקומיות עדכניות (כלומר, תכניות שחלפו יותר מעשר שנים ממועד אישורן). עוד צוין בדוח כי ההכנה והאישור של תכניות מקומיות אורכים שנים רבות ואלפי תכניות מפורטות מקודמות ללא תפיסה תכנונית כוללת של צורכי היישובים. זאת ועוד, מאחר שהתכניות המפורטות כוללות בדרך כלל שינוי להוראות התכנית המקומית, הסמכות לאשרן נתונה בידי הוועדות המחוזיות. מכיוון שכך, נוצר עומס מיותר בעבודתן של הוועדות המחוזיות המסרבל את הליכי התכנון. בתיקון 101 נקבע כי יבוזרו סמכויות לוועדות המקומיות באופן מדורג על פי כמה תבחינים; למשל, קיומן של תכניות מתאר מעודכנות הוא תנאי לביזור נרחב של סמכויות. יוצא אפוא</w:t>
      </w:r>
      <w:r w:rsidRPr="00F41E78">
        <w:rPr>
          <w:rFonts w:cs="FrankRuehl"/>
          <w:sz w:val="18"/>
          <w:szCs w:val="22"/>
          <w:rtl/>
          <w:lang w:eastAsia="he-IL"/>
        </w:rPr>
        <w:t xml:space="preserve"> שהיעדרן של תכניות </w:t>
      </w:r>
      <w:r w:rsidRPr="00F41E78">
        <w:rPr>
          <w:rFonts w:cs="FrankRuehl" w:hint="cs"/>
          <w:sz w:val="18"/>
          <w:szCs w:val="22"/>
          <w:rtl/>
          <w:lang w:eastAsia="he-IL"/>
        </w:rPr>
        <w:t xml:space="preserve">מעודכנות כאמור </w:t>
      </w:r>
      <w:r w:rsidRPr="00F41E78">
        <w:rPr>
          <w:rFonts w:cs="FrankRuehl"/>
          <w:sz w:val="18"/>
          <w:szCs w:val="22"/>
          <w:rtl/>
          <w:lang w:eastAsia="he-IL"/>
        </w:rPr>
        <w:t xml:space="preserve">הוא </w:t>
      </w:r>
      <w:r w:rsidRPr="00F41E78">
        <w:rPr>
          <w:rFonts w:cs="FrankRuehl" w:hint="cs"/>
          <w:sz w:val="18"/>
          <w:szCs w:val="22"/>
          <w:rtl/>
          <w:lang w:eastAsia="he-IL"/>
        </w:rPr>
        <w:t>גורם המעכב</w:t>
      </w:r>
      <w:r w:rsidRPr="00F41E78">
        <w:rPr>
          <w:rFonts w:cs="FrankRuehl"/>
          <w:sz w:val="18"/>
          <w:szCs w:val="22"/>
          <w:rtl/>
          <w:lang w:eastAsia="he-IL"/>
        </w:rPr>
        <w:t xml:space="preserve"> </w:t>
      </w:r>
      <w:r w:rsidRPr="00F41E78">
        <w:rPr>
          <w:rFonts w:cs="FrankRuehl" w:hint="cs"/>
          <w:sz w:val="18"/>
          <w:szCs w:val="22"/>
          <w:rtl/>
          <w:lang w:eastAsia="he-IL"/>
        </w:rPr>
        <w:t>את ייעול הליכי התכנון בדרך של ביזור נרחב של סמכויות.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האחריות לייזום הכנתן של תכניות מקומיות ולקידומן מוטלת בעיקר על הרשויות המקומיות. עם זאת, בשנים האחרונות מינהל התכנון מקדם בעצמו תכניות מקומיות לחלק מהיישובים כדי להאיץ את תהליך העדכון. בדוח מבקר המדינה האמור צוין כי רשויות מקומיות רבות אינן מקדמות תכניות מתאר בתחומן אף שהדבר נמצא באחריותן. הדוח קובע כי 49 מ-78 הרשויות המקומיות במגזר היהודי, שלא יזמו תכנית מקומית או שחלפו יותר מעשרים שנה מאז אושרה תכניתן, אינן יוזמות ו</w:t>
      </w:r>
      <w:r w:rsidRPr="00F41E78">
        <w:rPr>
          <w:rFonts w:cs="FrankRuehl" w:hint="eastAsia"/>
          <w:sz w:val="18"/>
          <w:szCs w:val="22"/>
          <w:rtl/>
          <w:lang w:eastAsia="he-IL"/>
        </w:rPr>
        <w:t>מקדמות</w:t>
      </w:r>
      <w:r w:rsidRPr="00F41E78">
        <w:rPr>
          <w:rFonts w:cs="FrankRuehl" w:hint="cs"/>
          <w:sz w:val="18"/>
          <w:szCs w:val="22"/>
          <w:rtl/>
          <w:lang w:eastAsia="he-IL"/>
        </w:rPr>
        <w:t xml:space="preserve"> תכניות מקומיות חדשות.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מינהל התכנון מרכז נתונים על מצב קידומן ועדכניותן של התכניות המקומיות. להלן ניתוח הנתונים שנאספו ביולי 2013 על עיריות, על מועצות מקומיות על מועצות אזוריות ועל יישובים בתחומי מועצות אזוריות</w:t>
      </w:r>
      <w:r w:rsidR="00F179BB">
        <w:rPr>
          <w:rFonts w:cs="FrankRuehl" w:hint="cs"/>
          <w:sz w:val="18"/>
          <w:szCs w:val="22"/>
          <w:rtl/>
          <w:lang w:eastAsia="he-IL"/>
        </w:rPr>
        <w:t xml:space="preserve"> שהיה לגביהם מידע באותו מועד</w:t>
      </w:r>
      <w:r w:rsidRPr="00F41E78">
        <w:rPr>
          <w:rFonts w:cs="FrankRuehl" w:hint="cs"/>
          <w:sz w:val="18"/>
          <w:szCs w:val="22"/>
          <w:rtl/>
          <w:lang w:eastAsia="he-IL"/>
        </w:rPr>
        <w:t>:</w:t>
      </w:r>
    </w:p>
    <w:p w:rsidR="00E97EDA" w:rsidRPr="009A309E" w:rsidP="006E3D08">
      <w:pPr>
        <w:pStyle w:val="tab-name"/>
        <w:keepLines/>
        <w:rPr>
          <w:rtl/>
          <w:lang w:eastAsia="he-IL"/>
        </w:rPr>
      </w:pPr>
      <w:r w:rsidRPr="00027101">
        <w:rPr>
          <w:rFonts w:hint="cs"/>
          <w:b w:val="0"/>
          <w:bCs w:val="0"/>
          <w:sz w:val="20"/>
          <w:szCs w:val="20"/>
          <w:rtl/>
          <w:lang w:eastAsia="he-IL"/>
        </w:rPr>
        <w:t xml:space="preserve">לוח </w:t>
      </w:r>
      <w:r w:rsidRPr="00027101" w:rsidR="00027101">
        <w:rPr>
          <w:rFonts w:hint="cs"/>
          <w:b w:val="0"/>
          <w:bCs w:val="0"/>
          <w:sz w:val="20"/>
          <w:szCs w:val="20"/>
          <w:rtl/>
          <w:lang w:eastAsia="he-IL"/>
        </w:rPr>
        <w:t>2</w:t>
      </w:r>
      <w:r w:rsidRPr="00027101" w:rsidR="00027101">
        <w:rPr>
          <w:b w:val="0"/>
          <w:bCs w:val="0"/>
          <w:sz w:val="20"/>
          <w:szCs w:val="20"/>
          <w:lang w:eastAsia="he-IL"/>
        </w:rPr>
        <w:br/>
      </w:r>
      <w:r w:rsidRPr="009A309E">
        <w:rPr>
          <w:rFonts w:hint="cs"/>
          <w:rtl/>
          <w:lang w:eastAsia="he-IL"/>
        </w:rPr>
        <w:t xml:space="preserve">מצבן של תכניות המתאר המקומיות, יוני 2013 </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
      <w:tblGrid>
        <w:gridCol w:w="1757"/>
        <w:gridCol w:w="1417"/>
        <w:gridCol w:w="805"/>
        <w:gridCol w:w="898"/>
        <w:gridCol w:w="850"/>
        <w:gridCol w:w="964"/>
      </w:tblGrid>
      <w:tr w:rsidTr="006E3D08">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Ex>
        <w:trPr>
          <w:jc w:val="center"/>
        </w:trPr>
        <w:tc>
          <w:tcPr>
            <w:tcW w:w="1757" w:type="dxa"/>
            <w:tcBorders>
              <w:top w:val="single" w:sz="12" w:space="0" w:color="auto"/>
              <w:bottom w:val="single" w:sz="12" w:space="0" w:color="auto"/>
            </w:tcBorders>
            <w:shd w:val="pct10" w:color="auto" w:fill="auto"/>
            <w:vAlign w:val="bottom"/>
          </w:tcPr>
          <w:p w:rsidR="00E97EDA" w:rsidRPr="00D766FA" w:rsidP="006E3D08">
            <w:pPr>
              <w:keepNext/>
              <w:keepLines/>
              <w:spacing w:before="40" w:after="40" w:line="200" w:lineRule="exact"/>
              <w:jc w:val="center"/>
              <w:rPr>
                <w:rFonts w:cs="FrankRuehl"/>
                <w:b/>
                <w:bCs/>
                <w:szCs w:val="20"/>
                <w:rtl/>
                <w:lang w:eastAsia="he-IL"/>
              </w:rPr>
            </w:pPr>
          </w:p>
        </w:tc>
        <w:tc>
          <w:tcPr>
            <w:tcW w:w="1417" w:type="dxa"/>
            <w:tcBorders>
              <w:top w:val="single" w:sz="12" w:space="0" w:color="auto"/>
              <w:bottom w:val="single" w:sz="12" w:space="0" w:color="auto"/>
            </w:tcBorders>
            <w:shd w:val="pct10" w:color="auto" w:fill="auto"/>
            <w:vAlign w:val="bottom"/>
          </w:tcPr>
          <w:p w:rsidR="00E97EDA" w:rsidRPr="00D766FA" w:rsidP="006E3D08">
            <w:pPr>
              <w:keepNext/>
              <w:keepLines/>
              <w:spacing w:before="40" w:after="40" w:line="200" w:lineRule="exact"/>
              <w:jc w:val="center"/>
              <w:rPr>
                <w:rFonts w:cs="FrankRuehl"/>
                <w:b/>
                <w:bCs/>
                <w:szCs w:val="20"/>
                <w:rtl/>
                <w:lang w:eastAsia="he-IL"/>
              </w:rPr>
            </w:pPr>
            <w:r w:rsidRPr="00D766FA">
              <w:rPr>
                <w:rFonts w:cs="FrankRuehl" w:hint="cs"/>
                <w:b/>
                <w:bCs/>
                <w:szCs w:val="20"/>
                <w:rtl/>
                <w:lang w:eastAsia="he-IL"/>
              </w:rPr>
              <w:t xml:space="preserve">יישובים בתוך </w:t>
            </w:r>
            <w:r w:rsidR="00D766FA">
              <w:rPr>
                <w:rFonts w:cs="FrankRuehl"/>
                <w:b/>
                <w:bCs/>
                <w:szCs w:val="20"/>
                <w:lang w:eastAsia="he-IL"/>
              </w:rPr>
              <w:br/>
            </w:r>
            <w:r w:rsidRPr="00D766FA">
              <w:rPr>
                <w:rFonts w:cs="FrankRuehl" w:hint="cs"/>
                <w:b/>
                <w:bCs/>
                <w:szCs w:val="20"/>
                <w:rtl/>
                <w:lang w:eastAsia="he-IL"/>
              </w:rPr>
              <w:t>מועצות אזוריות</w:t>
            </w:r>
          </w:p>
        </w:tc>
        <w:tc>
          <w:tcPr>
            <w:tcW w:w="0" w:type="auto"/>
            <w:tcBorders>
              <w:top w:val="single" w:sz="12" w:space="0" w:color="auto"/>
              <w:bottom w:val="single" w:sz="12" w:space="0" w:color="auto"/>
            </w:tcBorders>
            <w:shd w:val="pct10" w:color="auto" w:fill="auto"/>
            <w:vAlign w:val="bottom"/>
          </w:tcPr>
          <w:p w:rsidR="00E97EDA" w:rsidRPr="00D766FA" w:rsidP="006E3D08">
            <w:pPr>
              <w:keepNext/>
              <w:keepLines/>
              <w:spacing w:before="40" w:after="40" w:line="200" w:lineRule="exact"/>
              <w:jc w:val="center"/>
              <w:rPr>
                <w:rFonts w:cs="FrankRuehl"/>
                <w:b/>
                <w:bCs/>
                <w:szCs w:val="20"/>
                <w:rtl/>
                <w:lang w:eastAsia="he-IL"/>
              </w:rPr>
            </w:pPr>
            <w:r w:rsidRPr="00D766FA">
              <w:rPr>
                <w:rFonts w:cs="FrankRuehl" w:hint="cs"/>
                <w:b/>
                <w:bCs/>
                <w:szCs w:val="20"/>
                <w:rtl/>
                <w:lang w:eastAsia="he-IL"/>
              </w:rPr>
              <w:t xml:space="preserve">מועצות </w:t>
            </w:r>
            <w:r w:rsidR="00D766FA">
              <w:rPr>
                <w:rFonts w:cs="FrankRuehl"/>
                <w:b/>
                <w:bCs/>
                <w:szCs w:val="20"/>
                <w:lang w:eastAsia="he-IL"/>
              </w:rPr>
              <w:br/>
            </w:r>
            <w:r w:rsidRPr="00D766FA">
              <w:rPr>
                <w:rFonts w:cs="FrankRuehl" w:hint="cs"/>
                <w:b/>
                <w:bCs/>
                <w:szCs w:val="20"/>
                <w:rtl/>
                <w:lang w:eastAsia="he-IL"/>
              </w:rPr>
              <w:t>אזוריות</w:t>
            </w:r>
          </w:p>
        </w:tc>
        <w:tc>
          <w:tcPr>
            <w:tcW w:w="0" w:type="auto"/>
            <w:tcBorders>
              <w:top w:val="single" w:sz="12" w:space="0" w:color="auto"/>
              <w:bottom w:val="single" w:sz="12" w:space="0" w:color="auto"/>
            </w:tcBorders>
            <w:shd w:val="pct10" w:color="auto" w:fill="auto"/>
            <w:vAlign w:val="bottom"/>
          </w:tcPr>
          <w:p w:rsidR="00E97EDA" w:rsidRPr="00D766FA" w:rsidP="006E3D08">
            <w:pPr>
              <w:keepNext/>
              <w:keepLines/>
              <w:spacing w:before="40" w:after="40" w:line="200" w:lineRule="exact"/>
              <w:jc w:val="center"/>
              <w:rPr>
                <w:rFonts w:cs="FrankRuehl"/>
                <w:b/>
                <w:bCs/>
                <w:szCs w:val="20"/>
                <w:rtl/>
                <w:lang w:eastAsia="he-IL"/>
              </w:rPr>
            </w:pPr>
            <w:r w:rsidRPr="00D766FA">
              <w:rPr>
                <w:rFonts w:cs="FrankRuehl" w:hint="cs"/>
                <w:b/>
                <w:bCs/>
                <w:szCs w:val="20"/>
                <w:rtl/>
                <w:lang w:eastAsia="he-IL"/>
              </w:rPr>
              <w:t xml:space="preserve">מועצות </w:t>
            </w:r>
            <w:r w:rsidR="00D766FA">
              <w:rPr>
                <w:rFonts w:cs="FrankRuehl"/>
                <w:b/>
                <w:bCs/>
                <w:szCs w:val="20"/>
                <w:lang w:eastAsia="he-IL"/>
              </w:rPr>
              <w:br/>
            </w:r>
            <w:r w:rsidRPr="00D766FA">
              <w:rPr>
                <w:rFonts w:cs="FrankRuehl" w:hint="cs"/>
                <w:b/>
                <w:bCs/>
                <w:szCs w:val="20"/>
                <w:rtl/>
                <w:lang w:eastAsia="he-IL"/>
              </w:rPr>
              <w:t>מקומיות</w:t>
            </w:r>
          </w:p>
        </w:tc>
        <w:tc>
          <w:tcPr>
            <w:tcW w:w="850" w:type="dxa"/>
            <w:tcBorders>
              <w:top w:val="single" w:sz="12" w:space="0" w:color="auto"/>
              <w:bottom w:val="single" w:sz="12" w:space="0" w:color="auto"/>
            </w:tcBorders>
            <w:shd w:val="pct10" w:color="auto" w:fill="auto"/>
            <w:vAlign w:val="bottom"/>
          </w:tcPr>
          <w:p w:rsidR="00E97EDA" w:rsidRPr="00D766FA" w:rsidP="006E3D08">
            <w:pPr>
              <w:keepNext/>
              <w:keepLines/>
              <w:spacing w:before="40" w:after="40" w:line="200" w:lineRule="exact"/>
              <w:jc w:val="center"/>
              <w:rPr>
                <w:rFonts w:cs="FrankRuehl"/>
                <w:b/>
                <w:bCs/>
                <w:szCs w:val="20"/>
                <w:rtl/>
                <w:lang w:eastAsia="he-IL"/>
              </w:rPr>
            </w:pPr>
            <w:r w:rsidRPr="00D766FA">
              <w:rPr>
                <w:rFonts w:cs="FrankRuehl" w:hint="cs"/>
                <w:b/>
                <w:bCs/>
                <w:szCs w:val="20"/>
                <w:rtl/>
                <w:lang w:eastAsia="he-IL"/>
              </w:rPr>
              <w:t>עיריות</w:t>
            </w:r>
          </w:p>
        </w:tc>
        <w:tc>
          <w:tcPr>
            <w:tcW w:w="964" w:type="dxa"/>
            <w:tcBorders>
              <w:top w:val="single" w:sz="12" w:space="0" w:color="auto"/>
              <w:bottom w:val="single" w:sz="12" w:space="0" w:color="auto"/>
            </w:tcBorders>
            <w:shd w:val="pct10" w:color="auto" w:fill="auto"/>
            <w:vAlign w:val="bottom"/>
          </w:tcPr>
          <w:p w:rsidR="00E97EDA" w:rsidRPr="00D766FA" w:rsidP="006E3D08">
            <w:pPr>
              <w:keepNext/>
              <w:keepLines/>
              <w:spacing w:before="40" w:after="40" w:line="200" w:lineRule="exact"/>
              <w:jc w:val="center"/>
              <w:rPr>
                <w:rFonts w:cs="FrankRuehl"/>
                <w:b/>
                <w:bCs/>
                <w:szCs w:val="20"/>
                <w:rtl/>
                <w:lang w:eastAsia="he-IL"/>
              </w:rPr>
            </w:pPr>
            <w:r w:rsidRPr="00D766FA">
              <w:rPr>
                <w:rFonts w:cs="FrankRuehl" w:hint="cs"/>
                <w:b/>
                <w:bCs/>
                <w:szCs w:val="20"/>
                <w:rtl/>
                <w:lang w:eastAsia="he-IL"/>
              </w:rPr>
              <w:t>סך הכול</w:t>
            </w:r>
          </w:p>
        </w:tc>
      </w:tr>
      <w:tr w:rsidTr="006E3D08">
        <w:tblPrEx>
          <w:tblW w:w="6691" w:type="dxa"/>
          <w:jc w:val="center"/>
          <w:tblLook w:val="01E0"/>
        </w:tblPrEx>
        <w:trPr>
          <w:jc w:val="center"/>
        </w:trPr>
        <w:tc>
          <w:tcPr>
            <w:tcW w:w="1757" w:type="dxa"/>
            <w:tcBorders>
              <w:top w:val="single" w:sz="12" w:space="0" w:color="auto"/>
            </w:tcBorders>
            <w:shd w:val="clear" w:color="auto" w:fill="auto"/>
            <w:vAlign w:val="center"/>
          </w:tcPr>
          <w:p w:rsidR="00E97EDA" w:rsidRPr="00D766FA" w:rsidP="006E3D08">
            <w:pPr>
              <w:pStyle w:val="FootnoteText"/>
              <w:keepNext/>
              <w:keepLines/>
              <w:spacing w:before="40" w:after="40" w:line="200" w:lineRule="exact"/>
              <w:rPr>
                <w:rFonts w:cs="FrankRuehl"/>
                <w:sz w:val="24"/>
                <w:rtl/>
                <w:lang w:eastAsia="he-IL"/>
              </w:rPr>
            </w:pPr>
            <w:r w:rsidRPr="00D766FA">
              <w:rPr>
                <w:rFonts w:cs="FrankRuehl" w:hint="cs"/>
                <w:sz w:val="24"/>
                <w:rtl/>
                <w:lang w:eastAsia="he-IL"/>
              </w:rPr>
              <w:t xml:space="preserve">היעדר תכנית או </w:t>
            </w:r>
            <w:r w:rsidR="00D766FA">
              <w:rPr>
                <w:rFonts w:cs="FrankRuehl"/>
                <w:sz w:val="24"/>
                <w:lang w:eastAsia="he-IL"/>
              </w:rPr>
              <w:br/>
            </w:r>
            <w:r w:rsidRPr="00D766FA">
              <w:rPr>
                <w:rFonts w:cs="FrankRuehl" w:hint="cs"/>
                <w:sz w:val="24"/>
                <w:rtl/>
                <w:lang w:eastAsia="he-IL"/>
              </w:rPr>
              <w:t xml:space="preserve">היעדר תכנית עדכנית </w:t>
            </w:r>
          </w:p>
        </w:tc>
        <w:tc>
          <w:tcPr>
            <w:tcW w:w="1417" w:type="dxa"/>
            <w:tcBorders>
              <w:top w:val="single" w:sz="12" w:space="0" w:color="auto"/>
            </w:tcBorders>
            <w:shd w:val="clear" w:color="auto" w:fill="auto"/>
            <w:vAlign w:val="center"/>
          </w:tcPr>
          <w:p w:rsidR="00E97EDA" w:rsidRPr="006E3D08" w:rsidP="006E3D08">
            <w:pPr>
              <w:pStyle w:val="FootnoteText"/>
              <w:keepNext/>
              <w:keepLines/>
              <w:tabs>
                <w:tab w:val="decimal" w:pos="542"/>
              </w:tabs>
              <w:spacing w:before="40" w:after="40" w:line="200" w:lineRule="exact"/>
              <w:rPr>
                <w:rFonts w:cs="FrankRuehl"/>
                <w:sz w:val="24"/>
                <w:rtl/>
                <w:lang w:eastAsia="he-IL"/>
              </w:rPr>
            </w:pPr>
            <w:r w:rsidRPr="006E3D08">
              <w:rPr>
                <w:rFonts w:cs="FrankRuehl" w:hint="cs"/>
                <w:sz w:val="24"/>
                <w:rtl/>
                <w:lang w:eastAsia="he-IL"/>
              </w:rPr>
              <w:t>7</w:t>
            </w:r>
          </w:p>
        </w:tc>
        <w:tc>
          <w:tcPr>
            <w:tcW w:w="0" w:type="auto"/>
            <w:tcBorders>
              <w:top w:val="single" w:sz="12" w:space="0" w:color="auto"/>
            </w:tcBorders>
            <w:shd w:val="clear" w:color="auto" w:fill="auto"/>
            <w:vAlign w:val="center"/>
          </w:tcPr>
          <w:p w:rsidR="00E97EDA" w:rsidRPr="006E3D08" w:rsidP="006E3D08">
            <w:pPr>
              <w:pStyle w:val="FootnoteText"/>
              <w:keepNext/>
              <w:keepLines/>
              <w:tabs>
                <w:tab w:val="decimal" w:pos="277"/>
              </w:tabs>
              <w:spacing w:before="40" w:after="40" w:line="200" w:lineRule="exact"/>
              <w:rPr>
                <w:rFonts w:cs="FrankRuehl"/>
                <w:sz w:val="24"/>
                <w:rtl/>
                <w:lang w:eastAsia="he-IL"/>
              </w:rPr>
            </w:pPr>
            <w:r w:rsidRPr="006E3D08">
              <w:rPr>
                <w:rFonts w:cs="FrankRuehl" w:hint="cs"/>
                <w:sz w:val="24"/>
                <w:rtl/>
                <w:lang w:eastAsia="he-IL"/>
              </w:rPr>
              <w:t>41</w:t>
            </w:r>
          </w:p>
        </w:tc>
        <w:tc>
          <w:tcPr>
            <w:tcW w:w="0" w:type="auto"/>
            <w:tcBorders>
              <w:top w:val="single" w:sz="12" w:space="0" w:color="auto"/>
            </w:tcBorders>
            <w:shd w:val="clear" w:color="auto" w:fill="auto"/>
            <w:vAlign w:val="center"/>
          </w:tcPr>
          <w:p w:rsidR="00E97EDA" w:rsidRPr="006E3D08" w:rsidP="006E3D08">
            <w:pPr>
              <w:pStyle w:val="FootnoteText"/>
              <w:keepNext/>
              <w:keepLines/>
              <w:tabs>
                <w:tab w:val="decimal" w:pos="307"/>
              </w:tabs>
              <w:spacing w:before="40" w:after="40" w:line="200" w:lineRule="exact"/>
              <w:rPr>
                <w:rFonts w:cs="FrankRuehl"/>
                <w:sz w:val="24"/>
                <w:rtl/>
                <w:lang w:eastAsia="he-IL"/>
              </w:rPr>
            </w:pPr>
            <w:r w:rsidRPr="006E3D08">
              <w:rPr>
                <w:rFonts w:cs="FrankRuehl" w:hint="cs"/>
                <w:sz w:val="24"/>
                <w:rtl/>
                <w:lang w:eastAsia="he-IL"/>
              </w:rPr>
              <w:t>53</w:t>
            </w:r>
          </w:p>
        </w:tc>
        <w:tc>
          <w:tcPr>
            <w:tcW w:w="850" w:type="dxa"/>
            <w:tcBorders>
              <w:top w:val="single" w:sz="12" w:space="0" w:color="auto"/>
            </w:tcBorders>
            <w:shd w:val="clear" w:color="auto" w:fill="auto"/>
            <w:vAlign w:val="center"/>
          </w:tcPr>
          <w:p w:rsidR="00E97EDA" w:rsidRPr="006E3D08" w:rsidP="006E3D08">
            <w:pPr>
              <w:pStyle w:val="FootnoteText"/>
              <w:keepNext/>
              <w:keepLines/>
              <w:tabs>
                <w:tab w:val="decimal" w:pos="236"/>
              </w:tabs>
              <w:spacing w:before="40" w:after="40" w:line="200" w:lineRule="exact"/>
              <w:rPr>
                <w:rFonts w:cs="FrankRuehl"/>
                <w:sz w:val="24"/>
                <w:rtl/>
                <w:lang w:eastAsia="he-IL"/>
              </w:rPr>
            </w:pPr>
            <w:r w:rsidRPr="006E3D08">
              <w:rPr>
                <w:rFonts w:cs="FrankRuehl" w:hint="cs"/>
                <w:sz w:val="24"/>
                <w:rtl/>
                <w:lang w:eastAsia="he-IL"/>
              </w:rPr>
              <w:t>9</w:t>
            </w:r>
          </w:p>
        </w:tc>
        <w:tc>
          <w:tcPr>
            <w:tcW w:w="964" w:type="dxa"/>
            <w:tcBorders>
              <w:top w:val="single" w:sz="12" w:space="0" w:color="auto"/>
            </w:tcBorders>
            <w:shd w:val="clear" w:color="auto" w:fill="auto"/>
            <w:vAlign w:val="center"/>
          </w:tcPr>
          <w:p w:rsidR="00E97EDA" w:rsidRPr="00D766FA" w:rsidP="006E3D08">
            <w:pPr>
              <w:keepNext/>
              <w:keepLines/>
              <w:tabs>
                <w:tab w:val="decimal" w:pos="97"/>
              </w:tabs>
              <w:spacing w:before="40" w:after="40" w:line="200" w:lineRule="exact"/>
              <w:jc w:val="center"/>
              <w:rPr>
                <w:rFonts w:cs="FrankRuehl"/>
                <w:b/>
                <w:bCs/>
                <w:szCs w:val="20"/>
                <w:rtl/>
                <w:lang w:eastAsia="he-IL"/>
              </w:rPr>
            </w:pPr>
            <w:r w:rsidRPr="00D766FA">
              <w:rPr>
                <w:rFonts w:cs="FrankRuehl" w:hint="cs"/>
                <w:b/>
                <w:bCs/>
                <w:szCs w:val="20"/>
                <w:rtl/>
                <w:lang w:eastAsia="he-IL"/>
              </w:rPr>
              <w:t>110</w:t>
            </w:r>
          </w:p>
        </w:tc>
      </w:tr>
      <w:tr w:rsidTr="006E3D08">
        <w:tblPrEx>
          <w:tblW w:w="6691" w:type="dxa"/>
          <w:jc w:val="center"/>
          <w:tblLook w:val="01E0"/>
        </w:tblPrEx>
        <w:trPr>
          <w:jc w:val="center"/>
        </w:trPr>
        <w:tc>
          <w:tcPr>
            <w:tcW w:w="1757" w:type="dxa"/>
            <w:shd w:val="clear" w:color="auto" w:fill="auto"/>
            <w:vAlign w:val="center"/>
          </w:tcPr>
          <w:p w:rsidR="00E97EDA" w:rsidRPr="00D766FA" w:rsidP="006E3D08">
            <w:pPr>
              <w:keepNext/>
              <w:keepLines/>
              <w:spacing w:before="40" w:after="40" w:line="200" w:lineRule="exact"/>
              <w:rPr>
                <w:rFonts w:cs="FrankRuehl"/>
                <w:szCs w:val="20"/>
                <w:rtl/>
                <w:lang w:eastAsia="he-IL"/>
              </w:rPr>
            </w:pPr>
            <w:r w:rsidRPr="00D766FA">
              <w:rPr>
                <w:rFonts w:cs="FrankRuehl" w:hint="cs"/>
                <w:szCs w:val="20"/>
                <w:rtl/>
                <w:lang w:eastAsia="he-IL"/>
              </w:rPr>
              <w:t>תכנית בתהליך הכנה</w:t>
            </w:r>
          </w:p>
        </w:tc>
        <w:tc>
          <w:tcPr>
            <w:tcW w:w="1417" w:type="dxa"/>
            <w:shd w:val="clear" w:color="auto" w:fill="auto"/>
            <w:vAlign w:val="center"/>
          </w:tcPr>
          <w:p w:rsidR="00E97EDA" w:rsidRPr="00D766FA" w:rsidP="006E3D08">
            <w:pPr>
              <w:keepNext/>
              <w:keepLines/>
              <w:tabs>
                <w:tab w:val="decimal" w:pos="542"/>
              </w:tabs>
              <w:spacing w:before="40" w:after="40" w:line="200" w:lineRule="exact"/>
              <w:rPr>
                <w:rFonts w:cs="FrankRuehl"/>
                <w:szCs w:val="20"/>
                <w:rtl/>
                <w:lang w:eastAsia="he-IL"/>
              </w:rPr>
            </w:pPr>
            <w:r w:rsidRPr="00D766FA">
              <w:rPr>
                <w:rFonts w:cs="FrankRuehl" w:hint="cs"/>
                <w:szCs w:val="20"/>
                <w:rtl/>
                <w:lang w:eastAsia="he-IL"/>
              </w:rPr>
              <w:t>3</w:t>
            </w:r>
          </w:p>
        </w:tc>
        <w:tc>
          <w:tcPr>
            <w:tcW w:w="0" w:type="auto"/>
            <w:shd w:val="clear" w:color="auto" w:fill="auto"/>
            <w:vAlign w:val="center"/>
          </w:tcPr>
          <w:p w:rsidR="00E97EDA" w:rsidRPr="00D766FA" w:rsidP="006E3D08">
            <w:pPr>
              <w:keepNext/>
              <w:keepLines/>
              <w:tabs>
                <w:tab w:val="decimal" w:pos="277"/>
              </w:tabs>
              <w:spacing w:before="40" w:after="40" w:line="200" w:lineRule="exact"/>
              <w:rPr>
                <w:rFonts w:cs="FrankRuehl"/>
                <w:szCs w:val="20"/>
                <w:rtl/>
                <w:lang w:eastAsia="he-IL"/>
              </w:rPr>
            </w:pPr>
            <w:r w:rsidRPr="00D766FA">
              <w:rPr>
                <w:rFonts w:cs="FrankRuehl" w:hint="cs"/>
                <w:szCs w:val="20"/>
                <w:rtl/>
                <w:lang w:eastAsia="he-IL"/>
              </w:rPr>
              <w:t>-</w:t>
            </w:r>
          </w:p>
        </w:tc>
        <w:tc>
          <w:tcPr>
            <w:tcW w:w="0" w:type="auto"/>
            <w:shd w:val="clear" w:color="auto" w:fill="auto"/>
            <w:vAlign w:val="center"/>
          </w:tcPr>
          <w:p w:rsidR="00E97EDA" w:rsidRPr="00D766FA" w:rsidP="006E3D08">
            <w:pPr>
              <w:keepNext/>
              <w:keepLines/>
              <w:tabs>
                <w:tab w:val="decimal" w:pos="307"/>
              </w:tabs>
              <w:spacing w:before="40" w:after="40" w:line="200" w:lineRule="exact"/>
              <w:rPr>
                <w:rFonts w:cs="FrankRuehl"/>
                <w:szCs w:val="20"/>
                <w:rtl/>
                <w:lang w:eastAsia="he-IL"/>
              </w:rPr>
            </w:pPr>
            <w:r w:rsidRPr="00D766FA">
              <w:rPr>
                <w:rFonts w:cs="FrankRuehl" w:hint="cs"/>
                <w:szCs w:val="20"/>
                <w:rtl/>
                <w:lang w:eastAsia="he-IL"/>
              </w:rPr>
              <w:t>19</w:t>
            </w:r>
          </w:p>
        </w:tc>
        <w:tc>
          <w:tcPr>
            <w:tcW w:w="850" w:type="dxa"/>
            <w:shd w:val="clear" w:color="auto" w:fill="auto"/>
            <w:vAlign w:val="center"/>
          </w:tcPr>
          <w:p w:rsidR="00E97EDA" w:rsidRPr="00D766FA" w:rsidP="006E3D08">
            <w:pPr>
              <w:keepNext/>
              <w:keepLines/>
              <w:tabs>
                <w:tab w:val="decimal" w:pos="236"/>
              </w:tabs>
              <w:spacing w:before="40" w:after="40" w:line="200" w:lineRule="exact"/>
              <w:rPr>
                <w:rFonts w:cs="FrankRuehl"/>
                <w:szCs w:val="20"/>
                <w:rtl/>
                <w:lang w:eastAsia="he-IL"/>
              </w:rPr>
            </w:pPr>
            <w:r w:rsidRPr="00D766FA">
              <w:rPr>
                <w:rFonts w:cs="FrankRuehl" w:hint="cs"/>
                <w:szCs w:val="20"/>
                <w:rtl/>
                <w:lang w:eastAsia="he-IL"/>
              </w:rPr>
              <w:t>32</w:t>
            </w:r>
          </w:p>
        </w:tc>
        <w:tc>
          <w:tcPr>
            <w:tcW w:w="964" w:type="dxa"/>
            <w:shd w:val="clear" w:color="auto" w:fill="auto"/>
            <w:vAlign w:val="center"/>
          </w:tcPr>
          <w:p w:rsidR="00E97EDA" w:rsidRPr="00D766FA" w:rsidP="006E3D08">
            <w:pPr>
              <w:keepNext/>
              <w:keepLines/>
              <w:tabs>
                <w:tab w:val="decimal" w:pos="97"/>
              </w:tabs>
              <w:spacing w:before="40" w:after="40" w:line="200" w:lineRule="exact"/>
              <w:jc w:val="center"/>
              <w:rPr>
                <w:rFonts w:cs="FrankRuehl"/>
                <w:b/>
                <w:bCs/>
                <w:szCs w:val="20"/>
                <w:rtl/>
                <w:lang w:eastAsia="he-IL"/>
              </w:rPr>
            </w:pPr>
            <w:r w:rsidRPr="00D766FA">
              <w:rPr>
                <w:rFonts w:cs="FrankRuehl" w:hint="cs"/>
                <w:b/>
                <w:bCs/>
                <w:szCs w:val="20"/>
                <w:rtl/>
                <w:lang w:eastAsia="he-IL"/>
              </w:rPr>
              <w:t>54</w:t>
            </w:r>
          </w:p>
        </w:tc>
      </w:tr>
      <w:tr w:rsidTr="006E3D08">
        <w:tblPrEx>
          <w:tblW w:w="6691" w:type="dxa"/>
          <w:jc w:val="center"/>
          <w:tblLook w:val="01E0"/>
        </w:tblPrEx>
        <w:trPr>
          <w:jc w:val="center"/>
        </w:trPr>
        <w:tc>
          <w:tcPr>
            <w:tcW w:w="1757" w:type="dxa"/>
            <w:shd w:val="clear" w:color="auto" w:fill="auto"/>
            <w:vAlign w:val="center"/>
          </w:tcPr>
          <w:p w:rsidR="00E97EDA" w:rsidRPr="00D766FA" w:rsidP="006E3D08">
            <w:pPr>
              <w:keepNext/>
              <w:keepLines/>
              <w:spacing w:before="40" w:after="40" w:line="200" w:lineRule="exact"/>
              <w:rPr>
                <w:rFonts w:ascii="Calibri" w:hAnsi="Calibri" w:cs="FrankRuehl"/>
                <w:sz w:val="22"/>
                <w:szCs w:val="20"/>
                <w:rtl/>
                <w:lang w:eastAsia="he-IL"/>
              </w:rPr>
            </w:pPr>
            <w:r w:rsidRPr="00D766FA">
              <w:rPr>
                <w:rFonts w:cs="FrankRuehl" w:hint="cs"/>
                <w:szCs w:val="20"/>
                <w:rtl/>
                <w:lang w:eastAsia="he-IL"/>
              </w:rPr>
              <w:t xml:space="preserve">תכנית בתהליכי אישור </w:t>
            </w:r>
            <w:r w:rsidR="00D766FA">
              <w:rPr>
                <w:rFonts w:cs="FrankRuehl"/>
                <w:szCs w:val="20"/>
                <w:lang w:eastAsia="he-IL"/>
              </w:rPr>
              <w:br/>
            </w:r>
            <w:r w:rsidRPr="00D766FA">
              <w:rPr>
                <w:rFonts w:cs="FrankRuehl" w:hint="cs"/>
                <w:szCs w:val="20"/>
                <w:rtl/>
                <w:lang w:eastAsia="he-IL"/>
              </w:rPr>
              <w:t>בוועדה המחוזית</w:t>
            </w:r>
          </w:p>
        </w:tc>
        <w:tc>
          <w:tcPr>
            <w:tcW w:w="1417" w:type="dxa"/>
            <w:shd w:val="clear" w:color="auto" w:fill="auto"/>
            <w:vAlign w:val="center"/>
          </w:tcPr>
          <w:p w:rsidR="00E97EDA" w:rsidRPr="00D766FA" w:rsidP="006E3D08">
            <w:pPr>
              <w:keepNext/>
              <w:keepLines/>
              <w:tabs>
                <w:tab w:val="decimal" w:pos="542"/>
              </w:tabs>
              <w:spacing w:before="40" w:after="40" w:line="200" w:lineRule="exact"/>
              <w:rPr>
                <w:rFonts w:cs="FrankRuehl"/>
                <w:szCs w:val="20"/>
                <w:rtl/>
                <w:lang w:eastAsia="he-IL"/>
              </w:rPr>
            </w:pPr>
            <w:r w:rsidRPr="00D766FA">
              <w:rPr>
                <w:rFonts w:cs="FrankRuehl" w:hint="cs"/>
                <w:szCs w:val="20"/>
                <w:rtl/>
                <w:lang w:eastAsia="he-IL"/>
              </w:rPr>
              <w:t>8</w:t>
            </w:r>
          </w:p>
        </w:tc>
        <w:tc>
          <w:tcPr>
            <w:tcW w:w="0" w:type="auto"/>
            <w:shd w:val="clear" w:color="auto" w:fill="auto"/>
            <w:vAlign w:val="center"/>
          </w:tcPr>
          <w:p w:rsidR="00E97EDA" w:rsidRPr="00D766FA" w:rsidP="006E3D08">
            <w:pPr>
              <w:keepNext/>
              <w:keepLines/>
              <w:tabs>
                <w:tab w:val="decimal" w:pos="277"/>
              </w:tabs>
              <w:spacing w:before="40" w:after="40" w:line="200" w:lineRule="exact"/>
              <w:rPr>
                <w:rFonts w:cs="FrankRuehl"/>
                <w:szCs w:val="20"/>
                <w:rtl/>
                <w:lang w:eastAsia="he-IL"/>
              </w:rPr>
            </w:pPr>
            <w:r w:rsidRPr="00D766FA">
              <w:rPr>
                <w:rFonts w:cs="FrankRuehl" w:hint="cs"/>
                <w:szCs w:val="20"/>
                <w:rtl/>
                <w:lang w:eastAsia="he-IL"/>
              </w:rPr>
              <w:t>2</w:t>
            </w:r>
          </w:p>
        </w:tc>
        <w:tc>
          <w:tcPr>
            <w:tcW w:w="0" w:type="auto"/>
            <w:shd w:val="clear" w:color="auto" w:fill="auto"/>
            <w:vAlign w:val="center"/>
          </w:tcPr>
          <w:p w:rsidR="00E97EDA" w:rsidRPr="00D766FA" w:rsidP="006E3D08">
            <w:pPr>
              <w:keepNext/>
              <w:keepLines/>
              <w:tabs>
                <w:tab w:val="decimal" w:pos="307"/>
              </w:tabs>
              <w:spacing w:before="40" w:after="40" w:line="200" w:lineRule="exact"/>
              <w:rPr>
                <w:rFonts w:cs="FrankRuehl"/>
                <w:szCs w:val="20"/>
                <w:rtl/>
                <w:lang w:eastAsia="he-IL"/>
              </w:rPr>
            </w:pPr>
            <w:r w:rsidRPr="00D766FA">
              <w:rPr>
                <w:rFonts w:cs="FrankRuehl" w:hint="cs"/>
                <w:szCs w:val="20"/>
                <w:rtl/>
                <w:lang w:eastAsia="he-IL"/>
              </w:rPr>
              <w:t>20</w:t>
            </w:r>
          </w:p>
        </w:tc>
        <w:tc>
          <w:tcPr>
            <w:tcW w:w="850" w:type="dxa"/>
            <w:shd w:val="clear" w:color="auto" w:fill="auto"/>
            <w:vAlign w:val="center"/>
          </w:tcPr>
          <w:p w:rsidR="00E97EDA" w:rsidRPr="00D766FA" w:rsidP="006E3D08">
            <w:pPr>
              <w:keepNext/>
              <w:keepLines/>
              <w:tabs>
                <w:tab w:val="decimal" w:pos="236"/>
              </w:tabs>
              <w:spacing w:before="40" w:after="40" w:line="200" w:lineRule="exact"/>
              <w:rPr>
                <w:rFonts w:cs="FrankRuehl"/>
                <w:szCs w:val="20"/>
                <w:rtl/>
                <w:lang w:eastAsia="he-IL"/>
              </w:rPr>
            </w:pPr>
            <w:r w:rsidRPr="00D766FA">
              <w:rPr>
                <w:rFonts w:cs="FrankRuehl" w:hint="cs"/>
                <w:szCs w:val="20"/>
                <w:rtl/>
                <w:lang w:eastAsia="he-IL"/>
              </w:rPr>
              <w:t>26</w:t>
            </w:r>
          </w:p>
        </w:tc>
        <w:tc>
          <w:tcPr>
            <w:tcW w:w="964" w:type="dxa"/>
            <w:shd w:val="clear" w:color="auto" w:fill="auto"/>
            <w:vAlign w:val="center"/>
          </w:tcPr>
          <w:p w:rsidR="00E97EDA" w:rsidRPr="00D766FA" w:rsidP="006E3D08">
            <w:pPr>
              <w:keepNext/>
              <w:keepLines/>
              <w:tabs>
                <w:tab w:val="decimal" w:pos="97"/>
              </w:tabs>
              <w:spacing w:before="40" w:after="40" w:line="200" w:lineRule="exact"/>
              <w:jc w:val="center"/>
              <w:rPr>
                <w:rFonts w:cs="FrankRuehl"/>
                <w:b/>
                <w:bCs/>
                <w:szCs w:val="20"/>
                <w:rtl/>
                <w:lang w:eastAsia="he-IL"/>
              </w:rPr>
            </w:pPr>
            <w:r w:rsidRPr="00D766FA">
              <w:rPr>
                <w:rFonts w:cs="FrankRuehl" w:hint="cs"/>
                <w:b/>
                <w:bCs/>
                <w:szCs w:val="20"/>
                <w:rtl/>
                <w:lang w:eastAsia="he-IL"/>
              </w:rPr>
              <w:t>56</w:t>
            </w:r>
          </w:p>
        </w:tc>
      </w:tr>
      <w:tr w:rsidTr="006E3D08">
        <w:tblPrEx>
          <w:tblW w:w="6691" w:type="dxa"/>
          <w:jc w:val="center"/>
          <w:tblLook w:val="01E0"/>
        </w:tblPrEx>
        <w:trPr>
          <w:jc w:val="center"/>
        </w:trPr>
        <w:tc>
          <w:tcPr>
            <w:tcW w:w="1757" w:type="dxa"/>
            <w:tcBorders>
              <w:bottom w:val="single" w:sz="12" w:space="0" w:color="auto"/>
            </w:tcBorders>
            <w:shd w:val="clear" w:color="auto" w:fill="auto"/>
            <w:vAlign w:val="center"/>
          </w:tcPr>
          <w:p w:rsidR="00E97EDA" w:rsidRPr="00D766FA" w:rsidP="00D766FA">
            <w:pPr>
              <w:spacing w:before="40" w:after="40" w:line="200" w:lineRule="exact"/>
              <w:rPr>
                <w:rFonts w:ascii="Calibri" w:hAnsi="Calibri" w:cs="FrankRuehl"/>
                <w:sz w:val="22"/>
                <w:szCs w:val="20"/>
                <w:rtl/>
                <w:lang w:eastAsia="he-IL"/>
              </w:rPr>
            </w:pPr>
            <w:r w:rsidRPr="00D766FA">
              <w:rPr>
                <w:rFonts w:cs="FrankRuehl" w:hint="cs"/>
                <w:szCs w:val="20"/>
                <w:rtl/>
                <w:lang w:eastAsia="he-IL"/>
              </w:rPr>
              <w:t>תכנית בתוקף</w:t>
            </w:r>
            <w:r w:rsidR="00D766FA">
              <w:rPr>
                <w:rFonts w:cs="FrankRuehl"/>
                <w:szCs w:val="20"/>
                <w:lang w:eastAsia="he-IL"/>
              </w:rPr>
              <w:br/>
            </w:r>
            <w:r w:rsidRPr="00D766FA">
              <w:rPr>
                <w:rFonts w:cs="FrankRuehl" w:hint="cs"/>
                <w:szCs w:val="20"/>
                <w:rtl/>
                <w:lang w:eastAsia="he-IL"/>
              </w:rPr>
              <w:t>(אושרה לאחר 2000)</w:t>
            </w:r>
          </w:p>
        </w:tc>
        <w:tc>
          <w:tcPr>
            <w:tcW w:w="1417" w:type="dxa"/>
            <w:tcBorders>
              <w:bottom w:val="single" w:sz="12" w:space="0" w:color="auto"/>
            </w:tcBorders>
            <w:shd w:val="clear" w:color="auto" w:fill="auto"/>
            <w:vAlign w:val="center"/>
          </w:tcPr>
          <w:p w:rsidR="00E97EDA" w:rsidRPr="00D766FA" w:rsidP="006E3D08">
            <w:pPr>
              <w:tabs>
                <w:tab w:val="decimal" w:pos="542"/>
              </w:tabs>
              <w:spacing w:before="40" w:after="40" w:line="200" w:lineRule="exact"/>
              <w:rPr>
                <w:rFonts w:cs="FrankRuehl"/>
                <w:szCs w:val="20"/>
                <w:rtl/>
                <w:lang w:eastAsia="he-IL"/>
              </w:rPr>
            </w:pPr>
            <w:r w:rsidRPr="00D766FA">
              <w:rPr>
                <w:rFonts w:cs="FrankRuehl" w:hint="cs"/>
                <w:szCs w:val="20"/>
                <w:rtl/>
                <w:lang w:eastAsia="he-IL"/>
              </w:rPr>
              <w:t>37</w:t>
            </w:r>
          </w:p>
        </w:tc>
        <w:tc>
          <w:tcPr>
            <w:tcW w:w="0" w:type="auto"/>
            <w:tcBorders>
              <w:bottom w:val="single" w:sz="12" w:space="0" w:color="auto"/>
            </w:tcBorders>
            <w:shd w:val="clear" w:color="auto" w:fill="auto"/>
            <w:vAlign w:val="center"/>
          </w:tcPr>
          <w:p w:rsidR="00E97EDA" w:rsidRPr="00D766FA" w:rsidP="006E3D08">
            <w:pPr>
              <w:tabs>
                <w:tab w:val="decimal" w:pos="277"/>
              </w:tabs>
              <w:spacing w:before="40" w:after="40" w:line="200" w:lineRule="exact"/>
              <w:rPr>
                <w:rFonts w:cs="FrankRuehl"/>
                <w:szCs w:val="20"/>
                <w:rtl/>
                <w:lang w:eastAsia="he-IL"/>
              </w:rPr>
            </w:pPr>
            <w:r w:rsidRPr="00D766FA">
              <w:rPr>
                <w:rFonts w:cs="FrankRuehl" w:hint="cs"/>
                <w:szCs w:val="20"/>
                <w:rtl/>
                <w:lang w:eastAsia="he-IL"/>
              </w:rPr>
              <w:t>1</w:t>
            </w:r>
          </w:p>
        </w:tc>
        <w:tc>
          <w:tcPr>
            <w:tcW w:w="0" w:type="auto"/>
            <w:tcBorders>
              <w:bottom w:val="single" w:sz="12" w:space="0" w:color="auto"/>
            </w:tcBorders>
            <w:shd w:val="clear" w:color="auto" w:fill="auto"/>
            <w:vAlign w:val="center"/>
          </w:tcPr>
          <w:p w:rsidR="00E97EDA" w:rsidRPr="00D766FA" w:rsidP="006E3D08">
            <w:pPr>
              <w:tabs>
                <w:tab w:val="decimal" w:pos="307"/>
              </w:tabs>
              <w:spacing w:before="40" w:after="40" w:line="200" w:lineRule="exact"/>
              <w:rPr>
                <w:rFonts w:cs="FrankRuehl"/>
                <w:szCs w:val="20"/>
                <w:rtl/>
                <w:lang w:eastAsia="he-IL"/>
              </w:rPr>
            </w:pPr>
            <w:r w:rsidRPr="00D766FA">
              <w:rPr>
                <w:rFonts w:cs="FrankRuehl" w:hint="cs"/>
                <w:szCs w:val="20"/>
                <w:rtl/>
                <w:lang w:eastAsia="he-IL"/>
              </w:rPr>
              <w:t>19</w:t>
            </w:r>
          </w:p>
        </w:tc>
        <w:tc>
          <w:tcPr>
            <w:tcW w:w="850" w:type="dxa"/>
            <w:tcBorders>
              <w:bottom w:val="single" w:sz="12" w:space="0" w:color="auto"/>
            </w:tcBorders>
            <w:shd w:val="clear" w:color="auto" w:fill="auto"/>
            <w:vAlign w:val="center"/>
          </w:tcPr>
          <w:p w:rsidR="00E97EDA" w:rsidRPr="00D766FA" w:rsidP="006E3D08">
            <w:pPr>
              <w:tabs>
                <w:tab w:val="decimal" w:pos="236"/>
              </w:tabs>
              <w:spacing w:before="40" w:after="40" w:line="200" w:lineRule="exact"/>
              <w:rPr>
                <w:rFonts w:cs="FrankRuehl"/>
                <w:szCs w:val="20"/>
                <w:rtl/>
                <w:lang w:eastAsia="he-IL"/>
              </w:rPr>
            </w:pPr>
            <w:r w:rsidRPr="00D766FA">
              <w:rPr>
                <w:rFonts w:cs="FrankRuehl" w:hint="cs"/>
                <w:szCs w:val="20"/>
                <w:rtl/>
                <w:lang w:eastAsia="he-IL"/>
              </w:rPr>
              <w:t>4</w:t>
            </w:r>
          </w:p>
        </w:tc>
        <w:tc>
          <w:tcPr>
            <w:tcW w:w="964" w:type="dxa"/>
            <w:tcBorders>
              <w:bottom w:val="single" w:sz="12" w:space="0" w:color="auto"/>
            </w:tcBorders>
            <w:shd w:val="clear" w:color="auto" w:fill="auto"/>
            <w:vAlign w:val="center"/>
          </w:tcPr>
          <w:p w:rsidR="00E97EDA" w:rsidRPr="00D766FA" w:rsidP="00D766FA">
            <w:pPr>
              <w:tabs>
                <w:tab w:val="decimal" w:pos="97"/>
              </w:tabs>
              <w:spacing w:before="40" w:after="40" w:line="200" w:lineRule="exact"/>
              <w:jc w:val="center"/>
              <w:rPr>
                <w:rFonts w:cs="FrankRuehl"/>
                <w:b/>
                <w:bCs/>
                <w:szCs w:val="20"/>
                <w:rtl/>
                <w:lang w:eastAsia="he-IL"/>
              </w:rPr>
            </w:pPr>
            <w:r w:rsidRPr="00D766FA">
              <w:rPr>
                <w:rFonts w:cs="FrankRuehl" w:hint="cs"/>
                <w:b/>
                <w:bCs/>
                <w:szCs w:val="20"/>
                <w:rtl/>
                <w:lang w:eastAsia="he-IL"/>
              </w:rPr>
              <w:t>61</w:t>
            </w:r>
          </w:p>
        </w:tc>
      </w:tr>
      <w:tr w:rsidTr="006E3D08">
        <w:tblPrEx>
          <w:tblW w:w="6691" w:type="dxa"/>
          <w:jc w:val="center"/>
          <w:tblLook w:val="01E0"/>
        </w:tblPrEx>
        <w:trPr>
          <w:jc w:val="center"/>
        </w:trPr>
        <w:tc>
          <w:tcPr>
            <w:tcW w:w="1757" w:type="dxa"/>
            <w:tcBorders>
              <w:top w:val="single" w:sz="12" w:space="0" w:color="auto"/>
              <w:bottom w:val="single" w:sz="12" w:space="0" w:color="auto"/>
            </w:tcBorders>
            <w:shd w:val="pct10" w:color="auto" w:fill="auto"/>
            <w:vAlign w:val="center"/>
          </w:tcPr>
          <w:p w:rsidR="00E97EDA" w:rsidRPr="00D766FA" w:rsidP="00D766FA">
            <w:pPr>
              <w:spacing w:before="40" w:after="40" w:line="200" w:lineRule="exact"/>
              <w:jc w:val="right"/>
              <w:rPr>
                <w:rFonts w:cs="FrankRuehl"/>
                <w:b/>
                <w:bCs/>
                <w:szCs w:val="20"/>
                <w:rtl/>
                <w:lang w:eastAsia="he-IL"/>
              </w:rPr>
            </w:pPr>
            <w:r w:rsidRPr="00D766FA">
              <w:rPr>
                <w:rFonts w:cs="FrankRuehl" w:hint="cs"/>
                <w:b/>
                <w:bCs/>
                <w:szCs w:val="20"/>
                <w:rtl/>
                <w:lang w:eastAsia="he-IL"/>
              </w:rPr>
              <w:t>סך הכול</w:t>
            </w:r>
          </w:p>
        </w:tc>
        <w:tc>
          <w:tcPr>
            <w:tcW w:w="1417" w:type="dxa"/>
            <w:tcBorders>
              <w:top w:val="single" w:sz="12" w:space="0" w:color="auto"/>
              <w:bottom w:val="single" w:sz="12" w:space="0" w:color="auto"/>
            </w:tcBorders>
            <w:shd w:val="pct10" w:color="auto" w:fill="auto"/>
            <w:vAlign w:val="center"/>
          </w:tcPr>
          <w:p w:rsidR="00E97EDA" w:rsidRPr="00D766FA" w:rsidP="006E3D08">
            <w:pPr>
              <w:tabs>
                <w:tab w:val="decimal" w:pos="542"/>
              </w:tabs>
              <w:spacing w:before="40" w:after="40" w:line="200" w:lineRule="exact"/>
              <w:rPr>
                <w:rFonts w:cs="FrankRuehl"/>
                <w:b/>
                <w:bCs/>
                <w:szCs w:val="20"/>
                <w:rtl/>
                <w:lang w:eastAsia="he-IL"/>
              </w:rPr>
            </w:pPr>
            <w:r w:rsidRPr="00D766FA">
              <w:rPr>
                <w:rFonts w:cs="FrankRuehl" w:hint="cs"/>
                <w:b/>
                <w:bCs/>
                <w:szCs w:val="20"/>
                <w:rtl/>
                <w:lang w:eastAsia="he-IL"/>
              </w:rPr>
              <w:t>55</w:t>
            </w:r>
          </w:p>
        </w:tc>
        <w:tc>
          <w:tcPr>
            <w:tcW w:w="0" w:type="auto"/>
            <w:tcBorders>
              <w:top w:val="single" w:sz="12" w:space="0" w:color="auto"/>
              <w:bottom w:val="single" w:sz="12" w:space="0" w:color="auto"/>
            </w:tcBorders>
            <w:shd w:val="pct10" w:color="auto" w:fill="auto"/>
            <w:vAlign w:val="center"/>
          </w:tcPr>
          <w:p w:rsidR="00E97EDA" w:rsidRPr="00D766FA" w:rsidP="006E3D08">
            <w:pPr>
              <w:tabs>
                <w:tab w:val="decimal" w:pos="277"/>
              </w:tabs>
              <w:spacing w:before="40" w:after="40" w:line="200" w:lineRule="exact"/>
              <w:rPr>
                <w:rFonts w:cs="FrankRuehl"/>
                <w:b/>
                <w:bCs/>
                <w:szCs w:val="20"/>
                <w:rtl/>
                <w:lang w:eastAsia="he-IL"/>
              </w:rPr>
            </w:pPr>
            <w:r w:rsidRPr="00D766FA">
              <w:rPr>
                <w:rFonts w:cs="FrankRuehl" w:hint="cs"/>
                <w:b/>
                <w:bCs/>
                <w:szCs w:val="20"/>
                <w:rtl/>
                <w:lang w:eastAsia="he-IL"/>
              </w:rPr>
              <w:t>44</w:t>
            </w:r>
          </w:p>
        </w:tc>
        <w:tc>
          <w:tcPr>
            <w:tcW w:w="0" w:type="auto"/>
            <w:tcBorders>
              <w:top w:val="single" w:sz="12" w:space="0" w:color="auto"/>
              <w:bottom w:val="single" w:sz="12" w:space="0" w:color="auto"/>
            </w:tcBorders>
            <w:shd w:val="pct10" w:color="auto" w:fill="auto"/>
            <w:vAlign w:val="center"/>
          </w:tcPr>
          <w:p w:rsidR="00E97EDA" w:rsidRPr="00D766FA" w:rsidP="006E3D08">
            <w:pPr>
              <w:tabs>
                <w:tab w:val="decimal" w:pos="307"/>
              </w:tabs>
              <w:spacing w:before="40" w:after="40" w:line="200" w:lineRule="exact"/>
              <w:rPr>
                <w:rFonts w:cs="FrankRuehl"/>
                <w:b/>
                <w:bCs/>
                <w:szCs w:val="20"/>
                <w:rtl/>
                <w:lang w:eastAsia="he-IL"/>
              </w:rPr>
            </w:pPr>
            <w:r w:rsidRPr="00D766FA">
              <w:rPr>
                <w:rFonts w:cs="FrankRuehl" w:hint="cs"/>
                <w:b/>
                <w:bCs/>
                <w:szCs w:val="20"/>
                <w:rtl/>
                <w:lang w:eastAsia="he-IL"/>
              </w:rPr>
              <w:t>111</w:t>
            </w:r>
          </w:p>
        </w:tc>
        <w:tc>
          <w:tcPr>
            <w:tcW w:w="850" w:type="dxa"/>
            <w:tcBorders>
              <w:top w:val="single" w:sz="12" w:space="0" w:color="auto"/>
              <w:bottom w:val="single" w:sz="12" w:space="0" w:color="auto"/>
            </w:tcBorders>
            <w:shd w:val="pct10" w:color="auto" w:fill="auto"/>
            <w:vAlign w:val="center"/>
          </w:tcPr>
          <w:p w:rsidR="00E97EDA" w:rsidRPr="00D766FA" w:rsidP="006E3D08">
            <w:pPr>
              <w:tabs>
                <w:tab w:val="decimal" w:pos="236"/>
              </w:tabs>
              <w:spacing w:before="40" w:after="40" w:line="200" w:lineRule="exact"/>
              <w:rPr>
                <w:rFonts w:cs="FrankRuehl"/>
                <w:b/>
                <w:bCs/>
                <w:szCs w:val="20"/>
                <w:rtl/>
                <w:lang w:eastAsia="he-IL"/>
              </w:rPr>
            </w:pPr>
            <w:r w:rsidRPr="00D766FA">
              <w:rPr>
                <w:rFonts w:cs="FrankRuehl" w:hint="cs"/>
                <w:b/>
                <w:bCs/>
                <w:szCs w:val="20"/>
                <w:rtl/>
                <w:lang w:eastAsia="he-IL"/>
              </w:rPr>
              <w:t>71</w:t>
            </w:r>
          </w:p>
        </w:tc>
        <w:tc>
          <w:tcPr>
            <w:tcW w:w="964" w:type="dxa"/>
            <w:tcBorders>
              <w:top w:val="single" w:sz="12" w:space="0" w:color="auto"/>
              <w:bottom w:val="single" w:sz="12" w:space="0" w:color="auto"/>
            </w:tcBorders>
            <w:shd w:val="pct10" w:color="auto" w:fill="auto"/>
            <w:vAlign w:val="center"/>
          </w:tcPr>
          <w:p w:rsidR="00E97EDA" w:rsidRPr="00D766FA" w:rsidP="00D766FA">
            <w:pPr>
              <w:tabs>
                <w:tab w:val="decimal" w:pos="97"/>
              </w:tabs>
              <w:spacing w:before="40" w:after="40" w:line="200" w:lineRule="exact"/>
              <w:jc w:val="center"/>
              <w:rPr>
                <w:rFonts w:cs="FrankRuehl"/>
                <w:b/>
                <w:bCs/>
                <w:szCs w:val="20"/>
                <w:rtl/>
                <w:lang w:eastAsia="he-IL"/>
              </w:rPr>
            </w:pPr>
            <w:r w:rsidRPr="00D766FA">
              <w:rPr>
                <w:rFonts w:cs="FrankRuehl" w:hint="cs"/>
                <w:b/>
                <w:bCs/>
                <w:szCs w:val="20"/>
                <w:rtl/>
                <w:lang w:eastAsia="he-IL"/>
              </w:rPr>
              <w:t>281</w:t>
            </w:r>
          </w:p>
        </w:tc>
      </w:tr>
    </w:tbl>
    <w:p w:rsidR="00D766FA" w:rsidP="00D766FA">
      <w:pPr>
        <w:jc w:val="both"/>
        <w:rPr>
          <w:rFonts w:cs="FrankRuehl"/>
          <w:b/>
          <w:bCs/>
          <w:sz w:val="18"/>
          <w:szCs w:val="22"/>
          <w:lang w:eastAsia="he-IL"/>
        </w:rPr>
      </w:pPr>
    </w:p>
    <w:p w:rsidR="00D22B16" w:rsidRPr="00F41E78" w:rsidP="00D22B16">
      <w:pPr>
        <w:pStyle w:val="RESHET"/>
        <w:keepLines/>
        <w:rPr>
          <w:rtl/>
        </w:rPr>
      </w:pPr>
      <w:r w:rsidRPr="00F41E78">
        <w:rPr>
          <w:rFonts w:hint="cs"/>
          <w:rtl/>
        </w:rPr>
        <w:t xml:space="preserve">על פי נתוני הלוח רק ב-61 (כ-22%) יישובים </w:t>
      </w:r>
      <w:r w:rsidRPr="00F41E78">
        <w:rPr>
          <w:rtl/>
        </w:rPr>
        <w:t>חלה</w:t>
      </w:r>
      <w:r w:rsidRPr="00F41E78">
        <w:rPr>
          <w:rFonts w:hint="cs"/>
          <w:rtl/>
        </w:rPr>
        <w:t xml:space="preserve"> תכנית מקומית שאושרה אחרי 2000 </w:t>
      </w:r>
      <w:r w:rsidR="006E3D08">
        <w:rPr>
          <w:rtl/>
        </w:rPr>
        <w:br/>
      </w:r>
      <w:r w:rsidRPr="00F41E78">
        <w:rPr>
          <w:rFonts w:hint="cs"/>
          <w:rtl/>
        </w:rPr>
        <w:t xml:space="preserve">וב-110 יישובים (כ-39%) התכנית המקומית אינה עדכנית או אין כלל תכנית. עם זאת, </w:t>
      </w:r>
      <w:r w:rsidR="00256A1C">
        <w:br/>
      </w:r>
      <w:r w:rsidRPr="00F41E78">
        <w:rPr>
          <w:rFonts w:hint="cs"/>
          <w:rtl/>
        </w:rPr>
        <w:t xml:space="preserve">ב-110 יישובים אחרים (כ-39%) ישנה תכנית בהכנה בשלבים שונים של קידום. יוצא אפוא שתהליכי העדכון של התכנון המתארי המקומי מצויים בעיצומם. </w:t>
      </w:r>
    </w:p>
    <w:p w:rsidR="00E97EDA" w:rsidRPr="00F41E78" w:rsidP="00D766FA">
      <w:pPr>
        <w:spacing w:before="180" w:after="120" w:line="230" w:lineRule="exact"/>
        <w:jc w:val="both"/>
        <w:rPr>
          <w:rFonts w:cs="FrankRuehl"/>
          <w:sz w:val="18"/>
          <w:szCs w:val="22"/>
          <w:rtl/>
          <w:lang w:eastAsia="he-IL"/>
        </w:rPr>
      </w:pPr>
      <w:r w:rsidRPr="00F41E78">
        <w:rPr>
          <w:rFonts w:cs="FrankRuehl" w:hint="cs"/>
          <w:sz w:val="18"/>
          <w:szCs w:val="22"/>
          <w:rtl/>
          <w:lang w:eastAsia="he-IL"/>
        </w:rPr>
        <w:t>בתשובתו למשרד מבקר המדינה מסר משרד הפנים נתונים מעודכנים בנוגע ל-168 יישובים (לא כולל יישובים קהילתיים, קיבוצים ומושבים) שלהם תכנית מקומית מעודכנת או תכנית בהכנה. מהנתונים האמורים עולה תמונה דומה למוצג ב</w:t>
      </w:r>
      <w:r w:rsidRPr="00F41E78">
        <w:rPr>
          <w:rFonts w:cs="FrankRuehl" w:hint="eastAsia"/>
          <w:sz w:val="18"/>
          <w:szCs w:val="22"/>
          <w:rtl/>
          <w:lang w:eastAsia="he-IL"/>
        </w:rPr>
        <w:t>לוח</w:t>
      </w:r>
      <w:r w:rsidRPr="00F41E78">
        <w:rPr>
          <w:rFonts w:cs="FrankRuehl" w:hint="cs"/>
          <w:sz w:val="18"/>
          <w:szCs w:val="22"/>
          <w:rtl/>
          <w:lang w:eastAsia="he-IL"/>
        </w:rPr>
        <w:t xml:space="preserve"> לעיל. עוד מסר המשרד כי תכנית העבודה שלו לשנים 2015-2014 כוללת קידום תכניות לעוד כ-30 יישובים, המכוונת להשלמת רובד התכנון המקומי בכל היישובים גם בשנים הבאות.</w:t>
      </w:r>
    </w:p>
    <w:p w:rsidR="00E97EDA" w:rsidRPr="00F41E78" w:rsidP="00D766FA">
      <w:pPr>
        <w:spacing w:after="240" w:line="230" w:lineRule="exact"/>
        <w:jc w:val="both"/>
        <w:rPr>
          <w:rFonts w:cs="FrankRuehl"/>
          <w:sz w:val="18"/>
          <w:szCs w:val="22"/>
          <w:rtl/>
          <w:lang w:eastAsia="he-IL"/>
        </w:rPr>
      </w:pPr>
      <w:r w:rsidRPr="00F41E78">
        <w:rPr>
          <w:rFonts w:cs="FrankRuehl" w:hint="cs"/>
          <w:sz w:val="18"/>
          <w:szCs w:val="22"/>
          <w:rtl/>
          <w:lang w:eastAsia="he-IL"/>
        </w:rPr>
        <w:t xml:space="preserve">פיתוח קרקעות למגורים בצפיפות גדולה אופייני יותר לערים מאשר ליישובים קטנים, משום </w:t>
      </w:r>
      <w:r w:rsidR="00D766FA">
        <w:rPr>
          <w:rFonts w:cs="FrankRuehl"/>
          <w:sz w:val="18"/>
          <w:szCs w:val="22"/>
          <w:lang w:eastAsia="he-IL"/>
        </w:rPr>
        <w:br/>
      </w:r>
      <w:r w:rsidRPr="00F41E78">
        <w:rPr>
          <w:rFonts w:cs="FrankRuehl" w:hint="cs"/>
          <w:sz w:val="18"/>
          <w:szCs w:val="22"/>
          <w:rtl/>
          <w:lang w:eastAsia="he-IL"/>
        </w:rPr>
        <w:t>שכ-75% מהאוכלוסייה</w:t>
      </w:r>
      <w:r>
        <w:rPr>
          <w:rFonts w:cs="FrankRuehl"/>
          <w:sz w:val="18"/>
          <w:szCs w:val="22"/>
          <w:vertAlign w:val="superscript"/>
          <w:rtl/>
          <w:lang w:eastAsia="he-IL"/>
        </w:rPr>
        <w:footnoteReference w:id="179"/>
      </w:r>
      <w:r w:rsidRPr="00F41E78">
        <w:rPr>
          <w:rFonts w:cs="FrankRuehl" w:hint="cs"/>
          <w:sz w:val="18"/>
          <w:szCs w:val="22"/>
          <w:rtl/>
          <w:lang w:eastAsia="he-IL"/>
        </w:rPr>
        <w:t xml:space="preserve"> מתגוררים בהן (לעומת כ-15.5% במועצות המקומיות וכ-9.5% במועצות האזוריות). לכן, הנתונים על עדכניות התכניות המקומיות של העיריות הם אלו הרלוונטיים להליכי התכנון של תכניות מפורטות גדולות למגורים. מהנתונים עולה כי רק ב-4 מ-71 עיריות (כ-6%) </w:t>
      </w:r>
      <w:r w:rsidRPr="00F41E78">
        <w:rPr>
          <w:rFonts w:cs="FrankRuehl"/>
          <w:sz w:val="18"/>
          <w:szCs w:val="22"/>
          <w:rtl/>
          <w:lang w:eastAsia="he-IL"/>
        </w:rPr>
        <w:t>חלה</w:t>
      </w:r>
      <w:r w:rsidRPr="00F41E78">
        <w:rPr>
          <w:rFonts w:cs="FrankRuehl" w:hint="cs"/>
          <w:sz w:val="18"/>
          <w:szCs w:val="22"/>
          <w:rtl/>
          <w:lang w:eastAsia="he-IL"/>
        </w:rPr>
        <w:t xml:space="preserve"> תכנית מקומית מעודכנת בתוקף, וברוב העיריות (כ-80%) התכניות נמצאות בשלבים שונים של הכנה. הליכי התכנון והאישור שלהן נמשכים שנים ארוכות, והשלמתן עשויה לשפר באופן ניכר את מידת העדכניות של מדיניות התכנון המקומית. </w:t>
      </w:r>
    </w:p>
    <w:p w:rsidR="00D22B16" w:rsidRPr="00F41E78" w:rsidP="00D22B16">
      <w:pPr>
        <w:pStyle w:val="RESHET"/>
        <w:keepLines/>
        <w:rPr>
          <w:rtl/>
        </w:rPr>
      </w:pPr>
      <w:r w:rsidRPr="00F41E78">
        <w:rPr>
          <w:rFonts w:hint="cs"/>
          <w:rtl/>
        </w:rPr>
        <w:t xml:space="preserve">על פי מצב הדברים הזה, הליכי התכנון של תכניות מפורטות למגורים באזורים המיועדים לפיתוח מואץ ולציפוף (יישובים עירוניים) מסורבלים, ולעתים אף מעוכבים זמן ממושך עד התבהרותם של עקרונות התכנון המתארי המקומי. בהיעדר תכנון מעודכן, גם תהליכים לעדכון גבולות שיפוט מוניציפליים, הכרוכים לעתים בהליכי התכנון, נעשים מסורבלים ופוגמים ביעילות הפיתוח של שכונות מגורים חדשות. תכניות מפורטות אמורות להיגזר מתכניות מקומיות, והיעדרן של תכניות מקומיות עלול להוביל למצב שבו התכניות המפורטות לא יוכנו מתוך ראייה כוללת של צורכי שוק הדיור. </w:t>
      </w:r>
    </w:p>
    <w:p w:rsidR="00D22B16" w:rsidRPr="00F41E78" w:rsidP="00D22B16">
      <w:pPr>
        <w:pStyle w:val="RESHET"/>
        <w:keepLines/>
        <w:rPr>
          <w:rtl/>
        </w:rPr>
      </w:pPr>
      <w:r w:rsidRPr="00F41E78">
        <w:rPr>
          <w:rFonts w:hint="cs"/>
          <w:rtl/>
        </w:rPr>
        <w:t xml:space="preserve">משרד מבקר המדינה שב ומדגיש את החשיבות שיש לעדכון נדבך התכנון המתארי המקומי, וזאת כדי להתאימו לעקרונות תכנון מקובלים, לתת מענה כוללני לצורכי היישובים ולייעל את הליכי התכנון של תכניות מפורטות. </w:t>
      </w:r>
    </w:p>
    <w:p w:rsidR="00E97EDA" w:rsidRPr="00F41E78" w:rsidP="00A7557B">
      <w:pPr>
        <w:spacing w:after="120" w:line="230" w:lineRule="exact"/>
        <w:jc w:val="both"/>
        <w:rPr>
          <w:rFonts w:cs="FrankRuehl"/>
          <w:b/>
          <w:bCs/>
          <w:sz w:val="18"/>
          <w:szCs w:val="22"/>
          <w:u w:val="single"/>
          <w:rtl/>
          <w:lang w:eastAsia="he-IL"/>
        </w:rPr>
      </w:pPr>
    </w:p>
    <w:p w:rsidR="00DC1DC7" w:rsidRPr="00F41E78" w:rsidP="00A7557B">
      <w:pPr>
        <w:spacing w:after="120" w:line="230" w:lineRule="exact"/>
        <w:jc w:val="both"/>
        <w:rPr>
          <w:rFonts w:cs="FrankRuehl"/>
          <w:b/>
          <w:bCs/>
          <w:sz w:val="18"/>
          <w:szCs w:val="22"/>
          <w:u w:val="single"/>
          <w:rtl/>
          <w:lang w:eastAsia="he-IL"/>
        </w:rPr>
      </w:pPr>
    </w:p>
    <w:p w:rsidR="00256A1C" w:rsidP="00FF71E2">
      <w:pPr>
        <w:pStyle w:val="KOT2"/>
        <w:outlineLvl w:val="0"/>
        <w:rPr>
          <w:b w:val="0"/>
          <w:bCs w:val="0"/>
          <w:sz w:val="28"/>
          <w:szCs w:val="28"/>
          <w:rtl/>
        </w:rPr>
        <w:sectPr w:rsidSect="004A767A">
          <w:footnotePr>
            <w:numRestart w:val="eachSect"/>
          </w:footnotePr>
          <w:pgSz w:w="11906" w:h="16838" w:code="9"/>
          <w:pgMar w:top="1758" w:right="2552" w:bottom="4253" w:left="2552" w:header="1247" w:footer="1134" w:gutter="0"/>
          <w:cols w:space="720"/>
          <w:rtlGutter/>
        </w:sectPr>
      </w:pPr>
    </w:p>
    <w:p w:rsidR="00E97EDA" w:rsidRPr="00CB33CD" w:rsidP="00FF71E2">
      <w:pPr>
        <w:pStyle w:val="KOT2"/>
        <w:outlineLvl w:val="0"/>
        <w:rPr>
          <w:rtl/>
        </w:rPr>
      </w:pPr>
      <w:r w:rsidRPr="00FF71E2">
        <w:rPr>
          <w:rFonts w:hint="cs"/>
          <w:b w:val="0"/>
          <w:bCs w:val="0"/>
          <w:sz w:val="28"/>
          <w:szCs w:val="28"/>
          <w:rtl/>
        </w:rPr>
        <w:t>פרק שני</w:t>
      </w:r>
      <w:r w:rsidRPr="00FF71E2">
        <w:rPr>
          <w:b w:val="0"/>
          <w:bCs w:val="0"/>
          <w:sz w:val="28"/>
          <w:szCs w:val="28"/>
          <w:rtl/>
        </w:rPr>
        <w:br/>
      </w:r>
      <w:r w:rsidRPr="00CB33CD">
        <w:rPr>
          <w:rFonts w:hint="cs"/>
          <w:rtl/>
        </w:rPr>
        <w:t>התכנון למגורים ברמה המפורטת</w:t>
      </w:r>
    </w:p>
    <w:p w:rsidR="00E97EDA" w:rsidRPr="00CB33CD" w:rsidP="00A7557B">
      <w:pPr>
        <w:pStyle w:val="KOT4"/>
        <w:rPr>
          <w:rtl/>
          <w:lang w:eastAsia="he-IL"/>
        </w:rPr>
      </w:pPr>
      <w:r w:rsidRPr="00CB33CD">
        <w:rPr>
          <w:rFonts w:hint="cs"/>
          <w:rtl/>
          <w:lang w:eastAsia="he-IL"/>
        </w:rPr>
        <w:t>המלאי התכנוני למגורים (נתונים כלל-ארציים)</w:t>
      </w:r>
    </w:p>
    <w:p w:rsidR="00DC1DC7"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המלאי התכנוני למגורים הוא מספר יחידות הדיור הכלולות בתכניות מפורטות מאושרות שמכוחן ניתן להוציא היתרי בנייה</w:t>
      </w:r>
      <w:r>
        <w:rPr>
          <w:rFonts w:cs="FrankRuehl"/>
          <w:sz w:val="18"/>
          <w:szCs w:val="22"/>
          <w:vertAlign w:val="superscript"/>
          <w:rtl/>
          <w:lang w:eastAsia="he-IL"/>
        </w:rPr>
        <w:footnoteReference w:id="180"/>
      </w:r>
      <w:r w:rsidRPr="00F41E78">
        <w:rPr>
          <w:rFonts w:cs="FrankRuehl" w:hint="cs"/>
          <w:sz w:val="18"/>
          <w:szCs w:val="22"/>
          <w:rtl/>
          <w:lang w:eastAsia="he-IL"/>
        </w:rPr>
        <w:t>. למלאי התכנוני דרגות שונות של זמינות (לטווח הקצר והארוך), לפי התניות הנקבעות בהוראות התכניות (תנאים למתן היתר הבנייה) ולפי שלבי הביצוע הנקבעים לעתים בתכניות. מלאי תכנוני זמין לבנייה פירושו יח"ד בתכניות מפורטות שמכוחן ניתן להוציא היתרי בנייה ללא עיכובים, והוא מאפשר לממשלה להגיב במהירות לתנודות בשוק ולווסת את ההיצע. קביעת התקן לגודלו המזערי של המלאי התכנוני הזמין וקביעת יעדים לשמירה על גודלו, מדי שנה, הן מרכיב חשוב בניהול מדיניות התכנון והדיור. בפרק זה יובאו נתונים על מצב המלאי התכנוני בכל הקרקעות (מקרקעי ישראל וקרקעות פרטיות).</w:t>
      </w:r>
    </w:p>
    <w:p w:rsidR="00E97EDA" w:rsidRPr="00D766FA"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 xml:space="preserve">קביעת תקן למלאי תכנוני זמין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מחסור במלאי התכנוני הזמין לבנייה עלול להביא בסופו של דבר למחסור ביחידות דיור במשק ולפגוע ביכולתה של הממשלה לווסת את ההיצע על פי הצורך. על כן, לדעת משרד מבקר המדינה, יש חשיבות לקביעת המלאי התכנוני המזערי בהתחשב בצורכי המשק. </w:t>
      </w:r>
    </w:p>
    <w:p w:rsidR="00E97EDA" w:rsidRPr="00F41E78" w:rsidP="00D766FA">
      <w:pPr>
        <w:spacing w:after="240" w:line="230" w:lineRule="exact"/>
        <w:jc w:val="both"/>
        <w:rPr>
          <w:rFonts w:cs="FrankRuehl"/>
          <w:sz w:val="18"/>
          <w:szCs w:val="22"/>
          <w:rtl/>
          <w:lang w:eastAsia="he-IL"/>
        </w:rPr>
      </w:pPr>
      <w:r w:rsidRPr="00F41E78">
        <w:rPr>
          <w:rFonts w:cs="FrankRuehl" w:hint="cs"/>
          <w:sz w:val="18"/>
          <w:szCs w:val="22"/>
          <w:rtl/>
          <w:lang w:eastAsia="he-IL"/>
        </w:rPr>
        <w:t xml:space="preserve">ואולם בביקורת נמצא כי משרדי הממשלה האחראים למדיניות הדיור לא קבעו תקן מחייב לגודלו המזערי של המלאי התכנוני הזמין למגורים. בהיעדר תקן כזה ישנו קושי לקבוע יעדים ולהתריע מבעוד מועד על שחיקת יתר של המלאי התכנוני. כדי לקבוע את התקן יש לנתח את טיבו של המלאי התכנוני ואת פוטנציאל מימוש התכניות המפורטות לנוכח ניסיון העבר ולפי מאפייני התכניות שבמלאי. </w:t>
      </w:r>
    </w:p>
    <w:p w:rsidR="00D22B16" w:rsidRPr="00F41E78" w:rsidP="00D22B16">
      <w:pPr>
        <w:pStyle w:val="RESHET"/>
        <w:keepLines/>
        <w:rPr>
          <w:rtl/>
        </w:rPr>
      </w:pPr>
      <w:r w:rsidRPr="00F41E78">
        <w:rPr>
          <w:rFonts w:hint="cs"/>
          <w:rtl/>
        </w:rPr>
        <w:t>משרד מבקר המדינה ממליץ למינהל התכנון, לרמ"י ו</w:t>
      </w:r>
      <w:r w:rsidRPr="00F41E78">
        <w:rPr>
          <w:rFonts w:hint="eastAsia"/>
          <w:rtl/>
        </w:rPr>
        <w:t>למשרד</w:t>
      </w:r>
      <w:r w:rsidRPr="00F41E78">
        <w:rPr>
          <w:rFonts w:hint="cs"/>
          <w:rtl/>
        </w:rPr>
        <w:t>י</w:t>
      </w:r>
      <w:r w:rsidRPr="00F41E78">
        <w:rPr>
          <w:rtl/>
        </w:rPr>
        <w:t xml:space="preserve"> </w:t>
      </w:r>
      <w:r>
        <w:rPr>
          <w:rFonts w:hint="cs"/>
          <w:rtl/>
        </w:rPr>
        <w:t>הבינוי</w:t>
      </w:r>
      <w:r w:rsidRPr="00F41E78">
        <w:rPr>
          <w:rFonts w:hint="cs"/>
          <w:rtl/>
        </w:rPr>
        <w:t xml:space="preserve"> והאוצר לקבוע עקרונות אחידים לניהול המידע על המלאי התכנוני, ולבחון את הצורך בקביעת תקן לגודלו המזערי של המלאי ו"קווים אדומים" להתרעה על מחסור חמור. </w:t>
      </w:r>
    </w:p>
    <w:p w:rsidR="00DC1DC7"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קביעת יעדים כמותיים למלאי התכנוני</w:t>
      </w:r>
    </w:p>
    <w:p w:rsidR="00E97EDA" w:rsidRPr="00CB33CD" w:rsidP="00A7557B">
      <w:pPr>
        <w:pStyle w:val="KOT6"/>
        <w:rPr>
          <w:rtl/>
          <w:lang w:eastAsia="he-IL"/>
        </w:rPr>
      </w:pPr>
      <w:r w:rsidRPr="00CB33CD">
        <w:rPr>
          <w:rFonts w:hint="cs"/>
          <w:rtl/>
          <w:lang w:eastAsia="he-IL"/>
        </w:rPr>
        <w:t>יעדים נורמטיביים לפי תמ"א 35</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על פי האומדנים בתמ"א 35, בכל שנה נדרשת תוספת של כ-7 מיליון מ"ר לשטחים הבנויים למגורים</w:t>
      </w:r>
      <w:r>
        <w:rPr>
          <w:rFonts w:cs="FrankRuehl"/>
          <w:sz w:val="18"/>
          <w:szCs w:val="22"/>
          <w:vertAlign w:val="superscript"/>
          <w:rtl/>
          <w:lang w:eastAsia="he-IL"/>
        </w:rPr>
        <w:footnoteReference w:id="181"/>
      </w:r>
      <w:r w:rsidRPr="00F41E78">
        <w:rPr>
          <w:rFonts w:cs="FrankRuehl" w:hint="cs"/>
          <w:sz w:val="18"/>
          <w:szCs w:val="22"/>
          <w:rtl/>
          <w:lang w:eastAsia="he-IL"/>
        </w:rPr>
        <w:t xml:space="preserve"> לצורך בנייה של כ-45,000 יח"ד בכל המחוזות. התמ"א מציגה גם אומדן של שטחי הבנייה הנדרשים למגורים בכל מחוז ומחוז. על יסוד ההערכות המוצגות בתמ"א בנוגע לשטח </w:t>
      </w:r>
      <w:r w:rsidRPr="00F41E78">
        <w:rPr>
          <w:rFonts w:cs="FrankRuehl" w:hint="cs"/>
          <w:sz w:val="18"/>
          <w:szCs w:val="22"/>
          <w:rtl/>
          <w:lang w:eastAsia="he-IL"/>
        </w:rPr>
        <w:t>הממוצע של יח"ד בודדה, אפשר לחשב את מספר היחידות הנדרש לכל מחוז בממוצע לשנה (עד שנת היעד). להלן הפירוט:</w:t>
      </w:r>
    </w:p>
    <w:p w:rsidR="00E97EDA" w:rsidRPr="00CB33CD" w:rsidP="00D766FA">
      <w:pPr>
        <w:pStyle w:val="tab-name"/>
        <w:rPr>
          <w:rtl/>
          <w:lang w:eastAsia="he-IL"/>
        </w:rPr>
      </w:pPr>
      <w:r w:rsidRPr="00D766FA">
        <w:rPr>
          <w:rFonts w:hint="cs"/>
          <w:b w:val="0"/>
          <w:bCs w:val="0"/>
          <w:sz w:val="20"/>
          <w:szCs w:val="20"/>
          <w:rtl/>
          <w:lang w:eastAsia="he-IL"/>
        </w:rPr>
        <w:t xml:space="preserve">לוח </w:t>
      </w:r>
      <w:r w:rsidRPr="00D766FA" w:rsidR="00D766FA">
        <w:rPr>
          <w:rFonts w:hint="cs"/>
          <w:b w:val="0"/>
          <w:bCs w:val="0"/>
          <w:sz w:val="20"/>
          <w:szCs w:val="20"/>
          <w:rtl/>
          <w:lang w:eastAsia="he-IL"/>
        </w:rPr>
        <w:t>1</w:t>
      </w:r>
      <w:r w:rsidRPr="00D766FA" w:rsidR="00D766FA">
        <w:rPr>
          <w:b w:val="0"/>
          <w:bCs w:val="0"/>
          <w:sz w:val="20"/>
          <w:szCs w:val="20"/>
          <w:lang w:eastAsia="he-IL"/>
        </w:rPr>
        <w:br/>
      </w:r>
      <w:r w:rsidRPr="00CB33CD">
        <w:rPr>
          <w:rFonts w:hint="cs"/>
          <w:rtl/>
          <w:lang w:eastAsia="he-IL"/>
        </w:rPr>
        <w:t xml:space="preserve">שטח הבנייה הנדרש למגורים ומספר יחידות הדיור הנדרש לפי תמ"א 35 </w:t>
      </w:r>
      <w:r w:rsidR="00D766FA">
        <w:rPr>
          <w:lang w:eastAsia="he-IL"/>
        </w:rPr>
        <w:br/>
      </w:r>
      <w:r w:rsidRPr="00CB33CD">
        <w:rPr>
          <w:rFonts w:hint="cs"/>
          <w:rtl/>
          <w:lang w:eastAsia="he-IL"/>
        </w:rPr>
        <w:t>(עד שנת היעד</w:t>
      </w:r>
      <w:r>
        <w:rPr>
          <w:rFonts w:hint="cs"/>
          <w:rtl/>
          <w:lang w:eastAsia="he-IL"/>
        </w:rPr>
        <w:t xml:space="preserve"> 2020</w:t>
      </w:r>
      <w:r w:rsidRPr="00CB33CD">
        <w:rPr>
          <w:rFonts w:hint="cs"/>
          <w:rtl/>
          <w:lang w:eastAsia="he-IL"/>
        </w:rPr>
        <w:t>)</w:t>
      </w:r>
      <w:r>
        <w:rPr>
          <w:rFonts w:hint="cs"/>
          <w:rtl/>
          <w:lang w:eastAsia="he-IL"/>
        </w:rPr>
        <w:t>, לפי מחוזות</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CellMar>
          <w:left w:w="57" w:type="dxa"/>
          <w:right w:w="57" w:type="dxa"/>
        </w:tblCellMar>
        <w:tblLook w:val="01E0"/>
      </w:tblPr>
      <w:tblGrid>
        <w:gridCol w:w="2062"/>
        <w:gridCol w:w="607"/>
        <w:gridCol w:w="607"/>
        <w:gridCol w:w="712"/>
        <w:gridCol w:w="607"/>
        <w:gridCol w:w="643"/>
        <w:gridCol w:w="724"/>
        <w:gridCol w:w="729"/>
      </w:tblGrid>
      <w:tr w:rsidTr="00D23931">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CellMar>
            <w:left w:w="57" w:type="dxa"/>
            <w:right w:w="57" w:type="dxa"/>
          </w:tblCellMar>
          <w:tblLook w:val="01E0"/>
        </w:tblPrEx>
        <w:trPr>
          <w:jc w:val="center"/>
        </w:trPr>
        <w:tc>
          <w:tcPr>
            <w:tcW w:w="0" w:type="auto"/>
            <w:tcBorders>
              <w:top w:val="single" w:sz="12" w:space="0" w:color="auto"/>
              <w:bottom w:val="single" w:sz="12" w:space="0" w:color="auto"/>
            </w:tcBorders>
            <w:shd w:val="pct10" w:color="auto" w:fill="auto"/>
            <w:vAlign w:val="center"/>
          </w:tcPr>
          <w:p w:rsidR="00E97EDA" w:rsidRPr="00D766FA" w:rsidP="00D766FA">
            <w:pPr>
              <w:spacing w:before="40" w:after="40" w:line="200" w:lineRule="exact"/>
              <w:jc w:val="right"/>
              <w:rPr>
                <w:rFonts w:cs="FrankRuehl"/>
                <w:sz w:val="20"/>
                <w:szCs w:val="20"/>
              </w:rPr>
            </w:pPr>
          </w:p>
        </w:tc>
        <w:tc>
          <w:tcPr>
            <w:tcW w:w="0" w:type="auto"/>
            <w:tcBorders>
              <w:top w:val="single" w:sz="12" w:space="0" w:color="auto"/>
              <w:bottom w:val="single" w:sz="12" w:space="0" w:color="auto"/>
            </w:tcBorders>
            <w:shd w:val="pct10" w:color="auto" w:fill="auto"/>
            <w:vAlign w:val="center"/>
          </w:tcPr>
          <w:p w:rsidR="00E97EDA" w:rsidRPr="00D766FA" w:rsidP="00D766FA">
            <w:pPr>
              <w:spacing w:before="40" w:after="40" w:line="200" w:lineRule="exact"/>
              <w:jc w:val="right"/>
              <w:rPr>
                <w:rFonts w:cs="FrankRuehl"/>
                <w:b/>
                <w:bCs/>
                <w:sz w:val="20"/>
                <w:szCs w:val="20"/>
              </w:rPr>
            </w:pPr>
            <w:r w:rsidRPr="00D766FA">
              <w:rPr>
                <w:rFonts w:cs="FrankRuehl" w:hint="cs"/>
                <w:b/>
                <w:bCs/>
                <w:sz w:val="20"/>
                <w:szCs w:val="20"/>
                <w:rtl/>
              </w:rPr>
              <w:t>הדרום</w:t>
            </w:r>
          </w:p>
        </w:tc>
        <w:tc>
          <w:tcPr>
            <w:tcW w:w="0" w:type="auto"/>
            <w:tcBorders>
              <w:top w:val="single" w:sz="12" w:space="0" w:color="auto"/>
              <w:bottom w:val="single" w:sz="12" w:space="0" w:color="auto"/>
            </w:tcBorders>
            <w:shd w:val="pct10" w:color="auto" w:fill="auto"/>
            <w:vAlign w:val="center"/>
          </w:tcPr>
          <w:p w:rsidR="00E97EDA" w:rsidRPr="00D766FA" w:rsidP="00D766FA">
            <w:pPr>
              <w:spacing w:before="40" w:after="40" w:line="200" w:lineRule="exact"/>
              <w:jc w:val="right"/>
              <w:rPr>
                <w:rFonts w:cs="FrankRuehl"/>
                <w:b/>
                <w:bCs/>
                <w:sz w:val="20"/>
                <w:szCs w:val="20"/>
              </w:rPr>
            </w:pPr>
            <w:r w:rsidRPr="00D766FA">
              <w:rPr>
                <w:rFonts w:cs="FrankRuehl" w:hint="cs"/>
                <w:b/>
                <w:bCs/>
                <w:sz w:val="20"/>
                <w:szCs w:val="20"/>
                <w:rtl/>
              </w:rPr>
              <w:t>חיפה</w:t>
            </w:r>
          </w:p>
        </w:tc>
        <w:tc>
          <w:tcPr>
            <w:tcW w:w="0" w:type="auto"/>
            <w:tcBorders>
              <w:top w:val="single" w:sz="12" w:space="0" w:color="auto"/>
              <w:bottom w:val="single" w:sz="12" w:space="0" w:color="auto"/>
            </w:tcBorders>
            <w:shd w:val="pct10" w:color="auto" w:fill="auto"/>
            <w:vAlign w:val="center"/>
          </w:tcPr>
          <w:p w:rsidR="00E97EDA" w:rsidRPr="00D766FA" w:rsidP="00D766FA">
            <w:pPr>
              <w:spacing w:before="40" w:after="40" w:line="200" w:lineRule="exact"/>
              <w:jc w:val="right"/>
              <w:rPr>
                <w:rFonts w:cs="FrankRuehl"/>
                <w:b/>
                <w:bCs/>
                <w:sz w:val="20"/>
                <w:szCs w:val="20"/>
              </w:rPr>
            </w:pPr>
            <w:r w:rsidRPr="00D766FA">
              <w:rPr>
                <w:rFonts w:cs="FrankRuehl" w:hint="cs"/>
                <w:b/>
                <w:bCs/>
                <w:sz w:val="20"/>
                <w:szCs w:val="20"/>
                <w:rtl/>
              </w:rPr>
              <w:t>ירושלים</w:t>
            </w:r>
          </w:p>
        </w:tc>
        <w:tc>
          <w:tcPr>
            <w:tcW w:w="0" w:type="auto"/>
            <w:tcBorders>
              <w:top w:val="single" w:sz="12" w:space="0" w:color="auto"/>
              <w:bottom w:val="single" w:sz="12" w:space="0" w:color="auto"/>
            </w:tcBorders>
            <w:shd w:val="pct10" w:color="auto" w:fill="auto"/>
            <w:vAlign w:val="center"/>
          </w:tcPr>
          <w:p w:rsidR="00E97EDA" w:rsidRPr="00D766FA" w:rsidP="00D766FA">
            <w:pPr>
              <w:spacing w:before="40" w:after="40" w:line="200" w:lineRule="exact"/>
              <w:jc w:val="right"/>
              <w:rPr>
                <w:rFonts w:cs="FrankRuehl"/>
                <w:b/>
                <w:bCs/>
                <w:sz w:val="20"/>
                <w:szCs w:val="20"/>
              </w:rPr>
            </w:pPr>
            <w:r w:rsidRPr="00D766FA">
              <w:rPr>
                <w:rFonts w:cs="FrankRuehl" w:hint="cs"/>
                <w:b/>
                <w:bCs/>
                <w:sz w:val="20"/>
                <w:szCs w:val="20"/>
                <w:rtl/>
              </w:rPr>
              <w:t>המרכז</w:t>
            </w:r>
          </w:p>
        </w:tc>
        <w:tc>
          <w:tcPr>
            <w:tcW w:w="0" w:type="auto"/>
            <w:tcBorders>
              <w:top w:val="single" w:sz="12" w:space="0" w:color="auto"/>
              <w:bottom w:val="single" w:sz="12" w:space="0" w:color="auto"/>
            </w:tcBorders>
            <w:shd w:val="pct10" w:color="auto" w:fill="auto"/>
            <w:vAlign w:val="center"/>
          </w:tcPr>
          <w:p w:rsidR="00E97EDA" w:rsidRPr="00D766FA" w:rsidP="00D766FA">
            <w:pPr>
              <w:spacing w:before="40" w:after="40" w:line="200" w:lineRule="exact"/>
              <w:jc w:val="right"/>
              <w:rPr>
                <w:rFonts w:cs="FrankRuehl"/>
                <w:b/>
                <w:bCs/>
                <w:sz w:val="20"/>
                <w:szCs w:val="20"/>
              </w:rPr>
            </w:pPr>
            <w:r w:rsidRPr="00D766FA">
              <w:rPr>
                <w:rFonts w:cs="FrankRuehl" w:hint="cs"/>
                <w:b/>
                <w:bCs/>
                <w:sz w:val="20"/>
                <w:szCs w:val="20"/>
                <w:rtl/>
              </w:rPr>
              <w:t>הצפון</w:t>
            </w:r>
          </w:p>
        </w:tc>
        <w:tc>
          <w:tcPr>
            <w:tcW w:w="0" w:type="auto"/>
            <w:tcBorders>
              <w:top w:val="single" w:sz="12" w:space="0" w:color="auto"/>
              <w:bottom w:val="single" w:sz="12" w:space="0" w:color="auto"/>
            </w:tcBorders>
            <w:shd w:val="pct10" w:color="auto" w:fill="auto"/>
            <w:vAlign w:val="center"/>
          </w:tcPr>
          <w:p w:rsidR="00E97EDA" w:rsidRPr="00D766FA" w:rsidP="00D766FA">
            <w:pPr>
              <w:spacing w:before="40" w:after="40" w:line="200" w:lineRule="exact"/>
              <w:jc w:val="right"/>
              <w:rPr>
                <w:rFonts w:cs="FrankRuehl"/>
                <w:b/>
                <w:bCs/>
                <w:sz w:val="20"/>
                <w:szCs w:val="20"/>
              </w:rPr>
            </w:pPr>
            <w:r w:rsidRPr="00D766FA">
              <w:rPr>
                <w:rFonts w:cs="FrankRuehl" w:hint="cs"/>
                <w:b/>
                <w:bCs/>
                <w:sz w:val="20"/>
                <w:szCs w:val="20"/>
                <w:rtl/>
              </w:rPr>
              <w:t>תל אביב</w:t>
            </w:r>
          </w:p>
        </w:tc>
        <w:tc>
          <w:tcPr>
            <w:tcW w:w="0" w:type="auto"/>
            <w:tcBorders>
              <w:top w:val="single" w:sz="12" w:space="0" w:color="auto"/>
              <w:bottom w:val="single" w:sz="12" w:space="0" w:color="auto"/>
            </w:tcBorders>
            <w:shd w:val="pct10" w:color="auto" w:fill="auto"/>
            <w:vAlign w:val="center"/>
          </w:tcPr>
          <w:p w:rsidR="00E97EDA" w:rsidRPr="00D766FA" w:rsidP="00D766FA">
            <w:pPr>
              <w:spacing w:before="40" w:after="40" w:line="200" w:lineRule="exact"/>
              <w:jc w:val="right"/>
              <w:rPr>
                <w:rFonts w:cs="FrankRuehl"/>
                <w:b/>
                <w:bCs/>
                <w:sz w:val="20"/>
                <w:szCs w:val="20"/>
                <w:rtl/>
              </w:rPr>
            </w:pPr>
            <w:r w:rsidRPr="00D766FA">
              <w:rPr>
                <w:rFonts w:cs="FrankRuehl" w:hint="cs"/>
                <w:b/>
                <w:bCs/>
                <w:sz w:val="20"/>
                <w:szCs w:val="20"/>
                <w:rtl/>
              </w:rPr>
              <w:t>סך הכול</w:t>
            </w:r>
          </w:p>
        </w:tc>
      </w:tr>
      <w:tr w:rsidTr="00D23931">
        <w:tblPrEx>
          <w:tblW w:w="6691" w:type="dxa"/>
          <w:jc w:val="center"/>
          <w:tblCellMar>
            <w:left w:w="57" w:type="dxa"/>
            <w:right w:w="57" w:type="dxa"/>
          </w:tblCellMar>
          <w:tblLook w:val="01E0"/>
        </w:tblPrEx>
        <w:trPr>
          <w:jc w:val="center"/>
        </w:trPr>
        <w:tc>
          <w:tcPr>
            <w:tcW w:w="0" w:type="auto"/>
            <w:tcBorders>
              <w:top w:val="single" w:sz="12" w:space="0" w:color="auto"/>
            </w:tcBorders>
            <w:shd w:val="clear" w:color="auto" w:fill="auto"/>
            <w:vAlign w:val="center"/>
          </w:tcPr>
          <w:p w:rsidR="00E97EDA" w:rsidRPr="00D766FA" w:rsidP="00D766FA">
            <w:pPr>
              <w:spacing w:before="40" w:after="40" w:line="200" w:lineRule="exact"/>
              <w:rPr>
                <w:rFonts w:cs="FrankRuehl"/>
                <w:sz w:val="20"/>
                <w:szCs w:val="20"/>
                <w:rtl/>
                <w:lang w:eastAsia="he-IL"/>
              </w:rPr>
            </w:pPr>
            <w:r>
              <w:rPr>
                <w:rFonts w:cs="FrankRuehl" w:hint="cs"/>
                <w:sz w:val="20"/>
                <w:szCs w:val="20"/>
                <w:rtl/>
                <w:lang w:eastAsia="he-IL"/>
              </w:rPr>
              <w:t xml:space="preserve">סך </w:t>
            </w:r>
            <w:r w:rsidRPr="00D766FA">
              <w:rPr>
                <w:rFonts w:cs="FrankRuehl" w:hint="cs"/>
                <w:sz w:val="20"/>
                <w:szCs w:val="20"/>
                <w:rtl/>
                <w:lang w:eastAsia="he-IL"/>
              </w:rPr>
              <w:t xml:space="preserve">שטח הבנייה למגורים </w:t>
            </w:r>
            <w:r w:rsidRPr="00D766FA" w:rsidR="00D766FA">
              <w:rPr>
                <w:rFonts w:cs="FrankRuehl"/>
                <w:sz w:val="20"/>
                <w:szCs w:val="20"/>
                <w:lang w:eastAsia="he-IL"/>
              </w:rPr>
              <w:br/>
            </w:r>
            <w:r w:rsidRPr="00D766FA">
              <w:rPr>
                <w:rFonts w:cs="FrankRuehl" w:hint="cs"/>
                <w:sz w:val="20"/>
                <w:szCs w:val="20"/>
                <w:rtl/>
                <w:lang w:eastAsia="he-IL"/>
              </w:rPr>
              <w:t xml:space="preserve">הנדרש בממוצע לשנה </w:t>
            </w:r>
            <w:r w:rsidRPr="00D766FA" w:rsidR="00D766FA">
              <w:rPr>
                <w:rFonts w:cs="FrankRuehl"/>
                <w:sz w:val="20"/>
                <w:szCs w:val="20"/>
                <w:lang w:eastAsia="he-IL"/>
              </w:rPr>
              <w:br/>
            </w:r>
            <w:r w:rsidRPr="00D766FA">
              <w:rPr>
                <w:rFonts w:cs="FrankRuehl" w:hint="cs"/>
                <w:sz w:val="20"/>
                <w:szCs w:val="20"/>
                <w:rtl/>
                <w:lang w:eastAsia="he-IL"/>
              </w:rPr>
              <w:t>(לשנים 2020-1999,</w:t>
            </w:r>
            <w:r w:rsidRPr="00D766FA" w:rsidR="00D766FA">
              <w:rPr>
                <w:rFonts w:cs="FrankRuehl"/>
                <w:sz w:val="20"/>
                <w:szCs w:val="20"/>
                <w:lang w:eastAsia="he-IL"/>
              </w:rPr>
              <w:br/>
            </w:r>
            <w:r w:rsidRPr="00D766FA">
              <w:rPr>
                <w:rFonts w:cs="FrankRuehl" w:hint="cs"/>
                <w:sz w:val="20"/>
                <w:szCs w:val="20"/>
                <w:rtl/>
                <w:lang w:eastAsia="he-IL"/>
              </w:rPr>
              <w:t>באלפי מ"ר)</w:t>
            </w:r>
          </w:p>
        </w:tc>
        <w:tc>
          <w:tcPr>
            <w:tcW w:w="0" w:type="auto"/>
            <w:tcBorders>
              <w:top w:val="single" w:sz="12" w:space="0" w:color="auto"/>
            </w:tcBorders>
            <w:shd w:val="clear" w:color="auto" w:fill="auto"/>
          </w:tcPr>
          <w:p w:rsidR="00E97EDA" w:rsidRPr="00D766FA" w:rsidP="00D766FA">
            <w:pPr>
              <w:pStyle w:val="FootnoteText"/>
              <w:spacing w:before="40" w:after="40" w:line="200" w:lineRule="exact"/>
              <w:rPr>
                <w:rFonts w:cs="FrankRuehl"/>
                <w:rtl/>
                <w:lang w:eastAsia="he-IL"/>
              </w:rPr>
            </w:pPr>
            <w:r w:rsidRPr="00D766FA">
              <w:rPr>
                <w:rFonts w:cs="FrankRuehl" w:hint="cs"/>
                <w:rtl/>
                <w:lang w:eastAsia="he-IL"/>
              </w:rPr>
              <w:t>1,260</w:t>
            </w:r>
          </w:p>
        </w:tc>
        <w:tc>
          <w:tcPr>
            <w:tcW w:w="0" w:type="auto"/>
            <w:tcBorders>
              <w:top w:val="single" w:sz="12" w:space="0" w:color="auto"/>
            </w:tcBorders>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990</w:t>
            </w:r>
          </w:p>
        </w:tc>
        <w:tc>
          <w:tcPr>
            <w:tcW w:w="0" w:type="auto"/>
            <w:tcBorders>
              <w:top w:val="single" w:sz="12" w:space="0" w:color="auto"/>
            </w:tcBorders>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790</w:t>
            </w:r>
          </w:p>
        </w:tc>
        <w:tc>
          <w:tcPr>
            <w:tcW w:w="0" w:type="auto"/>
            <w:tcBorders>
              <w:top w:val="single" w:sz="12" w:space="0" w:color="auto"/>
            </w:tcBorders>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1,430</w:t>
            </w:r>
          </w:p>
        </w:tc>
        <w:tc>
          <w:tcPr>
            <w:tcW w:w="0" w:type="auto"/>
            <w:tcBorders>
              <w:top w:val="single" w:sz="12" w:space="0" w:color="auto"/>
            </w:tcBorders>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1,880</w:t>
            </w:r>
          </w:p>
        </w:tc>
        <w:tc>
          <w:tcPr>
            <w:tcW w:w="0" w:type="auto"/>
            <w:tcBorders>
              <w:top w:val="single" w:sz="12" w:space="0" w:color="auto"/>
            </w:tcBorders>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720</w:t>
            </w:r>
          </w:p>
        </w:tc>
        <w:tc>
          <w:tcPr>
            <w:tcW w:w="0" w:type="auto"/>
            <w:tcBorders>
              <w:top w:val="single" w:sz="12" w:space="0" w:color="auto"/>
              <w:bottom w:val="nil"/>
            </w:tcBorders>
            <w:shd w:val="clear" w:color="auto" w:fill="auto"/>
          </w:tcPr>
          <w:p w:rsidR="00E97EDA" w:rsidRPr="00D766FA" w:rsidP="00D766FA">
            <w:pPr>
              <w:spacing w:before="40" w:after="40" w:line="200" w:lineRule="exact"/>
              <w:rPr>
                <w:rFonts w:cs="FrankRuehl"/>
                <w:b/>
                <w:bCs/>
                <w:sz w:val="20"/>
                <w:szCs w:val="20"/>
                <w:rtl/>
                <w:lang w:eastAsia="he-IL"/>
              </w:rPr>
            </w:pPr>
            <w:r w:rsidRPr="00D766FA">
              <w:rPr>
                <w:rFonts w:cs="FrankRuehl" w:hint="cs"/>
                <w:b/>
                <w:bCs/>
                <w:sz w:val="20"/>
                <w:szCs w:val="20"/>
                <w:rtl/>
                <w:lang w:eastAsia="he-IL"/>
              </w:rPr>
              <w:t>7,070</w:t>
            </w:r>
          </w:p>
        </w:tc>
      </w:tr>
      <w:tr w:rsidTr="00D23931">
        <w:tblPrEx>
          <w:tblW w:w="6691" w:type="dxa"/>
          <w:jc w:val="center"/>
          <w:tblCellMar>
            <w:left w:w="57" w:type="dxa"/>
            <w:right w:w="57" w:type="dxa"/>
          </w:tblCellMar>
          <w:tblLook w:val="01E0"/>
        </w:tblPrEx>
        <w:trPr>
          <w:jc w:val="center"/>
        </w:trPr>
        <w:tc>
          <w:tcPr>
            <w:tcW w:w="0" w:type="auto"/>
            <w:shd w:val="clear" w:color="auto" w:fill="auto"/>
            <w:vAlign w:val="center"/>
          </w:tcPr>
          <w:p w:rsidR="00E97EDA" w:rsidRPr="00D766FA" w:rsidP="00D766FA">
            <w:pPr>
              <w:tabs>
                <w:tab w:val="left" w:pos="1471"/>
              </w:tabs>
              <w:spacing w:before="40" w:after="40" w:line="200" w:lineRule="exact"/>
              <w:rPr>
                <w:rFonts w:ascii="Calibri" w:hAnsi="Calibri" w:cs="FrankRuehl"/>
                <w:sz w:val="20"/>
                <w:szCs w:val="20"/>
                <w:rtl/>
                <w:lang w:eastAsia="he-IL"/>
              </w:rPr>
            </w:pPr>
            <w:r w:rsidRPr="00D766FA">
              <w:rPr>
                <w:rFonts w:cs="FrankRuehl" w:hint="cs"/>
                <w:sz w:val="20"/>
                <w:szCs w:val="20"/>
                <w:rtl/>
                <w:lang w:eastAsia="he-IL"/>
              </w:rPr>
              <w:t xml:space="preserve">הערכת השטח שייבנה </w:t>
            </w:r>
            <w:r w:rsidRPr="00D766FA" w:rsidR="00D766FA">
              <w:rPr>
                <w:rFonts w:cs="FrankRuehl"/>
                <w:sz w:val="20"/>
                <w:szCs w:val="20"/>
                <w:lang w:eastAsia="he-IL"/>
              </w:rPr>
              <w:br/>
            </w:r>
            <w:r w:rsidRPr="00D766FA">
              <w:rPr>
                <w:rFonts w:cs="FrankRuehl" w:hint="cs"/>
                <w:sz w:val="20"/>
                <w:szCs w:val="20"/>
                <w:rtl/>
                <w:lang w:eastAsia="he-IL"/>
              </w:rPr>
              <w:t xml:space="preserve">כתוספת ליח"ד קיימות </w:t>
            </w:r>
            <w:r w:rsidRPr="00D766FA" w:rsidR="00D766FA">
              <w:rPr>
                <w:rFonts w:cs="FrankRuehl"/>
                <w:sz w:val="20"/>
                <w:szCs w:val="20"/>
                <w:lang w:eastAsia="he-IL"/>
              </w:rPr>
              <w:br/>
            </w:r>
            <w:r w:rsidRPr="00D766FA">
              <w:rPr>
                <w:rFonts w:cs="FrankRuehl" w:hint="cs"/>
                <w:sz w:val="20"/>
                <w:szCs w:val="20"/>
                <w:rtl/>
                <w:lang w:eastAsia="he-IL"/>
              </w:rPr>
              <w:t>(6% משטח הבנייה הנדרש)</w:t>
            </w:r>
          </w:p>
        </w:tc>
        <w:tc>
          <w:tcPr>
            <w:tcW w:w="0" w:type="auto"/>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76</w:t>
            </w:r>
          </w:p>
        </w:tc>
        <w:tc>
          <w:tcPr>
            <w:tcW w:w="0" w:type="auto"/>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59</w:t>
            </w:r>
          </w:p>
        </w:tc>
        <w:tc>
          <w:tcPr>
            <w:tcW w:w="0" w:type="auto"/>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47</w:t>
            </w:r>
          </w:p>
        </w:tc>
        <w:tc>
          <w:tcPr>
            <w:tcW w:w="0" w:type="auto"/>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86</w:t>
            </w:r>
          </w:p>
        </w:tc>
        <w:tc>
          <w:tcPr>
            <w:tcW w:w="0" w:type="auto"/>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113</w:t>
            </w:r>
          </w:p>
        </w:tc>
        <w:tc>
          <w:tcPr>
            <w:tcW w:w="0" w:type="auto"/>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43</w:t>
            </w:r>
          </w:p>
        </w:tc>
        <w:tc>
          <w:tcPr>
            <w:tcW w:w="0" w:type="auto"/>
            <w:tcBorders>
              <w:top w:val="nil"/>
              <w:bottom w:val="nil"/>
            </w:tcBorders>
            <w:shd w:val="clear" w:color="auto" w:fill="auto"/>
          </w:tcPr>
          <w:p w:rsidR="00E97EDA" w:rsidRPr="00D766FA" w:rsidP="00D766FA">
            <w:pPr>
              <w:spacing w:before="40" w:after="40" w:line="200" w:lineRule="exact"/>
              <w:rPr>
                <w:rFonts w:cs="FrankRuehl"/>
                <w:b/>
                <w:bCs/>
                <w:sz w:val="20"/>
                <w:szCs w:val="20"/>
                <w:rtl/>
                <w:lang w:eastAsia="he-IL"/>
              </w:rPr>
            </w:pPr>
            <w:r w:rsidRPr="00D766FA">
              <w:rPr>
                <w:rFonts w:cs="FrankRuehl" w:hint="cs"/>
                <w:b/>
                <w:bCs/>
                <w:sz w:val="20"/>
                <w:szCs w:val="20"/>
                <w:rtl/>
                <w:lang w:eastAsia="he-IL"/>
              </w:rPr>
              <w:t>424</w:t>
            </w:r>
          </w:p>
        </w:tc>
      </w:tr>
      <w:tr w:rsidTr="00D23931">
        <w:tblPrEx>
          <w:tblW w:w="6691" w:type="dxa"/>
          <w:jc w:val="center"/>
          <w:tblCellMar>
            <w:left w:w="57" w:type="dxa"/>
            <w:right w:w="57" w:type="dxa"/>
          </w:tblCellMar>
          <w:tblLook w:val="01E0"/>
        </w:tblPrEx>
        <w:trPr>
          <w:jc w:val="center"/>
        </w:trPr>
        <w:tc>
          <w:tcPr>
            <w:tcW w:w="0" w:type="auto"/>
            <w:shd w:val="clear" w:color="auto" w:fill="auto"/>
            <w:vAlign w:val="center"/>
          </w:tcPr>
          <w:p w:rsidR="00E97EDA" w:rsidRPr="00D766FA" w:rsidP="00D766FA">
            <w:pPr>
              <w:spacing w:before="40" w:after="40" w:line="200" w:lineRule="exact"/>
              <w:rPr>
                <w:rFonts w:ascii="Calibri" w:hAnsi="Calibri" w:cs="FrankRuehl"/>
                <w:sz w:val="20"/>
                <w:szCs w:val="20"/>
                <w:rtl/>
                <w:lang w:eastAsia="he-IL"/>
              </w:rPr>
            </w:pPr>
            <w:r>
              <w:rPr>
                <w:rFonts w:cs="FrankRuehl" w:hint="cs"/>
                <w:sz w:val="20"/>
                <w:szCs w:val="20"/>
                <w:rtl/>
                <w:lang w:eastAsia="he-IL"/>
              </w:rPr>
              <w:t xml:space="preserve">יתרת </w:t>
            </w:r>
            <w:r w:rsidRPr="00D766FA">
              <w:rPr>
                <w:rFonts w:cs="FrankRuehl" w:hint="cs"/>
                <w:sz w:val="20"/>
                <w:szCs w:val="20"/>
                <w:rtl/>
                <w:lang w:eastAsia="he-IL"/>
              </w:rPr>
              <w:t xml:space="preserve">שטח הבנייה הנדרש </w:t>
            </w:r>
            <w:r w:rsidRPr="00D766FA" w:rsidR="00D766FA">
              <w:rPr>
                <w:rFonts w:cs="FrankRuehl"/>
                <w:sz w:val="20"/>
                <w:szCs w:val="20"/>
                <w:lang w:eastAsia="he-IL"/>
              </w:rPr>
              <w:br/>
            </w:r>
            <w:r w:rsidRPr="00D766FA">
              <w:rPr>
                <w:rFonts w:cs="FrankRuehl" w:hint="cs"/>
                <w:sz w:val="20"/>
                <w:szCs w:val="20"/>
                <w:rtl/>
                <w:lang w:eastAsia="he-IL"/>
              </w:rPr>
              <w:t>ליח"ד חדשות</w:t>
            </w:r>
            <w:r w:rsidRPr="00D766FA" w:rsidR="00D766FA">
              <w:rPr>
                <w:rFonts w:cs="FrankRuehl"/>
                <w:sz w:val="20"/>
                <w:szCs w:val="20"/>
                <w:lang w:eastAsia="he-IL"/>
              </w:rPr>
              <w:t xml:space="preserve"> </w:t>
            </w:r>
            <w:r w:rsidRPr="00D766FA">
              <w:rPr>
                <w:rFonts w:cs="FrankRuehl" w:hint="cs"/>
                <w:sz w:val="20"/>
                <w:szCs w:val="20"/>
                <w:rtl/>
                <w:lang w:eastAsia="he-IL"/>
              </w:rPr>
              <w:t>(באלפי מ"ר)</w:t>
            </w:r>
          </w:p>
        </w:tc>
        <w:tc>
          <w:tcPr>
            <w:tcW w:w="0" w:type="auto"/>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1,184</w:t>
            </w:r>
          </w:p>
        </w:tc>
        <w:tc>
          <w:tcPr>
            <w:tcW w:w="0" w:type="auto"/>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931</w:t>
            </w:r>
          </w:p>
        </w:tc>
        <w:tc>
          <w:tcPr>
            <w:tcW w:w="0" w:type="auto"/>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743</w:t>
            </w:r>
          </w:p>
        </w:tc>
        <w:tc>
          <w:tcPr>
            <w:tcW w:w="0" w:type="auto"/>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1,344</w:t>
            </w:r>
          </w:p>
        </w:tc>
        <w:tc>
          <w:tcPr>
            <w:tcW w:w="0" w:type="auto"/>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1,767</w:t>
            </w:r>
          </w:p>
        </w:tc>
        <w:tc>
          <w:tcPr>
            <w:tcW w:w="0" w:type="auto"/>
            <w:shd w:val="clear" w:color="auto" w:fill="auto"/>
          </w:tcPr>
          <w:p w:rsidR="00E97EDA" w:rsidRPr="00D766FA" w:rsidP="00D766FA">
            <w:pPr>
              <w:spacing w:before="40" w:after="40" w:line="200" w:lineRule="exact"/>
              <w:rPr>
                <w:rFonts w:cs="FrankRuehl"/>
                <w:sz w:val="20"/>
                <w:szCs w:val="20"/>
                <w:rtl/>
                <w:lang w:eastAsia="he-IL"/>
              </w:rPr>
            </w:pPr>
            <w:r w:rsidRPr="00D766FA">
              <w:rPr>
                <w:rFonts w:cs="FrankRuehl" w:hint="cs"/>
                <w:sz w:val="20"/>
                <w:szCs w:val="20"/>
                <w:rtl/>
                <w:lang w:eastAsia="he-IL"/>
              </w:rPr>
              <w:t>677</w:t>
            </w:r>
          </w:p>
        </w:tc>
        <w:tc>
          <w:tcPr>
            <w:tcW w:w="0" w:type="auto"/>
            <w:tcBorders>
              <w:top w:val="nil"/>
              <w:bottom w:val="nil"/>
            </w:tcBorders>
            <w:shd w:val="clear" w:color="auto" w:fill="auto"/>
          </w:tcPr>
          <w:p w:rsidR="00E97EDA" w:rsidRPr="00D766FA" w:rsidP="00D766FA">
            <w:pPr>
              <w:spacing w:before="40" w:after="40" w:line="200" w:lineRule="exact"/>
              <w:rPr>
                <w:rFonts w:cs="FrankRuehl"/>
                <w:b/>
                <w:bCs/>
                <w:sz w:val="20"/>
                <w:szCs w:val="20"/>
                <w:rtl/>
                <w:lang w:eastAsia="he-IL"/>
              </w:rPr>
            </w:pPr>
            <w:r w:rsidRPr="00D766FA">
              <w:rPr>
                <w:rFonts w:cs="FrankRuehl" w:hint="cs"/>
                <w:b/>
                <w:bCs/>
                <w:sz w:val="20"/>
                <w:szCs w:val="20"/>
                <w:rtl/>
                <w:lang w:eastAsia="he-IL"/>
              </w:rPr>
              <w:t>6,646</w:t>
            </w:r>
          </w:p>
        </w:tc>
      </w:tr>
      <w:tr w:rsidTr="00D23931">
        <w:tblPrEx>
          <w:tblW w:w="6691" w:type="dxa"/>
          <w:jc w:val="center"/>
          <w:tblCellMar>
            <w:left w:w="57" w:type="dxa"/>
            <w:right w:w="57" w:type="dxa"/>
          </w:tblCellMar>
          <w:tblLook w:val="01E0"/>
        </w:tblPrEx>
        <w:trPr>
          <w:jc w:val="center"/>
        </w:trPr>
        <w:tc>
          <w:tcPr>
            <w:tcW w:w="0" w:type="auto"/>
            <w:shd w:val="clear" w:color="auto" w:fill="auto"/>
            <w:vAlign w:val="center"/>
          </w:tcPr>
          <w:p w:rsidR="00E97EDA" w:rsidRPr="00D766FA" w:rsidP="00D30BB1">
            <w:pPr>
              <w:spacing w:before="40" w:after="40" w:line="200" w:lineRule="exact"/>
              <w:rPr>
                <w:rFonts w:cs="FrankRuehl"/>
                <w:b/>
                <w:bCs/>
                <w:sz w:val="20"/>
                <w:szCs w:val="20"/>
                <w:rtl/>
                <w:lang w:eastAsia="he-IL"/>
              </w:rPr>
            </w:pPr>
            <w:r w:rsidRPr="00D766FA">
              <w:rPr>
                <w:rFonts w:cs="FrankRuehl" w:hint="cs"/>
                <w:b/>
                <w:bCs/>
                <w:sz w:val="20"/>
                <w:szCs w:val="20"/>
                <w:rtl/>
                <w:lang w:eastAsia="he-IL"/>
              </w:rPr>
              <w:t xml:space="preserve">מספר יח"ד חדשות </w:t>
            </w:r>
            <w:r w:rsidR="00D766FA">
              <w:rPr>
                <w:rFonts w:cs="FrankRuehl"/>
                <w:b/>
                <w:bCs/>
                <w:sz w:val="20"/>
                <w:szCs w:val="20"/>
                <w:lang w:eastAsia="he-IL"/>
              </w:rPr>
              <w:br/>
            </w:r>
            <w:r w:rsidRPr="00D766FA">
              <w:rPr>
                <w:rFonts w:cs="FrankRuehl" w:hint="cs"/>
                <w:b/>
                <w:bCs/>
                <w:sz w:val="20"/>
                <w:szCs w:val="20"/>
                <w:rtl/>
                <w:lang w:eastAsia="he-IL"/>
              </w:rPr>
              <w:t>הנדרש בכל שנה</w:t>
            </w:r>
            <w:r w:rsidRPr="00D766FA" w:rsidR="00D30BB1">
              <w:rPr>
                <w:rFonts w:cs="FrankRuehl" w:hint="cs"/>
                <w:b/>
                <w:bCs/>
                <w:sz w:val="20"/>
                <w:szCs w:val="20"/>
                <w:rtl/>
                <w:lang w:eastAsia="he-IL"/>
              </w:rPr>
              <w:t>*</w:t>
            </w:r>
            <w:r w:rsidRPr="00D766FA">
              <w:rPr>
                <w:rFonts w:cs="FrankRuehl" w:hint="cs"/>
                <w:b/>
                <w:bCs/>
                <w:sz w:val="20"/>
                <w:szCs w:val="20"/>
                <w:rtl/>
                <w:lang w:eastAsia="he-IL"/>
              </w:rPr>
              <w:t xml:space="preserve"> </w:t>
            </w:r>
            <w:r w:rsidR="00D766FA">
              <w:rPr>
                <w:rFonts w:cs="FrankRuehl"/>
                <w:b/>
                <w:bCs/>
                <w:sz w:val="20"/>
                <w:szCs w:val="20"/>
                <w:lang w:eastAsia="he-IL"/>
              </w:rPr>
              <w:br/>
            </w:r>
            <w:r w:rsidRPr="00D766FA">
              <w:rPr>
                <w:rFonts w:cs="FrankRuehl" w:hint="cs"/>
                <w:b/>
                <w:bCs/>
                <w:sz w:val="20"/>
                <w:szCs w:val="20"/>
                <w:rtl/>
                <w:lang w:eastAsia="he-IL"/>
              </w:rPr>
              <w:t>(לשנים</w:t>
            </w:r>
            <w:r w:rsidR="00D766FA">
              <w:rPr>
                <w:rFonts w:cs="FrankRuehl"/>
                <w:b/>
                <w:bCs/>
                <w:sz w:val="20"/>
                <w:szCs w:val="20"/>
                <w:lang w:eastAsia="he-IL"/>
              </w:rPr>
              <w:t xml:space="preserve"> </w:t>
            </w:r>
            <w:r w:rsidRPr="00D766FA">
              <w:rPr>
                <w:rFonts w:cs="FrankRuehl" w:hint="cs"/>
                <w:b/>
                <w:bCs/>
                <w:sz w:val="20"/>
                <w:szCs w:val="20"/>
                <w:rtl/>
                <w:lang w:eastAsia="he-IL"/>
              </w:rPr>
              <w:t xml:space="preserve">2020-1999, </w:t>
            </w:r>
            <w:r w:rsidR="00D766FA">
              <w:rPr>
                <w:rFonts w:cs="FrankRuehl"/>
                <w:b/>
                <w:bCs/>
                <w:sz w:val="20"/>
                <w:szCs w:val="20"/>
                <w:lang w:eastAsia="he-IL"/>
              </w:rPr>
              <w:br/>
            </w:r>
            <w:r w:rsidRPr="00D766FA">
              <w:rPr>
                <w:rFonts w:cs="FrankRuehl" w:hint="cs"/>
                <w:b/>
                <w:bCs/>
                <w:sz w:val="20"/>
                <w:szCs w:val="20"/>
                <w:rtl/>
                <w:lang w:eastAsia="he-IL"/>
              </w:rPr>
              <w:t xml:space="preserve">לפי 148 מ"ר </w:t>
            </w:r>
            <w:r w:rsidR="00D766FA">
              <w:rPr>
                <w:rFonts w:cs="FrankRuehl"/>
                <w:b/>
                <w:bCs/>
                <w:sz w:val="20"/>
                <w:szCs w:val="20"/>
                <w:lang w:eastAsia="he-IL"/>
              </w:rPr>
              <w:br/>
            </w:r>
            <w:r w:rsidRPr="00D766FA">
              <w:rPr>
                <w:rFonts w:cs="FrankRuehl" w:hint="cs"/>
                <w:b/>
                <w:bCs/>
                <w:sz w:val="20"/>
                <w:szCs w:val="20"/>
                <w:rtl/>
                <w:lang w:eastAsia="he-IL"/>
              </w:rPr>
              <w:t>בממוצע ליחידה)</w:t>
            </w:r>
          </w:p>
        </w:tc>
        <w:tc>
          <w:tcPr>
            <w:tcW w:w="0" w:type="auto"/>
            <w:shd w:val="clear" w:color="auto" w:fill="auto"/>
          </w:tcPr>
          <w:p w:rsidR="00E97EDA" w:rsidRPr="00D766FA" w:rsidP="00D766FA">
            <w:pPr>
              <w:spacing w:before="40" w:after="40" w:line="200" w:lineRule="exact"/>
              <w:rPr>
                <w:rFonts w:cs="FrankRuehl"/>
                <w:b/>
                <w:bCs/>
                <w:sz w:val="20"/>
                <w:szCs w:val="20"/>
                <w:rtl/>
                <w:lang w:eastAsia="he-IL"/>
              </w:rPr>
            </w:pPr>
            <w:r w:rsidRPr="00D766FA">
              <w:rPr>
                <w:rFonts w:cs="FrankRuehl" w:hint="cs"/>
                <w:b/>
                <w:bCs/>
                <w:sz w:val="20"/>
                <w:szCs w:val="20"/>
                <w:rtl/>
                <w:lang w:eastAsia="he-IL"/>
              </w:rPr>
              <w:t>8,000</w:t>
            </w:r>
            <w:r w:rsidR="00D766FA">
              <w:rPr>
                <w:rFonts w:cs="FrankRuehl"/>
                <w:b/>
                <w:bCs/>
                <w:sz w:val="20"/>
                <w:szCs w:val="20"/>
                <w:lang w:eastAsia="he-IL"/>
              </w:rPr>
              <w:br/>
            </w:r>
            <w:r w:rsidRPr="00D766FA">
              <w:rPr>
                <w:rFonts w:cs="FrankRuehl" w:hint="cs"/>
                <w:b/>
                <w:bCs/>
                <w:sz w:val="20"/>
                <w:szCs w:val="20"/>
                <w:rtl/>
                <w:lang w:eastAsia="he-IL"/>
              </w:rPr>
              <w:t>(18%)</w:t>
            </w:r>
          </w:p>
        </w:tc>
        <w:tc>
          <w:tcPr>
            <w:tcW w:w="0" w:type="auto"/>
            <w:shd w:val="clear" w:color="auto" w:fill="auto"/>
          </w:tcPr>
          <w:p w:rsidR="00E97EDA" w:rsidRPr="00D766FA" w:rsidP="00D766FA">
            <w:pPr>
              <w:spacing w:before="40" w:after="40" w:line="200" w:lineRule="exact"/>
              <w:rPr>
                <w:rFonts w:cs="FrankRuehl"/>
                <w:b/>
                <w:bCs/>
                <w:sz w:val="20"/>
                <w:szCs w:val="20"/>
                <w:rtl/>
                <w:lang w:eastAsia="he-IL"/>
              </w:rPr>
            </w:pPr>
            <w:r w:rsidRPr="00D766FA">
              <w:rPr>
                <w:rFonts w:cs="FrankRuehl" w:hint="cs"/>
                <w:b/>
                <w:bCs/>
                <w:sz w:val="20"/>
                <w:szCs w:val="20"/>
                <w:rtl/>
                <w:lang w:eastAsia="he-IL"/>
              </w:rPr>
              <w:t>6,290</w:t>
            </w:r>
            <w:r w:rsidR="00D766FA">
              <w:rPr>
                <w:rFonts w:cs="FrankRuehl"/>
                <w:b/>
                <w:bCs/>
                <w:sz w:val="20"/>
                <w:szCs w:val="20"/>
                <w:lang w:eastAsia="he-IL"/>
              </w:rPr>
              <w:br/>
            </w:r>
            <w:r w:rsidRPr="00D766FA">
              <w:rPr>
                <w:rFonts w:cs="FrankRuehl" w:hint="cs"/>
                <w:b/>
                <w:bCs/>
                <w:sz w:val="20"/>
                <w:szCs w:val="20"/>
                <w:rtl/>
                <w:lang w:eastAsia="he-IL"/>
              </w:rPr>
              <w:t>(14%)</w:t>
            </w:r>
          </w:p>
        </w:tc>
        <w:tc>
          <w:tcPr>
            <w:tcW w:w="0" w:type="auto"/>
            <w:shd w:val="clear" w:color="auto" w:fill="auto"/>
          </w:tcPr>
          <w:p w:rsidR="00E97EDA" w:rsidRPr="00D766FA" w:rsidP="00D766FA">
            <w:pPr>
              <w:spacing w:before="40" w:after="40" w:line="200" w:lineRule="exact"/>
              <w:rPr>
                <w:rFonts w:cs="FrankRuehl"/>
                <w:b/>
                <w:bCs/>
                <w:sz w:val="20"/>
                <w:szCs w:val="20"/>
                <w:rtl/>
                <w:lang w:eastAsia="he-IL"/>
              </w:rPr>
            </w:pPr>
            <w:r w:rsidRPr="00D766FA">
              <w:rPr>
                <w:rFonts w:cs="FrankRuehl" w:hint="cs"/>
                <w:b/>
                <w:bCs/>
                <w:sz w:val="20"/>
                <w:szCs w:val="20"/>
                <w:rtl/>
                <w:lang w:eastAsia="he-IL"/>
              </w:rPr>
              <w:t>5,020</w:t>
            </w:r>
            <w:r w:rsidR="00D766FA">
              <w:rPr>
                <w:rFonts w:cs="FrankRuehl"/>
                <w:b/>
                <w:bCs/>
                <w:sz w:val="20"/>
                <w:szCs w:val="20"/>
                <w:lang w:eastAsia="he-IL"/>
              </w:rPr>
              <w:br/>
            </w:r>
            <w:r w:rsidRPr="00D766FA">
              <w:rPr>
                <w:rFonts w:cs="FrankRuehl" w:hint="cs"/>
                <w:b/>
                <w:bCs/>
                <w:sz w:val="20"/>
                <w:szCs w:val="20"/>
                <w:rtl/>
                <w:lang w:eastAsia="he-IL"/>
              </w:rPr>
              <w:t>(11%)</w:t>
            </w:r>
          </w:p>
        </w:tc>
        <w:tc>
          <w:tcPr>
            <w:tcW w:w="0" w:type="auto"/>
            <w:shd w:val="clear" w:color="auto" w:fill="auto"/>
          </w:tcPr>
          <w:p w:rsidR="00E97EDA" w:rsidRPr="00D766FA" w:rsidP="00D766FA">
            <w:pPr>
              <w:spacing w:before="40" w:after="40" w:line="200" w:lineRule="exact"/>
              <w:rPr>
                <w:rFonts w:cs="FrankRuehl"/>
                <w:b/>
                <w:bCs/>
                <w:sz w:val="20"/>
                <w:szCs w:val="20"/>
                <w:rtl/>
                <w:lang w:eastAsia="he-IL"/>
              </w:rPr>
            </w:pPr>
            <w:r w:rsidRPr="00D766FA">
              <w:rPr>
                <w:rFonts w:cs="FrankRuehl" w:hint="cs"/>
                <w:b/>
                <w:bCs/>
                <w:sz w:val="20"/>
                <w:szCs w:val="20"/>
                <w:rtl/>
                <w:lang w:eastAsia="he-IL"/>
              </w:rPr>
              <w:t>9,081</w:t>
            </w:r>
            <w:r w:rsidR="00D766FA">
              <w:rPr>
                <w:rFonts w:cs="FrankRuehl"/>
                <w:b/>
                <w:bCs/>
                <w:sz w:val="20"/>
                <w:szCs w:val="20"/>
                <w:lang w:eastAsia="he-IL"/>
              </w:rPr>
              <w:br/>
            </w:r>
            <w:r w:rsidRPr="00D766FA">
              <w:rPr>
                <w:rFonts w:cs="FrankRuehl" w:hint="cs"/>
                <w:b/>
                <w:bCs/>
                <w:sz w:val="20"/>
                <w:szCs w:val="20"/>
                <w:rtl/>
                <w:lang w:eastAsia="he-IL"/>
              </w:rPr>
              <w:t>(20%)</w:t>
            </w:r>
          </w:p>
        </w:tc>
        <w:tc>
          <w:tcPr>
            <w:tcW w:w="0" w:type="auto"/>
            <w:shd w:val="clear" w:color="auto" w:fill="auto"/>
          </w:tcPr>
          <w:p w:rsidR="00E97EDA" w:rsidRPr="00D766FA" w:rsidP="00D766FA">
            <w:pPr>
              <w:spacing w:before="40" w:after="40" w:line="200" w:lineRule="exact"/>
              <w:rPr>
                <w:rFonts w:cs="FrankRuehl"/>
                <w:b/>
                <w:bCs/>
                <w:sz w:val="20"/>
                <w:szCs w:val="20"/>
                <w:rtl/>
                <w:lang w:eastAsia="he-IL"/>
              </w:rPr>
            </w:pPr>
            <w:r w:rsidRPr="00D766FA">
              <w:rPr>
                <w:rFonts w:cs="FrankRuehl" w:hint="cs"/>
                <w:b/>
                <w:bCs/>
                <w:sz w:val="20"/>
                <w:szCs w:val="20"/>
                <w:rtl/>
                <w:lang w:eastAsia="he-IL"/>
              </w:rPr>
              <w:t>11,939</w:t>
            </w:r>
            <w:r w:rsidR="00D766FA">
              <w:rPr>
                <w:rFonts w:cs="FrankRuehl"/>
                <w:b/>
                <w:bCs/>
                <w:sz w:val="20"/>
                <w:szCs w:val="20"/>
                <w:lang w:eastAsia="he-IL"/>
              </w:rPr>
              <w:br/>
            </w:r>
            <w:r w:rsidRPr="00D766FA">
              <w:rPr>
                <w:rFonts w:cs="FrankRuehl" w:hint="cs"/>
                <w:b/>
                <w:bCs/>
                <w:sz w:val="20"/>
                <w:szCs w:val="20"/>
                <w:rtl/>
                <w:lang w:eastAsia="he-IL"/>
              </w:rPr>
              <w:t>(27%)</w:t>
            </w:r>
          </w:p>
        </w:tc>
        <w:tc>
          <w:tcPr>
            <w:tcW w:w="0" w:type="auto"/>
            <w:shd w:val="clear" w:color="auto" w:fill="auto"/>
          </w:tcPr>
          <w:p w:rsidR="00E97EDA" w:rsidRPr="00D766FA" w:rsidP="00D766FA">
            <w:pPr>
              <w:spacing w:before="40" w:after="40" w:line="200" w:lineRule="exact"/>
              <w:rPr>
                <w:rFonts w:cs="FrankRuehl"/>
                <w:b/>
                <w:bCs/>
                <w:sz w:val="20"/>
                <w:szCs w:val="20"/>
                <w:rtl/>
                <w:lang w:eastAsia="he-IL"/>
              </w:rPr>
            </w:pPr>
            <w:r w:rsidRPr="00D766FA">
              <w:rPr>
                <w:rFonts w:cs="FrankRuehl" w:hint="cs"/>
                <w:b/>
                <w:bCs/>
                <w:sz w:val="20"/>
                <w:szCs w:val="20"/>
                <w:rtl/>
                <w:lang w:eastAsia="he-IL"/>
              </w:rPr>
              <w:t>4,574</w:t>
            </w:r>
            <w:r w:rsidR="00D766FA">
              <w:rPr>
                <w:rFonts w:cs="FrankRuehl"/>
                <w:b/>
                <w:bCs/>
                <w:sz w:val="20"/>
                <w:szCs w:val="20"/>
                <w:lang w:eastAsia="he-IL"/>
              </w:rPr>
              <w:br/>
            </w:r>
            <w:r w:rsidRPr="00D766FA">
              <w:rPr>
                <w:rFonts w:cs="FrankRuehl" w:hint="cs"/>
                <w:b/>
                <w:bCs/>
                <w:sz w:val="20"/>
                <w:szCs w:val="20"/>
                <w:rtl/>
                <w:lang w:eastAsia="he-IL"/>
              </w:rPr>
              <w:t>(10%)</w:t>
            </w:r>
          </w:p>
        </w:tc>
        <w:tc>
          <w:tcPr>
            <w:tcW w:w="0" w:type="auto"/>
            <w:tcBorders>
              <w:top w:val="nil"/>
              <w:bottom w:val="single" w:sz="12" w:space="0" w:color="auto"/>
            </w:tcBorders>
            <w:shd w:val="clear" w:color="auto" w:fill="auto"/>
          </w:tcPr>
          <w:p w:rsidR="00E97EDA" w:rsidRPr="00D766FA" w:rsidP="00D30BB1">
            <w:pPr>
              <w:spacing w:before="40" w:after="40" w:line="200" w:lineRule="exact"/>
              <w:rPr>
                <w:rFonts w:cs="FrankRuehl"/>
                <w:b/>
                <w:bCs/>
                <w:sz w:val="20"/>
                <w:szCs w:val="20"/>
                <w:rtl/>
                <w:lang w:eastAsia="he-IL"/>
              </w:rPr>
            </w:pPr>
            <w:r w:rsidRPr="00D766FA">
              <w:rPr>
                <w:rFonts w:cs="FrankRuehl" w:hint="cs"/>
                <w:b/>
                <w:bCs/>
                <w:sz w:val="20"/>
                <w:szCs w:val="20"/>
                <w:rtl/>
                <w:lang w:eastAsia="he-IL"/>
              </w:rPr>
              <w:t>44,90</w:t>
            </w:r>
            <w:r w:rsidR="00D30BB1">
              <w:rPr>
                <w:rFonts w:cs="FrankRuehl" w:hint="cs"/>
                <w:b/>
                <w:bCs/>
                <w:sz w:val="20"/>
                <w:szCs w:val="20"/>
                <w:rtl/>
                <w:lang w:eastAsia="he-IL"/>
              </w:rPr>
              <w:t>5</w:t>
            </w:r>
            <w:r w:rsidRPr="00D766FA" w:rsidR="00D766FA">
              <w:rPr>
                <w:rFonts w:cs="FrankRuehl"/>
                <w:b/>
                <w:bCs/>
                <w:sz w:val="20"/>
                <w:szCs w:val="20"/>
                <w:lang w:eastAsia="he-IL"/>
              </w:rPr>
              <w:br/>
            </w:r>
            <w:r w:rsidRPr="00D766FA">
              <w:rPr>
                <w:rFonts w:cs="FrankRuehl" w:hint="cs"/>
                <w:b/>
                <w:bCs/>
                <w:sz w:val="20"/>
                <w:szCs w:val="20"/>
                <w:rtl/>
                <w:lang w:eastAsia="he-IL"/>
              </w:rPr>
              <w:t>(100%)</w:t>
            </w:r>
          </w:p>
        </w:tc>
      </w:tr>
    </w:tbl>
    <w:p w:rsidR="00E97EDA" w:rsidRPr="00DD2098" w:rsidP="00DD2098">
      <w:pPr>
        <w:spacing w:before="120" w:after="120" w:line="200" w:lineRule="exact"/>
        <w:ind w:left="397" w:hanging="397"/>
        <w:jc w:val="both"/>
        <w:rPr>
          <w:rFonts w:cs="FrankRuehl"/>
          <w:sz w:val="20"/>
          <w:szCs w:val="20"/>
          <w:rtl/>
        </w:rPr>
      </w:pPr>
      <w:r w:rsidRPr="00DD2098">
        <w:rPr>
          <w:rFonts w:cs="FrankRuehl"/>
          <w:sz w:val="20"/>
          <w:szCs w:val="20"/>
          <w:rtl/>
        </w:rPr>
        <w:t xml:space="preserve">* </w:t>
      </w:r>
      <w:r w:rsidR="00DD2098">
        <w:rPr>
          <w:rFonts w:cs="FrankRuehl"/>
          <w:sz w:val="20"/>
          <w:szCs w:val="20"/>
        </w:rPr>
        <w:tab/>
      </w:r>
      <w:r w:rsidRPr="00DD2098">
        <w:rPr>
          <w:rFonts w:cs="FrankRuehl" w:hint="eastAsia"/>
          <w:sz w:val="20"/>
          <w:szCs w:val="20"/>
          <w:rtl/>
        </w:rPr>
        <w:t>לפי</w:t>
      </w:r>
      <w:r w:rsidRPr="00DD2098">
        <w:rPr>
          <w:rFonts w:cs="FrankRuehl"/>
          <w:sz w:val="20"/>
          <w:szCs w:val="20"/>
          <w:rtl/>
        </w:rPr>
        <w:t xml:space="preserve"> </w:t>
      </w:r>
      <w:r w:rsidRPr="00DD2098">
        <w:rPr>
          <w:rFonts w:cs="FrankRuehl" w:hint="eastAsia"/>
          <w:sz w:val="20"/>
          <w:szCs w:val="20"/>
          <w:rtl/>
        </w:rPr>
        <w:t>חישוב</w:t>
      </w:r>
      <w:r w:rsidRPr="00DD2098">
        <w:rPr>
          <w:rFonts w:cs="FrankRuehl"/>
          <w:sz w:val="20"/>
          <w:szCs w:val="20"/>
          <w:rtl/>
        </w:rPr>
        <w:t xml:space="preserve"> </w:t>
      </w:r>
      <w:r w:rsidRPr="00DD2098">
        <w:rPr>
          <w:rFonts w:cs="FrankRuehl" w:hint="eastAsia"/>
          <w:sz w:val="20"/>
          <w:szCs w:val="20"/>
          <w:rtl/>
        </w:rPr>
        <w:t>של</w:t>
      </w:r>
      <w:r w:rsidRPr="00DD2098">
        <w:rPr>
          <w:rFonts w:cs="FrankRuehl"/>
          <w:sz w:val="20"/>
          <w:szCs w:val="20"/>
          <w:rtl/>
        </w:rPr>
        <w:t xml:space="preserve"> </w:t>
      </w:r>
      <w:r w:rsidRPr="00DD2098">
        <w:rPr>
          <w:rFonts w:cs="FrankRuehl" w:hint="eastAsia"/>
          <w:sz w:val="20"/>
          <w:szCs w:val="20"/>
          <w:rtl/>
        </w:rPr>
        <w:t>משרד</w:t>
      </w:r>
      <w:r w:rsidRPr="00DD2098">
        <w:rPr>
          <w:rFonts w:cs="FrankRuehl"/>
          <w:sz w:val="20"/>
          <w:szCs w:val="20"/>
          <w:rtl/>
        </w:rPr>
        <w:t xml:space="preserve"> </w:t>
      </w:r>
      <w:r w:rsidRPr="00DD2098">
        <w:rPr>
          <w:rFonts w:cs="FrankRuehl" w:hint="eastAsia"/>
          <w:sz w:val="20"/>
          <w:szCs w:val="20"/>
          <w:rtl/>
        </w:rPr>
        <w:t>מבקר</w:t>
      </w:r>
      <w:r w:rsidRPr="00DD2098">
        <w:rPr>
          <w:rFonts w:cs="FrankRuehl"/>
          <w:sz w:val="20"/>
          <w:szCs w:val="20"/>
          <w:rtl/>
        </w:rPr>
        <w:t xml:space="preserve"> </w:t>
      </w:r>
      <w:r w:rsidRPr="00DD2098">
        <w:rPr>
          <w:rFonts w:cs="FrankRuehl" w:hint="eastAsia"/>
          <w:sz w:val="20"/>
          <w:szCs w:val="20"/>
          <w:rtl/>
        </w:rPr>
        <w:t>המדינה</w:t>
      </w:r>
      <w:r w:rsidR="00D30BB1">
        <w:rPr>
          <w:rFonts w:cs="FrankRuehl" w:hint="cs"/>
          <w:sz w:val="20"/>
          <w:szCs w:val="20"/>
          <w:rtl/>
        </w:rPr>
        <w:t xml:space="preserve"> (יתרת שטח הבנייה ליח"ד חדשות חלקי 148 מ"ר)</w:t>
      </w:r>
      <w:r w:rsidRPr="00DD2098">
        <w:rPr>
          <w:rFonts w:cs="FrankRuehl" w:hint="cs"/>
          <w:sz w:val="20"/>
          <w:szCs w:val="20"/>
          <w:rtl/>
        </w:rPr>
        <w:t>.</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יעדים שנקבעו בהחלטות ממשלה ובתכניות העבודה של מינהל התכנון</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כדי לתת מענה לצרכים שהגדירה תמ"א 35 ולאשר תכניות מפורטות בכמות הנדרשת בכל שנה, יש להכין תכניות עבודה שיציבו יעדים למוסדות התכנון ולגורמים היזמיים. על תכניות אלו לקבוע את התפוקות הרצויות ואת אמצעי המדידה שלהן והבקרה על השגתן. </w:t>
      </w:r>
    </w:p>
    <w:p w:rsidR="00E97EDA" w:rsidRPr="00F41E78" w:rsidP="00DD2098">
      <w:pPr>
        <w:spacing w:after="240" w:line="230" w:lineRule="exact"/>
        <w:jc w:val="both"/>
        <w:rPr>
          <w:rFonts w:cs="FrankRuehl"/>
          <w:sz w:val="18"/>
          <w:szCs w:val="22"/>
          <w:rtl/>
          <w:lang w:eastAsia="he-IL"/>
        </w:rPr>
      </w:pPr>
      <w:r w:rsidRPr="00F41E78">
        <w:rPr>
          <w:rFonts w:cs="FrankRuehl" w:hint="cs"/>
          <w:sz w:val="18"/>
          <w:szCs w:val="22"/>
          <w:rtl/>
          <w:lang w:eastAsia="he-IL"/>
        </w:rPr>
        <w:t xml:space="preserve">בחוברת עיקרי התקציב של משרד הפנים לשנת 2008 צוין כי משנת 2005 פעל מינהל התכנון על פי תכנית עבודה תלת-שנתית המשותפת לו, לרמ"י ולמשרד האוצר, שתכליתה ליצור מלאי תכנוני זמין לשיווק. בתכנית העבודה נקבעו כי יאושרו תכניות מפורטות הכוללות כ-75,000 יח"ד בכל אחת מהשנים 2007-2006 ו-50,000 יח"ד בשנת 2008 ובשנים שלאחריה. אולם מדוח של מינהל התכנון ממרץ 2008 עולה כי מוסדות התכנון אישרו בכל אחת משנים אלו פחות מ-40,000 יח"ד, דהיינו מספר הקטן מזה שנקבע בתמ"א 35 ומהנדרש על פי התכנית התלת-שנתית. </w:t>
      </w:r>
    </w:p>
    <w:p w:rsidR="00D22B16" w:rsidRPr="00F41E78" w:rsidP="00D22B16">
      <w:pPr>
        <w:pStyle w:val="RESHET"/>
        <w:keepLines/>
        <w:rPr>
          <w:rtl/>
        </w:rPr>
      </w:pPr>
      <w:r w:rsidRPr="00F41E78">
        <w:rPr>
          <w:rFonts w:hint="cs"/>
          <w:rtl/>
        </w:rPr>
        <w:t>יתרה מכך, נתונים מעודכנים של מינהל התכנון מלמדים שבכל אחת מהשנים 2010-2007 אושרו כ-24,000 יח"ד בלבד - 50% פחות מהצרכים על פי התמ"א ורק כ-33% מהקבוע בתכנית התלת-שנתית. בחוברת עיקרי התקציב האמורה צוין כי מינהל התכנון לא פעל לקביעת יעדים כמותיים לצורך אישור תכניות מפורטות בהיקפים שנדרשו ולא ביצע כל מעקב אחר אישורן.</w:t>
      </w:r>
    </w:p>
    <w:p w:rsidR="00E97EDA" w:rsidRPr="00F41E78" w:rsidP="00DD2098">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בעקבות ממצאים אלו הורתה הממשלה באוגוסט 2007 (בהחלטה מס' 2213) לשרי הפנים והאוצר למנות צוות בין-משרדי בראשות יו"ר המועצה הארצית, שיקבע יעדים כמותיים מינימליים לאישור יח"ד בתכניות מפורטות. כמו כן הורתה הממשלה ליו"ר המועצה הארצית להגיש לה הצעת החלטה בדבר היעדים שיגובשו ולדווח לה על יישום ההחלטה. </w:t>
      </w:r>
    </w:p>
    <w:p w:rsidR="00E97EDA" w:rsidRPr="00F41E78" w:rsidP="00DD2098">
      <w:pPr>
        <w:spacing w:after="240" w:line="230" w:lineRule="exact"/>
        <w:jc w:val="both"/>
        <w:rPr>
          <w:rFonts w:cs="FrankRuehl"/>
          <w:sz w:val="18"/>
          <w:szCs w:val="22"/>
          <w:rtl/>
          <w:lang w:eastAsia="he-IL"/>
        </w:rPr>
      </w:pPr>
      <w:r w:rsidRPr="00F41E78">
        <w:rPr>
          <w:rFonts w:cs="FrankRuehl" w:hint="cs"/>
          <w:sz w:val="18"/>
          <w:szCs w:val="22"/>
          <w:rtl/>
          <w:lang w:eastAsia="he-IL"/>
        </w:rPr>
        <w:t xml:space="preserve">באותו מועד גם הורתה הממשלה (בהחלטה מס' 2215) לצוות הבין-משרדי להביא בפניה תכנית חומש מוסכמת לתכנון ולפיתוח של קרקע למגורים ולתעסוקה, על בסיס תכניות העבודה ארוכות הטווח של משרדי הממשלה הנוגעים בדבר. גם בתכנית העבודה של מינהל התכנון לשנים </w:t>
      </w:r>
      <w:r w:rsidR="00FF71E2">
        <w:rPr>
          <w:rFonts w:cs="FrankRuehl"/>
          <w:sz w:val="18"/>
          <w:szCs w:val="22"/>
          <w:rtl/>
          <w:lang w:eastAsia="he-IL"/>
        </w:rPr>
        <w:br/>
      </w:r>
      <w:r w:rsidRPr="00F41E78">
        <w:rPr>
          <w:rFonts w:cs="FrankRuehl" w:hint="cs"/>
          <w:sz w:val="18"/>
          <w:szCs w:val="22"/>
          <w:rtl/>
          <w:lang w:eastAsia="he-IL"/>
        </w:rPr>
        <w:t xml:space="preserve">2010-2008 צוין כי </w:t>
      </w:r>
      <w:r w:rsidRPr="00F41E78">
        <w:rPr>
          <w:rFonts w:cs="FrankRuehl" w:hint="eastAsia"/>
          <w:sz w:val="18"/>
          <w:szCs w:val="22"/>
          <w:rtl/>
          <w:lang w:eastAsia="he-IL"/>
        </w:rPr>
        <w:t>נדרש</w:t>
      </w:r>
      <w:r w:rsidRPr="00F41E78">
        <w:rPr>
          <w:rFonts w:cs="FrankRuehl"/>
          <w:sz w:val="18"/>
          <w:szCs w:val="22"/>
          <w:rtl/>
          <w:lang w:eastAsia="he-IL"/>
        </w:rPr>
        <w:t xml:space="preserve"> </w:t>
      </w:r>
      <w:r w:rsidRPr="00F41E78">
        <w:rPr>
          <w:rFonts w:cs="FrankRuehl" w:hint="eastAsia"/>
          <w:sz w:val="18"/>
          <w:szCs w:val="22"/>
          <w:rtl/>
          <w:lang w:eastAsia="he-IL"/>
        </w:rPr>
        <w:t>תיאום</w:t>
      </w:r>
      <w:r w:rsidRPr="00F41E78">
        <w:rPr>
          <w:rFonts w:cs="FrankRuehl"/>
          <w:sz w:val="18"/>
          <w:szCs w:val="22"/>
          <w:rtl/>
          <w:lang w:eastAsia="he-IL"/>
        </w:rPr>
        <w:t xml:space="preserve"> הדוק יותר </w:t>
      </w:r>
      <w:r w:rsidR="00601C91">
        <w:rPr>
          <w:rFonts w:cs="FrankRuehl" w:hint="cs"/>
          <w:sz w:val="18"/>
          <w:szCs w:val="22"/>
          <w:rtl/>
          <w:lang w:eastAsia="he-IL"/>
        </w:rPr>
        <w:t xml:space="preserve">בין </w:t>
      </w:r>
      <w:r w:rsidRPr="00F41E78">
        <w:rPr>
          <w:rFonts w:cs="FrankRuehl" w:hint="cs"/>
          <w:sz w:val="18"/>
          <w:szCs w:val="22"/>
          <w:rtl/>
          <w:lang w:eastAsia="he-IL"/>
        </w:rPr>
        <w:t>יוזמות התכנון</w:t>
      </w:r>
      <w:r w:rsidRPr="00F41E78">
        <w:rPr>
          <w:rFonts w:cs="FrankRuehl"/>
          <w:sz w:val="18"/>
          <w:szCs w:val="22"/>
          <w:rtl/>
          <w:lang w:eastAsia="he-IL"/>
        </w:rPr>
        <w:t xml:space="preserve"> </w:t>
      </w:r>
      <w:r w:rsidRPr="00F41E78">
        <w:rPr>
          <w:rFonts w:cs="FrankRuehl" w:hint="eastAsia"/>
          <w:sz w:val="18"/>
          <w:szCs w:val="22"/>
          <w:rtl/>
          <w:lang w:eastAsia="he-IL"/>
        </w:rPr>
        <w:t>ובין</w:t>
      </w:r>
      <w:r w:rsidRPr="00F41E78">
        <w:rPr>
          <w:rFonts w:cs="FrankRuehl"/>
          <w:sz w:val="18"/>
          <w:szCs w:val="22"/>
          <w:rtl/>
          <w:lang w:eastAsia="he-IL"/>
        </w:rPr>
        <w:t xml:space="preserve"> </w:t>
      </w:r>
      <w:r w:rsidRPr="00F41E78">
        <w:rPr>
          <w:rFonts w:cs="FrankRuehl" w:hint="eastAsia"/>
          <w:sz w:val="18"/>
          <w:szCs w:val="22"/>
          <w:rtl/>
          <w:lang w:eastAsia="he-IL"/>
        </w:rPr>
        <w:t>מדיניות</w:t>
      </w:r>
      <w:r w:rsidRPr="00F41E78">
        <w:rPr>
          <w:rFonts w:cs="FrankRuehl"/>
          <w:sz w:val="18"/>
          <w:szCs w:val="22"/>
          <w:rtl/>
          <w:lang w:eastAsia="he-IL"/>
        </w:rPr>
        <w:t xml:space="preserve"> </w:t>
      </w:r>
      <w:r w:rsidRPr="00F41E78">
        <w:rPr>
          <w:rFonts w:cs="FrankRuehl" w:hint="eastAsia"/>
          <w:sz w:val="18"/>
          <w:szCs w:val="22"/>
          <w:rtl/>
          <w:lang w:eastAsia="he-IL"/>
        </w:rPr>
        <w:t>התכנון</w:t>
      </w:r>
      <w:r w:rsidRPr="00F41E78">
        <w:rPr>
          <w:rFonts w:cs="FrankRuehl" w:hint="cs"/>
          <w:sz w:val="18"/>
          <w:szCs w:val="22"/>
          <w:rtl/>
          <w:lang w:eastAsia="he-IL"/>
        </w:rPr>
        <w:t>. כמו כן הועלה הצורך לקדם תכניות מפורטות בסמוך למועד השיווק ולפתח אמצעי אסדרה שיקדמו את המימוש של תכניות מפורטות מאושרות.</w:t>
      </w:r>
    </w:p>
    <w:p w:rsidR="00D22B16" w:rsidRPr="00F41E78" w:rsidP="00D22B16">
      <w:pPr>
        <w:pStyle w:val="RESHET"/>
        <w:keepLines/>
        <w:rPr>
          <w:rtl/>
        </w:rPr>
      </w:pPr>
      <w:r w:rsidRPr="00F41E78">
        <w:rPr>
          <w:rFonts w:hint="cs"/>
          <w:rtl/>
        </w:rPr>
        <w:t xml:space="preserve">בדברי ההסבר שצורפו להצעת החלטה מס' 2215 צוין כי ייזום התכנון והפעולות לפיתוחה של הקרקע מפוזרים בין כמה גופים, לכן אין כל תפיסה אסטרטגית כוללת ומשולבת של הממשלה בנוגע לכיוונים וליעדים של הפיתוח הרצויים למדינה, ובמצב כזה משרדי הממשלה פועלים ללא תיאום כולל בסדרי העדיפויות. </w:t>
      </w:r>
    </w:p>
    <w:p w:rsidR="00D22B16" w:rsidRPr="00F41E78" w:rsidP="00D22B16">
      <w:pPr>
        <w:pStyle w:val="RESHET"/>
        <w:keepLines/>
        <w:rPr>
          <w:rtl/>
        </w:rPr>
      </w:pPr>
      <w:r w:rsidRPr="00F41E78">
        <w:rPr>
          <w:rFonts w:hint="cs"/>
          <w:rtl/>
        </w:rPr>
        <w:t xml:space="preserve">בביקורת נמצא כי אף לא אחת משתי החלטות הממשלה האמורות יושמה. בתכנית העבודה של מינהל התכנון לשנים 2010-2008 לא צוינו יעדים כמותיים לאישור יח"ד בתכניות מפורטות ולא גובשה הצעת החלטה לממשלה בנושא. יתרה מכך, לא גובשה תכנית חומש בין-משרדית לקביעת מדיניות כוללת בתחום פיתוח הקרקע למגורים ולתעסוקה. </w:t>
      </w:r>
    </w:p>
    <w:p w:rsidR="00E97EDA" w:rsidRPr="00F41E78" w:rsidP="00DD2098">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בתשובתו מסר משרד הפנים כי מינהל התכנון מנהל מעקב אחר תכנית עבודה שהוא הכין עם רמ"י ועם </w:t>
      </w:r>
      <w:r w:rsidR="00FF71E2">
        <w:rPr>
          <w:rFonts w:cs="FrankRuehl" w:hint="eastAsia"/>
          <w:sz w:val="18"/>
          <w:szCs w:val="22"/>
          <w:rtl/>
          <w:lang w:eastAsia="he-IL"/>
        </w:rPr>
        <w:t>משרדי הבינוי</w:t>
      </w:r>
      <w:r w:rsidRPr="00F41E78">
        <w:rPr>
          <w:rFonts w:cs="FrankRuehl"/>
          <w:sz w:val="18"/>
          <w:szCs w:val="22"/>
          <w:rtl/>
          <w:lang w:eastAsia="he-IL"/>
        </w:rPr>
        <w:t xml:space="preserve"> </w:t>
      </w:r>
      <w:r w:rsidRPr="00F41E78">
        <w:rPr>
          <w:rFonts w:cs="FrankRuehl" w:hint="cs"/>
          <w:sz w:val="18"/>
          <w:szCs w:val="22"/>
          <w:rtl/>
          <w:lang w:eastAsia="he-IL"/>
        </w:rPr>
        <w:t>והאוצר וכן בקרה על יישומה. עוד מסר כי הוא שוקד על הרחבת תכנית העבודה גם לשנים 2016-2015 כדי להגדיל באופן ניכר את היקף יחידות הדיור המתוכננות.</w:t>
      </w:r>
    </w:p>
    <w:p w:rsidR="00D22B16" w:rsidRPr="00F41E78" w:rsidP="00D22B16">
      <w:pPr>
        <w:pStyle w:val="RESHET"/>
        <w:keepLines/>
        <w:rPr>
          <w:rtl/>
        </w:rPr>
      </w:pPr>
      <w:r w:rsidRPr="00F41E78">
        <w:rPr>
          <w:rFonts w:hint="cs"/>
          <w:rtl/>
        </w:rPr>
        <w:t>לדעת משרד מבקר המדינה, ראוי שתכניות העבודה יוכנו גם בשיתוף משרדי ממשלה האחראים לפיתוח תשתיות, כמו משרד התחבורה ומשרד התשתיות הלאומיות, האנרגיה והמים.</w:t>
      </w:r>
    </w:p>
    <w:p w:rsidR="00E97EDA" w:rsidRPr="00F41E78" w:rsidP="00DD2098">
      <w:pPr>
        <w:spacing w:before="180" w:after="240" w:line="230" w:lineRule="exact"/>
        <w:jc w:val="both"/>
        <w:rPr>
          <w:rFonts w:cs="FrankRuehl"/>
          <w:sz w:val="18"/>
          <w:szCs w:val="22"/>
          <w:rtl/>
          <w:lang w:eastAsia="he-IL"/>
        </w:rPr>
      </w:pPr>
      <w:r w:rsidRPr="00F41E78">
        <w:rPr>
          <w:rFonts w:cs="FrankRuehl" w:hint="cs"/>
          <w:sz w:val="18"/>
          <w:szCs w:val="22"/>
          <w:rtl/>
          <w:lang w:eastAsia="he-IL"/>
        </w:rPr>
        <w:t>בשנים 2009-2007 לא קבעה הממשלה יעדים לתכנון יח"ד, כנדרש מהחלטותיה הקודמות. יתרה מזאת, באוגוסט 2008 החליטה הממשלה (החלטה מס' 3973) שלא ליזום תכניות מפורטות חדשות שמטרתן לשנות ייעוד של קרקע שאינה מיועדת לצורכי פיתוח, וזאת כדי ליישם את יעדי הפיתוח שנקבעו בתמ"א 35. בעקבות כך כמעט שלא אושרו תכניות מפורטות למגורים במחוז המרכז וגם התמעטו יזמות התכנון במחוז זה.</w:t>
      </w:r>
    </w:p>
    <w:p w:rsidR="00D22B16" w:rsidRPr="00F41E78" w:rsidP="00D22B16">
      <w:pPr>
        <w:pStyle w:val="RESHET"/>
        <w:keepLines/>
        <w:rPr>
          <w:rtl/>
        </w:rPr>
      </w:pPr>
      <w:r w:rsidRPr="00F41E78">
        <w:rPr>
          <w:rFonts w:hint="cs"/>
          <w:rtl/>
        </w:rPr>
        <w:t>במאי 2009 הורתה הממשלה (בהחלטה מס' 123) לשר הפנים לקבוע יעדים כמותיים למוסדות התכנון כדי לשווק לפחות 35,000 יח"ד בשנה, אך גם החלטה זו לא יושמה.</w:t>
      </w:r>
    </w:p>
    <w:p w:rsidR="00E97EDA" w:rsidRPr="00F41E78" w:rsidP="00DD2098">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ביולי 2010 החליטה הממשלה (בהחלטה מס' 1980) לבטל את החלטתה שלא ליזום תכניות מפורטות חדשות ושוב קבעה יעד לשיווק 35,000 יח"ד בשנה. בדברי ההסבר להצעת ההחלטה צוין כי הפתרון הראוי להוזלת מחירי הדיור הוא הגדלת היצע הדירות במשק. בהמשך להחלטה זו קבעה הממשלה באותו חודש (בהחלטה מס' 2019) יעדים כמותיים לאישור יח"ד במחוזות השונים, </w:t>
      </w:r>
      <w:r w:rsidRPr="00F41E78">
        <w:rPr>
          <w:rFonts w:cs="FrankRuehl" w:hint="cs"/>
          <w:sz w:val="18"/>
          <w:szCs w:val="22"/>
          <w:rtl/>
          <w:lang w:eastAsia="he-IL"/>
        </w:rPr>
        <w:t>ולפיהם יאושרו מדי שנה עד שנת היעד לפחות 60,000 יח"ד בכל הארץ</w:t>
      </w:r>
      <w:r>
        <w:rPr>
          <w:rFonts w:cs="FrankRuehl"/>
          <w:sz w:val="18"/>
          <w:szCs w:val="22"/>
          <w:vertAlign w:val="superscript"/>
          <w:rtl/>
          <w:lang w:eastAsia="he-IL"/>
        </w:rPr>
        <w:footnoteReference w:id="182"/>
      </w:r>
      <w:r w:rsidRPr="00F41E78">
        <w:rPr>
          <w:rFonts w:cs="FrankRuehl" w:hint="cs"/>
          <w:sz w:val="18"/>
          <w:szCs w:val="22"/>
          <w:rtl/>
          <w:lang w:eastAsia="he-IL"/>
        </w:rPr>
        <w:t xml:space="preserve">, דהיינו כ-50% יותר מסך יחידות הדיור הנדרש למשק מדי שנה (לפי אומדן תוספת משקי הבית של </w:t>
      </w:r>
      <w:r w:rsidRPr="00F41E78">
        <w:rPr>
          <w:rFonts w:cs="FrankRuehl" w:hint="eastAsia"/>
          <w:sz w:val="18"/>
          <w:szCs w:val="22"/>
          <w:rtl/>
          <w:lang w:eastAsia="he-IL"/>
        </w:rPr>
        <w:t>הלמ</w:t>
      </w:r>
      <w:r w:rsidRPr="00F41E78">
        <w:rPr>
          <w:rFonts w:cs="FrankRuehl"/>
          <w:sz w:val="18"/>
          <w:szCs w:val="22"/>
          <w:rtl/>
          <w:lang w:eastAsia="he-IL"/>
        </w:rPr>
        <w:t>"ס</w:t>
      </w:r>
      <w:r w:rsidRPr="00F41E78">
        <w:rPr>
          <w:rFonts w:cs="FrankRuehl" w:hint="cs"/>
          <w:sz w:val="18"/>
          <w:szCs w:val="22"/>
          <w:rtl/>
          <w:lang w:eastAsia="he-IL"/>
        </w:rPr>
        <w:t xml:space="preserve">). </w:t>
      </w:r>
    </w:p>
    <w:p w:rsidR="00D22B16" w:rsidRPr="00F41E78" w:rsidP="00D22B16">
      <w:pPr>
        <w:pStyle w:val="RESHET"/>
        <w:keepLines/>
        <w:rPr>
          <w:rtl/>
        </w:rPr>
      </w:pPr>
      <w:r w:rsidRPr="00F41E78">
        <w:rPr>
          <w:rFonts w:hint="cs"/>
          <w:rtl/>
        </w:rPr>
        <w:t>יוצא אפוא שרק כשלוש שנים לאחר שהוחלט לעשות כן, הממשלה קיבלה החלטה בעניין היעדים הכמותיים לאישור יח"ד בתכניות מפורטות.</w:t>
      </w:r>
    </w:p>
    <w:p w:rsidR="00D22B16" w:rsidRPr="00F41E78" w:rsidP="00D22B16">
      <w:pPr>
        <w:pStyle w:val="RESHET"/>
        <w:keepLines/>
        <w:rPr>
          <w:rtl/>
        </w:rPr>
      </w:pPr>
      <w:r w:rsidRPr="00F41E78">
        <w:rPr>
          <w:rFonts w:hint="cs"/>
          <w:rtl/>
        </w:rPr>
        <w:t xml:space="preserve">בביקורת נמצא כי בשנים 2011-2010 לא השיגו מוסדות התכנון את היעדים שקבעה הממשלה; בשנת 2010 אושרו כ-24,000 יח"ד בלבד ובשנת 2011 רק כ-33,000, דהיינו </w:t>
      </w:r>
      <w:r w:rsidR="00256A1C">
        <w:br/>
      </w:r>
      <w:r w:rsidRPr="00F41E78">
        <w:rPr>
          <w:rFonts w:hint="cs"/>
          <w:rtl/>
        </w:rPr>
        <w:t>כ-50% מיעדי הממשלה. רק בשנת 2012 חל גידול ניכר במספר יחידות הדיור המאושר</w:t>
      </w:r>
      <w:r w:rsidR="0008225D">
        <w:rPr>
          <w:rFonts w:hint="cs"/>
          <w:rtl/>
        </w:rPr>
        <w:t xml:space="preserve"> בתכניות מפורטות</w:t>
      </w:r>
      <w:r w:rsidRPr="00F41E78">
        <w:rPr>
          <w:rFonts w:hint="cs"/>
          <w:rtl/>
        </w:rPr>
        <w:t xml:space="preserve"> ומוסדות התכנון עמדו ביעדי הממשלה (ראו פירוט להלן). </w:t>
      </w:r>
    </w:p>
    <w:p w:rsidR="00E97EDA" w:rsidRPr="00F41E78" w:rsidP="00DD2098">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ביוני 2013 החליטה ועדת השרים לענייני דיור (החלטה מס' 367) </w:t>
      </w:r>
      <w:r w:rsidRPr="00F41E78">
        <w:rPr>
          <w:rFonts w:cs="FrankRuehl" w:hint="eastAsia"/>
          <w:sz w:val="18"/>
          <w:szCs w:val="22"/>
          <w:rtl/>
          <w:lang w:eastAsia="he-IL"/>
        </w:rPr>
        <w:t>ל</w:t>
      </w:r>
      <w:r w:rsidRPr="00F41E78">
        <w:rPr>
          <w:rFonts w:cs="FrankRuehl" w:hint="cs"/>
          <w:sz w:val="18"/>
          <w:szCs w:val="22"/>
          <w:rtl/>
          <w:lang w:eastAsia="he-IL"/>
        </w:rPr>
        <w:t>יזום על קרקעות המדינה תכניות מפורטות הכוללות לפחות 80,000 דירות, עד סוף 2014; 55,000 מהן יהיו באזורי הביקוש, כהגדרתם בהחלטה זו. עוד נקבע כי כדי לעמוד ביעדים אלו, על משרדי הממשלה לתת עדיפות לפרויקטים הדרושים.</w:t>
      </w:r>
    </w:p>
    <w:p w:rsidR="00D22B16" w:rsidRPr="00F41E78" w:rsidP="00D22B16">
      <w:pPr>
        <w:pStyle w:val="RESHET"/>
        <w:keepLines/>
        <w:rPr>
          <w:rtl/>
        </w:rPr>
      </w:pPr>
      <w:r w:rsidRPr="00F41E78">
        <w:rPr>
          <w:rFonts w:hint="cs"/>
          <w:rtl/>
        </w:rPr>
        <w:t>על משרד הפנים לבחון אם ההחלטה האמורה של הוועדה לענייני דיור מחייבת שינויים במדיניות התכנון הלאומית. כמו כן, עליו לבחון אם הליכי התכנון בוועדות המחוזיות יאפשרו להשיג יעדים אלו.</w:t>
      </w:r>
    </w:p>
    <w:p w:rsidR="00D22B16" w:rsidRPr="00F41E78" w:rsidP="00D22B16">
      <w:pPr>
        <w:pStyle w:val="RESHET"/>
        <w:keepLines/>
        <w:rPr>
          <w:rtl/>
        </w:rPr>
      </w:pPr>
      <w:r w:rsidRPr="00F41E78">
        <w:rPr>
          <w:rFonts w:hint="cs"/>
          <w:rtl/>
        </w:rPr>
        <w:t>מן האמור עולה כי במשך יותר מחמש שנים לא אושרו תכניות הכוללות מספר יח"ד על פי הצרכים שנקבעו בתמ"א 35. גם תכנית החומש לתיאום בין יזמות הפיתוח ובין התכנון טרם גובשה. מינהל התכנון אף לא גיבש במשך השנים (עד 2011) תכניות עבודה המגדירות יעדים כמותיים לאישור תכניות מפורטות למגורים, בכל המחוזות. עקב כך, קיים חשש שבשנים הקרובות לא יגדל ההיצע בשוק הדיור. יצוין לטובה כי משנת 2012 גיבש מינהל התכנון, בשיתוף עם לשכות התכנון המחוזיות, תכניות עבודה מפורטות כדי לעמוד ביעדי הממשלה.</w:t>
      </w:r>
    </w:p>
    <w:p w:rsidR="00E97EDA" w:rsidRPr="00F41E78" w:rsidP="00DD2098">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בתשובת משרד הפנים נמסר ממחוז ירושלים כי לשכת התכנון המחוזית מקדמת תכניות לעשרות אלפי יח"ד, וזאת נוסף לתכניות שיגדילו את מלאי שטחי התעסוקה, התיירות והתשתיות. המחוז הוסיף שלשכת התכנון גיבשה מדיניות להתחדשות עירונית שתאפשר הוספת אלפי יח"ד. מתכננת מחוז מרכז מסרה כי עד 2010 דגלה מדיניות הממשלה במיתון הפיתוח במרכז הארץ. עם השינוי במדיניות בשנת 2011 והקביעה של יעדים כמותיים הצליח המחוז בשנים 2013-2012 לעמוד ביעדי הממשלה. מינהל התכנון מסר כי הוא מגבש תכנית עבודה לשנת 2014. הוא הוסיף כי עקב הפערים משנים קודמות הוא נוקט פעולות, כמו הכנת תכניות עבודה, תכנון מתארי ארצי למחנות צה"ל והרחבת סמכויות של הווד"לים, כדי להגדיל באופן ניכר את המלאי התכנוני. </w:t>
      </w:r>
    </w:p>
    <w:p w:rsidR="00DC1DC7"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מידע על המלאי התכנוני וניהולו</w:t>
      </w:r>
    </w:p>
    <w:p w:rsidR="00E97EDA" w:rsidRPr="00F41E78" w:rsidP="00DD2098">
      <w:pPr>
        <w:spacing w:after="240" w:line="230" w:lineRule="exact"/>
        <w:jc w:val="both"/>
        <w:rPr>
          <w:rFonts w:cs="FrankRuehl"/>
          <w:sz w:val="18"/>
          <w:szCs w:val="22"/>
          <w:rtl/>
          <w:lang w:eastAsia="he-IL"/>
        </w:rPr>
      </w:pPr>
      <w:r w:rsidRPr="00F41E78">
        <w:rPr>
          <w:rFonts w:cs="FrankRuehl" w:hint="cs"/>
          <w:sz w:val="18"/>
          <w:szCs w:val="22"/>
          <w:rtl/>
          <w:lang w:eastAsia="he-IL"/>
        </w:rPr>
        <w:t>מידע על המלאי התכנוני של יח"ד כולל את מספרן בתכניות המפורטות המאושרות, את מידת זמינותן לבנייה ואת מיקומן הגאוגרפי. המידע הכרחי לגיבוש מושכל של מדיניות תכנון ודיור ולניהול יעיל של מערכת התכנון ושל משאב הקרקע. משרד הפנים</w:t>
      </w:r>
      <w:r w:rsidRPr="00F41E78">
        <w:rPr>
          <w:rFonts w:cs="FrankRuehl" w:hint="cs"/>
          <w:sz w:val="18"/>
          <w:szCs w:val="22"/>
          <w:rtl/>
          <w:lang w:eastAsia="he-IL"/>
        </w:rPr>
        <w:t xml:space="preserve"> </w:t>
      </w:r>
      <w:r w:rsidRPr="00F41E78">
        <w:rPr>
          <w:rFonts w:cs="FrankRuehl" w:hint="cs"/>
          <w:sz w:val="18"/>
          <w:szCs w:val="22"/>
          <w:rtl/>
          <w:lang w:eastAsia="he-IL"/>
        </w:rPr>
        <w:t xml:space="preserve">מרכז באמצעות תכנת מחשב </w:t>
      </w:r>
      <w:r w:rsidRPr="00F41E78">
        <w:rPr>
          <w:rFonts w:cs="FrankRuehl" w:hint="cs"/>
          <w:sz w:val="18"/>
          <w:szCs w:val="22"/>
          <w:rtl/>
          <w:lang w:eastAsia="he-IL"/>
        </w:rPr>
        <w:t>מידע כמותי על תכניות המתאר והתכניות המפורטות המצויות בהליכי תכנון במוסדות התכנון הארציים והמחוזיים ועל תכניות שכבר אושרו.</w:t>
      </w:r>
    </w:p>
    <w:p w:rsidR="00D22B16" w:rsidRPr="00F41E78" w:rsidP="00D22B16">
      <w:pPr>
        <w:pStyle w:val="RESHET"/>
        <w:keepLines/>
        <w:rPr>
          <w:rtl/>
        </w:rPr>
      </w:pPr>
      <w:r w:rsidRPr="00F41E78">
        <w:rPr>
          <w:rFonts w:hint="cs"/>
          <w:rtl/>
        </w:rPr>
        <w:t>בביקורת נמצא כי המידע שמינהל התכנון מרכז אינו מלא ומהימן דיו וישנם פערים של עשרות אלפי יח"ד בין הנתונים במערכת המחשב ובין הקבוע בהוראות התכניות. הפערים מקורם בטעויות הקלדה,</w:t>
      </w:r>
      <w:r w:rsidRPr="00F41E78">
        <w:rPr>
          <w:rtl/>
        </w:rPr>
        <w:t xml:space="preserve"> </w:t>
      </w:r>
      <w:r w:rsidRPr="00F41E78">
        <w:rPr>
          <w:rFonts w:hint="cs"/>
          <w:rtl/>
        </w:rPr>
        <w:t>בהיעדרה של בקרת איכות על הכנסת הנתונים למערכת ובמידע חסר על נתוני התכניות המפורטות שהוועדות המקומיות מאשרות (לפי הערכה מדובר במאות יח"ד בשנה</w:t>
      </w:r>
      <w:r w:rsidR="00151672">
        <w:rPr>
          <w:rFonts w:hint="cs"/>
          <w:rtl/>
        </w:rPr>
        <w:t xml:space="preserve"> שהן מאשרות</w:t>
      </w:r>
      <w:r w:rsidRPr="00F41E78">
        <w:rPr>
          <w:rFonts w:hint="cs"/>
          <w:rtl/>
        </w:rPr>
        <w:t>).</w:t>
      </w:r>
    </w:p>
    <w:p w:rsidR="00D22B16" w:rsidRPr="00F41E78" w:rsidP="00D22B16">
      <w:pPr>
        <w:pStyle w:val="RESHET"/>
        <w:keepLines/>
        <w:rPr>
          <w:rtl/>
        </w:rPr>
      </w:pPr>
      <w:r w:rsidRPr="00F41E78">
        <w:rPr>
          <w:rFonts w:hint="cs"/>
          <w:rtl/>
        </w:rPr>
        <w:t xml:space="preserve">מינהל התכנון גם אינו מחזיק בידיו מידע על מימוש התכניות המפורטות, לכן אין לדעת כמה יח"ד נגרעו מהמלאי עקב המימוש. כמו כן, אין בידיו מידע מרוכז על רמת זמינותן של יחידות הדיור המאושרות ועל מהות ההתניות לבנייתן (ראו להלן בפרק "ישימותו של המלאי התכנוני וזמינותו לבנייה"). </w:t>
      </w:r>
    </w:p>
    <w:p w:rsidR="00E97EDA" w:rsidRPr="00F41E78" w:rsidP="00DD2098">
      <w:pPr>
        <w:spacing w:before="180" w:after="120" w:line="230" w:lineRule="exact"/>
        <w:jc w:val="both"/>
        <w:rPr>
          <w:rFonts w:cs="FrankRuehl"/>
          <w:sz w:val="18"/>
          <w:szCs w:val="22"/>
          <w:rtl/>
          <w:lang w:eastAsia="he-IL"/>
        </w:rPr>
      </w:pPr>
      <w:r w:rsidRPr="00F41E78">
        <w:rPr>
          <w:rFonts w:cs="FrankRuehl" w:hint="cs"/>
          <w:sz w:val="18"/>
          <w:szCs w:val="22"/>
          <w:rtl/>
          <w:lang w:eastAsia="he-IL"/>
        </w:rPr>
        <w:t>בביקורת נמצא כי כבר בשנת 2008 צוין בדוח של משרד הפנים</w:t>
      </w:r>
      <w:r>
        <w:rPr>
          <w:rFonts w:cs="FrankRuehl"/>
          <w:sz w:val="18"/>
          <w:szCs w:val="22"/>
          <w:vertAlign w:val="superscript"/>
          <w:rtl/>
          <w:lang w:eastAsia="he-IL"/>
        </w:rPr>
        <w:footnoteReference w:id="183"/>
      </w:r>
      <w:r w:rsidRPr="00F41E78">
        <w:rPr>
          <w:rFonts w:cs="FrankRuehl" w:hint="cs"/>
          <w:sz w:val="18"/>
          <w:szCs w:val="22"/>
          <w:rtl/>
          <w:lang w:eastAsia="he-IL"/>
        </w:rPr>
        <w:t xml:space="preserve"> כי "לא קיימת כיום תמונה טובה מספיק באשר למלאי יחידות הדיור הקיים במשק, ולכן קשה לקבוע יעדים התואמים באמת את הצרכים". כבר קודם לכן, ביולי 2007, פרסם מינהל התכנון מכרז</w:t>
      </w:r>
      <w:r>
        <w:rPr>
          <w:rFonts w:cs="FrankRuehl"/>
          <w:sz w:val="18"/>
          <w:szCs w:val="22"/>
          <w:vertAlign w:val="superscript"/>
          <w:rtl/>
          <w:lang w:eastAsia="he-IL"/>
        </w:rPr>
        <w:footnoteReference w:id="184"/>
      </w:r>
      <w:r w:rsidRPr="00F41E78">
        <w:rPr>
          <w:rFonts w:cs="FrankRuehl" w:hint="cs"/>
          <w:sz w:val="18"/>
          <w:szCs w:val="22"/>
          <w:rtl/>
          <w:lang w:eastAsia="he-IL"/>
        </w:rPr>
        <w:t xml:space="preserve"> לקבלת הצעות לאיסוף מידע כמותי מתכניות וניתוחו כדי להעריך את מלאי הקרקעות הזמינות לפיתוח בתכניות מפורטות מאושרות שטרם מומשו. העבודה אמורה הייתה להסתיים בתוך שנתיים, אך נכון </w:t>
      </w:r>
      <w:r w:rsidRPr="00F41E78">
        <w:rPr>
          <w:rFonts w:cs="FrankRuehl" w:hint="eastAsia"/>
          <w:sz w:val="18"/>
          <w:szCs w:val="22"/>
          <w:rtl/>
          <w:lang w:eastAsia="he-IL"/>
        </w:rPr>
        <w:t>למועד</w:t>
      </w:r>
      <w:r w:rsidRPr="00F41E78">
        <w:rPr>
          <w:rFonts w:cs="FrankRuehl"/>
          <w:sz w:val="18"/>
          <w:szCs w:val="22"/>
          <w:rtl/>
          <w:lang w:eastAsia="he-IL"/>
        </w:rPr>
        <w:t xml:space="preserve"> </w:t>
      </w:r>
      <w:r w:rsidRPr="00F41E78">
        <w:rPr>
          <w:rFonts w:cs="FrankRuehl" w:hint="eastAsia"/>
          <w:sz w:val="18"/>
          <w:szCs w:val="22"/>
          <w:rtl/>
          <w:lang w:eastAsia="he-IL"/>
        </w:rPr>
        <w:t>סיום</w:t>
      </w:r>
      <w:r w:rsidRPr="00F41E78">
        <w:rPr>
          <w:rFonts w:cs="FrankRuehl"/>
          <w:sz w:val="18"/>
          <w:szCs w:val="22"/>
          <w:rtl/>
          <w:lang w:eastAsia="he-IL"/>
        </w:rPr>
        <w:t xml:space="preserve"> </w:t>
      </w:r>
      <w:r w:rsidRPr="00F41E78">
        <w:rPr>
          <w:rFonts w:cs="FrankRuehl" w:hint="eastAsia"/>
          <w:sz w:val="18"/>
          <w:szCs w:val="22"/>
          <w:rtl/>
          <w:lang w:eastAsia="he-IL"/>
        </w:rPr>
        <w:t>הביקורת</w:t>
      </w:r>
      <w:r w:rsidRPr="00F41E78">
        <w:rPr>
          <w:rFonts w:cs="FrankRuehl" w:hint="cs"/>
          <w:sz w:val="18"/>
          <w:szCs w:val="22"/>
          <w:rtl/>
          <w:lang w:eastAsia="he-IL"/>
        </w:rPr>
        <w:t xml:space="preserve"> היא טרם הושלמה. </w:t>
      </w:r>
    </w:p>
    <w:p w:rsidR="00E97EDA" w:rsidRPr="00F41E78" w:rsidP="00A7557B">
      <w:pPr>
        <w:spacing w:after="120" w:line="230" w:lineRule="exact"/>
        <w:jc w:val="both"/>
        <w:rPr>
          <w:rFonts w:cs="FrankRuehl"/>
          <w:sz w:val="18"/>
          <w:szCs w:val="22"/>
          <w:rtl/>
          <w:lang w:eastAsia="he-IL"/>
        </w:rPr>
      </w:pPr>
      <w:r w:rsidRPr="00F41E78">
        <w:rPr>
          <w:rFonts w:cs="FrankRuehl"/>
          <w:sz w:val="18"/>
          <w:szCs w:val="22"/>
          <w:rtl/>
          <w:lang w:eastAsia="he-IL"/>
        </w:rPr>
        <w:t xml:space="preserve">בתשובת משרד הפנים ציין אגף בכיר לתכנון משולב כי ספק אם ניתן לעקוב אחר המלאי התכנוני ברמה הארצית, כל עוד אין </w:t>
      </w:r>
      <w:r w:rsidRPr="00F41E78">
        <w:rPr>
          <w:rFonts w:cs="FrankRuehl" w:hint="cs"/>
          <w:sz w:val="18"/>
          <w:szCs w:val="22"/>
          <w:rtl/>
          <w:lang w:eastAsia="he-IL"/>
        </w:rPr>
        <w:t xml:space="preserve">מצויים </w:t>
      </w:r>
      <w:r w:rsidRPr="00F41E78">
        <w:rPr>
          <w:rFonts w:cs="FrankRuehl"/>
          <w:sz w:val="18"/>
          <w:szCs w:val="22"/>
          <w:rtl/>
          <w:lang w:eastAsia="he-IL"/>
        </w:rPr>
        <w:t xml:space="preserve">נתונים ברמה המקומית. עוד ציין כי לפי תמ"א 35, תוספת שטח לפיתוח (בחלק מהאזורים) מותנה בהגשת תזכיר של מיצוי עתודות קרקע, </w:t>
      </w:r>
      <w:r w:rsidRPr="00F41E78">
        <w:rPr>
          <w:rFonts w:cs="FrankRuehl" w:hint="cs"/>
          <w:sz w:val="18"/>
          <w:szCs w:val="22"/>
          <w:rtl/>
          <w:lang w:eastAsia="he-IL"/>
        </w:rPr>
        <w:t xml:space="preserve">וזאת </w:t>
      </w:r>
      <w:r w:rsidRPr="00F41E78">
        <w:rPr>
          <w:rFonts w:cs="FrankRuehl"/>
          <w:sz w:val="18"/>
          <w:szCs w:val="22"/>
          <w:rtl/>
          <w:lang w:eastAsia="he-IL"/>
        </w:rPr>
        <w:t>כדי לשקול אם התוספת מוצדקת.</w:t>
      </w:r>
    </w:p>
    <w:p w:rsidR="00E97EDA" w:rsidRPr="00F41E78" w:rsidP="00DD2098">
      <w:pPr>
        <w:spacing w:after="240" w:line="230" w:lineRule="exact"/>
        <w:jc w:val="both"/>
        <w:rPr>
          <w:rFonts w:cs="FrankRuehl"/>
          <w:sz w:val="18"/>
          <w:szCs w:val="22"/>
          <w:rtl/>
          <w:lang w:eastAsia="he-IL"/>
        </w:rPr>
      </w:pPr>
      <w:r w:rsidRPr="00F41E78">
        <w:rPr>
          <w:rFonts w:cs="FrankRuehl" w:hint="cs"/>
          <w:sz w:val="18"/>
          <w:szCs w:val="22"/>
          <w:rtl/>
          <w:lang w:eastAsia="he-IL"/>
        </w:rPr>
        <w:t xml:space="preserve">בביקורת נמצא כי כדי לשפר בכל זאת את רמת המהימנות של חלק מהנתונים, בחן מינהל התכנון חלק מהתכניות המפורטות שאושרו משנת 2007 ועדכן את המידע הכמותי לגביהן. מינהל התכנון מסר לצוות הביקורת כי בתחילת 2012 הוא נקט כמה פעולות לשיפור מהימנות המידע הכמותי, למשל מתן שכר עידוד בגין </w:t>
      </w:r>
      <w:r w:rsidRPr="00F41E78">
        <w:rPr>
          <w:rFonts w:cs="FrankRuehl" w:hint="eastAsia"/>
          <w:sz w:val="18"/>
          <w:szCs w:val="22"/>
          <w:rtl/>
          <w:lang w:eastAsia="he-IL"/>
        </w:rPr>
        <w:t>האמינות</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הזנת</w:t>
      </w:r>
      <w:r w:rsidRPr="00F41E78">
        <w:rPr>
          <w:rFonts w:cs="FrankRuehl"/>
          <w:sz w:val="18"/>
          <w:szCs w:val="22"/>
          <w:rtl/>
          <w:lang w:eastAsia="he-IL"/>
        </w:rPr>
        <w:t xml:space="preserve"> </w:t>
      </w:r>
      <w:r w:rsidRPr="00F41E78">
        <w:rPr>
          <w:rFonts w:cs="FrankRuehl" w:hint="eastAsia"/>
          <w:sz w:val="18"/>
          <w:szCs w:val="22"/>
          <w:rtl/>
          <w:lang w:eastAsia="he-IL"/>
        </w:rPr>
        <w:t>הנתונים</w:t>
      </w:r>
      <w:r w:rsidRPr="00F41E78">
        <w:rPr>
          <w:rFonts w:cs="FrankRuehl" w:hint="cs"/>
          <w:sz w:val="18"/>
          <w:szCs w:val="22"/>
          <w:rtl/>
          <w:lang w:eastAsia="he-IL"/>
        </w:rPr>
        <w:t>.</w:t>
      </w:r>
      <w:r w:rsidRPr="00F41E78">
        <w:rPr>
          <w:rFonts w:cs="FrankRuehl"/>
          <w:sz w:val="18"/>
          <w:szCs w:val="22"/>
          <w:rtl/>
          <w:lang w:eastAsia="he-IL"/>
        </w:rPr>
        <w:t xml:space="preserve"> </w:t>
      </w:r>
    </w:p>
    <w:p w:rsidR="00D22B16" w:rsidRPr="00F41E78" w:rsidP="00D22B16">
      <w:pPr>
        <w:pStyle w:val="RESHET"/>
        <w:keepLines/>
        <w:rPr>
          <w:rtl/>
        </w:rPr>
      </w:pPr>
      <w:r w:rsidRPr="00F41E78">
        <w:rPr>
          <w:rFonts w:hint="cs"/>
          <w:rtl/>
        </w:rPr>
        <w:t xml:space="preserve">יוצא אפוא שמשרד הפנים אינו מחזיק במידע מלא על המלאי התכנוני הקיים וגם אין נבדקים נתוני זמינותו. היעדר מידע כאמור הוא ליקוי מהותי העלול לפגוע ביכולת קבלת ההחלטות ובגיבוש מדיניות מושכלת בתחום התכנון. בתמ"א 35 נקבע אמנם כי יש להכין תזכיר על מיצוי עתודות קרקע כדי לייעל את השימוש בה, אך בהיעדר מידע כולל עדיין קיים החשש שמא יתקבלו החלטות ברמה הארצית שעלולות להביא לידי נזקים כמו </w:t>
      </w:r>
      <w:r w:rsidRPr="00F41E78">
        <w:rPr>
          <w:rFonts w:hint="eastAsia"/>
          <w:rtl/>
        </w:rPr>
        <w:t>ניצול</w:t>
      </w:r>
      <w:r w:rsidRPr="00F41E78">
        <w:rPr>
          <w:rtl/>
        </w:rPr>
        <w:t xml:space="preserve"> </w:t>
      </w:r>
      <w:r w:rsidRPr="00F41E78">
        <w:rPr>
          <w:rFonts w:hint="eastAsia"/>
          <w:rtl/>
        </w:rPr>
        <w:t>קרקע</w:t>
      </w:r>
      <w:r w:rsidRPr="00F41E78">
        <w:rPr>
          <w:rFonts w:hint="cs"/>
          <w:rtl/>
        </w:rPr>
        <w:t xml:space="preserve"> שאינו מיטבי, השקעת משאבים שלא לצורך, מחסור בתכניות </w:t>
      </w:r>
      <w:r w:rsidRPr="00F41E78">
        <w:rPr>
          <w:rFonts w:hint="eastAsia"/>
          <w:rtl/>
        </w:rPr>
        <w:t>מפורטות</w:t>
      </w:r>
      <w:r w:rsidRPr="00F41E78">
        <w:rPr>
          <w:rFonts w:hint="cs"/>
          <w:rtl/>
        </w:rPr>
        <w:t xml:space="preserve"> באזורים המאופיינים במלאי תכנוני דל ופגיעה ביכולת לווסת את שוק הדיור. </w:t>
      </w:r>
    </w:p>
    <w:p w:rsidR="00D22B16" w:rsidRPr="00F41E78" w:rsidP="00D22B16">
      <w:pPr>
        <w:pStyle w:val="RESHET"/>
        <w:keepLines/>
        <w:rPr>
          <w:rtl/>
        </w:rPr>
      </w:pPr>
      <w:r w:rsidRPr="00F41E78">
        <w:rPr>
          <w:rFonts w:hint="cs"/>
          <w:rtl/>
        </w:rPr>
        <w:t>משרד מבקר המדינה העיר למשרד הפנים כי עליו ליצור תשתית עובדתית מהימנה ובה ירוכזו כראוי נתוני המלאי התכנוני, פריסתו הגאוגרפי</w:t>
      </w:r>
      <w:r w:rsidRPr="00F41E78">
        <w:rPr>
          <w:rFonts w:hint="eastAsia"/>
          <w:rtl/>
        </w:rPr>
        <w:t>ת</w:t>
      </w:r>
      <w:r w:rsidRPr="00F41E78">
        <w:rPr>
          <w:rFonts w:hint="cs"/>
          <w:rtl/>
        </w:rPr>
        <w:t xml:space="preserve"> וזמינותו. עליו לעדכן את נתוני המלאי התכנוני באופן שוטף ולהזין מידע הנוגע למימוש התכניות </w:t>
      </w:r>
      <w:r w:rsidRPr="00F41E78">
        <w:rPr>
          <w:rtl/>
        </w:rPr>
        <w:t>המפורטות</w:t>
      </w:r>
      <w:r w:rsidRPr="00F41E78">
        <w:rPr>
          <w:rFonts w:hint="cs"/>
          <w:rtl/>
        </w:rPr>
        <w:t xml:space="preserve"> (גריעה של יח"ד מהמלאי). כמו כן, ראוי להשלים את המחקר בנושא, שממילא כבר הושקעו בו משאבים, וליישם את ההנחיות והאמצעים לשיפור מהימנות המידע.</w:t>
      </w:r>
    </w:p>
    <w:p w:rsidR="00DC1DC7" w:rsidRPr="00F41E78" w:rsidP="00A7557B">
      <w:pPr>
        <w:spacing w:after="120" w:line="230" w:lineRule="exact"/>
        <w:jc w:val="both"/>
        <w:rPr>
          <w:rFonts w:cs="FrankRuehl"/>
          <w:b/>
          <w:bCs/>
          <w:sz w:val="18"/>
          <w:szCs w:val="22"/>
          <w:rtl/>
          <w:lang w:eastAsia="he-IL"/>
        </w:rPr>
      </w:pPr>
    </w:p>
    <w:p w:rsidR="00E97EDA" w:rsidRPr="00CB33CD" w:rsidP="00A7557B">
      <w:pPr>
        <w:pStyle w:val="KOT5"/>
        <w:rPr>
          <w:rtl/>
          <w:lang w:eastAsia="he-IL"/>
        </w:rPr>
      </w:pPr>
      <w:r w:rsidRPr="00CB33CD">
        <w:rPr>
          <w:rFonts w:hint="cs"/>
          <w:rtl/>
          <w:lang w:eastAsia="he-IL"/>
        </w:rPr>
        <w:t xml:space="preserve">מצב המלאי התכנוני </w:t>
      </w:r>
    </w:p>
    <w:p w:rsidR="00E97EDA" w:rsidRPr="00F41E78" w:rsidP="00DD2098">
      <w:pPr>
        <w:spacing w:after="240" w:line="230" w:lineRule="exact"/>
        <w:jc w:val="both"/>
        <w:rPr>
          <w:rFonts w:cs="FrankRuehl"/>
          <w:sz w:val="18"/>
          <w:szCs w:val="22"/>
          <w:rtl/>
          <w:lang w:eastAsia="he-IL"/>
        </w:rPr>
      </w:pPr>
      <w:r w:rsidRPr="00F41E78">
        <w:rPr>
          <w:rFonts w:cs="FrankRuehl" w:hint="cs"/>
          <w:sz w:val="18"/>
          <w:szCs w:val="22"/>
          <w:rtl/>
          <w:lang w:eastAsia="he-IL"/>
        </w:rPr>
        <w:t>אף שאין בנמצא מידע מהימן על המלאי התכנוני הקיים בכל קרקעות המדינה (מקרקעי ישראל וקרקעות פרטיות), ישנן הערכות בדבר מספר יחידות הדיור הכלול בתכניות מפורטות החלות על מקרקעי ישראל וטרם מומשו. לפי דוח של רמ"י ממאי 2010 שעניינו עתודות קרקע (להלן - דוח עתודות קרקע) ישנן כ-160,000 יח"ד מאושרות על קרקעות אלו. לפי חישובים של משרד מבקר המדינה (על יסוד נתוני רמ"י מפברואר 2013) מסתכם המלאי התכנוני של יח"ד על קרקעות המדינה בכ-130,000</w:t>
      </w:r>
      <w:r>
        <w:rPr>
          <w:rFonts w:cs="FrankRuehl"/>
          <w:sz w:val="18"/>
          <w:szCs w:val="22"/>
          <w:vertAlign w:val="superscript"/>
          <w:rtl/>
          <w:lang w:eastAsia="he-IL"/>
        </w:rPr>
        <w:footnoteReference w:id="185"/>
      </w:r>
      <w:r w:rsidRPr="00F41E78">
        <w:rPr>
          <w:rFonts w:cs="FrankRuehl" w:hint="cs"/>
          <w:sz w:val="18"/>
          <w:szCs w:val="22"/>
          <w:rtl/>
          <w:lang w:eastAsia="he-IL"/>
        </w:rPr>
        <w:t xml:space="preserve">. </w:t>
      </w:r>
    </w:p>
    <w:p w:rsidR="00D22B16" w:rsidRPr="00F41E78" w:rsidP="00D22B16">
      <w:pPr>
        <w:pStyle w:val="RESHET"/>
        <w:keepLines/>
        <w:rPr>
          <w:rtl/>
        </w:rPr>
      </w:pPr>
      <w:r w:rsidRPr="00F41E78">
        <w:rPr>
          <w:rFonts w:hint="cs"/>
          <w:rtl/>
        </w:rPr>
        <w:t xml:space="preserve">בהיעדר תקן לגודל המלאי התכנוני ובהיעדר מידע על זמינותן של יחידות הדיור לבנייה מתעורר קושי להעריך אם המלאי הכלול בתכניות המפורטות עונה על צורכי שוק הדיור ואם הוא מאפשר לממשלה להגדיל את היצע הדיור, על פי מדיניותה. </w:t>
      </w:r>
    </w:p>
    <w:p w:rsidR="00E97EDA" w:rsidRPr="00F41E78" w:rsidP="00DD2098">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תקן אמנם לא נקבע, אך בדוח של מינהל התכנון ממרץ 2008 צוין שכמות יחידות הדיור שמוסדות התכנון מאשרים בכל שנה צריכה להיות גבוהה מכמות התחלות הבנייה בפועל, וזאת כדי להבטיח מענה לצורכי המשק וליצור מלאי קרקעות מתוכננות זמינות לשיווק. גם החלטת הממשלה (מס' 2019) מיולי 2010 שיקפה צורך זה. </w:t>
      </w:r>
    </w:p>
    <w:p w:rsidR="00D22B16" w:rsidRPr="00F41E78" w:rsidP="00D22B16">
      <w:pPr>
        <w:pStyle w:val="RESHET"/>
        <w:keepLines/>
        <w:rPr>
          <w:rtl/>
        </w:rPr>
      </w:pPr>
      <w:r w:rsidRPr="00F41E78">
        <w:rPr>
          <w:rtl/>
        </w:rPr>
        <w:t>תוספת משקי הבית מוערכת בכ-37,000 לשנה</w:t>
      </w:r>
      <w:r w:rsidRPr="00F41E78">
        <w:rPr>
          <w:rFonts w:hint="cs"/>
          <w:rtl/>
        </w:rPr>
        <w:t xml:space="preserve">, לכן מתעורר החשש שבמלאי של </w:t>
      </w:r>
      <w:r w:rsidR="00252FE5">
        <w:br/>
      </w:r>
      <w:r w:rsidRPr="00F41E78">
        <w:rPr>
          <w:rFonts w:hint="cs"/>
          <w:rtl/>
        </w:rPr>
        <w:t>כ-130,000 יח"ד לא יהיה די כדי לתת מענה לצורכי המשק לטווח הקרוב (שלוש השנים הבאות), משום שאין הוא ישים במלואו לצורכי שיווק, פיתוח ובנייה ומשום שתהליכים אלו יכולים להימשך כמה שנים (ראו להלן בפרק "מימוש תכניות למגורים - פיתוח הקרקע ותהליכי רישוי הבנייה").</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מגמות בגודל המלאי התכנוני בשנים 2012-2007</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משרד מבקר המדינה בחן את התוספות למלאי התכנוני בשנים 2012-2007 לעומת תחזיות הצרכים בתמ"א 35 לעומת הנתונים על התחלות הבנייה ונתוני הביקושים (תוספת משקי הבית)</w:t>
      </w:r>
      <w:r>
        <w:rPr>
          <w:rFonts w:cs="FrankRuehl"/>
          <w:sz w:val="18"/>
          <w:szCs w:val="22"/>
          <w:vertAlign w:val="superscript"/>
          <w:rtl/>
          <w:lang w:eastAsia="he-IL"/>
        </w:rPr>
        <w:footnoteReference w:id="186"/>
      </w:r>
      <w:r w:rsidRPr="00F41E78">
        <w:rPr>
          <w:rFonts w:cs="FrankRuehl" w:hint="cs"/>
          <w:sz w:val="18"/>
          <w:szCs w:val="22"/>
          <w:rtl/>
          <w:lang w:eastAsia="he-IL"/>
        </w:rPr>
        <w:t>. להלן הפירוט לפי שנים:</w:t>
      </w:r>
    </w:p>
    <w:p w:rsidR="00E97EDA" w:rsidRPr="00A72050" w:rsidP="00E73109">
      <w:pPr>
        <w:pStyle w:val="tab-name"/>
        <w:rPr>
          <w:rtl/>
          <w:lang w:eastAsia="he-IL"/>
        </w:rPr>
      </w:pPr>
      <w:r>
        <w:rPr>
          <w:rtl/>
          <w:lang w:eastAsia="he-IL"/>
        </w:rPr>
        <w:br w:type="page"/>
      </w:r>
      <w:r w:rsidRPr="00E73109" w:rsidR="005D58C9">
        <w:rPr>
          <w:rFonts w:hint="cs"/>
          <w:b w:val="0"/>
          <w:bCs w:val="0"/>
          <w:sz w:val="20"/>
          <w:szCs w:val="20"/>
          <w:rtl/>
          <w:lang w:eastAsia="he-IL"/>
        </w:rPr>
        <w:t xml:space="preserve">לוח </w:t>
      </w:r>
      <w:r w:rsidRPr="00E73109" w:rsidR="00E73109">
        <w:rPr>
          <w:rFonts w:hint="cs"/>
          <w:b w:val="0"/>
          <w:bCs w:val="0"/>
          <w:sz w:val="20"/>
          <w:szCs w:val="20"/>
          <w:rtl/>
          <w:lang w:eastAsia="he-IL"/>
        </w:rPr>
        <w:t>2</w:t>
      </w:r>
      <w:r w:rsidRPr="00E73109" w:rsidR="00E73109">
        <w:rPr>
          <w:b w:val="0"/>
          <w:bCs w:val="0"/>
          <w:sz w:val="20"/>
          <w:szCs w:val="20"/>
          <w:lang w:eastAsia="he-IL"/>
        </w:rPr>
        <w:br/>
      </w:r>
      <w:r w:rsidRPr="00A72050">
        <w:rPr>
          <w:rFonts w:hint="cs"/>
          <w:rtl/>
          <w:lang w:eastAsia="he-IL"/>
        </w:rPr>
        <w:t>אישור יח"ד בתכניות מפורטות לעומת יעדי תמ"א 35,</w:t>
      </w:r>
      <w:r w:rsidR="00E73109">
        <w:rPr>
          <w:lang w:eastAsia="he-IL"/>
        </w:rPr>
        <w:br/>
      </w:r>
      <w:r w:rsidRPr="00A72050">
        <w:rPr>
          <w:rFonts w:hint="cs"/>
          <w:rtl/>
          <w:lang w:eastAsia="he-IL"/>
        </w:rPr>
        <w:t xml:space="preserve">התחלות הבנייה ותוספת משקי הבית, 2012-2007 </w:t>
      </w:r>
    </w:p>
    <w:tbl>
      <w:tblPr>
        <w:bidiVisual/>
        <w:tblW w:w="6691" w:type="dxa"/>
        <w:jc w:val="center"/>
        <w:tblCellMar>
          <w:left w:w="57" w:type="dxa"/>
          <w:right w:w="57" w:type="dxa"/>
        </w:tblCellMar>
        <w:tblLook w:val="0000"/>
      </w:tblPr>
      <w:tblGrid>
        <w:gridCol w:w="871"/>
        <w:gridCol w:w="700"/>
        <w:gridCol w:w="837"/>
        <w:gridCol w:w="729"/>
        <w:gridCol w:w="682"/>
        <w:gridCol w:w="729"/>
        <w:gridCol w:w="1014"/>
        <w:gridCol w:w="1129"/>
      </w:tblGrid>
      <w:tr w:rsidTr="00424932">
        <w:tblPrEx>
          <w:tblW w:w="6691" w:type="dxa"/>
          <w:jc w:val="center"/>
          <w:tblCellMar>
            <w:left w:w="57" w:type="dxa"/>
            <w:right w:w="57" w:type="dxa"/>
          </w:tblCellMar>
          <w:tblLook w:val="0000"/>
        </w:tblPrEx>
        <w:trPr>
          <w:trHeight w:val="1530"/>
          <w:jc w:val="center"/>
        </w:trPr>
        <w:tc>
          <w:tcPr>
            <w:tcW w:w="0" w:type="auto"/>
            <w:tcBorders>
              <w:top w:val="single" w:sz="12" w:space="0" w:color="auto"/>
              <w:left w:val="single" w:sz="12" w:space="0" w:color="auto"/>
              <w:bottom w:val="single" w:sz="12" w:space="0" w:color="auto"/>
              <w:right w:val="single" w:sz="12" w:space="0" w:color="auto"/>
            </w:tcBorders>
            <w:shd w:val="pct10" w:color="auto" w:fill="auto"/>
            <w:vAlign w:val="bottom"/>
          </w:tcPr>
          <w:p w:rsidR="00E97EDA" w:rsidRPr="00E73109" w:rsidP="00424932">
            <w:pPr>
              <w:spacing w:before="40" w:after="40" w:line="200" w:lineRule="exact"/>
              <w:jc w:val="center"/>
              <w:rPr>
                <w:rFonts w:ascii="FrankRuehl" w:hAnsi="FrankRuehl" w:cs="FrankRuehl"/>
                <w:b/>
                <w:bCs/>
                <w:sz w:val="20"/>
                <w:szCs w:val="20"/>
              </w:rPr>
            </w:pPr>
          </w:p>
        </w:tc>
        <w:tc>
          <w:tcPr>
            <w:tcW w:w="0" w:type="auto"/>
            <w:tcBorders>
              <w:top w:val="single" w:sz="12" w:space="0" w:color="auto"/>
              <w:left w:val="single" w:sz="12" w:space="0" w:color="auto"/>
              <w:bottom w:val="single" w:sz="12" w:space="0" w:color="auto"/>
              <w:right w:val="single" w:sz="12" w:space="0" w:color="auto"/>
            </w:tcBorders>
            <w:shd w:val="pct10" w:color="auto" w:fill="auto"/>
            <w:vAlign w:val="bottom"/>
          </w:tcPr>
          <w:p w:rsidR="00E97EDA" w:rsidRPr="00E73109" w:rsidP="00424932">
            <w:pPr>
              <w:spacing w:before="40" w:after="40" w:line="200" w:lineRule="exact"/>
              <w:jc w:val="center"/>
              <w:rPr>
                <w:rFonts w:ascii="FrankRuehl" w:hAnsi="FrankRuehl" w:cs="FrankRuehl"/>
                <w:b/>
                <w:bCs/>
                <w:sz w:val="20"/>
                <w:szCs w:val="20"/>
                <w:rtl/>
              </w:rPr>
            </w:pPr>
            <w:r w:rsidRPr="00E73109">
              <w:rPr>
                <w:rFonts w:ascii="FrankRuehl" w:hAnsi="FrankRuehl" w:cs="FrankRuehl" w:hint="cs"/>
                <w:b/>
                <w:bCs/>
                <w:sz w:val="20"/>
                <w:szCs w:val="20"/>
                <w:rtl/>
              </w:rPr>
              <w:t>יח"ד</w:t>
            </w:r>
            <w:r w:rsidRPr="00E73109">
              <w:rPr>
                <w:rFonts w:ascii="FrankRuehl" w:hAnsi="FrankRuehl" w:cs="FrankRuehl"/>
                <w:b/>
                <w:bCs/>
                <w:sz w:val="20"/>
                <w:szCs w:val="20"/>
                <w:rtl/>
              </w:rPr>
              <w:t xml:space="preserve"> </w:t>
            </w:r>
            <w:r w:rsidR="00424932">
              <w:rPr>
                <w:rFonts w:ascii="FrankRuehl" w:hAnsi="FrankRuehl" w:cs="FrankRuehl"/>
                <w:b/>
                <w:bCs/>
                <w:sz w:val="20"/>
                <w:szCs w:val="20"/>
              </w:rPr>
              <w:br/>
            </w:r>
            <w:r w:rsidRPr="00E73109">
              <w:rPr>
                <w:rFonts w:ascii="FrankRuehl" w:hAnsi="FrankRuehl" w:cs="FrankRuehl"/>
                <w:b/>
                <w:bCs/>
                <w:sz w:val="20"/>
                <w:szCs w:val="20"/>
                <w:rtl/>
              </w:rPr>
              <w:t xml:space="preserve">שאושרו </w:t>
            </w:r>
            <w:r w:rsidR="00424932">
              <w:rPr>
                <w:rFonts w:ascii="FrankRuehl" w:hAnsi="FrankRuehl" w:cs="FrankRuehl"/>
                <w:b/>
                <w:bCs/>
                <w:sz w:val="20"/>
                <w:szCs w:val="20"/>
              </w:rPr>
              <w:br/>
            </w:r>
            <w:r w:rsidRPr="00E73109">
              <w:rPr>
                <w:rFonts w:ascii="FrankRuehl" w:hAnsi="FrankRuehl" w:cs="FrankRuehl"/>
                <w:b/>
                <w:bCs/>
                <w:sz w:val="20"/>
                <w:szCs w:val="20"/>
                <w:rtl/>
              </w:rPr>
              <w:t>בתכניות</w:t>
            </w:r>
            <w:r w:rsidRPr="00E73109">
              <w:rPr>
                <w:rFonts w:ascii="FrankRuehl" w:hAnsi="FrankRuehl" w:cs="FrankRuehl" w:hint="cs"/>
                <w:b/>
                <w:bCs/>
                <w:sz w:val="20"/>
                <w:szCs w:val="20"/>
                <w:rtl/>
              </w:rPr>
              <w:t xml:space="preserve"> </w:t>
            </w:r>
            <w:r w:rsidR="00424932">
              <w:rPr>
                <w:rFonts w:ascii="FrankRuehl" w:hAnsi="FrankRuehl" w:cs="FrankRuehl"/>
                <w:b/>
                <w:bCs/>
                <w:sz w:val="20"/>
                <w:szCs w:val="20"/>
              </w:rPr>
              <w:br/>
            </w:r>
            <w:r w:rsidRPr="00E73109">
              <w:rPr>
                <w:rFonts w:ascii="FrankRuehl" w:hAnsi="FrankRuehl" w:cs="FrankRuehl" w:hint="cs"/>
                <w:b/>
                <w:bCs/>
                <w:sz w:val="20"/>
                <w:szCs w:val="20"/>
                <w:rtl/>
              </w:rPr>
              <w:t>מפורטות</w:t>
            </w:r>
          </w:p>
        </w:tc>
        <w:tc>
          <w:tcPr>
            <w:tcW w:w="0" w:type="auto"/>
            <w:tcBorders>
              <w:top w:val="single" w:sz="12" w:space="0" w:color="auto"/>
              <w:left w:val="single" w:sz="12" w:space="0" w:color="auto"/>
              <w:bottom w:val="single" w:sz="12" w:space="0" w:color="auto"/>
              <w:right w:val="single" w:sz="4" w:space="0" w:color="auto"/>
            </w:tcBorders>
            <w:shd w:val="pct10" w:color="auto" w:fill="auto"/>
            <w:vAlign w:val="bottom"/>
          </w:tcPr>
          <w:p w:rsidR="00E97EDA" w:rsidRPr="00E73109" w:rsidP="00424932">
            <w:pPr>
              <w:spacing w:before="40" w:after="40" w:line="200" w:lineRule="exact"/>
              <w:jc w:val="center"/>
              <w:rPr>
                <w:rFonts w:ascii="FrankRuehl" w:hAnsi="FrankRuehl" w:cs="FrankRuehl"/>
                <w:b/>
                <w:bCs/>
                <w:sz w:val="20"/>
                <w:szCs w:val="20"/>
                <w:rtl/>
              </w:rPr>
            </w:pPr>
            <w:r w:rsidRPr="00E73109">
              <w:rPr>
                <w:rFonts w:ascii="FrankRuehl" w:hAnsi="FrankRuehl" w:cs="FrankRuehl" w:hint="cs"/>
                <w:b/>
                <w:bCs/>
                <w:sz w:val="20"/>
                <w:szCs w:val="20"/>
                <w:rtl/>
              </w:rPr>
              <w:t xml:space="preserve">יחידות </w:t>
            </w:r>
            <w:r w:rsidR="00FF71E2">
              <w:rPr>
                <w:rFonts w:ascii="FrankRuehl" w:hAnsi="FrankRuehl" w:cs="FrankRuehl"/>
                <w:b/>
                <w:bCs/>
                <w:sz w:val="20"/>
                <w:szCs w:val="20"/>
                <w:rtl/>
              </w:rPr>
              <w:br/>
            </w:r>
            <w:r w:rsidRPr="00E73109">
              <w:rPr>
                <w:rFonts w:ascii="FrankRuehl" w:hAnsi="FrankRuehl" w:cs="FrankRuehl" w:hint="cs"/>
                <w:b/>
                <w:bCs/>
                <w:sz w:val="20"/>
                <w:szCs w:val="20"/>
                <w:rtl/>
              </w:rPr>
              <w:t xml:space="preserve">הדיור לפי </w:t>
            </w:r>
            <w:r w:rsidR="00FF71E2">
              <w:rPr>
                <w:rFonts w:ascii="FrankRuehl" w:hAnsi="FrankRuehl" w:cs="FrankRuehl"/>
                <w:b/>
                <w:bCs/>
                <w:sz w:val="20"/>
                <w:szCs w:val="20"/>
                <w:rtl/>
              </w:rPr>
              <w:br/>
            </w:r>
            <w:r w:rsidRPr="00E73109">
              <w:rPr>
                <w:rFonts w:ascii="FrankRuehl" w:hAnsi="FrankRuehl" w:cs="FrankRuehl" w:hint="cs"/>
                <w:b/>
                <w:bCs/>
                <w:sz w:val="20"/>
                <w:szCs w:val="20"/>
                <w:rtl/>
              </w:rPr>
              <w:t>תמ"א 35</w:t>
            </w:r>
          </w:p>
        </w:tc>
        <w:tc>
          <w:tcPr>
            <w:tcW w:w="0" w:type="auto"/>
            <w:tcBorders>
              <w:top w:val="single" w:sz="12" w:space="0" w:color="auto"/>
              <w:left w:val="single" w:sz="4" w:space="0" w:color="auto"/>
              <w:bottom w:val="single" w:sz="12" w:space="0" w:color="auto"/>
              <w:right w:val="single" w:sz="12" w:space="0" w:color="auto"/>
            </w:tcBorders>
            <w:shd w:val="pct10" w:color="auto" w:fill="auto"/>
            <w:vAlign w:val="bottom"/>
          </w:tcPr>
          <w:p w:rsidR="00E97EDA" w:rsidRPr="00E73109" w:rsidP="00424932">
            <w:pPr>
              <w:spacing w:before="40" w:after="40" w:line="200" w:lineRule="exact"/>
              <w:jc w:val="center"/>
              <w:rPr>
                <w:rFonts w:ascii="FrankRuehl" w:hAnsi="FrankRuehl" w:cs="FrankRuehl"/>
                <w:b/>
                <w:bCs/>
                <w:sz w:val="20"/>
                <w:szCs w:val="20"/>
              </w:rPr>
            </w:pPr>
            <w:r w:rsidRPr="00E73109">
              <w:rPr>
                <w:rFonts w:ascii="FrankRuehl" w:hAnsi="FrankRuehl" w:cs="FrankRuehl" w:hint="cs"/>
                <w:b/>
                <w:bCs/>
                <w:sz w:val="20"/>
                <w:szCs w:val="20"/>
                <w:rtl/>
              </w:rPr>
              <w:t>ה</w:t>
            </w:r>
            <w:r w:rsidRPr="00E73109">
              <w:rPr>
                <w:rFonts w:ascii="FrankRuehl" w:hAnsi="FrankRuehl" w:cs="FrankRuehl"/>
                <w:b/>
                <w:bCs/>
                <w:sz w:val="20"/>
                <w:szCs w:val="20"/>
                <w:rtl/>
              </w:rPr>
              <w:t xml:space="preserve">פער בין </w:t>
            </w:r>
            <w:r w:rsidR="00FF71E2">
              <w:rPr>
                <w:rFonts w:ascii="FrankRuehl" w:hAnsi="FrankRuehl" w:cs="FrankRuehl" w:hint="cs"/>
                <w:b/>
                <w:bCs/>
                <w:sz w:val="20"/>
                <w:szCs w:val="20"/>
                <w:rtl/>
              </w:rPr>
              <w:br/>
            </w:r>
            <w:r w:rsidRPr="00E73109">
              <w:rPr>
                <w:rFonts w:ascii="FrankRuehl" w:hAnsi="FrankRuehl" w:cs="FrankRuehl" w:hint="cs"/>
                <w:b/>
                <w:bCs/>
                <w:sz w:val="20"/>
                <w:szCs w:val="20"/>
                <w:rtl/>
              </w:rPr>
              <w:t>יח"ד</w:t>
            </w:r>
            <w:r w:rsidRPr="00E73109">
              <w:rPr>
                <w:rFonts w:ascii="FrankRuehl" w:hAnsi="FrankRuehl" w:cs="FrankRuehl"/>
                <w:b/>
                <w:bCs/>
                <w:sz w:val="20"/>
                <w:szCs w:val="20"/>
                <w:rtl/>
              </w:rPr>
              <w:t xml:space="preserve"> </w:t>
            </w:r>
            <w:r w:rsidR="00FF71E2">
              <w:rPr>
                <w:rFonts w:ascii="FrankRuehl" w:hAnsi="FrankRuehl" w:cs="FrankRuehl" w:hint="cs"/>
                <w:b/>
                <w:bCs/>
                <w:sz w:val="20"/>
                <w:szCs w:val="20"/>
                <w:rtl/>
              </w:rPr>
              <w:br/>
            </w:r>
            <w:r w:rsidRPr="00E73109">
              <w:rPr>
                <w:rFonts w:ascii="FrankRuehl" w:hAnsi="FrankRuehl" w:cs="FrankRuehl"/>
                <w:b/>
                <w:bCs/>
                <w:sz w:val="20"/>
                <w:szCs w:val="20"/>
                <w:rtl/>
              </w:rPr>
              <w:t xml:space="preserve">שאושרו </w:t>
            </w:r>
            <w:r w:rsidR="00FF71E2">
              <w:rPr>
                <w:rFonts w:ascii="FrankRuehl" w:hAnsi="FrankRuehl" w:cs="FrankRuehl" w:hint="cs"/>
                <w:b/>
                <w:bCs/>
                <w:sz w:val="20"/>
                <w:szCs w:val="20"/>
                <w:rtl/>
              </w:rPr>
              <w:br/>
            </w:r>
            <w:r w:rsidRPr="00E73109">
              <w:rPr>
                <w:rFonts w:ascii="FrankRuehl" w:hAnsi="FrankRuehl" w:cs="FrankRuehl"/>
                <w:b/>
                <w:bCs/>
                <w:sz w:val="20"/>
                <w:szCs w:val="20"/>
                <w:rtl/>
              </w:rPr>
              <w:t xml:space="preserve">ליעדי </w:t>
            </w:r>
            <w:r w:rsidR="00FF71E2">
              <w:rPr>
                <w:rFonts w:ascii="FrankRuehl" w:hAnsi="FrankRuehl" w:cs="FrankRuehl" w:hint="cs"/>
                <w:b/>
                <w:bCs/>
                <w:sz w:val="20"/>
                <w:szCs w:val="20"/>
                <w:rtl/>
              </w:rPr>
              <w:br/>
            </w:r>
            <w:r w:rsidRPr="00E73109">
              <w:rPr>
                <w:rFonts w:ascii="FrankRuehl" w:hAnsi="FrankRuehl" w:cs="FrankRuehl"/>
                <w:b/>
                <w:bCs/>
                <w:sz w:val="20"/>
                <w:szCs w:val="20"/>
                <w:rtl/>
              </w:rPr>
              <w:t>התמ"א</w:t>
            </w:r>
          </w:p>
        </w:tc>
        <w:tc>
          <w:tcPr>
            <w:tcW w:w="0" w:type="auto"/>
            <w:tcBorders>
              <w:top w:val="single" w:sz="12" w:space="0" w:color="auto"/>
              <w:left w:val="single" w:sz="12" w:space="0" w:color="auto"/>
              <w:bottom w:val="single" w:sz="12" w:space="0" w:color="auto"/>
              <w:right w:val="single" w:sz="4" w:space="0" w:color="auto"/>
            </w:tcBorders>
            <w:shd w:val="pct10" w:color="auto" w:fill="auto"/>
            <w:vAlign w:val="bottom"/>
          </w:tcPr>
          <w:p w:rsidR="00E97EDA" w:rsidRPr="00E73109" w:rsidP="00424932">
            <w:pPr>
              <w:spacing w:before="40" w:after="40" w:line="200" w:lineRule="exact"/>
              <w:jc w:val="center"/>
              <w:rPr>
                <w:rFonts w:ascii="FrankRuehl" w:hAnsi="FrankRuehl" w:cs="FrankRuehl"/>
                <w:b/>
                <w:bCs/>
                <w:sz w:val="20"/>
                <w:szCs w:val="20"/>
              </w:rPr>
            </w:pPr>
            <w:r w:rsidRPr="00E73109">
              <w:rPr>
                <w:rFonts w:ascii="FrankRuehl" w:hAnsi="FrankRuehl" w:cs="FrankRuehl"/>
                <w:b/>
                <w:bCs/>
                <w:sz w:val="20"/>
                <w:szCs w:val="20"/>
                <w:rtl/>
              </w:rPr>
              <w:t xml:space="preserve">התחלות </w:t>
            </w:r>
            <w:r w:rsidR="00FF71E2">
              <w:rPr>
                <w:rFonts w:ascii="FrankRuehl" w:hAnsi="FrankRuehl" w:cs="FrankRuehl" w:hint="cs"/>
                <w:b/>
                <w:bCs/>
                <w:sz w:val="20"/>
                <w:szCs w:val="20"/>
                <w:rtl/>
              </w:rPr>
              <w:br/>
            </w:r>
            <w:r w:rsidRPr="00E73109">
              <w:rPr>
                <w:rFonts w:ascii="FrankRuehl" w:hAnsi="FrankRuehl" w:cs="FrankRuehl"/>
                <w:b/>
                <w:bCs/>
                <w:sz w:val="20"/>
                <w:szCs w:val="20"/>
                <w:rtl/>
              </w:rPr>
              <w:t>בנייה</w:t>
            </w:r>
          </w:p>
        </w:tc>
        <w:tc>
          <w:tcPr>
            <w:tcW w:w="0" w:type="auto"/>
            <w:tcBorders>
              <w:top w:val="single" w:sz="12" w:space="0" w:color="auto"/>
              <w:left w:val="single" w:sz="4" w:space="0" w:color="auto"/>
              <w:bottom w:val="single" w:sz="12" w:space="0" w:color="auto"/>
              <w:right w:val="single" w:sz="12" w:space="0" w:color="auto"/>
            </w:tcBorders>
            <w:shd w:val="pct10" w:color="auto" w:fill="auto"/>
            <w:vAlign w:val="bottom"/>
          </w:tcPr>
          <w:p w:rsidR="00E97EDA" w:rsidRPr="00E73109" w:rsidP="00424932">
            <w:pPr>
              <w:spacing w:before="40" w:after="40" w:line="200" w:lineRule="exact"/>
              <w:jc w:val="center"/>
              <w:rPr>
                <w:rFonts w:ascii="FrankRuehl" w:hAnsi="FrankRuehl" w:cs="FrankRuehl"/>
                <w:b/>
                <w:bCs/>
                <w:sz w:val="20"/>
                <w:szCs w:val="20"/>
              </w:rPr>
            </w:pPr>
            <w:r w:rsidRPr="00E73109">
              <w:rPr>
                <w:rFonts w:ascii="FrankRuehl" w:hAnsi="FrankRuehl" w:cs="FrankRuehl" w:hint="cs"/>
                <w:b/>
                <w:bCs/>
                <w:sz w:val="20"/>
                <w:szCs w:val="20"/>
                <w:rtl/>
              </w:rPr>
              <w:t>ה</w:t>
            </w:r>
            <w:r w:rsidRPr="00E73109">
              <w:rPr>
                <w:rFonts w:ascii="FrankRuehl" w:hAnsi="FrankRuehl" w:cs="FrankRuehl"/>
                <w:b/>
                <w:bCs/>
                <w:sz w:val="20"/>
                <w:szCs w:val="20"/>
                <w:rtl/>
              </w:rPr>
              <w:t xml:space="preserve">פער </w:t>
            </w:r>
            <w:r w:rsidR="00424932">
              <w:rPr>
                <w:rFonts w:ascii="FrankRuehl" w:hAnsi="FrankRuehl" w:cs="FrankRuehl"/>
                <w:b/>
                <w:bCs/>
                <w:sz w:val="20"/>
                <w:szCs w:val="20"/>
              </w:rPr>
              <w:br/>
            </w:r>
            <w:r w:rsidRPr="00E73109">
              <w:rPr>
                <w:rFonts w:ascii="FrankRuehl" w:hAnsi="FrankRuehl" w:cs="FrankRuehl"/>
                <w:b/>
                <w:bCs/>
                <w:sz w:val="20"/>
                <w:szCs w:val="20"/>
                <w:rtl/>
              </w:rPr>
              <w:t xml:space="preserve">בין </w:t>
            </w:r>
            <w:r w:rsidR="00424932">
              <w:rPr>
                <w:rFonts w:ascii="FrankRuehl" w:hAnsi="FrankRuehl" w:cs="FrankRuehl"/>
                <w:b/>
                <w:bCs/>
                <w:sz w:val="20"/>
                <w:szCs w:val="20"/>
              </w:rPr>
              <w:br/>
            </w:r>
            <w:r w:rsidRPr="00E73109">
              <w:rPr>
                <w:rFonts w:ascii="FrankRuehl" w:hAnsi="FrankRuehl" w:cs="FrankRuehl" w:hint="cs"/>
                <w:b/>
                <w:bCs/>
                <w:sz w:val="20"/>
                <w:szCs w:val="20"/>
                <w:rtl/>
              </w:rPr>
              <w:t>יח"ד</w:t>
            </w:r>
            <w:r w:rsidRPr="00E73109">
              <w:rPr>
                <w:rFonts w:ascii="FrankRuehl" w:hAnsi="FrankRuehl" w:cs="FrankRuehl"/>
                <w:b/>
                <w:bCs/>
                <w:sz w:val="20"/>
                <w:szCs w:val="20"/>
                <w:rtl/>
              </w:rPr>
              <w:t xml:space="preserve"> </w:t>
            </w:r>
            <w:r w:rsidR="00424932">
              <w:rPr>
                <w:rFonts w:ascii="FrankRuehl" w:hAnsi="FrankRuehl" w:cs="FrankRuehl"/>
                <w:b/>
                <w:bCs/>
                <w:sz w:val="20"/>
                <w:szCs w:val="20"/>
              </w:rPr>
              <w:br/>
            </w:r>
            <w:r w:rsidRPr="00E73109">
              <w:rPr>
                <w:rFonts w:ascii="FrankRuehl" w:hAnsi="FrankRuehl" w:cs="FrankRuehl"/>
                <w:b/>
                <w:bCs/>
                <w:sz w:val="20"/>
                <w:szCs w:val="20"/>
                <w:rtl/>
              </w:rPr>
              <w:t xml:space="preserve">שאושרו </w:t>
            </w:r>
            <w:r w:rsidR="00424932">
              <w:rPr>
                <w:rFonts w:ascii="FrankRuehl" w:hAnsi="FrankRuehl" w:cs="FrankRuehl"/>
                <w:b/>
                <w:bCs/>
                <w:sz w:val="20"/>
                <w:szCs w:val="20"/>
              </w:rPr>
              <w:br/>
            </w:r>
            <w:r w:rsidRPr="00E73109">
              <w:rPr>
                <w:rFonts w:ascii="FrankRuehl" w:hAnsi="FrankRuehl" w:cs="FrankRuehl"/>
                <w:b/>
                <w:bCs/>
                <w:sz w:val="20"/>
                <w:szCs w:val="20"/>
                <w:rtl/>
              </w:rPr>
              <w:t xml:space="preserve">להתחלות </w:t>
            </w:r>
            <w:r w:rsidR="00424932">
              <w:rPr>
                <w:rFonts w:ascii="FrankRuehl" w:hAnsi="FrankRuehl" w:cs="FrankRuehl"/>
                <w:b/>
                <w:bCs/>
                <w:sz w:val="20"/>
                <w:szCs w:val="20"/>
              </w:rPr>
              <w:br/>
            </w:r>
            <w:r w:rsidRPr="00E73109">
              <w:rPr>
                <w:rFonts w:ascii="FrankRuehl" w:hAnsi="FrankRuehl" w:cs="FrankRuehl"/>
                <w:b/>
                <w:bCs/>
                <w:sz w:val="20"/>
                <w:szCs w:val="20"/>
                <w:rtl/>
              </w:rPr>
              <w:t>בנייה</w:t>
            </w:r>
          </w:p>
        </w:tc>
        <w:tc>
          <w:tcPr>
            <w:tcW w:w="0" w:type="auto"/>
            <w:tcBorders>
              <w:top w:val="single" w:sz="12" w:space="0" w:color="auto"/>
              <w:left w:val="single" w:sz="12" w:space="0" w:color="auto"/>
              <w:bottom w:val="single" w:sz="12" w:space="0" w:color="auto"/>
              <w:right w:val="single" w:sz="4" w:space="0" w:color="auto"/>
            </w:tcBorders>
            <w:shd w:val="pct10" w:color="auto" w:fill="auto"/>
            <w:vAlign w:val="bottom"/>
          </w:tcPr>
          <w:p w:rsidR="00E97EDA" w:rsidRPr="00E73109" w:rsidP="00424932">
            <w:pPr>
              <w:spacing w:before="40" w:after="40" w:line="200" w:lineRule="exact"/>
              <w:jc w:val="center"/>
              <w:rPr>
                <w:rFonts w:ascii="FrankRuehl" w:hAnsi="FrankRuehl" w:cs="FrankRuehl"/>
                <w:b/>
                <w:bCs/>
                <w:sz w:val="20"/>
                <w:szCs w:val="20"/>
                <w:rtl/>
              </w:rPr>
            </w:pPr>
          </w:p>
          <w:p w:rsidR="00E97EDA" w:rsidRPr="00E73109" w:rsidP="00424932">
            <w:pPr>
              <w:spacing w:before="40" w:after="40" w:line="200" w:lineRule="exact"/>
              <w:jc w:val="center"/>
              <w:rPr>
                <w:rFonts w:ascii="FrankRuehl" w:hAnsi="FrankRuehl" w:cs="FrankRuehl"/>
                <w:b/>
                <w:bCs/>
                <w:sz w:val="20"/>
                <w:szCs w:val="20"/>
                <w:rtl/>
              </w:rPr>
            </w:pPr>
            <w:r w:rsidRPr="00E73109">
              <w:rPr>
                <w:rFonts w:ascii="FrankRuehl" w:hAnsi="FrankRuehl" w:cs="FrankRuehl" w:hint="cs"/>
                <w:b/>
                <w:bCs/>
                <w:sz w:val="20"/>
                <w:szCs w:val="20"/>
                <w:rtl/>
              </w:rPr>
              <w:t>ה</w:t>
            </w:r>
            <w:r w:rsidRPr="00E73109">
              <w:rPr>
                <w:rFonts w:ascii="FrankRuehl" w:hAnsi="FrankRuehl" w:cs="FrankRuehl"/>
                <w:b/>
                <w:bCs/>
                <w:sz w:val="20"/>
                <w:szCs w:val="20"/>
                <w:rtl/>
              </w:rPr>
              <w:t xml:space="preserve">תוספת </w:t>
            </w:r>
            <w:r w:rsidR="00FF71E2">
              <w:rPr>
                <w:rFonts w:ascii="FrankRuehl" w:hAnsi="FrankRuehl" w:cs="FrankRuehl" w:hint="cs"/>
                <w:b/>
                <w:bCs/>
                <w:sz w:val="20"/>
                <w:szCs w:val="20"/>
                <w:rtl/>
              </w:rPr>
              <w:br/>
            </w:r>
            <w:r w:rsidRPr="00E73109">
              <w:rPr>
                <w:rFonts w:ascii="FrankRuehl" w:hAnsi="FrankRuehl" w:cs="FrankRuehl"/>
                <w:b/>
                <w:bCs/>
                <w:sz w:val="20"/>
                <w:szCs w:val="20"/>
                <w:rtl/>
              </w:rPr>
              <w:t xml:space="preserve">השנתית </w:t>
            </w:r>
            <w:r w:rsidR="00FF71E2">
              <w:rPr>
                <w:rFonts w:ascii="FrankRuehl" w:hAnsi="FrankRuehl" w:cs="FrankRuehl" w:hint="cs"/>
                <w:b/>
                <w:bCs/>
                <w:sz w:val="20"/>
                <w:szCs w:val="20"/>
                <w:rtl/>
              </w:rPr>
              <w:br/>
            </w:r>
            <w:r w:rsidRPr="00E73109">
              <w:rPr>
                <w:rFonts w:ascii="FrankRuehl" w:hAnsi="FrankRuehl" w:cs="FrankRuehl"/>
                <w:b/>
                <w:bCs/>
                <w:sz w:val="20"/>
                <w:szCs w:val="20"/>
                <w:rtl/>
              </w:rPr>
              <w:t xml:space="preserve">הממוצעת של </w:t>
            </w:r>
            <w:r w:rsidR="00FF71E2">
              <w:rPr>
                <w:rFonts w:ascii="FrankRuehl" w:hAnsi="FrankRuehl" w:cs="FrankRuehl" w:hint="cs"/>
                <w:b/>
                <w:bCs/>
                <w:sz w:val="20"/>
                <w:szCs w:val="20"/>
                <w:rtl/>
              </w:rPr>
              <w:br/>
            </w:r>
            <w:r w:rsidRPr="00E73109">
              <w:rPr>
                <w:rFonts w:ascii="FrankRuehl" w:hAnsi="FrankRuehl" w:cs="FrankRuehl"/>
                <w:b/>
                <w:bCs/>
                <w:sz w:val="20"/>
                <w:szCs w:val="20"/>
                <w:rtl/>
              </w:rPr>
              <w:t>משקי הבית</w:t>
            </w:r>
            <w:r w:rsidRPr="00E73109">
              <w:rPr>
                <w:rFonts w:ascii="FrankRuehl" w:hAnsi="FrankRuehl" w:cs="FrankRuehl" w:hint="cs"/>
                <w:b/>
                <w:bCs/>
                <w:sz w:val="20"/>
                <w:szCs w:val="20"/>
                <w:rtl/>
              </w:rPr>
              <w:t>*</w:t>
            </w:r>
          </w:p>
        </w:tc>
        <w:tc>
          <w:tcPr>
            <w:tcW w:w="0" w:type="auto"/>
            <w:tcBorders>
              <w:top w:val="single" w:sz="12" w:space="0" w:color="auto"/>
              <w:left w:val="single" w:sz="4" w:space="0" w:color="auto"/>
              <w:bottom w:val="single" w:sz="12" w:space="0" w:color="auto"/>
              <w:right w:val="single" w:sz="12" w:space="0" w:color="auto"/>
            </w:tcBorders>
            <w:shd w:val="pct10" w:color="auto" w:fill="auto"/>
            <w:vAlign w:val="bottom"/>
          </w:tcPr>
          <w:p w:rsidR="00E97EDA" w:rsidRPr="00E73109" w:rsidP="00424932">
            <w:pPr>
              <w:spacing w:before="40" w:after="40" w:line="200" w:lineRule="exact"/>
              <w:jc w:val="center"/>
              <w:rPr>
                <w:rFonts w:ascii="FrankRuehl" w:hAnsi="FrankRuehl" w:cs="FrankRuehl"/>
                <w:b/>
                <w:bCs/>
                <w:sz w:val="20"/>
                <w:szCs w:val="20"/>
                <w:rtl/>
              </w:rPr>
            </w:pPr>
            <w:r w:rsidRPr="00E73109">
              <w:rPr>
                <w:rFonts w:ascii="FrankRuehl" w:hAnsi="FrankRuehl" w:cs="FrankRuehl"/>
                <w:b/>
                <w:bCs/>
                <w:sz w:val="20"/>
                <w:szCs w:val="20"/>
                <w:rtl/>
              </w:rPr>
              <w:t xml:space="preserve">פער בין </w:t>
            </w:r>
            <w:r w:rsidR="00424932">
              <w:rPr>
                <w:rFonts w:ascii="FrankRuehl" w:hAnsi="FrankRuehl" w:cs="FrankRuehl"/>
                <w:b/>
                <w:bCs/>
                <w:sz w:val="20"/>
                <w:szCs w:val="20"/>
              </w:rPr>
              <w:br/>
            </w:r>
            <w:r w:rsidRPr="00E73109">
              <w:rPr>
                <w:rFonts w:ascii="FrankRuehl" w:hAnsi="FrankRuehl" w:cs="FrankRuehl" w:hint="cs"/>
                <w:b/>
                <w:bCs/>
                <w:sz w:val="20"/>
                <w:szCs w:val="20"/>
                <w:rtl/>
              </w:rPr>
              <w:t>יח"ד</w:t>
            </w:r>
            <w:r w:rsidRPr="00E73109">
              <w:rPr>
                <w:rFonts w:ascii="FrankRuehl" w:hAnsi="FrankRuehl" w:cs="FrankRuehl"/>
                <w:b/>
                <w:bCs/>
                <w:sz w:val="20"/>
                <w:szCs w:val="20"/>
                <w:rtl/>
              </w:rPr>
              <w:t xml:space="preserve"> שאושרו </w:t>
            </w:r>
            <w:r w:rsidR="00424932">
              <w:rPr>
                <w:rFonts w:ascii="FrankRuehl" w:hAnsi="FrankRuehl" w:cs="FrankRuehl"/>
                <w:b/>
                <w:bCs/>
                <w:sz w:val="20"/>
                <w:szCs w:val="20"/>
              </w:rPr>
              <w:br/>
            </w:r>
            <w:r w:rsidRPr="00E73109">
              <w:rPr>
                <w:rFonts w:ascii="FrankRuehl" w:hAnsi="FrankRuehl" w:cs="FrankRuehl" w:hint="cs"/>
                <w:b/>
                <w:bCs/>
                <w:sz w:val="20"/>
                <w:szCs w:val="20"/>
                <w:rtl/>
              </w:rPr>
              <w:t xml:space="preserve">ובין </w:t>
            </w:r>
            <w:r w:rsidR="00424932">
              <w:rPr>
                <w:rFonts w:ascii="FrankRuehl" w:hAnsi="FrankRuehl" w:cs="FrankRuehl"/>
                <w:b/>
                <w:bCs/>
                <w:sz w:val="20"/>
                <w:szCs w:val="20"/>
              </w:rPr>
              <w:br/>
            </w:r>
            <w:r w:rsidRPr="00E73109">
              <w:rPr>
                <w:rFonts w:ascii="FrankRuehl" w:hAnsi="FrankRuehl" w:cs="FrankRuehl" w:hint="cs"/>
                <w:b/>
                <w:bCs/>
                <w:sz w:val="20"/>
                <w:szCs w:val="20"/>
                <w:rtl/>
              </w:rPr>
              <w:t>ה</w:t>
            </w:r>
            <w:r w:rsidRPr="00E73109">
              <w:rPr>
                <w:rFonts w:ascii="FrankRuehl" w:hAnsi="FrankRuehl" w:cs="FrankRuehl"/>
                <w:b/>
                <w:bCs/>
                <w:sz w:val="20"/>
                <w:szCs w:val="20"/>
                <w:rtl/>
              </w:rPr>
              <w:t xml:space="preserve">תוספת </w:t>
            </w:r>
            <w:r w:rsidR="00424932">
              <w:rPr>
                <w:rFonts w:ascii="FrankRuehl" w:hAnsi="FrankRuehl" w:cs="FrankRuehl"/>
                <w:b/>
                <w:bCs/>
                <w:sz w:val="20"/>
                <w:szCs w:val="20"/>
              </w:rPr>
              <w:br/>
            </w:r>
            <w:r w:rsidRPr="00E73109">
              <w:rPr>
                <w:rFonts w:ascii="FrankRuehl" w:hAnsi="FrankRuehl" w:cs="FrankRuehl"/>
                <w:b/>
                <w:bCs/>
                <w:sz w:val="20"/>
                <w:szCs w:val="20"/>
                <w:rtl/>
              </w:rPr>
              <w:t xml:space="preserve">השנתית </w:t>
            </w:r>
            <w:r w:rsidR="00424932">
              <w:rPr>
                <w:rFonts w:ascii="FrankRuehl" w:hAnsi="FrankRuehl" w:cs="FrankRuehl"/>
                <w:b/>
                <w:bCs/>
                <w:sz w:val="20"/>
                <w:szCs w:val="20"/>
              </w:rPr>
              <w:br/>
            </w:r>
            <w:r w:rsidRPr="00E73109">
              <w:rPr>
                <w:rFonts w:ascii="FrankRuehl" w:hAnsi="FrankRuehl" w:cs="FrankRuehl"/>
                <w:b/>
                <w:bCs/>
                <w:sz w:val="20"/>
                <w:szCs w:val="20"/>
                <w:rtl/>
              </w:rPr>
              <w:t>הממוצעת</w:t>
            </w:r>
            <w:r w:rsidR="00424932">
              <w:rPr>
                <w:rFonts w:ascii="FrankRuehl" w:hAnsi="FrankRuehl" w:cs="FrankRuehl"/>
                <w:b/>
                <w:bCs/>
                <w:sz w:val="20"/>
                <w:szCs w:val="20"/>
              </w:rPr>
              <w:br/>
            </w:r>
            <w:r w:rsidRPr="00E73109">
              <w:rPr>
                <w:rFonts w:ascii="FrankRuehl" w:hAnsi="FrankRuehl" w:cs="FrankRuehl"/>
                <w:b/>
                <w:bCs/>
                <w:sz w:val="20"/>
                <w:szCs w:val="20"/>
                <w:rtl/>
              </w:rPr>
              <w:t>של משקי הבית</w:t>
            </w:r>
          </w:p>
        </w:tc>
      </w:tr>
      <w:tr w:rsidTr="00424932">
        <w:tblPrEx>
          <w:tblW w:w="6691" w:type="dxa"/>
          <w:jc w:val="center"/>
          <w:tblCellMar>
            <w:left w:w="57" w:type="dxa"/>
            <w:right w:w="57" w:type="dxa"/>
          </w:tblCellMar>
          <w:tblLook w:val="0000"/>
        </w:tblPrEx>
        <w:trPr>
          <w:trHeight w:val="255"/>
          <w:jc w:val="center"/>
        </w:trPr>
        <w:tc>
          <w:tcPr>
            <w:tcW w:w="0" w:type="auto"/>
            <w:tcBorders>
              <w:top w:val="single" w:sz="12" w:space="0" w:color="auto"/>
              <w:left w:val="single" w:sz="12" w:space="0" w:color="auto"/>
              <w:bottom w:val="single" w:sz="4" w:space="0" w:color="auto"/>
              <w:right w:val="single" w:sz="12" w:space="0" w:color="auto"/>
            </w:tcBorders>
            <w:shd w:val="clear" w:color="auto" w:fill="auto"/>
            <w:noWrap/>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sz w:val="20"/>
                <w:szCs w:val="20"/>
              </w:rPr>
              <w:t>2007</w:t>
            </w:r>
          </w:p>
        </w:tc>
        <w:tc>
          <w:tcPr>
            <w:tcW w:w="0" w:type="auto"/>
            <w:tcBorders>
              <w:top w:val="single" w:sz="12" w:space="0" w:color="auto"/>
              <w:left w:val="single" w:sz="12" w:space="0" w:color="auto"/>
              <w:bottom w:val="single" w:sz="4" w:space="0" w:color="auto"/>
              <w:right w:val="single" w:sz="12" w:space="0" w:color="auto"/>
            </w:tcBorders>
            <w:shd w:val="clear"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23,749</w:t>
            </w:r>
          </w:p>
        </w:tc>
        <w:tc>
          <w:tcPr>
            <w:tcW w:w="0" w:type="auto"/>
            <w:tcBorders>
              <w:top w:val="single" w:sz="12" w:space="0" w:color="auto"/>
              <w:left w:val="single" w:sz="12" w:space="0" w:color="auto"/>
              <w:bottom w:val="single" w:sz="4" w:space="0" w:color="auto"/>
              <w:right w:val="single" w:sz="4" w:space="0" w:color="auto"/>
            </w:tcBorders>
            <w:shd w:val="clear"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sz w:val="20"/>
                <w:szCs w:val="20"/>
                <w:rtl/>
              </w:rPr>
              <w:t>כ-45,000</w:t>
            </w:r>
          </w:p>
        </w:tc>
        <w:tc>
          <w:tcPr>
            <w:tcW w:w="0" w:type="auto"/>
            <w:tcBorders>
              <w:top w:val="single" w:sz="12" w:space="0" w:color="auto"/>
              <w:left w:val="single" w:sz="4" w:space="0" w:color="auto"/>
              <w:bottom w:val="single" w:sz="4" w:space="0" w:color="auto"/>
              <w:right w:val="single" w:sz="12" w:space="0" w:color="auto"/>
            </w:tcBorders>
            <w:shd w:val="clear" w:color="auto" w:fill="auto"/>
            <w:noWrap/>
          </w:tcPr>
          <w:p w:rsidR="00E97EDA" w:rsidRPr="009B04B5" w:rsidP="005B3597">
            <w:pPr>
              <w:spacing w:before="40" w:after="40" w:line="200" w:lineRule="exact"/>
              <w:rPr>
                <w:rFonts w:ascii="Calibri" w:hAnsi="Calibri" w:cs="FrankRuehl"/>
                <w:sz w:val="20"/>
                <w:szCs w:val="20"/>
              </w:rPr>
            </w:pPr>
            <w:r w:rsidRPr="00E73109">
              <w:rPr>
                <w:rFonts w:ascii="FrankRuehl" w:hAnsi="FrankRuehl" w:cs="FrankRuehl"/>
                <w:sz w:val="20"/>
                <w:szCs w:val="20"/>
              </w:rPr>
              <w:t>-21,</w:t>
            </w:r>
            <w:r w:rsidRPr="005B3597" w:rsidR="005B3597">
              <w:rPr>
                <w:rFonts w:ascii="FrankRuehl" w:hAnsi="FrankRuehl" w:cs="FrankRuehl"/>
                <w:sz w:val="20"/>
                <w:szCs w:val="20"/>
              </w:rPr>
              <w:t>251</w:t>
            </w:r>
          </w:p>
        </w:tc>
        <w:tc>
          <w:tcPr>
            <w:tcW w:w="0" w:type="auto"/>
            <w:tcBorders>
              <w:top w:val="single" w:sz="12" w:space="0" w:color="auto"/>
              <w:left w:val="single" w:sz="12" w:space="0" w:color="auto"/>
              <w:bottom w:val="single" w:sz="4" w:space="0" w:color="auto"/>
              <w:right w:val="single" w:sz="4" w:space="0" w:color="auto"/>
            </w:tcBorders>
            <w:shd w:val="clear" w:color="auto" w:fill="auto"/>
            <w:noWrap/>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29,313</w:t>
            </w:r>
          </w:p>
        </w:tc>
        <w:tc>
          <w:tcPr>
            <w:tcW w:w="0" w:type="auto"/>
            <w:tcBorders>
              <w:top w:val="single" w:sz="12" w:space="0" w:color="auto"/>
              <w:left w:val="single" w:sz="4" w:space="0" w:color="auto"/>
              <w:bottom w:val="single" w:sz="4" w:space="0" w:color="auto"/>
              <w:right w:val="single" w:sz="12" w:space="0" w:color="auto"/>
            </w:tcBorders>
            <w:shd w:val="clear" w:color="auto" w:fill="auto"/>
            <w:noWrap/>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sz w:val="20"/>
                <w:szCs w:val="20"/>
              </w:rPr>
              <w:t>-5,564</w:t>
            </w:r>
          </w:p>
        </w:tc>
        <w:tc>
          <w:tcPr>
            <w:tcW w:w="0" w:type="auto"/>
            <w:tcBorders>
              <w:top w:val="single" w:sz="12" w:space="0" w:color="auto"/>
              <w:left w:val="single" w:sz="12" w:space="0" w:color="auto"/>
              <w:bottom w:val="single" w:sz="4" w:space="0" w:color="auto"/>
              <w:right w:val="single" w:sz="4" w:space="0" w:color="auto"/>
            </w:tcBorders>
            <w:shd w:val="clear" w:color="auto" w:fill="auto"/>
          </w:tcPr>
          <w:p w:rsidR="00E97EDA" w:rsidRPr="00E73109" w:rsidP="00424932">
            <w:pPr>
              <w:spacing w:before="40" w:after="40" w:line="200" w:lineRule="exact"/>
              <w:rPr>
                <w:rFonts w:ascii="FrankRuehl" w:hAnsi="FrankRuehl" w:cs="FrankRuehl"/>
                <w:b/>
                <w:bCs/>
                <w:sz w:val="20"/>
                <w:szCs w:val="20"/>
                <w:rtl/>
              </w:rPr>
            </w:pPr>
            <w:r w:rsidRPr="00E73109">
              <w:rPr>
                <w:rFonts w:ascii="FrankRuehl" w:hAnsi="FrankRuehl" w:cs="FrankRuehl" w:hint="cs"/>
                <w:b/>
                <w:bCs/>
                <w:sz w:val="20"/>
                <w:szCs w:val="20"/>
                <w:rtl/>
              </w:rPr>
              <w:t>כ-37,100</w:t>
            </w:r>
          </w:p>
        </w:tc>
        <w:tc>
          <w:tcPr>
            <w:tcW w:w="0" w:type="auto"/>
            <w:tcBorders>
              <w:top w:val="single" w:sz="12" w:space="0" w:color="auto"/>
              <w:left w:val="single" w:sz="4" w:space="0" w:color="auto"/>
              <w:bottom w:val="single" w:sz="4" w:space="0" w:color="auto"/>
              <w:right w:val="single" w:sz="12" w:space="0" w:color="auto"/>
            </w:tcBorders>
          </w:tcPr>
          <w:p w:rsidR="00E97EDA" w:rsidRPr="00E73109" w:rsidP="00424932">
            <w:pPr>
              <w:spacing w:before="40" w:after="40" w:line="200" w:lineRule="exact"/>
              <w:rPr>
                <w:rFonts w:ascii="FrankRuehl" w:hAnsi="FrankRuehl" w:cs="FrankRuehl"/>
                <w:sz w:val="20"/>
                <w:szCs w:val="20"/>
                <w:rtl/>
              </w:rPr>
            </w:pPr>
            <w:r w:rsidRPr="00E73109">
              <w:rPr>
                <w:rFonts w:ascii="FrankRuehl" w:hAnsi="FrankRuehl" w:cs="FrankRuehl" w:hint="cs"/>
                <w:sz w:val="20"/>
                <w:szCs w:val="20"/>
                <w:rtl/>
              </w:rPr>
              <w:t>כ-13,351-</w:t>
            </w:r>
          </w:p>
        </w:tc>
      </w:tr>
      <w:tr w:rsidTr="00424932">
        <w:tblPrEx>
          <w:tblW w:w="6691" w:type="dxa"/>
          <w:jc w:val="center"/>
          <w:tblCellMar>
            <w:left w:w="57" w:type="dxa"/>
            <w:right w:w="57" w:type="dxa"/>
          </w:tblCellMar>
          <w:tblLook w:val="0000"/>
        </w:tblPrEx>
        <w:trPr>
          <w:trHeight w:val="255"/>
          <w:jc w:val="center"/>
        </w:trPr>
        <w:tc>
          <w:tcPr>
            <w:tcW w:w="0" w:type="auto"/>
            <w:tcBorders>
              <w:top w:val="nil"/>
              <w:left w:val="single" w:sz="12" w:space="0" w:color="auto"/>
              <w:bottom w:val="single" w:sz="4" w:space="0" w:color="auto"/>
              <w:right w:val="single" w:sz="12" w:space="0" w:color="auto"/>
            </w:tcBorders>
            <w:shd w:val="clear" w:color="auto" w:fill="auto"/>
            <w:noWrap/>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sz w:val="20"/>
                <w:szCs w:val="20"/>
              </w:rPr>
              <w:t>2008</w:t>
            </w:r>
          </w:p>
        </w:tc>
        <w:tc>
          <w:tcPr>
            <w:tcW w:w="0" w:type="auto"/>
            <w:tcBorders>
              <w:top w:val="nil"/>
              <w:left w:val="single" w:sz="12" w:space="0" w:color="auto"/>
              <w:bottom w:val="single" w:sz="4" w:space="0" w:color="auto"/>
              <w:right w:val="single" w:sz="12" w:space="0" w:color="auto"/>
            </w:tcBorders>
            <w:shd w:val="clear"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24,878</w:t>
            </w:r>
          </w:p>
        </w:tc>
        <w:tc>
          <w:tcPr>
            <w:tcW w:w="0" w:type="auto"/>
            <w:tcBorders>
              <w:top w:val="nil"/>
              <w:left w:val="single" w:sz="12" w:space="0" w:color="auto"/>
              <w:bottom w:val="single" w:sz="4" w:space="0" w:color="auto"/>
              <w:right w:val="single" w:sz="4" w:space="0" w:color="auto"/>
            </w:tcBorders>
            <w:shd w:val="clear"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sz w:val="20"/>
                <w:szCs w:val="20"/>
                <w:rtl/>
              </w:rPr>
              <w:t>כ-45,000</w:t>
            </w:r>
          </w:p>
        </w:tc>
        <w:tc>
          <w:tcPr>
            <w:tcW w:w="0" w:type="auto"/>
            <w:tcBorders>
              <w:top w:val="nil"/>
              <w:left w:val="single" w:sz="4" w:space="0" w:color="auto"/>
              <w:bottom w:val="single" w:sz="4" w:space="0" w:color="auto"/>
              <w:right w:val="single" w:sz="12" w:space="0" w:color="auto"/>
            </w:tcBorders>
            <w:shd w:val="clear" w:color="auto" w:fill="auto"/>
            <w:noWrap/>
          </w:tcPr>
          <w:p w:rsidR="00E97EDA" w:rsidRPr="00E73109" w:rsidP="005B3597">
            <w:pPr>
              <w:spacing w:before="40" w:after="40" w:line="200" w:lineRule="exact"/>
              <w:rPr>
                <w:rFonts w:ascii="FrankRuehl" w:hAnsi="FrankRuehl" w:cs="FrankRuehl"/>
                <w:sz w:val="20"/>
                <w:szCs w:val="20"/>
                <w:rtl/>
              </w:rPr>
            </w:pPr>
            <w:r w:rsidRPr="00E73109">
              <w:rPr>
                <w:rFonts w:ascii="FrankRuehl" w:hAnsi="FrankRuehl" w:cs="FrankRuehl"/>
                <w:sz w:val="20"/>
                <w:szCs w:val="20"/>
              </w:rPr>
              <w:t>-20,</w:t>
            </w:r>
            <w:r w:rsidR="005B3597">
              <w:rPr>
                <w:rFonts w:ascii="FrankRuehl" w:hAnsi="FrankRuehl" w:cs="FrankRuehl"/>
                <w:sz w:val="20"/>
                <w:szCs w:val="20"/>
              </w:rPr>
              <w:t>1</w:t>
            </w:r>
            <w:r w:rsidRPr="00E73109">
              <w:rPr>
                <w:rFonts w:ascii="FrankRuehl" w:hAnsi="FrankRuehl" w:cs="FrankRuehl"/>
                <w:sz w:val="20"/>
                <w:szCs w:val="20"/>
              </w:rPr>
              <w:t>2</w:t>
            </w:r>
            <w:r w:rsidR="005B3597">
              <w:rPr>
                <w:rFonts w:ascii="FrankRuehl" w:hAnsi="FrankRuehl" w:cs="FrankRuehl"/>
                <w:sz w:val="20"/>
                <w:szCs w:val="20"/>
              </w:rPr>
              <w:t>2</w:t>
            </w:r>
          </w:p>
        </w:tc>
        <w:tc>
          <w:tcPr>
            <w:tcW w:w="0" w:type="auto"/>
            <w:tcBorders>
              <w:top w:val="nil"/>
              <w:left w:val="single" w:sz="12" w:space="0" w:color="auto"/>
              <w:bottom w:val="single" w:sz="4" w:space="0" w:color="auto"/>
              <w:right w:val="single" w:sz="4" w:space="0" w:color="auto"/>
            </w:tcBorders>
            <w:shd w:val="clear" w:color="auto" w:fill="auto"/>
            <w:noWrap/>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30,820</w:t>
            </w:r>
          </w:p>
        </w:tc>
        <w:tc>
          <w:tcPr>
            <w:tcW w:w="0" w:type="auto"/>
            <w:tcBorders>
              <w:top w:val="nil"/>
              <w:left w:val="single" w:sz="4" w:space="0" w:color="auto"/>
              <w:bottom w:val="single" w:sz="4" w:space="0" w:color="auto"/>
              <w:right w:val="single" w:sz="12" w:space="0" w:color="auto"/>
            </w:tcBorders>
            <w:shd w:val="clear" w:color="auto" w:fill="auto"/>
            <w:noWrap/>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sz w:val="20"/>
                <w:szCs w:val="20"/>
              </w:rPr>
              <w:t>-5,942</w:t>
            </w:r>
          </w:p>
        </w:tc>
        <w:tc>
          <w:tcPr>
            <w:tcW w:w="0" w:type="auto"/>
            <w:tcBorders>
              <w:top w:val="nil"/>
              <w:left w:val="single" w:sz="12" w:space="0" w:color="auto"/>
              <w:bottom w:val="single" w:sz="4" w:space="0" w:color="auto"/>
              <w:right w:val="single" w:sz="4" w:space="0" w:color="auto"/>
            </w:tcBorders>
            <w:shd w:val="clear" w:color="auto" w:fill="auto"/>
          </w:tcPr>
          <w:p w:rsidR="00E97EDA" w:rsidRPr="00E73109" w:rsidP="00424932">
            <w:pPr>
              <w:spacing w:before="40" w:after="40" w:line="200" w:lineRule="exact"/>
              <w:rPr>
                <w:rFonts w:ascii="FrankRuehl" w:hAnsi="FrankRuehl" w:cs="FrankRuehl"/>
                <w:b/>
                <w:bCs/>
                <w:sz w:val="20"/>
                <w:szCs w:val="20"/>
                <w:rtl/>
              </w:rPr>
            </w:pPr>
            <w:r w:rsidRPr="00E73109">
              <w:rPr>
                <w:rFonts w:ascii="FrankRuehl" w:hAnsi="FrankRuehl" w:cs="FrankRuehl" w:hint="cs"/>
                <w:b/>
                <w:bCs/>
                <w:sz w:val="20"/>
                <w:szCs w:val="20"/>
                <w:rtl/>
              </w:rPr>
              <w:t>כ-37,100</w:t>
            </w:r>
          </w:p>
        </w:tc>
        <w:tc>
          <w:tcPr>
            <w:tcW w:w="0" w:type="auto"/>
            <w:tcBorders>
              <w:top w:val="nil"/>
              <w:left w:val="single" w:sz="4" w:space="0" w:color="auto"/>
              <w:bottom w:val="single" w:sz="4" w:space="0" w:color="auto"/>
              <w:right w:val="single" w:sz="12" w:space="0" w:color="auto"/>
            </w:tcBorders>
          </w:tcPr>
          <w:p w:rsidR="00E97EDA" w:rsidRPr="00E73109" w:rsidP="00424932">
            <w:pPr>
              <w:spacing w:before="40" w:after="40" w:line="200" w:lineRule="exact"/>
              <w:rPr>
                <w:rFonts w:ascii="FrankRuehl" w:hAnsi="FrankRuehl" w:cs="FrankRuehl"/>
                <w:sz w:val="20"/>
                <w:szCs w:val="20"/>
                <w:rtl/>
              </w:rPr>
            </w:pPr>
            <w:r w:rsidRPr="00E73109">
              <w:rPr>
                <w:rFonts w:ascii="FrankRuehl" w:hAnsi="FrankRuehl" w:cs="FrankRuehl" w:hint="cs"/>
                <w:sz w:val="20"/>
                <w:szCs w:val="20"/>
                <w:rtl/>
              </w:rPr>
              <w:t>כ-12,222-</w:t>
            </w:r>
          </w:p>
        </w:tc>
      </w:tr>
      <w:tr w:rsidTr="00424932">
        <w:tblPrEx>
          <w:tblW w:w="6691" w:type="dxa"/>
          <w:jc w:val="center"/>
          <w:tblCellMar>
            <w:left w:w="57" w:type="dxa"/>
            <w:right w:w="57" w:type="dxa"/>
          </w:tblCellMar>
          <w:tblLook w:val="0000"/>
        </w:tblPrEx>
        <w:trPr>
          <w:trHeight w:val="255"/>
          <w:jc w:val="center"/>
        </w:trPr>
        <w:tc>
          <w:tcPr>
            <w:tcW w:w="0" w:type="auto"/>
            <w:tcBorders>
              <w:top w:val="nil"/>
              <w:left w:val="single" w:sz="12" w:space="0" w:color="auto"/>
              <w:bottom w:val="single" w:sz="4" w:space="0" w:color="auto"/>
              <w:right w:val="single" w:sz="12" w:space="0" w:color="auto"/>
            </w:tcBorders>
            <w:shd w:val="clear" w:color="auto" w:fill="auto"/>
            <w:noWrap/>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sz w:val="20"/>
                <w:szCs w:val="20"/>
              </w:rPr>
              <w:t>2009</w:t>
            </w:r>
          </w:p>
        </w:tc>
        <w:tc>
          <w:tcPr>
            <w:tcW w:w="0" w:type="auto"/>
            <w:tcBorders>
              <w:top w:val="nil"/>
              <w:left w:val="single" w:sz="12" w:space="0" w:color="auto"/>
              <w:bottom w:val="single" w:sz="4" w:space="0" w:color="auto"/>
              <w:right w:val="single" w:sz="12" w:space="0" w:color="auto"/>
            </w:tcBorders>
            <w:shd w:val="clear"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22,792</w:t>
            </w:r>
          </w:p>
        </w:tc>
        <w:tc>
          <w:tcPr>
            <w:tcW w:w="0" w:type="auto"/>
            <w:tcBorders>
              <w:top w:val="nil"/>
              <w:left w:val="single" w:sz="12" w:space="0" w:color="auto"/>
              <w:bottom w:val="single" w:sz="4" w:space="0" w:color="auto"/>
              <w:right w:val="single" w:sz="4" w:space="0" w:color="auto"/>
            </w:tcBorders>
            <w:shd w:val="clear"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sz w:val="20"/>
                <w:szCs w:val="20"/>
                <w:rtl/>
              </w:rPr>
              <w:t>כ-45,000</w:t>
            </w:r>
          </w:p>
        </w:tc>
        <w:tc>
          <w:tcPr>
            <w:tcW w:w="0" w:type="auto"/>
            <w:tcBorders>
              <w:top w:val="nil"/>
              <w:left w:val="single" w:sz="4" w:space="0" w:color="auto"/>
              <w:bottom w:val="single" w:sz="4" w:space="0" w:color="auto"/>
              <w:right w:val="single" w:sz="12" w:space="0" w:color="auto"/>
            </w:tcBorders>
            <w:shd w:val="clear" w:color="auto" w:fill="auto"/>
            <w:noWrap/>
          </w:tcPr>
          <w:p w:rsidR="00E97EDA" w:rsidRPr="00E73109" w:rsidP="005B3597">
            <w:pPr>
              <w:spacing w:before="40" w:after="40" w:line="200" w:lineRule="exact"/>
              <w:rPr>
                <w:rFonts w:ascii="FrankRuehl" w:hAnsi="FrankRuehl" w:cs="FrankRuehl"/>
                <w:sz w:val="20"/>
                <w:szCs w:val="20"/>
              </w:rPr>
            </w:pPr>
            <w:r w:rsidRPr="00E73109">
              <w:rPr>
                <w:rFonts w:ascii="FrankRuehl" w:hAnsi="FrankRuehl" w:cs="FrankRuehl"/>
                <w:sz w:val="20"/>
                <w:szCs w:val="20"/>
              </w:rPr>
              <w:t>-22,</w:t>
            </w:r>
            <w:r w:rsidR="005B3597">
              <w:rPr>
                <w:rFonts w:ascii="FrankRuehl" w:hAnsi="FrankRuehl" w:cs="FrankRuehl"/>
                <w:sz w:val="20"/>
                <w:szCs w:val="20"/>
              </w:rPr>
              <w:t>208</w:t>
            </w:r>
          </w:p>
        </w:tc>
        <w:tc>
          <w:tcPr>
            <w:tcW w:w="0" w:type="auto"/>
            <w:tcBorders>
              <w:top w:val="nil"/>
              <w:left w:val="single" w:sz="12" w:space="0" w:color="auto"/>
              <w:bottom w:val="single" w:sz="4" w:space="0" w:color="auto"/>
              <w:right w:val="single" w:sz="4" w:space="0" w:color="auto"/>
            </w:tcBorders>
            <w:shd w:val="clear" w:color="auto" w:fill="auto"/>
            <w:noWrap/>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32,964</w:t>
            </w:r>
          </w:p>
        </w:tc>
        <w:tc>
          <w:tcPr>
            <w:tcW w:w="0" w:type="auto"/>
            <w:tcBorders>
              <w:top w:val="nil"/>
              <w:left w:val="single" w:sz="4" w:space="0" w:color="auto"/>
              <w:bottom w:val="single" w:sz="4" w:space="0" w:color="auto"/>
              <w:right w:val="single" w:sz="12" w:space="0" w:color="auto"/>
            </w:tcBorders>
            <w:shd w:val="clear" w:color="auto" w:fill="auto"/>
            <w:noWrap/>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sz w:val="20"/>
                <w:szCs w:val="20"/>
              </w:rPr>
              <w:t>-10,172</w:t>
            </w:r>
          </w:p>
        </w:tc>
        <w:tc>
          <w:tcPr>
            <w:tcW w:w="0" w:type="auto"/>
            <w:tcBorders>
              <w:top w:val="nil"/>
              <w:left w:val="single" w:sz="12" w:space="0" w:color="auto"/>
              <w:bottom w:val="single" w:sz="4" w:space="0" w:color="auto"/>
              <w:right w:val="single" w:sz="4" w:space="0" w:color="auto"/>
            </w:tcBorders>
            <w:shd w:val="clear" w:color="auto" w:fill="auto"/>
          </w:tcPr>
          <w:p w:rsidR="00E97EDA" w:rsidRPr="00E73109" w:rsidP="00424932">
            <w:pPr>
              <w:spacing w:before="40" w:after="40" w:line="200" w:lineRule="exact"/>
              <w:rPr>
                <w:rFonts w:ascii="FrankRuehl" w:hAnsi="FrankRuehl" w:cs="FrankRuehl"/>
                <w:b/>
                <w:bCs/>
                <w:sz w:val="20"/>
                <w:szCs w:val="20"/>
                <w:rtl/>
              </w:rPr>
            </w:pPr>
            <w:r w:rsidRPr="00E73109">
              <w:rPr>
                <w:rFonts w:ascii="FrankRuehl" w:hAnsi="FrankRuehl" w:cs="FrankRuehl" w:hint="cs"/>
                <w:b/>
                <w:bCs/>
                <w:sz w:val="20"/>
                <w:szCs w:val="20"/>
                <w:rtl/>
              </w:rPr>
              <w:t>כ-37,100</w:t>
            </w:r>
          </w:p>
        </w:tc>
        <w:tc>
          <w:tcPr>
            <w:tcW w:w="0" w:type="auto"/>
            <w:tcBorders>
              <w:top w:val="nil"/>
              <w:left w:val="single" w:sz="4" w:space="0" w:color="auto"/>
              <w:bottom w:val="single" w:sz="4" w:space="0" w:color="auto"/>
              <w:right w:val="single" w:sz="12" w:space="0" w:color="auto"/>
            </w:tcBorders>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hint="cs"/>
                <w:sz w:val="20"/>
                <w:szCs w:val="20"/>
                <w:rtl/>
              </w:rPr>
              <w:t>כ-14,308-</w:t>
            </w:r>
          </w:p>
        </w:tc>
      </w:tr>
      <w:tr w:rsidTr="00424932">
        <w:tblPrEx>
          <w:tblW w:w="6691" w:type="dxa"/>
          <w:jc w:val="center"/>
          <w:tblCellMar>
            <w:left w:w="57" w:type="dxa"/>
            <w:right w:w="57" w:type="dxa"/>
          </w:tblCellMar>
          <w:tblLook w:val="0000"/>
        </w:tblPrEx>
        <w:trPr>
          <w:trHeight w:val="255"/>
          <w:jc w:val="center"/>
        </w:trPr>
        <w:tc>
          <w:tcPr>
            <w:tcW w:w="0" w:type="auto"/>
            <w:tcBorders>
              <w:top w:val="nil"/>
              <w:left w:val="single" w:sz="12" w:space="0" w:color="auto"/>
              <w:bottom w:val="single" w:sz="4" w:space="0" w:color="auto"/>
              <w:right w:val="single" w:sz="12" w:space="0" w:color="auto"/>
            </w:tcBorders>
            <w:shd w:val="clear" w:color="auto" w:fill="auto"/>
            <w:noWrap/>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sz w:val="20"/>
                <w:szCs w:val="20"/>
              </w:rPr>
              <w:t>2010</w:t>
            </w:r>
          </w:p>
        </w:tc>
        <w:tc>
          <w:tcPr>
            <w:tcW w:w="0" w:type="auto"/>
            <w:tcBorders>
              <w:top w:val="nil"/>
              <w:left w:val="single" w:sz="12" w:space="0" w:color="auto"/>
              <w:bottom w:val="single" w:sz="4" w:space="0" w:color="auto"/>
              <w:right w:val="single" w:sz="12" w:space="0" w:color="auto"/>
            </w:tcBorders>
            <w:shd w:val="clear"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23,704</w:t>
            </w:r>
          </w:p>
        </w:tc>
        <w:tc>
          <w:tcPr>
            <w:tcW w:w="0" w:type="auto"/>
            <w:tcBorders>
              <w:top w:val="nil"/>
              <w:left w:val="single" w:sz="12" w:space="0" w:color="auto"/>
              <w:bottom w:val="single" w:sz="4" w:space="0" w:color="auto"/>
              <w:right w:val="single" w:sz="4" w:space="0" w:color="auto"/>
            </w:tcBorders>
            <w:shd w:val="clear"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sz w:val="20"/>
                <w:szCs w:val="20"/>
                <w:rtl/>
              </w:rPr>
              <w:t>כ-45,000</w:t>
            </w:r>
          </w:p>
        </w:tc>
        <w:tc>
          <w:tcPr>
            <w:tcW w:w="0" w:type="auto"/>
            <w:tcBorders>
              <w:top w:val="nil"/>
              <w:left w:val="single" w:sz="4" w:space="0" w:color="auto"/>
              <w:bottom w:val="single" w:sz="4" w:space="0" w:color="auto"/>
              <w:right w:val="single" w:sz="12" w:space="0" w:color="auto"/>
            </w:tcBorders>
            <w:shd w:val="clear" w:color="auto" w:fill="auto"/>
            <w:noWrap/>
          </w:tcPr>
          <w:p w:rsidR="00E97EDA" w:rsidRPr="00E73109" w:rsidP="005B3597">
            <w:pPr>
              <w:spacing w:before="40" w:after="40" w:line="200" w:lineRule="exact"/>
              <w:rPr>
                <w:rFonts w:ascii="FrankRuehl" w:hAnsi="FrankRuehl" w:cs="FrankRuehl"/>
                <w:sz w:val="20"/>
                <w:szCs w:val="20"/>
              </w:rPr>
            </w:pPr>
            <w:r w:rsidRPr="00E73109">
              <w:rPr>
                <w:rFonts w:ascii="FrankRuehl" w:hAnsi="FrankRuehl" w:cs="FrankRuehl"/>
                <w:sz w:val="20"/>
                <w:szCs w:val="20"/>
              </w:rPr>
              <w:t>-21,2</w:t>
            </w:r>
            <w:r w:rsidR="005B3597">
              <w:rPr>
                <w:rFonts w:ascii="FrankRuehl" w:hAnsi="FrankRuehl" w:cs="FrankRuehl"/>
                <w:sz w:val="20"/>
                <w:szCs w:val="20"/>
              </w:rPr>
              <w:t>96</w:t>
            </w:r>
          </w:p>
        </w:tc>
        <w:tc>
          <w:tcPr>
            <w:tcW w:w="0" w:type="auto"/>
            <w:tcBorders>
              <w:top w:val="nil"/>
              <w:left w:val="single" w:sz="12" w:space="0" w:color="auto"/>
              <w:bottom w:val="single" w:sz="4" w:space="0" w:color="auto"/>
              <w:right w:val="single" w:sz="4" w:space="0" w:color="auto"/>
            </w:tcBorders>
            <w:shd w:val="clear" w:color="auto" w:fill="auto"/>
            <w:noWrap/>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39,795</w:t>
            </w:r>
          </w:p>
        </w:tc>
        <w:tc>
          <w:tcPr>
            <w:tcW w:w="0" w:type="auto"/>
            <w:tcBorders>
              <w:top w:val="nil"/>
              <w:left w:val="single" w:sz="4" w:space="0" w:color="auto"/>
              <w:bottom w:val="single" w:sz="4" w:space="0" w:color="auto"/>
              <w:right w:val="single" w:sz="12" w:space="0" w:color="auto"/>
            </w:tcBorders>
            <w:shd w:val="clear" w:color="auto" w:fill="auto"/>
            <w:noWrap/>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sz w:val="20"/>
                <w:szCs w:val="20"/>
              </w:rPr>
              <w:t>-16,091</w:t>
            </w:r>
          </w:p>
        </w:tc>
        <w:tc>
          <w:tcPr>
            <w:tcW w:w="0" w:type="auto"/>
            <w:tcBorders>
              <w:top w:val="nil"/>
              <w:left w:val="single" w:sz="12" w:space="0" w:color="auto"/>
              <w:bottom w:val="single" w:sz="4" w:space="0" w:color="auto"/>
              <w:right w:val="single" w:sz="4" w:space="0" w:color="auto"/>
            </w:tcBorders>
            <w:shd w:val="clear" w:color="auto" w:fill="auto"/>
          </w:tcPr>
          <w:p w:rsidR="00E97EDA" w:rsidRPr="00E73109" w:rsidP="00424932">
            <w:pPr>
              <w:spacing w:before="40" w:after="40" w:line="200" w:lineRule="exact"/>
              <w:rPr>
                <w:rFonts w:ascii="FrankRuehl" w:hAnsi="FrankRuehl" w:cs="FrankRuehl"/>
                <w:b/>
                <w:bCs/>
                <w:sz w:val="20"/>
                <w:szCs w:val="20"/>
                <w:rtl/>
              </w:rPr>
            </w:pPr>
            <w:r w:rsidRPr="00E73109">
              <w:rPr>
                <w:rFonts w:ascii="FrankRuehl" w:hAnsi="FrankRuehl" w:cs="FrankRuehl" w:hint="cs"/>
                <w:b/>
                <w:bCs/>
                <w:sz w:val="20"/>
                <w:szCs w:val="20"/>
                <w:rtl/>
              </w:rPr>
              <w:t>כ-37,100</w:t>
            </w:r>
          </w:p>
        </w:tc>
        <w:tc>
          <w:tcPr>
            <w:tcW w:w="0" w:type="auto"/>
            <w:tcBorders>
              <w:top w:val="nil"/>
              <w:left w:val="single" w:sz="4" w:space="0" w:color="auto"/>
              <w:bottom w:val="single" w:sz="4" w:space="0" w:color="auto"/>
              <w:right w:val="single" w:sz="12" w:space="0" w:color="auto"/>
            </w:tcBorders>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hint="cs"/>
                <w:sz w:val="20"/>
                <w:szCs w:val="20"/>
                <w:rtl/>
              </w:rPr>
              <w:t>כ-13,396-</w:t>
            </w:r>
          </w:p>
        </w:tc>
      </w:tr>
      <w:tr w:rsidTr="00424932">
        <w:tblPrEx>
          <w:tblW w:w="6691" w:type="dxa"/>
          <w:jc w:val="center"/>
          <w:tblCellMar>
            <w:left w:w="57" w:type="dxa"/>
            <w:right w:w="57" w:type="dxa"/>
          </w:tblCellMar>
          <w:tblLook w:val="0000"/>
        </w:tblPrEx>
        <w:trPr>
          <w:trHeight w:val="255"/>
          <w:jc w:val="center"/>
        </w:trPr>
        <w:tc>
          <w:tcPr>
            <w:tcW w:w="0" w:type="auto"/>
            <w:tcBorders>
              <w:top w:val="nil"/>
              <w:left w:val="single" w:sz="12" w:space="0" w:color="auto"/>
              <w:bottom w:val="single" w:sz="4" w:space="0" w:color="auto"/>
              <w:right w:val="single" w:sz="12" w:space="0" w:color="auto"/>
            </w:tcBorders>
            <w:shd w:val="clear" w:color="auto" w:fill="auto"/>
            <w:noWrap/>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sz w:val="20"/>
                <w:szCs w:val="20"/>
              </w:rPr>
              <w:t>2011</w:t>
            </w:r>
          </w:p>
        </w:tc>
        <w:tc>
          <w:tcPr>
            <w:tcW w:w="0" w:type="auto"/>
            <w:tcBorders>
              <w:top w:val="nil"/>
              <w:left w:val="single" w:sz="12" w:space="0" w:color="auto"/>
              <w:bottom w:val="single" w:sz="4" w:space="0" w:color="auto"/>
              <w:right w:val="single" w:sz="12" w:space="0" w:color="auto"/>
            </w:tcBorders>
            <w:shd w:val="clear"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33,278</w:t>
            </w:r>
          </w:p>
        </w:tc>
        <w:tc>
          <w:tcPr>
            <w:tcW w:w="0" w:type="auto"/>
            <w:tcBorders>
              <w:top w:val="nil"/>
              <w:left w:val="single" w:sz="12" w:space="0" w:color="auto"/>
              <w:bottom w:val="single" w:sz="4" w:space="0" w:color="auto"/>
              <w:right w:val="single" w:sz="4" w:space="0" w:color="auto"/>
            </w:tcBorders>
            <w:shd w:val="clear"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sz w:val="20"/>
                <w:szCs w:val="20"/>
                <w:rtl/>
              </w:rPr>
              <w:t>כ-45,000</w:t>
            </w:r>
          </w:p>
        </w:tc>
        <w:tc>
          <w:tcPr>
            <w:tcW w:w="0" w:type="auto"/>
            <w:tcBorders>
              <w:top w:val="nil"/>
              <w:left w:val="single" w:sz="4" w:space="0" w:color="auto"/>
              <w:bottom w:val="single" w:sz="4" w:space="0" w:color="auto"/>
              <w:right w:val="single" w:sz="12" w:space="0" w:color="auto"/>
            </w:tcBorders>
            <w:shd w:val="clear" w:color="auto" w:fill="auto"/>
            <w:noWrap/>
          </w:tcPr>
          <w:p w:rsidR="00E97EDA" w:rsidRPr="00E73109" w:rsidP="005B3597">
            <w:pPr>
              <w:spacing w:before="40" w:after="40" w:line="200" w:lineRule="exact"/>
              <w:rPr>
                <w:rFonts w:ascii="FrankRuehl" w:hAnsi="FrankRuehl" w:cs="FrankRuehl"/>
                <w:sz w:val="20"/>
                <w:szCs w:val="20"/>
              </w:rPr>
            </w:pPr>
            <w:r w:rsidRPr="00E73109">
              <w:rPr>
                <w:rFonts w:ascii="FrankRuehl" w:hAnsi="FrankRuehl" w:cs="FrankRuehl"/>
                <w:sz w:val="20"/>
                <w:szCs w:val="20"/>
              </w:rPr>
              <w:t>-11,</w:t>
            </w:r>
            <w:r w:rsidR="005B3597">
              <w:rPr>
                <w:rFonts w:ascii="FrankRuehl" w:hAnsi="FrankRuehl" w:cs="FrankRuehl"/>
                <w:sz w:val="20"/>
                <w:szCs w:val="20"/>
              </w:rPr>
              <w:t>722</w:t>
            </w:r>
          </w:p>
        </w:tc>
        <w:tc>
          <w:tcPr>
            <w:tcW w:w="0" w:type="auto"/>
            <w:tcBorders>
              <w:top w:val="nil"/>
              <w:left w:val="single" w:sz="12" w:space="0" w:color="auto"/>
              <w:bottom w:val="single" w:sz="4" w:space="0" w:color="auto"/>
              <w:right w:val="single" w:sz="4" w:space="0" w:color="auto"/>
            </w:tcBorders>
            <w:shd w:val="clear" w:color="auto" w:fill="auto"/>
            <w:noWrap/>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44,628</w:t>
            </w:r>
          </w:p>
        </w:tc>
        <w:tc>
          <w:tcPr>
            <w:tcW w:w="0" w:type="auto"/>
            <w:tcBorders>
              <w:top w:val="nil"/>
              <w:left w:val="single" w:sz="4" w:space="0" w:color="auto"/>
              <w:bottom w:val="single" w:sz="4" w:space="0" w:color="auto"/>
              <w:right w:val="single" w:sz="12" w:space="0" w:color="auto"/>
            </w:tcBorders>
            <w:shd w:val="clear" w:color="auto" w:fill="auto"/>
            <w:noWrap/>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sz w:val="20"/>
                <w:szCs w:val="20"/>
              </w:rPr>
              <w:t>-11,350</w:t>
            </w:r>
          </w:p>
        </w:tc>
        <w:tc>
          <w:tcPr>
            <w:tcW w:w="0" w:type="auto"/>
            <w:tcBorders>
              <w:top w:val="nil"/>
              <w:left w:val="single" w:sz="12" w:space="0" w:color="auto"/>
              <w:bottom w:val="single" w:sz="4" w:space="0" w:color="auto"/>
              <w:right w:val="single" w:sz="4" w:space="0" w:color="auto"/>
            </w:tcBorders>
            <w:shd w:val="clear" w:color="auto" w:fill="auto"/>
          </w:tcPr>
          <w:p w:rsidR="00E97EDA" w:rsidRPr="00E73109" w:rsidP="00424932">
            <w:pPr>
              <w:spacing w:before="40" w:after="40" w:line="200" w:lineRule="exact"/>
              <w:rPr>
                <w:rFonts w:ascii="FrankRuehl" w:hAnsi="FrankRuehl" w:cs="FrankRuehl"/>
                <w:b/>
                <w:bCs/>
                <w:sz w:val="20"/>
                <w:szCs w:val="20"/>
                <w:rtl/>
              </w:rPr>
            </w:pPr>
            <w:r w:rsidRPr="00E73109">
              <w:rPr>
                <w:rFonts w:ascii="FrankRuehl" w:hAnsi="FrankRuehl" w:cs="FrankRuehl" w:hint="cs"/>
                <w:b/>
                <w:bCs/>
                <w:sz w:val="20"/>
                <w:szCs w:val="20"/>
                <w:rtl/>
              </w:rPr>
              <w:t>כ-37,100</w:t>
            </w:r>
          </w:p>
        </w:tc>
        <w:tc>
          <w:tcPr>
            <w:tcW w:w="0" w:type="auto"/>
            <w:tcBorders>
              <w:top w:val="nil"/>
              <w:left w:val="single" w:sz="4" w:space="0" w:color="auto"/>
              <w:bottom w:val="single" w:sz="4" w:space="0" w:color="auto"/>
              <w:right w:val="single" w:sz="12" w:space="0" w:color="auto"/>
            </w:tcBorders>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hint="cs"/>
                <w:sz w:val="20"/>
                <w:szCs w:val="20"/>
                <w:rtl/>
              </w:rPr>
              <w:t>כ-3,822-</w:t>
            </w:r>
          </w:p>
        </w:tc>
      </w:tr>
      <w:tr w:rsidTr="00424932">
        <w:tblPrEx>
          <w:tblW w:w="6691" w:type="dxa"/>
          <w:jc w:val="center"/>
          <w:tblCellMar>
            <w:left w:w="57" w:type="dxa"/>
            <w:right w:w="57" w:type="dxa"/>
          </w:tblCellMar>
          <w:tblLook w:val="0000"/>
        </w:tblPrEx>
        <w:trPr>
          <w:trHeight w:val="255"/>
          <w:jc w:val="center"/>
        </w:trPr>
        <w:tc>
          <w:tcPr>
            <w:tcW w:w="0" w:type="auto"/>
            <w:tcBorders>
              <w:top w:val="single" w:sz="4" w:space="0" w:color="auto"/>
              <w:left w:val="single" w:sz="12" w:space="0" w:color="auto"/>
              <w:bottom w:val="single" w:sz="12" w:space="0" w:color="auto"/>
              <w:right w:val="single" w:sz="12" w:space="0" w:color="auto"/>
            </w:tcBorders>
            <w:shd w:val="clear" w:color="auto" w:fill="auto"/>
            <w:noWrap/>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sz w:val="20"/>
                <w:szCs w:val="20"/>
              </w:rPr>
              <w:t>2012</w:t>
            </w:r>
          </w:p>
        </w:tc>
        <w:tc>
          <w:tcPr>
            <w:tcW w:w="0" w:type="auto"/>
            <w:tcBorders>
              <w:top w:val="single" w:sz="4" w:space="0" w:color="auto"/>
              <w:left w:val="single" w:sz="12" w:space="0" w:color="auto"/>
              <w:bottom w:val="single" w:sz="12" w:space="0" w:color="auto"/>
              <w:right w:val="single" w:sz="12" w:space="0" w:color="auto"/>
            </w:tcBorders>
            <w:shd w:val="clear"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65,081</w:t>
            </w:r>
          </w:p>
        </w:tc>
        <w:tc>
          <w:tcPr>
            <w:tcW w:w="0" w:type="auto"/>
            <w:tcBorders>
              <w:top w:val="single" w:sz="4" w:space="0" w:color="auto"/>
              <w:left w:val="single" w:sz="12" w:space="0" w:color="auto"/>
              <w:bottom w:val="single" w:sz="12" w:space="0" w:color="auto"/>
              <w:right w:val="single" w:sz="4" w:space="0" w:color="auto"/>
            </w:tcBorders>
            <w:shd w:val="clear"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sz w:val="20"/>
                <w:szCs w:val="20"/>
                <w:rtl/>
              </w:rPr>
              <w:t>כ-45,000</w:t>
            </w:r>
          </w:p>
        </w:tc>
        <w:tc>
          <w:tcPr>
            <w:tcW w:w="0" w:type="auto"/>
            <w:tcBorders>
              <w:top w:val="single" w:sz="4" w:space="0" w:color="auto"/>
              <w:left w:val="single" w:sz="4" w:space="0" w:color="auto"/>
              <w:bottom w:val="single" w:sz="12" w:space="0" w:color="auto"/>
              <w:right w:val="single" w:sz="12" w:space="0" w:color="auto"/>
            </w:tcBorders>
            <w:shd w:val="clear" w:color="auto" w:fill="auto"/>
            <w:noWrap/>
          </w:tcPr>
          <w:p w:rsidR="00E97EDA" w:rsidRPr="00E73109" w:rsidP="005B3597">
            <w:pPr>
              <w:spacing w:before="40" w:after="40" w:line="200" w:lineRule="exact"/>
              <w:rPr>
                <w:rFonts w:ascii="FrankRuehl" w:hAnsi="FrankRuehl" w:cs="FrankRuehl"/>
                <w:sz w:val="20"/>
                <w:szCs w:val="20"/>
              </w:rPr>
            </w:pPr>
            <w:r w:rsidRPr="00E73109">
              <w:rPr>
                <w:rFonts w:ascii="FrankRuehl" w:hAnsi="FrankRuehl" w:cs="FrankRuehl"/>
                <w:sz w:val="20"/>
                <w:szCs w:val="20"/>
              </w:rPr>
              <w:t>20,</w:t>
            </w:r>
            <w:r w:rsidR="005B3597">
              <w:rPr>
                <w:rFonts w:ascii="FrankRuehl" w:hAnsi="FrankRuehl" w:cs="FrankRuehl"/>
                <w:sz w:val="20"/>
                <w:szCs w:val="20"/>
              </w:rPr>
              <w:t>081</w:t>
            </w:r>
          </w:p>
        </w:tc>
        <w:tc>
          <w:tcPr>
            <w:tcW w:w="0" w:type="auto"/>
            <w:tcBorders>
              <w:top w:val="single" w:sz="4" w:space="0" w:color="auto"/>
              <w:left w:val="single" w:sz="12" w:space="0" w:color="auto"/>
              <w:bottom w:val="single" w:sz="12" w:space="0" w:color="auto"/>
              <w:right w:val="single" w:sz="4" w:space="0" w:color="auto"/>
            </w:tcBorders>
            <w:shd w:val="clear" w:color="auto" w:fill="auto"/>
            <w:noWrap/>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38,943</w:t>
            </w:r>
          </w:p>
        </w:tc>
        <w:tc>
          <w:tcPr>
            <w:tcW w:w="0" w:type="auto"/>
            <w:tcBorders>
              <w:top w:val="single" w:sz="4" w:space="0" w:color="auto"/>
              <w:left w:val="single" w:sz="4" w:space="0" w:color="auto"/>
              <w:bottom w:val="single" w:sz="12" w:space="0" w:color="auto"/>
              <w:right w:val="single" w:sz="12" w:space="0" w:color="auto"/>
            </w:tcBorders>
            <w:shd w:val="clear" w:color="auto" w:fill="auto"/>
            <w:noWrap/>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sz w:val="20"/>
                <w:szCs w:val="20"/>
              </w:rPr>
              <w:t>26,138</w:t>
            </w:r>
          </w:p>
        </w:tc>
        <w:tc>
          <w:tcPr>
            <w:tcW w:w="0" w:type="auto"/>
            <w:tcBorders>
              <w:top w:val="single" w:sz="4" w:space="0" w:color="auto"/>
              <w:left w:val="single" w:sz="12" w:space="0" w:color="auto"/>
              <w:bottom w:val="single" w:sz="12" w:space="0" w:color="auto"/>
              <w:right w:val="single" w:sz="4" w:space="0" w:color="auto"/>
            </w:tcBorders>
            <w:shd w:val="clear" w:color="auto" w:fill="auto"/>
          </w:tcPr>
          <w:p w:rsidR="00E97EDA" w:rsidRPr="00E73109" w:rsidP="00424932">
            <w:pPr>
              <w:spacing w:before="40" w:after="40" w:line="200" w:lineRule="exact"/>
              <w:rPr>
                <w:rFonts w:ascii="FrankRuehl" w:hAnsi="FrankRuehl" w:cs="FrankRuehl"/>
                <w:b/>
                <w:bCs/>
                <w:sz w:val="20"/>
                <w:szCs w:val="20"/>
                <w:rtl/>
              </w:rPr>
            </w:pPr>
            <w:r w:rsidRPr="00E73109">
              <w:rPr>
                <w:rFonts w:ascii="FrankRuehl" w:hAnsi="FrankRuehl" w:cs="FrankRuehl" w:hint="cs"/>
                <w:b/>
                <w:bCs/>
                <w:sz w:val="20"/>
                <w:szCs w:val="20"/>
                <w:rtl/>
              </w:rPr>
              <w:t>כ-37,100</w:t>
            </w:r>
          </w:p>
        </w:tc>
        <w:tc>
          <w:tcPr>
            <w:tcW w:w="0" w:type="auto"/>
            <w:tcBorders>
              <w:top w:val="single" w:sz="4" w:space="0" w:color="auto"/>
              <w:left w:val="single" w:sz="4" w:space="0" w:color="auto"/>
              <w:bottom w:val="single" w:sz="12" w:space="0" w:color="auto"/>
              <w:right w:val="single" w:sz="12" w:space="0" w:color="auto"/>
            </w:tcBorders>
          </w:tcPr>
          <w:p w:rsidR="00E97EDA" w:rsidRPr="00E73109" w:rsidP="00424932">
            <w:pPr>
              <w:spacing w:before="40" w:after="40" w:line="200" w:lineRule="exact"/>
              <w:rPr>
                <w:rFonts w:ascii="FrankRuehl" w:hAnsi="FrankRuehl" w:cs="FrankRuehl"/>
                <w:sz w:val="20"/>
                <w:szCs w:val="20"/>
              </w:rPr>
            </w:pPr>
            <w:r w:rsidRPr="00E73109">
              <w:rPr>
                <w:rFonts w:ascii="FrankRuehl" w:hAnsi="FrankRuehl" w:cs="FrankRuehl" w:hint="cs"/>
                <w:sz w:val="20"/>
                <w:szCs w:val="20"/>
                <w:rtl/>
              </w:rPr>
              <w:t>כ-27,981</w:t>
            </w:r>
          </w:p>
        </w:tc>
      </w:tr>
      <w:tr w:rsidTr="00424932">
        <w:tblPrEx>
          <w:tblW w:w="6691" w:type="dxa"/>
          <w:jc w:val="center"/>
          <w:tblCellMar>
            <w:left w:w="57" w:type="dxa"/>
            <w:right w:w="57" w:type="dxa"/>
          </w:tblCellMar>
          <w:tblLook w:val="0000"/>
        </w:tblPrEx>
        <w:trPr>
          <w:trHeight w:val="255"/>
          <w:jc w:val="center"/>
        </w:trPr>
        <w:tc>
          <w:tcPr>
            <w:tcW w:w="0" w:type="auto"/>
            <w:tcBorders>
              <w:top w:val="single" w:sz="12" w:space="0" w:color="auto"/>
              <w:left w:val="single" w:sz="12" w:space="0" w:color="auto"/>
              <w:bottom w:val="single" w:sz="4" w:space="0" w:color="auto"/>
              <w:right w:val="single" w:sz="12" w:space="0" w:color="auto"/>
            </w:tcBorders>
            <w:shd w:val="pct10" w:color="auto" w:fill="auto"/>
            <w:noWrap/>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2011-2007</w:t>
            </w:r>
          </w:p>
        </w:tc>
        <w:tc>
          <w:tcPr>
            <w:tcW w:w="0" w:type="auto"/>
            <w:tcBorders>
              <w:top w:val="single" w:sz="12" w:space="0" w:color="auto"/>
              <w:left w:val="single" w:sz="12" w:space="0" w:color="auto"/>
              <w:bottom w:val="single" w:sz="4" w:space="0" w:color="auto"/>
              <w:right w:val="single" w:sz="12" w:space="0" w:color="auto"/>
            </w:tcBorders>
            <w:shd w:val="pct10" w:color="auto" w:fill="auto"/>
          </w:tcPr>
          <w:p w:rsidR="00E97EDA" w:rsidRPr="00E73109" w:rsidP="00424932">
            <w:pPr>
              <w:spacing w:before="40" w:after="40" w:line="200" w:lineRule="exact"/>
              <w:rPr>
                <w:rFonts w:ascii="FrankRuehl" w:hAnsi="FrankRuehl" w:cs="FrankRuehl"/>
                <w:b/>
                <w:bCs/>
                <w:sz w:val="20"/>
                <w:szCs w:val="20"/>
                <w:lang w:eastAsia="he-IL"/>
              </w:rPr>
            </w:pPr>
            <w:r w:rsidRPr="00E73109">
              <w:rPr>
                <w:rFonts w:ascii="FrankRuehl" w:hAnsi="FrankRuehl" w:cs="FrankRuehl"/>
                <w:b/>
                <w:bCs/>
                <w:sz w:val="20"/>
                <w:szCs w:val="20"/>
                <w:lang w:eastAsia="he-IL"/>
              </w:rPr>
              <w:t>128,401</w:t>
            </w:r>
          </w:p>
        </w:tc>
        <w:tc>
          <w:tcPr>
            <w:tcW w:w="0" w:type="auto"/>
            <w:tcBorders>
              <w:top w:val="single" w:sz="12" w:space="0" w:color="auto"/>
              <w:left w:val="single" w:sz="12" w:space="0" w:color="auto"/>
              <w:bottom w:val="single" w:sz="4" w:space="0" w:color="auto"/>
              <w:right w:val="single" w:sz="4" w:space="0" w:color="auto"/>
            </w:tcBorders>
            <w:shd w:val="pct10" w:color="auto" w:fill="auto"/>
          </w:tcPr>
          <w:p w:rsidR="00E97EDA" w:rsidRPr="00E73109" w:rsidP="00424932">
            <w:pPr>
              <w:spacing w:before="40" w:after="40" w:line="200" w:lineRule="exact"/>
              <w:rPr>
                <w:rFonts w:ascii="FrankRuehl" w:hAnsi="FrankRuehl" w:cs="FrankRuehl"/>
                <w:b/>
                <w:bCs/>
                <w:sz w:val="20"/>
                <w:szCs w:val="20"/>
                <w:lang w:eastAsia="he-IL"/>
              </w:rPr>
            </w:pPr>
            <w:r w:rsidRPr="00E73109">
              <w:rPr>
                <w:rFonts w:ascii="FrankRuehl" w:hAnsi="FrankRuehl" w:cs="FrankRuehl"/>
                <w:b/>
                <w:bCs/>
                <w:sz w:val="20"/>
                <w:szCs w:val="20"/>
                <w:rtl/>
                <w:lang w:eastAsia="he-IL"/>
              </w:rPr>
              <w:t>כ-225,000</w:t>
            </w:r>
          </w:p>
        </w:tc>
        <w:tc>
          <w:tcPr>
            <w:tcW w:w="0" w:type="auto"/>
            <w:tcBorders>
              <w:top w:val="single" w:sz="12" w:space="0" w:color="auto"/>
              <w:left w:val="single" w:sz="4" w:space="0" w:color="auto"/>
              <w:bottom w:val="single" w:sz="4" w:space="0" w:color="auto"/>
              <w:right w:val="single" w:sz="12" w:space="0" w:color="auto"/>
            </w:tcBorders>
            <w:shd w:val="pct10" w:color="auto" w:fill="auto"/>
            <w:noWrap/>
          </w:tcPr>
          <w:p w:rsidR="00E97EDA" w:rsidRPr="00E73109" w:rsidP="005B3597">
            <w:pPr>
              <w:spacing w:before="40" w:after="40" w:line="200" w:lineRule="exact"/>
              <w:rPr>
                <w:rFonts w:ascii="FrankRuehl" w:hAnsi="FrankRuehl" w:cs="FrankRuehl"/>
                <w:b/>
                <w:bCs/>
                <w:sz w:val="20"/>
                <w:szCs w:val="20"/>
                <w:lang w:eastAsia="he-IL"/>
              </w:rPr>
            </w:pPr>
            <w:r w:rsidRPr="00E73109">
              <w:rPr>
                <w:rFonts w:ascii="FrankRuehl" w:hAnsi="FrankRuehl" w:cs="FrankRuehl"/>
                <w:b/>
                <w:bCs/>
                <w:sz w:val="20"/>
                <w:szCs w:val="20"/>
                <w:lang w:eastAsia="he-IL"/>
              </w:rPr>
              <w:t>-96,</w:t>
            </w:r>
            <w:r w:rsidR="005B3597">
              <w:rPr>
                <w:rFonts w:ascii="FrankRuehl" w:hAnsi="FrankRuehl" w:cs="FrankRuehl"/>
                <w:b/>
                <w:bCs/>
                <w:sz w:val="20"/>
                <w:szCs w:val="20"/>
                <w:lang w:eastAsia="he-IL"/>
              </w:rPr>
              <w:t>599</w:t>
            </w:r>
          </w:p>
        </w:tc>
        <w:tc>
          <w:tcPr>
            <w:tcW w:w="0" w:type="auto"/>
            <w:tcBorders>
              <w:top w:val="single" w:sz="12" w:space="0" w:color="auto"/>
              <w:left w:val="single" w:sz="12" w:space="0" w:color="auto"/>
              <w:bottom w:val="single" w:sz="4" w:space="0" w:color="auto"/>
              <w:right w:val="single" w:sz="4" w:space="0" w:color="auto"/>
            </w:tcBorders>
            <w:shd w:val="pct10" w:color="auto" w:fill="auto"/>
            <w:noWrap/>
          </w:tcPr>
          <w:p w:rsidR="00E97EDA" w:rsidRPr="00E73109" w:rsidP="00424932">
            <w:pPr>
              <w:spacing w:before="40" w:after="40" w:line="200" w:lineRule="exact"/>
              <w:rPr>
                <w:rFonts w:ascii="FrankRuehl" w:hAnsi="FrankRuehl" w:cs="FrankRuehl"/>
                <w:b/>
                <w:bCs/>
                <w:sz w:val="20"/>
                <w:szCs w:val="20"/>
                <w:lang w:eastAsia="he-IL"/>
              </w:rPr>
            </w:pPr>
            <w:r w:rsidRPr="00E73109">
              <w:rPr>
                <w:rFonts w:ascii="FrankRuehl" w:hAnsi="FrankRuehl" w:cs="FrankRuehl"/>
                <w:b/>
                <w:bCs/>
                <w:sz w:val="20"/>
                <w:szCs w:val="20"/>
                <w:lang w:eastAsia="he-IL"/>
              </w:rPr>
              <w:t>177,520</w:t>
            </w:r>
          </w:p>
        </w:tc>
        <w:tc>
          <w:tcPr>
            <w:tcW w:w="0" w:type="auto"/>
            <w:tcBorders>
              <w:top w:val="single" w:sz="12" w:space="0" w:color="auto"/>
              <w:left w:val="single" w:sz="4" w:space="0" w:color="auto"/>
              <w:bottom w:val="single" w:sz="4" w:space="0" w:color="auto"/>
              <w:right w:val="single" w:sz="12" w:space="0" w:color="auto"/>
            </w:tcBorders>
            <w:shd w:val="pct10" w:color="auto" w:fill="auto"/>
            <w:noWrap/>
          </w:tcPr>
          <w:p w:rsidR="00E97EDA" w:rsidRPr="00E73109" w:rsidP="00424932">
            <w:pPr>
              <w:spacing w:before="40" w:after="40" w:line="200" w:lineRule="exact"/>
              <w:rPr>
                <w:rFonts w:ascii="FrankRuehl" w:hAnsi="FrankRuehl" w:cs="FrankRuehl"/>
                <w:b/>
                <w:bCs/>
                <w:sz w:val="20"/>
                <w:szCs w:val="20"/>
                <w:lang w:eastAsia="he-IL"/>
              </w:rPr>
            </w:pPr>
            <w:r w:rsidRPr="00E73109">
              <w:rPr>
                <w:rFonts w:ascii="FrankRuehl" w:hAnsi="FrankRuehl" w:cs="FrankRuehl"/>
                <w:b/>
                <w:bCs/>
                <w:sz w:val="20"/>
                <w:szCs w:val="20"/>
                <w:lang w:eastAsia="he-IL"/>
              </w:rPr>
              <w:t>-49,119</w:t>
            </w:r>
          </w:p>
        </w:tc>
        <w:tc>
          <w:tcPr>
            <w:tcW w:w="0" w:type="auto"/>
            <w:tcBorders>
              <w:top w:val="single" w:sz="12" w:space="0" w:color="auto"/>
              <w:left w:val="single" w:sz="12" w:space="0" w:color="auto"/>
              <w:bottom w:val="single" w:sz="4" w:space="0" w:color="auto"/>
              <w:right w:val="single" w:sz="4" w:space="0" w:color="auto"/>
            </w:tcBorders>
            <w:shd w:val="pct10" w:color="auto" w:fill="auto"/>
          </w:tcPr>
          <w:p w:rsidR="00E97EDA" w:rsidRPr="00E73109" w:rsidP="00424932">
            <w:pPr>
              <w:spacing w:before="40" w:after="40" w:line="200" w:lineRule="exact"/>
              <w:rPr>
                <w:rFonts w:ascii="FrankRuehl" w:hAnsi="FrankRuehl" w:cs="FrankRuehl"/>
                <w:b/>
                <w:bCs/>
                <w:sz w:val="20"/>
                <w:szCs w:val="20"/>
                <w:rtl/>
                <w:lang w:eastAsia="he-IL"/>
              </w:rPr>
            </w:pPr>
            <w:r w:rsidRPr="00E73109">
              <w:rPr>
                <w:rFonts w:ascii="FrankRuehl" w:hAnsi="FrankRuehl" w:cs="FrankRuehl" w:hint="cs"/>
                <w:b/>
                <w:bCs/>
                <w:sz w:val="20"/>
                <w:szCs w:val="20"/>
                <w:rtl/>
                <w:lang w:eastAsia="he-IL"/>
              </w:rPr>
              <w:t>כ-185,500</w:t>
            </w:r>
          </w:p>
        </w:tc>
        <w:tc>
          <w:tcPr>
            <w:tcW w:w="0" w:type="auto"/>
            <w:tcBorders>
              <w:top w:val="single" w:sz="12" w:space="0" w:color="auto"/>
              <w:left w:val="single" w:sz="4" w:space="0" w:color="auto"/>
              <w:bottom w:val="single" w:sz="4" w:space="0" w:color="auto"/>
              <w:right w:val="single" w:sz="12" w:space="0" w:color="auto"/>
            </w:tcBorders>
            <w:shd w:val="pct10" w:color="auto" w:fill="auto"/>
          </w:tcPr>
          <w:p w:rsidR="00E97EDA" w:rsidRPr="00E73109" w:rsidP="00424932">
            <w:pPr>
              <w:spacing w:before="40" w:after="40" w:line="200" w:lineRule="exact"/>
              <w:rPr>
                <w:rFonts w:ascii="FrankRuehl" w:hAnsi="FrankRuehl" w:cs="FrankRuehl"/>
                <w:b/>
                <w:bCs/>
                <w:sz w:val="20"/>
                <w:szCs w:val="20"/>
                <w:lang w:eastAsia="he-IL"/>
              </w:rPr>
            </w:pPr>
            <w:r w:rsidRPr="00E73109">
              <w:rPr>
                <w:rFonts w:ascii="FrankRuehl" w:hAnsi="FrankRuehl" w:cs="FrankRuehl" w:hint="cs"/>
                <w:b/>
                <w:bCs/>
                <w:sz w:val="20"/>
                <w:szCs w:val="20"/>
                <w:rtl/>
                <w:lang w:eastAsia="he-IL"/>
              </w:rPr>
              <w:t>כ-57,099-</w:t>
            </w:r>
          </w:p>
        </w:tc>
      </w:tr>
      <w:tr w:rsidTr="00424932">
        <w:tblPrEx>
          <w:tblW w:w="6691" w:type="dxa"/>
          <w:jc w:val="center"/>
          <w:tblCellMar>
            <w:left w:w="57" w:type="dxa"/>
            <w:right w:w="57" w:type="dxa"/>
          </w:tblCellMar>
          <w:tblLook w:val="0000"/>
        </w:tblPrEx>
        <w:trPr>
          <w:trHeight w:val="255"/>
          <w:jc w:val="center"/>
        </w:trPr>
        <w:tc>
          <w:tcPr>
            <w:tcW w:w="0" w:type="auto"/>
            <w:tcBorders>
              <w:top w:val="single" w:sz="4" w:space="0" w:color="auto"/>
              <w:left w:val="single" w:sz="12" w:space="0" w:color="auto"/>
              <w:bottom w:val="single" w:sz="12" w:space="0" w:color="auto"/>
              <w:right w:val="single" w:sz="12" w:space="0" w:color="auto"/>
            </w:tcBorders>
            <w:shd w:val="pct10" w:color="auto" w:fill="auto"/>
            <w:noWrap/>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2012-2007</w:t>
            </w:r>
          </w:p>
        </w:tc>
        <w:tc>
          <w:tcPr>
            <w:tcW w:w="0" w:type="auto"/>
            <w:tcBorders>
              <w:top w:val="single" w:sz="4" w:space="0" w:color="auto"/>
              <w:left w:val="single" w:sz="12" w:space="0" w:color="auto"/>
              <w:bottom w:val="single" w:sz="12" w:space="0" w:color="auto"/>
              <w:right w:val="single" w:sz="12" w:space="0" w:color="auto"/>
            </w:tcBorders>
            <w:shd w:val="pct10"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193,482</w:t>
            </w:r>
          </w:p>
        </w:tc>
        <w:tc>
          <w:tcPr>
            <w:tcW w:w="0" w:type="auto"/>
            <w:tcBorders>
              <w:top w:val="single" w:sz="4" w:space="0" w:color="auto"/>
              <w:left w:val="single" w:sz="12" w:space="0" w:color="auto"/>
              <w:bottom w:val="single" w:sz="12" w:space="0" w:color="auto"/>
              <w:right w:val="single" w:sz="4" w:space="0" w:color="auto"/>
            </w:tcBorders>
            <w:shd w:val="pct10"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tl/>
              </w:rPr>
              <w:t>כ-270,000</w:t>
            </w:r>
          </w:p>
        </w:tc>
        <w:tc>
          <w:tcPr>
            <w:tcW w:w="0" w:type="auto"/>
            <w:tcBorders>
              <w:top w:val="single" w:sz="4" w:space="0" w:color="auto"/>
              <w:left w:val="single" w:sz="4" w:space="0" w:color="auto"/>
              <w:bottom w:val="single" w:sz="12" w:space="0" w:color="auto"/>
              <w:right w:val="single" w:sz="12" w:space="0" w:color="auto"/>
            </w:tcBorders>
            <w:shd w:val="pct10" w:color="auto" w:fill="auto"/>
            <w:noWrap/>
          </w:tcPr>
          <w:p w:rsidR="00E97EDA" w:rsidRPr="00E73109" w:rsidP="005B3597">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-7</w:t>
            </w:r>
            <w:r w:rsidR="005B3597">
              <w:rPr>
                <w:rFonts w:ascii="FrankRuehl" w:hAnsi="FrankRuehl" w:cs="FrankRuehl"/>
                <w:b/>
                <w:bCs/>
                <w:sz w:val="20"/>
                <w:szCs w:val="20"/>
              </w:rPr>
              <w:t>6</w:t>
            </w:r>
            <w:r w:rsidRPr="00E73109">
              <w:rPr>
                <w:rFonts w:ascii="FrankRuehl" w:hAnsi="FrankRuehl" w:cs="FrankRuehl"/>
                <w:b/>
                <w:bCs/>
                <w:sz w:val="20"/>
                <w:szCs w:val="20"/>
              </w:rPr>
              <w:t>,</w:t>
            </w:r>
            <w:r w:rsidR="005B3597">
              <w:rPr>
                <w:rFonts w:ascii="FrankRuehl" w:hAnsi="FrankRuehl" w:cs="FrankRuehl"/>
                <w:b/>
                <w:bCs/>
                <w:sz w:val="20"/>
                <w:szCs w:val="20"/>
              </w:rPr>
              <w:t>518</w:t>
            </w:r>
          </w:p>
        </w:tc>
        <w:tc>
          <w:tcPr>
            <w:tcW w:w="0" w:type="auto"/>
            <w:tcBorders>
              <w:top w:val="single" w:sz="4" w:space="0" w:color="auto"/>
              <w:left w:val="single" w:sz="12" w:space="0" w:color="auto"/>
              <w:bottom w:val="single" w:sz="12" w:space="0" w:color="auto"/>
              <w:right w:val="single" w:sz="4" w:space="0" w:color="auto"/>
            </w:tcBorders>
            <w:shd w:val="pct10" w:color="auto" w:fill="auto"/>
            <w:noWrap/>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216,463</w:t>
            </w:r>
          </w:p>
        </w:tc>
        <w:tc>
          <w:tcPr>
            <w:tcW w:w="0" w:type="auto"/>
            <w:tcBorders>
              <w:top w:val="single" w:sz="4" w:space="0" w:color="auto"/>
              <w:left w:val="single" w:sz="4" w:space="0" w:color="auto"/>
              <w:bottom w:val="single" w:sz="12" w:space="0" w:color="auto"/>
              <w:right w:val="single" w:sz="12" w:space="0" w:color="auto"/>
            </w:tcBorders>
            <w:shd w:val="pct10" w:color="auto" w:fill="auto"/>
            <w:noWrap/>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b/>
                <w:bCs/>
                <w:sz w:val="20"/>
                <w:szCs w:val="20"/>
              </w:rPr>
              <w:t>-22,981</w:t>
            </w:r>
          </w:p>
        </w:tc>
        <w:tc>
          <w:tcPr>
            <w:tcW w:w="0" w:type="auto"/>
            <w:tcBorders>
              <w:top w:val="single" w:sz="4" w:space="0" w:color="auto"/>
              <w:left w:val="single" w:sz="12" w:space="0" w:color="auto"/>
              <w:bottom w:val="single" w:sz="12" w:space="0" w:color="auto"/>
              <w:right w:val="single" w:sz="4" w:space="0" w:color="auto"/>
            </w:tcBorders>
            <w:shd w:val="pct10" w:color="auto" w:fill="auto"/>
          </w:tcPr>
          <w:p w:rsidR="00E97EDA" w:rsidRPr="00E73109" w:rsidP="00424932">
            <w:pPr>
              <w:spacing w:before="40" w:after="40" w:line="200" w:lineRule="exact"/>
              <w:rPr>
                <w:rFonts w:ascii="FrankRuehl" w:hAnsi="FrankRuehl" w:cs="FrankRuehl"/>
                <w:b/>
                <w:bCs/>
                <w:sz w:val="20"/>
                <w:szCs w:val="20"/>
                <w:rtl/>
              </w:rPr>
            </w:pPr>
            <w:r w:rsidRPr="00E73109">
              <w:rPr>
                <w:rFonts w:ascii="FrankRuehl" w:hAnsi="FrankRuehl" w:cs="FrankRuehl" w:hint="cs"/>
                <w:b/>
                <w:bCs/>
                <w:sz w:val="20"/>
                <w:szCs w:val="20"/>
                <w:rtl/>
              </w:rPr>
              <w:t>כ-222,600</w:t>
            </w:r>
          </w:p>
        </w:tc>
        <w:tc>
          <w:tcPr>
            <w:tcW w:w="0" w:type="auto"/>
            <w:tcBorders>
              <w:top w:val="single" w:sz="4" w:space="0" w:color="auto"/>
              <w:left w:val="single" w:sz="4" w:space="0" w:color="auto"/>
              <w:bottom w:val="single" w:sz="12" w:space="0" w:color="auto"/>
              <w:right w:val="single" w:sz="12" w:space="0" w:color="auto"/>
            </w:tcBorders>
            <w:shd w:val="pct10" w:color="auto" w:fill="auto"/>
          </w:tcPr>
          <w:p w:rsidR="00E97EDA" w:rsidRPr="00E73109" w:rsidP="00424932">
            <w:pPr>
              <w:spacing w:before="40" w:after="40" w:line="200" w:lineRule="exact"/>
              <w:rPr>
                <w:rFonts w:ascii="FrankRuehl" w:hAnsi="FrankRuehl" w:cs="FrankRuehl"/>
                <w:b/>
                <w:bCs/>
                <w:sz w:val="20"/>
                <w:szCs w:val="20"/>
              </w:rPr>
            </w:pPr>
            <w:r w:rsidRPr="00E73109">
              <w:rPr>
                <w:rFonts w:ascii="FrankRuehl" w:hAnsi="FrankRuehl" w:cs="FrankRuehl" w:hint="cs"/>
                <w:b/>
                <w:bCs/>
                <w:sz w:val="20"/>
                <w:szCs w:val="20"/>
                <w:rtl/>
              </w:rPr>
              <w:t>כ-29,118-</w:t>
            </w:r>
          </w:p>
        </w:tc>
      </w:tr>
    </w:tbl>
    <w:p w:rsidR="00E97EDA" w:rsidRPr="00424932" w:rsidP="00424932">
      <w:pPr>
        <w:spacing w:before="120" w:after="240" w:line="200" w:lineRule="exact"/>
        <w:jc w:val="both"/>
        <w:rPr>
          <w:rFonts w:cs="FrankRuehl"/>
          <w:sz w:val="20"/>
          <w:szCs w:val="20"/>
        </w:rPr>
      </w:pPr>
      <w:r>
        <w:rPr>
          <w:rFonts w:cs="FrankRuehl" w:hint="cs"/>
          <w:sz w:val="20"/>
          <w:szCs w:val="20"/>
          <w:rtl/>
        </w:rPr>
        <w:t>*</w:t>
      </w:r>
      <w:r>
        <w:rPr>
          <w:rFonts w:cs="FrankRuehl" w:hint="cs"/>
          <w:sz w:val="20"/>
          <w:szCs w:val="20"/>
          <w:rtl/>
        </w:rPr>
        <w:tab/>
      </w:r>
      <w:r w:rsidRPr="00424932">
        <w:rPr>
          <w:rFonts w:cs="FrankRuehl" w:hint="eastAsia"/>
          <w:sz w:val="20"/>
          <w:szCs w:val="20"/>
          <w:rtl/>
        </w:rPr>
        <w:t>לא</w:t>
      </w:r>
      <w:r w:rsidRPr="00424932">
        <w:rPr>
          <w:rFonts w:cs="FrankRuehl"/>
          <w:sz w:val="20"/>
          <w:szCs w:val="20"/>
          <w:rtl/>
        </w:rPr>
        <w:t xml:space="preserve"> </w:t>
      </w:r>
      <w:r w:rsidRPr="00424932">
        <w:rPr>
          <w:rFonts w:cs="FrankRuehl" w:hint="eastAsia"/>
          <w:sz w:val="20"/>
          <w:szCs w:val="20"/>
          <w:rtl/>
        </w:rPr>
        <w:t>כולל</w:t>
      </w:r>
      <w:r w:rsidRPr="00424932">
        <w:rPr>
          <w:rFonts w:cs="FrankRuehl"/>
          <w:sz w:val="20"/>
          <w:szCs w:val="20"/>
          <w:rtl/>
        </w:rPr>
        <w:t xml:space="preserve"> </w:t>
      </w:r>
      <w:r w:rsidRPr="00424932">
        <w:rPr>
          <w:rFonts w:cs="FrankRuehl" w:hint="eastAsia"/>
          <w:sz w:val="20"/>
          <w:szCs w:val="20"/>
          <w:rtl/>
        </w:rPr>
        <w:t>אזור</w:t>
      </w:r>
      <w:r w:rsidRPr="00424932">
        <w:rPr>
          <w:rFonts w:cs="FrankRuehl"/>
          <w:sz w:val="20"/>
          <w:szCs w:val="20"/>
          <w:rtl/>
        </w:rPr>
        <w:t xml:space="preserve"> </w:t>
      </w:r>
      <w:r w:rsidRPr="00424932">
        <w:rPr>
          <w:rFonts w:cs="FrankRuehl" w:hint="eastAsia"/>
          <w:sz w:val="20"/>
          <w:szCs w:val="20"/>
          <w:rtl/>
        </w:rPr>
        <w:t>יהודה</w:t>
      </w:r>
      <w:r w:rsidRPr="00424932">
        <w:rPr>
          <w:rFonts w:cs="FrankRuehl"/>
          <w:sz w:val="20"/>
          <w:szCs w:val="20"/>
          <w:rtl/>
        </w:rPr>
        <w:t xml:space="preserve"> </w:t>
      </w:r>
      <w:r w:rsidRPr="00424932">
        <w:rPr>
          <w:rFonts w:cs="FrankRuehl" w:hint="eastAsia"/>
          <w:sz w:val="20"/>
          <w:szCs w:val="20"/>
          <w:rtl/>
        </w:rPr>
        <w:t>ושומרון</w:t>
      </w:r>
      <w:r w:rsidRPr="00424932">
        <w:rPr>
          <w:rFonts w:cs="FrankRuehl"/>
          <w:sz w:val="20"/>
          <w:szCs w:val="20"/>
          <w:rtl/>
        </w:rPr>
        <w:t xml:space="preserve"> </w:t>
      </w:r>
      <w:r w:rsidRPr="00424932">
        <w:rPr>
          <w:rFonts w:cs="FrankRuehl" w:hint="cs"/>
          <w:sz w:val="20"/>
          <w:szCs w:val="20"/>
          <w:rtl/>
        </w:rPr>
        <w:t>ש</w:t>
      </w:r>
      <w:r w:rsidRPr="00424932">
        <w:rPr>
          <w:rFonts w:cs="FrankRuehl" w:hint="eastAsia"/>
          <w:sz w:val="20"/>
          <w:szCs w:val="20"/>
          <w:rtl/>
        </w:rPr>
        <w:t>חוק</w:t>
      </w:r>
      <w:r w:rsidRPr="00424932">
        <w:rPr>
          <w:rFonts w:cs="FrankRuehl"/>
          <w:sz w:val="20"/>
          <w:szCs w:val="20"/>
          <w:rtl/>
        </w:rPr>
        <w:t xml:space="preserve"> </w:t>
      </w:r>
      <w:r w:rsidRPr="00424932">
        <w:rPr>
          <w:rFonts w:cs="FrankRuehl" w:hint="eastAsia"/>
          <w:sz w:val="20"/>
          <w:szCs w:val="20"/>
          <w:rtl/>
        </w:rPr>
        <w:t>התכנון</w:t>
      </w:r>
      <w:r w:rsidRPr="00424932">
        <w:rPr>
          <w:rFonts w:cs="FrankRuehl" w:hint="cs"/>
          <w:sz w:val="20"/>
          <w:szCs w:val="20"/>
          <w:rtl/>
        </w:rPr>
        <w:t xml:space="preserve"> והבנייה</w:t>
      </w:r>
      <w:r w:rsidRPr="00424932">
        <w:rPr>
          <w:rFonts w:cs="FrankRuehl"/>
          <w:sz w:val="20"/>
          <w:szCs w:val="20"/>
          <w:rtl/>
        </w:rPr>
        <w:t xml:space="preserve"> </w:t>
      </w:r>
      <w:r w:rsidRPr="00424932">
        <w:rPr>
          <w:rFonts w:cs="FrankRuehl" w:hint="eastAsia"/>
          <w:sz w:val="20"/>
          <w:szCs w:val="20"/>
          <w:rtl/>
        </w:rPr>
        <w:t>ותמ</w:t>
      </w:r>
      <w:r w:rsidRPr="00424932">
        <w:rPr>
          <w:rFonts w:cs="FrankRuehl"/>
          <w:sz w:val="20"/>
          <w:szCs w:val="20"/>
          <w:rtl/>
        </w:rPr>
        <w:t>"</w:t>
      </w:r>
      <w:r w:rsidRPr="00424932">
        <w:rPr>
          <w:rFonts w:cs="FrankRuehl" w:hint="eastAsia"/>
          <w:sz w:val="20"/>
          <w:szCs w:val="20"/>
          <w:rtl/>
        </w:rPr>
        <w:t>א</w:t>
      </w:r>
      <w:r w:rsidRPr="00424932">
        <w:rPr>
          <w:rFonts w:cs="FrankRuehl"/>
          <w:sz w:val="20"/>
          <w:szCs w:val="20"/>
          <w:rtl/>
        </w:rPr>
        <w:t xml:space="preserve"> 35 </w:t>
      </w:r>
      <w:r w:rsidRPr="00424932">
        <w:rPr>
          <w:rFonts w:cs="FrankRuehl" w:hint="cs"/>
          <w:sz w:val="20"/>
          <w:szCs w:val="20"/>
          <w:rtl/>
        </w:rPr>
        <w:t xml:space="preserve">אינם </w:t>
      </w:r>
      <w:r w:rsidRPr="00424932">
        <w:rPr>
          <w:rFonts w:cs="FrankRuehl" w:hint="eastAsia"/>
          <w:sz w:val="20"/>
          <w:szCs w:val="20"/>
          <w:rtl/>
        </w:rPr>
        <w:t>חלים</w:t>
      </w:r>
      <w:r w:rsidRPr="00424932">
        <w:rPr>
          <w:rFonts w:cs="FrankRuehl"/>
          <w:sz w:val="20"/>
          <w:szCs w:val="20"/>
          <w:rtl/>
        </w:rPr>
        <w:t xml:space="preserve"> </w:t>
      </w:r>
      <w:r w:rsidRPr="00424932">
        <w:rPr>
          <w:rFonts w:cs="FrankRuehl" w:hint="eastAsia"/>
          <w:sz w:val="20"/>
          <w:szCs w:val="20"/>
          <w:rtl/>
        </w:rPr>
        <w:t>בתחומו</w:t>
      </w:r>
      <w:r w:rsidRPr="00424932">
        <w:rPr>
          <w:rFonts w:cs="FrankRuehl" w:hint="cs"/>
          <w:sz w:val="20"/>
          <w:szCs w:val="20"/>
          <w:rtl/>
        </w:rPr>
        <w:t>.</w:t>
      </w:r>
    </w:p>
    <w:p w:rsidR="00E97EDA" w:rsidRPr="00F41E78" w:rsidP="00424932">
      <w:pPr>
        <w:spacing w:after="240" w:line="230" w:lineRule="exact"/>
        <w:jc w:val="both"/>
        <w:rPr>
          <w:rFonts w:cs="FrankRuehl"/>
          <w:sz w:val="18"/>
          <w:szCs w:val="22"/>
          <w:rtl/>
          <w:lang w:eastAsia="he-IL"/>
        </w:rPr>
      </w:pPr>
      <w:r w:rsidRPr="00F41E78">
        <w:rPr>
          <w:rFonts w:cs="FrankRuehl" w:hint="cs"/>
          <w:sz w:val="18"/>
          <w:szCs w:val="22"/>
          <w:rtl/>
          <w:lang w:eastAsia="he-IL"/>
        </w:rPr>
        <w:t>מהנתונים עולה כי מספר יחידות הדיור שאישרו מוסדות התכנון בשנים 2011-2007 היה קטן בהשוואה לכל אחד מהמדדים שנבדקו, למרות קביעתו של מינהל התכנון לאשר בכל שנה מספר יח"ד גבוה מזה הנדרש למשק בפועל. בחינת כמות יחידות הדיור שאושרו לעומת היעדים שנקבעו בהחלטת הממשלה משנת 2010 בדבר הצורך לאשר 60,000 יחידות דיור בכל שנה, מעלה כי בשנים אלו אושרו רק כ-50% מהנקוב ביעד זה. כאמור, למינהל התכנון אין כל מידע על תכניות מפורטות שמומשו, לכן אין הוא מחזיק במידע על גריעת יח"ד מהמלאי התכנוני. לעומת זאת, נתוני הלמ"ס על מספר התחלות הבנייה של יח"ד מראים גריעה מהמלאי שבתכניות.</w:t>
      </w:r>
    </w:p>
    <w:p w:rsidR="00D22B16" w:rsidRPr="00F41E78" w:rsidP="00D22B16">
      <w:pPr>
        <w:pStyle w:val="RESHET"/>
        <w:keepLines/>
        <w:rPr>
          <w:rtl/>
        </w:rPr>
      </w:pPr>
      <w:r w:rsidRPr="00F41E78">
        <w:rPr>
          <w:rFonts w:hint="cs"/>
          <w:rtl/>
        </w:rPr>
        <w:t xml:space="preserve">הנתונים משנים 2011-2007 מלמדים אפוא על שחיקה של המלאי התכנוני בכ-50,000 יח"ד (הפער בין יח"ד שאושרו להתחלות בנייה). מדובר בשחיקה ניכרת של כ-40% מכמות יחידות הדיור שאושרה במהלך שנים אלו, העלולה להשפיע על ההיצע בשוק הדיור בשנים הקרובות. זאת ועוד, אם לא יתייעלו הליכי התכנון תפגע השחיקה האמורה ביכולתה של הממשלה להשפיע על היצע הדיור בעשור הבא. </w:t>
      </w:r>
    </w:p>
    <w:p w:rsidR="00E97EDA" w:rsidRPr="00F41E78" w:rsidP="00424932">
      <w:pPr>
        <w:spacing w:before="180" w:after="240" w:line="230" w:lineRule="exact"/>
        <w:jc w:val="both"/>
        <w:rPr>
          <w:rFonts w:cs="FrankRuehl"/>
          <w:sz w:val="18"/>
          <w:szCs w:val="22"/>
          <w:rtl/>
          <w:lang w:eastAsia="he-IL"/>
        </w:rPr>
      </w:pPr>
      <w:r w:rsidRPr="00F41E78">
        <w:rPr>
          <w:rFonts w:cs="FrankRuehl" w:hint="cs"/>
          <w:sz w:val="18"/>
          <w:szCs w:val="22"/>
          <w:rtl/>
          <w:lang w:eastAsia="he-IL"/>
        </w:rPr>
        <w:t>הסיבות לכך שמוסדות התכנון אישרו מספר קטן של יח"ד בשנים 2011-2007</w:t>
      </w:r>
      <w:r w:rsidR="00FF71E2">
        <w:rPr>
          <w:rFonts w:cs="FrankRuehl" w:hint="cs"/>
          <w:sz w:val="18"/>
          <w:szCs w:val="22"/>
          <w:rtl/>
          <w:lang w:eastAsia="he-IL"/>
        </w:rPr>
        <w:t xml:space="preserve"> </w:t>
      </w:r>
      <w:r w:rsidRPr="00F41E78">
        <w:rPr>
          <w:rFonts w:cs="FrankRuehl" w:hint="cs"/>
          <w:sz w:val="18"/>
          <w:szCs w:val="22"/>
          <w:rtl/>
          <w:lang w:eastAsia="he-IL"/>
        </w:rPr>
        <w:t xml:space="preserve">הן, בין היתר, היעדרם של יעדים כמותיים ברורים למוסדות התכנון (עד 2010), מיעוט ביזמות תכנון של רמ"י (ראו להלן בפרק "ייזום התכנון על מקרקעי ישראל"), אי-מדידת תפוקותיהם של מוסדות התכנון, היעדרן של תכניות עבודה משולבות למוסדות התכנון ולגורמים המגישים תכניות, החלטה שלא לקדם תכניות </w:t>
      </w:r>
      <w:r w:rsidRPr="00F41E78">
        <w:rPr>
          <w:rFonts w:cs="FrankRuehl"/>
          <w:sz w:val="18"/>
          <w:szCs w:val="22"/>
          <w:rtl/>
          <w:lang w:eastAsia="he-IL"/>
        </w:rPr>
        <w:t>מפורטות</w:t>
      </w:r>
      <w:r w:rsidRPr="00F41E78">
        <w:rPr>
          <w:rFonts w:cs="FrankRuehl" w:hint="cs"/>
          <w:sz w:val="18"/>
          <w:szCs w:val="22"/>
          <w:rtl/>
          <w:lang w:eastAsia="he-IL"/>
        </w:rPr>
        <w:t xml:space="preserve"> במחוז המרכז והיעדר השפעה של המדינה על יזמות פרטיות.</w:t>
      </w:r>
    </w:p>
    <w:p w:rsidR="00D22B16" w:rsidRPr="00F41E78" w:rsidP="00D22B16">
      <w:pPr>
        <w:pStyle w:val="RESHET"/>
        <w:keepLines/>
        <w:rPr>
          <w:rtl/>
        </w:rPr>
      </w:pPr>
      <w:r w:rsidRPr="00F41E78">
        <w:rPr>
          <w:rFonts w:hint="cs"/>
          <w:rtl/>
        </w:rPr>
        <w:t>בשנת 2012 גדל מספר יחידות הדיור שמוסדות התכנון אישרו והפערים הצטמצמו במידה ניכרת. אולם גם אם מביאים בחשבון את ההיפוך במגמה שהחל בשנת 2012, הנתונים המצטברים מלמדים על שחיקת המלאי התכנוני בכ-23,000 יח"ד ועל פערים ניכרים לעומת יעדי תמ"א 35 ומספר משקי הבית שנוספו למשק. כמו כן, אין בנמצא נתונים על מידת זמינותן לבנייה של יחידות הדיור שאושרו, ועל אף הגידול במספרן לא ברור אם יש בו די כדי לתת מענה לצורך בהגדלת ההיצע.</w:t>
      </w:r>
    </w:p>
    <w:p w:rsidR="00E97EDA" w:rsidRPr="00F41E78" w:rsidP="008B5470">
      <w:pPr>
        <w:spacing w:before="180" w:after="120" w:line="230" w:lineRule="exact"/>
        <w:jc w:val="both"/>
        <w:rPr>
          <w:rFonts w:cs="FrankRuehl"/>
          <w:sz w:val="18"/>
          <w:szCs w:val="22"/>
          <w:rtl/>
          <w:lang w:eastAsia="he-IL"/>
        </w:rPr>
      </w:pPr>
      <w:r w:rsidRPr="00F41E78">
        <w:rPr>
          <w:rFonts w:cs="FrankRuehl" w:hint="cs"/>
          <w:sz w:val="18"/>
          <w:szCs w:val="22"/>
          <w:rtl/>
          <w:lang w:eastAsia="he-IL"/>
        </w:rPr>
        <w:t>להלן הנתונים משנים 2012-2007 לפי המחוזות:</w:t>
      </w:r>
    </w:p>
    <w:p w:rsidR="00E97EDA" w:rsidRPr="00CB33CD" w:rsidP="00051B9A">
      <w:pPr>
        <w:pStyle w:val="tab-name"/>
        <w:rPr>
          <w:rtl/>
          <w:lang w:eastAsia="he-IL"/>
        </w:rPr>
      </w:pPr>
      <w:r w:rsidRPr="00051B9A">
        <w:rPr>
          <w:rFonts w:hint="cs"/>
          <w:b w:val="0"/>
          <w:bCs w:val="0"/>
          <w:sz w:val="20"/>
          <w:szCs w:val="20"/>
          <w:rtl/>
          <w:lang w:eastAsia="he-IL"/>
        </w:rPr>
        <w:t xml:space="preserve">לוח </w:t>
      </w:r>
      <w:r w:rsidRPr="00051B9A" w:rsidR="00051B9A">
        <w:rPr>
          <w:rFonts w:hint="cs"/>
          <w:b w:val="0"/>
          <w:bCs w:val="0"/>
          <w:sz w:val="20"/>
          <w:szCs w:val="20"/>
          <w:rtl/>
          <w:lang w:eastAsia="he-IL"/>
        </w:rPr>
        <w:t>3</w:t>
      </w:r>
      <w:r w:rsidRPr="00051B9A" w:rsidR="00051B9A">
        <w:rPr>
          <w:b w:val="0"/>
          <w:bCs w:val="0"/>
          <w:sz w:val="20"/>
          <w:szCs w:val="20"/>
          <w:rtl/>
          <w:lang w:eastAsia="he-IL"/>
        </w:rPr>
        <w:br/>
      </w:r>
      <w:r w:rsidRPr="00CB33CD">
        <w:rPr>
          <w:rFonts w:hint="cs"/>
          <w:rtl/>
          <w:lang w:eastAsia="he-IL"/>
        </w:rPr>
        <w:t xml:space="preserve">אישור יח"ד בתכניות מפורטות לעומת יעדי תמ"א 35, </w:t>
      </w:r>
      <w:r w:rsidR="00051B9A">
        <w:rPr>
          <w:rtl/>
          <w:lang w:eastAsia="he-IL"/>
        </w:rPr>
        <w:br/>
      </w:r>
      <w:r w:rsidRPr="00CB33CD">
        <w:rPr>
          <w:rFonts w:hint="cs"/>
          <w:rtl/>
          <w:lang w:eastAsia="he-IL"/>
        </w:rPr>
        <w:t>התחלות הבנייה ותוספת משקי הבית, לפי מחוזות</w:t>
      </w:r>
      <w:r>
        <w:rPr>
          <w:rFonts w:hint="cs"/>
          <w:rtl/>
          <w:lang w:eastAsia="he-IL"/>
        </w:rPr>
        <w:t>,</w:t>
      </w:r>
      <w:r w:rsidRPr="00CB33CD">
        <w:rPr>
          <w:rFonts w:hint="cs"/>
          <w:rtl/>
          <w:lang w:eastAsia="he-IL"/>
        </w:rPr>
        <w:t xml:space="preserve"> 2012-2007</w:t>
      </w:r>
    </w:p>
    <w:tbl>
      <w:tblPr>
        <w:bidiVisual/>
        <w:tblW w:w="6691" w:type="dxa"/>
        <w:jc w:val="center"/>
        <w:tblLayout w:type="fixed"/>
        <w:tblCellMar>
          <w:left w:w="57" w:type="dxa"/>
          <w:right w:w="57" w:type="dxa"/>
        </w:tblCellMar>
        <w:tblLook w:val="0000"/>
      </w:tblPr>
      <w:tblGrid>
        <w:gridCol w:w="736"/>
        <w:gridCol w:w="885"/>
        <w:gridCol w:w="845"/>
        <w:gridCol w:w="845"/>
        <w:gridCol w:w="830"/>
        <w:gridCol w:w="791"/>
        <w:gridCol w:w="845"/>
        <w:gridCol w:w="914"/>
      </w:tblGrid>
      <w:tr w:rsidTr="00051B9A">
        <w:tblPrEx>
          <w:tblW w:w="6691" w:type="dxa"/>
          <w:jc w:val="center"/>
          <w:tblLayout w:type="fixed"/>
          <w:tblCellMar>
            <w:left w:w="57" w:type="dxa"/>
            <w:right w:w="57" w:type="dxa"/>
          </w:tblCellMar>
          <w:tblLook w:val="0000"/>
        </w:tblPrEx>
        <w:trPr>
          <w:jc w:val="center"/>
        </w:trPr>
        <w:tc>
          <w:tcPr>
            <w:tcW w:w="936" w:type="dxa"/>
            <w:tcBorders>
              <w:top w:val="single" w:sz="12" w:space="0" w:color="auto"/>
              <w:left w:val="single" w:sz="12" w:space="0" w:color="auto"/>
              <w:bottom w:val="single" w:sz="12" w:space="0" w:color="auto"/>
              <w:right w:val="single" w:sz="12" w:space="0" w:color="auto"/>
            </w:tcBorders>
            <w:shd w:val="pct10" w:color="auto" w:fill="auto"/>
            <w:vAlign w:val="bottom"/>
          </w:tcPr>
          <w:p w:rsidR="00E97EDA" w:rsidRPr="00051B9A" w:rsidP="00051B9A">
            <w:pPr>
              <w:bidi w:val="0"/>
              <w:jc w:val="center"/>
              <w:rPr>
                <w:rFonts w:ascii="FrankRuehl" w:hAnsi="FrankRuehl" w:cs="FrankRuehl"/>
                <w:b/>
                <w:bCs/>
                <w:sz w:val="20"/>
                <w:szCs w:val="20"/>
                <w:rtl/>
              </w:rPr>
            </w:pPr>
            <w:r w:rsidRPr="00051B9A">
              <w:rPr>
                <w:rFonts w:ascii="FrankRuehl" w:hAnsi="FrankRuehl" w:cs="FrankRuehl" w:hint="cs"/>
                <w:b/>
                <w:bCs/>
                <w:sz w:val="20"/>
                <w:szCs w:val="20"/>
                <w:rtl/>
              </w:rPr>
              <w:t>מחוז</w:t>
            </w:r>
          </w:p>
        </w:tc>
        <w:tc>
          <w:tcPr>
            <w:tcW w:w="1133" w:type="dxa"/>
            <w:tcBorders>
              <w:top w:val="single" w:sz="12" w:space="0" w:color="auto"/>
              <w:left w:val="single" w:sz="12" w:space="0" w:color="auto"/>
              <w:bottom w:val="single" w:sz="12" w:space="0" w:color="auto"/>
              <w:right w:val="single" w:sz="12"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hint="cs"/>
                <w:b/>
                <w:bCs/>
                <w:sz w:val="20"/>
                <w:szCs w:val="20"/>
                <w:rtl/>
              </w:rPr>
              <w:t>יח"ד</w:t>
            </w:r>
            <w:r w:rsidRPr="00051B9A">
              <w:rPr>
                <w:rFonts w:ascii="FrankRuehl" w:hAnsi="FrankRuehl" w:cs="FrankRuehl"/>
                <w:b/>
                <w:bCs/>
                <w:sz w:val="20"/>
                <w:szCs w:val="20"/>
                <w:rtl/>
              </w:rPr>
              <w:t xml:space="preserve"> שאושרו</w:t>
            </w:r>
          </w:p>
        </w:tc>
        <w:tc>
          <w:tcPr>
            <w:tcW w:w="1080" w:type="dxa"/>
            <w:tcBorders>
              <w:top w:val="single" w:sz="12" w:space="0" w:color="auto"/>
              <w:left w:val="single" w:sz="12" w:space="0" w:color="auto"/>
              <w:bottom w:val="single" w:sz="12" w:space="0" w:color="auto"/>
              <w:right w:val="single" w:sz="4"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b/>
                <w:bCs/>
                <w:sz w:val="20"/>
                <w:szCs w:val="20"/>
                <w:rtl/>
              </w:rPr>
              <w:t>יעדי תמ"א 35 (</w:t>
            </w:r>
            <w:r w:rsidRPr="00051B9A">
              <w:rPr>
                <w:rFonts w:ascii="FrankRuehl" w:hAnsi="FrankRuehl" w:cs="FrankRuehl" w:hint="cs"/>
                <w:b/>
                <w:bCs/>
                <w:sz w:val="20"/>
                <w:szCs w:val="20"/>
                <w:rtl/>
              </w:rPr>
              <w:t>ה</w:t>
            </w:r>
            <w:r w:rsidRPr="00051B9A">
              <w:rPr>
                <w:rFonts w:ascii="FrankRuehl" w:hAnsi="FrankRuehl" w:cs="FrankRuehl"/>
                <w:b/>
                <w:bCs/>
                <w:sz w:val="20"/>
                <w:szCs w:val="20"/>
                <w:rtl/>
              </w:rPr>
              <w:t>מספרים עוגל</w:t>
            </w:r>
            <w:r w:rsidRPr="00051B9A">
              <w:rPr>
                <w:rFonts w:ascii="FrankRuehl" w:hAnsi="FrankRuehl" w:cs="FrankRuehl" w:hint="cs"/>
                <w:b/>
                <w:bCs/>
                <w:sz w:val="20"/>
                <w:szCs w:val="20"/>
                <w:rtl/>
              </w:rPr>
              <w:t>ו</w:t>
            </w:r>
            <w:r w:rsidRPr="00051B9A">
              <w:rPr>
                <w:rFonts w:ascii="FrankRuehl" w:hAnsi="FrankRuehl" w:cs="FrankRuehl"/>
                <w:b/>
                <w:bCs/>
                <w:sz w:val="20"/>
                <w:szCs w:val="20"/>
                <w:rtl/>
              </w:rPr>
              <w:t>)</w:t>
            </w:r>
          </w:p>
        </w:tc>
        <w:tc>
          <w:tcPr>
            <w:tcW w:w="1080" w:type="dxa"/>
            <w:tcBorders>
              <w:top w:val="single" w:sz="12" w:space="0" w:color="auto"/>
              <w:left w:val="single" w:sz="4" w:space="0" w:color="auto"/>
              <w:bottom w:val="single" w:sz="12" w:space="0" w:color="auto"/>
              <w:right w:val="single" w:sz="12"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hint="cs"/>
                <w:b/>
                <w:bCs/>
                <w:sz w:val="20"/>
                <w:szCs w:val="20"/>
                <w:rtl/>
              </w:rPr>
              <w:t>ה</w:t>
            </w:r>
            <w:r w:rsidRPr="00051B9A">
              <w:rPr>
                <w:rFonts w:ascii="FrankRuehl" w:hAnsi="FrankRuehl" w:cs="FrankRuehl"/>
                <w:b/>
                <w:bCs/>
                <w:sz w:val="20"/>
                <w:szCs w:val="20"/>
                <w:rtl/>
              </w:rPr>
              <w:t xml:space="preserve">פער בין </w:t>
            </w:r>
            <w:r w:rsidRPr="00051B9A">
              <w:rPr>
                <w:rFonts w:ascii="FrankRuehl" w:hAnsi="FrankRuehl" w:cs="FrankRuehl" w:hint="cs"/>
                <w:b/>
                <w:bCs/>
                <w:sz w:val="20"/>
                <w:szCs w:val="20"/>
                <w:rtl/>
              </w:rPr>
              <w:t>יח"ד</w:t>
            </w:r>
            <w:r w:rsidRPr="00051B9A">
              <w:rPr>
                <w:rFonts w:ascii="FrankRuehl" w:hAnsi="FrankRuehl" w:cs="FrankRuehl"/>
                <w:b/>
                <w:bCs/>
                <w:sz w:val="20"/>
                <w:szCs w:val="20"/>
                <w:rtl/>
              </w:rPr>
              <w:t xml:space="preserve"> שאושרו ליעדי התמ"א</w:t>
            </w:r>
          </w:p>
        </w:tc>
        <w:tc>
          <w:tcPr>
            <w:tcW w:w="1060" w:type="dxa"/>
            <w:tcBorders>
              <w:top w:val="single" w:sz="12" w:space="0" w:color="auto"/>
              <w:left w:val="single" w:sz="12" w:space="0" w:color="auto"/>
              <w:bottom w:val="single" w:sz="12" w:space="0" w:color="auto"/>
              <w:right w:val="single" w:sz="4"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b/>
                <w:bCs/>
                <w:sz w:val="20"/>
                <w:szCs w:val="20"/>
                <w:rtl/>
              </w:rPr>
              <w:t>התחלות בנייה</w:t>
            </w:r>
          </w:p>
        </w:tc>
        <w:tc>
          <w:tcPr>
            <w:tcW w:w="1008" w:type="dxa"/>
            <w:tcBorders>
              <w:top w:val="single" w:sz="12" w:space="0" w:color="auto"/>
              <w:left w:val="single" w:sz="4" w:space="0" w:color="auto"/>
              <w:bottom w:val="single" w:sz="12" w:space="0" w:color="auto"/>
              <w:right w:val="single" w:sz="12"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hint="cs"/>
                <w:b/>
                <w:bCs/>
                <w:sz w:val="20"/>
                <w:szCs w:val="20"/>
                <w:rtl/>
              </w:rPr>
              <w:t>ה</w:t>
            </w:r>
            <w:r w:rsidRPr="00051B9A">
              <w:rPr>
                <w:rFonts w:ascii="FrankRuehl" w:hAnsi="FrankRuehl" w:cs="FrankRuehl"/>
                <w:b/>
                <w:bCs/>
                <w:sz w:val="20"/>
                <w:szCs w:val="20"/>
                <w:rtl/>
              </w:rPr>
              <w:t xml:space="preserve">פער בין </w:t>
            </w:r>
            <w:r w:rsidRPr="00051B9A">
              <w:rPr>
                <w:rFonts w:ascii="FrankRuehl" w:hAnsi="FrankRuehl" w:cs="FrankRuehl" w:hint="cs"/>
                <w:b/>
                <w:bCs/>
                <w:sz w:val="20"/>
                <w:szCs w:val="20"/>
                <w:rtl/>
              </w:rPr>
              <w:t>יח"ד</w:t>
            </w:r>
            <w:r w:rsidRPr="00051B9A">
              <w:rPr>
                <w:rFonts w:ascii="FrankRuehl" w:hAnsi="FrankRuehl" w:cs="FrankRuehl"/>
                <w:b/>
                <w:bCs/>
                <w:sz w:val="20"/>
                <w:szCs w:val="20"/>
                <w:rtl/>
              </w:rPr>
              <w:t xml:space="preserve"> שאושרו להתחלות בנייה</w:t>
            </w:r>
          </w:p>
        </w:tc>
        <w:tc>
          <w:tcPr>
            <w:tcW w:w="1080" w:type="dxa"/>
            <w:tcBorders>
              <w:top w:val="single" w:sz="12" w:space="0" w:color="auto"/>
              <w:left w:val="single" w:sz="12" w:space="0" w:color="auto"/>
              <w:bottom w:val="single" w:sz="12" w:space="0" w:color="auto"/>
              <w:right w:val="single" w:sz="4"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b/>
                <w:bCs/>
                <w:sz w:val="20"/>
                <w:szCs w:val="20"/>
                <w:rtl/>
              </w:rPr>
              <w:t>משקי בית שנוספו (הערכה)</w:t>
            </w:r>
            <w:r w:rsidRPr="00051B9A">
              <w:rPr>
                <w:rFonts w:ascii="FrankRuehl" w:hAnsi="FrankRuehl" w:cs="FrankRuehl"/>
                <w:b/>
                <w:bCs/>
                <w:sz w:val="20"/>
                <w:szCs w:val="20"/>
              </w:rPr>
              <w:t>*</w:t>
            </w:r>
          </w:p>
        </w:tc>
        <w:tc>
          <w:tcPr>
            <w:tcW w:w="1172" w:type="dxa"/>
            <w:tcBorders>
              <w:top w:val="single" w:sz="12" w:space="0" w:color="auto"/>
              <w:left w:val="single" w:sz="4" w:space="0" w:color="auto"/>
              <w:bottom w:val="single" w:sz="12" w:space="0" w:color="auto"/>
              <w:right w:val="single" w:sz="12"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hint="cs"/>
                <w:b/>
                <w:bCs/>
                <w:sz w:val="20"/>
                <w:szCs w:val="20"/>
                <w:rtl/>
              </w:rPr>
              <w:t>ה</w:t>
            </w:r>
            <w:r w:rsidRPr="00051B9A">
              <w:rPr>
                <w:rFonts w:ascii="FrankRuehl" w:hAnsi="FrankRuehl" w:cs="FrankRuehl"/>
                <w:b/>
                <w:bCs/>
                <w:sz w:val="20"/>
                <w:szCs w:val="20"/>
                <w:rtl/>
              </w:rPr>
              <w:t xml:space="preserve">פער בין </w:t>
            </w:r>
            <w:r w:rsidRPr="00051B9A">
              <w:rPr>
                <w:rFonts w:ascii="FrankRuehl" w:hAnsi="FrankRuehl" w:cs="FrankRuehl" w:hint="cs"/>
                <w:b/>
                <w:bCs/>
                <w:sz w:val="20"/>
                <w:szCs w:val="20"/>
                <w:rtl/>
              </w:rPr>
              <w:t>יח"ד</w:t>
            </w:r>
            <w:r w:rsidRPr="00051B9A">
              <w:rPr>
                <w:rFonts w:ascii="FrankRuehl" w:hAnsi="FrankRuehl" w:cs="FrankRuehl"/>
                <w:b/>
                <w:bCs/>
                <w:sz w:val="20"/>
                <w:szCs w:val="20"/>
                <w:rtl/>
              </w:rPr>
              <w:t xml:space="preserve"> שאושרו לתוספת משקי הבית</w:t>
            </w:r>
          </w:p>
        </w:tc>
      </w:tr>
      <w:tr w:rsidTr="00051B9A">
        <w:tblPrEx>
          <w:tblW w:w="6691" w:type="dxa"/>
          <w:jc w:val="center"/>
          <w:tblLayout w:type="fixed"/>
          <w:tblCellMar>
            <w:left w:w="57" w:type="dxa"/>
            <w:right w:w="57" w:type="dxa"/>
          </w:tblCellMar>
          <w:tblLook w:val="0000"/>
        </w:tblPrEx>
        <w:trPr>
          <w:jc w:val="center"/>
        </w:trPr>
        <w:tc>
          <w:tcPr>
            <w:tcW w:w="936" w:type="dxa"/>
            <w:tcBorders>
              <w:top w:val="single" w:sz="12" w:space="0" w:color="auto"/>
              <w:left w:val="single" w:sz="12" w:space="0" w:color="auto"/>
              <w:bottom w:val="single" w:sz="4" w:space="0" w:color="auto"/>
              <w:right w:val="single" w:sz="12" w:space="0" w:color="auto"/>
            </w:tcBorders>
            <w:shd w:val="clear" w:color="auto" w:fill="auto"/>
            <w:vAlign w:val="center"/>
          </w:tcPr>
          <w:p w:rsidR="00E97EDA" w:rsidRPr="00051B9A" w:rsidP="00051B9A">
            <w:pPr>
              <w:pStyle w:val="FootnoteText"/>
              <w:rPr>
                <w:rFonts w:ascii="FrankRuehl" w:hAnsi="FrankRuehl" w:cs="FrankRuehl"/>
              </w:rPr>
            </w:pPr>
            <w:r w:rsidRPr="00051B9A">
              <w:rPr>
                <w:rFonts w:ascii="FrankRuehl" w:hAnsi="FrankRuehl" w:cs="FrankRuehl"/>
                <w:rtl/>
              </w:rPr>
              <w:t>הדרום</w:t>
            </w:r>
          </w:p>
        </w:tc>
        <w:tc>
          <w:tcPr>
            <w:tcW w:w="1133" w:type="dxa"/>
            <w:tcBorders>
              <w:top w:val="single" w:sz="12" w:space="0" w:color="auto"/>
              <w:left w:val="single" w:sz="12" w:space="0" w:color="auto"/>
              <w:bottom w:val="single" w:sz="4" w:space="0" w:color="auto"/>
              <w:right w:val="single" w:sz="12" w:space="0" w:color="auto"/>
            </w:tcBorders>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31,078</w:t>
            </w:r>
          </w:p>
        </w:tc>
        <w:tc>
          <w:tcPr>
            <w:tcW w:w="1080" w:type="dxa"/>
            <w:tcBorders>
              <w:top w:val="single" w:sz="12" w:space="0" w:color="auto"/>
              <w:left w:val="single" w:sz="12" w:space="0" w:color="auto"/>
              <w:bottom w:val="single" w:sz="4" w:space="0" w:color="auto"/>
              <w:right w:val="single" w:sz="4" w:space="0" w:color="auto"/>
            </w:tcBorders>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48,000</w:t>
            </w:r>
          </w:p>
        </w:tc>
        <w:tc>
          <w:tcPr>
            <w:tcW w:w="1080" w:type="dxa"/>
            <w:tcBorders>
              <w:top w:val="single" w:sz="12" w:space="0" w:color="auto"/>
              <w:left w:val="single" w:sz="4" w:space="0" w:color="auto"/>
              <w:bottom w:val="single" w:sz="4" w:space="0" w:color="auto"/>
              <w:right w:val="single" w:sz="12"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-16,922</w:t>
            </w:r>
          </w:p>
        </w:tc>
        <w:tc>
          <w:tcPr>
            <w:tcW w:w="1060" w:type="dxa"/>
            <w:tcBorders>
              <w:top w:val="single" w:sz="12" w:space="0" w:color="auto"/>
              <w:left w:val="single" w:sz="12" w:space="0" w:color="auto"/>
              <w:bottom w:val="single" w:sz="4" w:space="0" w:color="auto"/>
              <w:right w:val="single" w:sz="4"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27,747</w:t>
            </w:r>
          </w:p>
        </w:tc>
        <w:tc>
          <w:tcPr>
            <w:tcW w:w="1008" w:type="dxa"/>
            <w:tcBorders>
              <w:top w:val="single" w:sz="12" w:space="0" w:color="auto"/>
              <w:left w:val="single" w:sz="4" w:space="0" w:color="auto"/>
              <w:bottom w:val="single" w:sz="4" w:space="0" w:color="auto"/>
              <w:right w:val="single" w:sz="12"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3,331</w:t>
            </w:r>
          </w:p>
        </w:tc>
        <w:tc>
          <w:tcPr>
            <w:tcW w:w="1080" w:type="dxa"/>
            <w:tcBorders>
              <w:top w:val="single" w:sz="12" w:space="0" w:color="auto"/>
              <w:left w:val="single" w:sz="12" w:space="0" w:color="auto"/>
              <w:bottom w:val="single" w:sz="4" w:space="0" w:color="auto"/>
              <w:right w:val="single" w:sz="4"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31,753</w:t>
            </w:r>
          </w:p>
        </w:tc>
        <w:tc>
          <w:tcPr>
            <w:tcW w:w="1172" w:type="dxa"/>
            <w:tcBorders>
              <w:top w:val="single" w:sz="12" w:space="0" w:color="auto"/>
              <w:left w:val="single" w:sz="4" w:space="0" w:color="auto"/>
              <w:bottom w:val="single" w:sz="4" w:space="0" w:color="auto"/>
              <w:right w:val="single" w:sz="12" w:space="0" w:color="auto"/>
            </w:tcBorders>
            <w:shd w:val="clear" w:color="auto" w:fill="auto"/>
            <w:vAlign w:val="center"/>
          </w:tcPr>
          <w:p w:rsidR="00E97EDA" w:rsidRPr="00051B9A" w:rsidP="006E3D08">
            <w:pPr>
              <w:jc w:val="both"/>
              <w:rPr>
                <w:rFonts w:ascii="FrankRuehl" w:hAnsi="FrankRuehl" w:cs="FrankRuehl"/>
                <w:sz w:val="20"/>
                <w:szCs w:val="20"/>
              </w:rPr>
            </w:pPr>
            <w:r w:rsidRPr="00051B9A">
              <w:rPr>
                <w:rFonts w:ascii="FrankRuehl" w:hAnsi="FrankRuehl" w:cs="FrankRuehl" w:hint="cs"/>
                <w:sz w:val="20"/>
                <w:szCs w:val="20"/>
                <w:rtl/>
              </w:rPr>
              <w:t>675-</w:t>
            </w:r>
          </w:p>
        </w:tc>
      </w:tr>
      <w:tr w:rsidTr="00051B9A">
        <w:tblPrEx>
          <w:tblW w:w="6691" w:type="dxa"/>
          <w:jc w:val="center"/>
          <w:tblLayout w:type="fixed"/>
          <w:tblCellMar>
            <w:left w:w="57" w:type="dxa"/>
            <w:right w:w="57" w:type="dxa"/>
          </w:tblCellMar>
          <w:tblLook w:val="0000"/>
        </w:tblPrEx>
        <w:trPr>
          <w:jc w:val="center"/>
        </w:trPr>
        <w:tc>
          <w:tcPr>
            <w:tcW w:w="936" w:type="dxa"/>
            <w:tcBorders>
              <w:top w:val="nil"/>
              <w:left w:val="single" w:sz="12" w:space="0" w:color="auto"/>
              <w:bottom w:val="single" w:sz="4" w:space="0" w:color="auto"/>
              <w:right w:val="single" w:sz="12" w:space="0" w:color="auto"/>
            </w:tcBorders>
            <w:shd w:val="clear" w:color="auto" w:fill="auto"/>
            <w:vAlign w:val="center"/>
          </w:tcPr>
          <w:p w:rsidR="00E97EDA" w:rsidRPr="00051B9A" w:rsidP="00051B9A">
            <w:pPr>
              <w:rPr>
                <w:rFonts w:ascii="FrankRuehl" w:hAnsi="FrankRuehl" w:cs="FrankRuehl"/>
                <w:sz w:val="20"/>
                <w:szCs w:val="20"/>
              </w:rPr>
            </w:pPr>
            <w:r w:rsidRPr="00051B9A">
              <w:rPr>
                <w:rFonts w:ascii="FrankRuehl" w:hAnsi="FrankRuehl" w:cs="FrankRuehl"/>
                <w:sz w:val="20"/>
                <w:szCs w:val="20"/>
                <w:rtl/>
              </w:rPr>
              <w:t>חיפה</w:t>
            </w:r>
          </w:p>
        </w:tc>
        <w:tc>
          <w:tcPr>
            <w:tcW w:w="1133" w:type="dxa"/>
            <w:tcBorders>
              <w:top w:val="nil"/>
              <w:left w:val="single" w:sz="12" w:space="0" w:color="auto"/>
              <w:bottom w:val="single" w:sz="4" w:space="0" w:color="auto"/>
              <w:right w:val="single" w:sz="12" w:space="0" w:color="auto"/>
            </w:tcBorders>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36,150</w:t>
            </w:r>
          </w:p>
        </w:tc>
        <w:tc>
          <w:tcPr>
            <w:tcW w:w="1080" w:type="dxa"/>
            <w:tcBorders>
              <w:top w:val="nil"/>
              <w:left w:val="single" w:sz="12" w:space="0" w:color="auto"/>
              <w:bottom w:val="single" w:sz="4" w:space="0" w:color="auto"/>
              <w:right w:val="single" w:sz="4" w:space="0" w:color="auto"/>
            </w:tcBorders>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38,000</w:t>
            </w:r>
          </w:p>
        </w:tc>
        <w:tc>
          <w:tcPr>
            <w:tcW w:w="1080" w:type="dxa"/>
            <w:tcBorders>
              <w:top w:val="nil"/>
              <w:left w:val="single" w:sz="4" w:space="0" w:color="auto"/>
              <w:bottom w:val="single" w:sz="4" w:space="0" w:color="auto"/>
              <w:right w:val="single" w:sz="12"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-1,850</w:t>
            </w:r>
          </w:p>
        </w:tc>
        <w:tc>
          <w:tcPr>
            <w:tcW w:w="1060" w:type="dxa"/>
            <w:tcBorders>
              <w:top w:val="nil"/>
              <w:left w:val="single" w:sz="12" w:space="0" w:color="auto"/>
              <w:bottom w:val="single" w:sz="4" w:space="0" w:color="auto"/>
              <w:right w:val="single" w:sz="4"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19,267</w:t>
            </w:r>
          </w:p>
        </w:tc>
        <w:tc>
          <w:tcPr>
            <w:tcW w:w="1008" w:type="dxa"/>
            <w:tcBorders>
              <w:top w:val="nil"/>
              <w:left w:val="single" w:sz="4" w:space="0" w:color="auto"/>
              <w:bottom w:val="single" w:sz="4" w:space="0" w:color="auto"/>
              <w:right w:val="single" w:sz="12"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16,883</w:t>
            </w:r>
          </w:p>
        </w:tc>
        <w:tc>
          <w:tcPr>
            <w:tcW w:w="1080" w:type="dxa"/>
            <w:tcBorders>
              <w:top w:val="nil"/>
              <w:left w:val="single" w:sz="12" w:space="0" w:color="auto"/>
              <w:bottom w:val="single" w:sz="4" w:space="0" w:color="auto"/>
              <w:right w:val="single" w:sz="4"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24,776</w:t>
            </w:r>
          </w:p>
        </w:tc>
        <w:tc>
          <w:tcPr>
            <w:tcW w:w="1172" w:type="dxa"/>
            <w:tcBorders>
              <w:top w:val="nil"/>
              <w:left w:val="single" w:sz="4" w:space="0" w:color="auto"/>
              <w:bottom w:val="single" w:sz="4" w:space="0" w:color="auto"/>
              <w:right w:val="single" w:sz="12" w:space="0" w:color="auto"/>
            </w:tcBorders>
            <w:shd w:val="clear" w:color="auto" w:fill="auto"/>
            <w:vAlign w:val="center"/>
          </w:tcPr>
          <w:p w:rsidR="00E97EDA" w:rsidRPr="00051B9A" w:rsidP="006E3D08">
            <w:pPr>
              <w:jc w:val="both"/>
              <w:rPr>
                <w:rFonts w:ascii="FrankRuehl" w:hAnsi="FrankRuehl" w:cs="FrankRuehl"/>
                <w:sz w:val="20"/>
                <w:szCs w:val="20"/>
                <w:rtl/>
              </w:rPr>
            </w:pPr>
            <w:r w:rsidRPr="00051B9A">
              <w:rPr>
                <w:rFonts w:ascii="FrankRuehl" w:hAnsi="FrankRuehl" w:cs="FrankRuehl" w:hint="cs"/>
                <w:sz w:val="20"/>
                <w:szCs w:val="20"/>
                <w:rtl/>
              </w:rPr>
              <w:t>11,374</w:t>
            </w:r>
          </w:p>
        </w:tc>
      </w:tr>
      <w:tr w:rsidTr="00051B9A">
        <w:tblPrEx>
          <w:tblW w:w="6691" w:type="dxa"/>
          <w:jc w:val="center"/>
          <w:tblLayout w:type="fixed"/>
          <w:tblCellMar>
            <w:left w:w="57" w:type="dxa"/>
            <w:right w:w="57" w:type="dxa"/>
          </w:tblCellMar>
          <w:tblLook w:val="0000"/>
        </w:tblPrEx>
        <w:trPr>
          <w:jc w:val="center"/>
        </w:trPr>
        <w:tc>
          <w:tcPr>
            <w:tcW w:w="936" w:type="dxa"/>
            <w:tcBorders>
              <w:top w:val="nil"/>
              <w:left w:val="single" w:sz="12" w:space="0" w:color="auto"/>
              <w:bottom w:val="single" w:sz="4" w:space="0" w:color="auto"/>
              <w:right w:val="single" w:sz="12" w:space="0" w:color="auto"/>
            </w:tcBorders>
            <w:shd w:val="clear" w:color="auto" w:fill="auto"/>
            <w:vAlign w:val="center"/>
          </w:tcPr>
          <w:p w:rsidR="00E97EDA" w:rsidRPr="00051B9A" w:rsidP="00051B9A">
            <w:pPr>
              <w:rPr>
                <w:rFonts w:ascii="FrankRuehl" w:hAnsi="FrankRuehl" w:cs="FrankRuehl"/>
                <w:sz w:val="20"/>
                <w:szCs w:val="20"/>
              </w:rPr>
            </w:pPr>
            <w:r w:rsidRPr="00051B9A">
              <w:rPr>
                <w:rFonts w:ascii="FrankRuehl" w:hAnsi="FrankRuehl" w:cs="FrankRuehl"/>
                <w:sz w:val="20"/>
                <w:szCs w:val="20"/>
                <w:rtl/>
              </w:rPr>
              <w:t>ירושלים</w:t>
            </w:r>
          </w:p>
        </w:tc>
        <w:tc>
          <w:tcPr>
            <w:tcW w:w="1133" w:type="dxa"/>
            <w:tcBorders>
              <w:top w:val="nil"/>
              <w:left w:val="single" w:sz="12" w:space="0" w:color="auto"/>
              <w:bottom w:val="single" w:sz="4" w:space="0" w:color="auto"/>
              <w:right w:val="single" w:sz="12" w:space="0" w:color="auto"/>
            </w:tcBorders>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20,950</w:t>
            </w:r>
          </w:p>
        </w:tc>
        <w:tc>
          <w:tcPr>
            <w:tcW w:w="1080" w:type="dxa"/>
            <w:tcBorders>
              <w:top w:val="nil"/>
              <w:left w:val="single" w:sz="12" w:space="0" w:color="auto"/>
              <w:bottom w:val="single" w:sz="4" w:space="0" w:color="auto"/>
              <w:right w:val="single" w:sz="4" w:space="0" w:color="auto"/>
            </w:tcBorders>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30,000</w:t>
            </w:r>
          </w:p>
        </w:tc>
        <w:tc>
          <w:tcPr>
            <w:tcW w:w="1080" w:type="dxa"/>
            <w:tcBorders>
              <w:top w:val="nil"/>
              <w:left w:val="single" w:sz="4" w:space="0" w:color="auto"/>
              <w:bottom w:val="single" w:sz="4" w:space="0" w:color="auto"/>
              <w:right w:val="single" w:sz="12"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-9,050</w:t>
            </w:r>
          </w:p>
        </w:tc>
        <w:tc>
          <w:tcPr>
            <w:tcW w:w="1060" w:type="dxa"/>
            <w:tcBorders>
              <w:top w:val="nil"/>
              <w:left w:val="single" w:sz="12" w:space="0" w:color="auto"/>
              <w:bottom w:val="single" w:sz="4" w:space="0" w:color="auto"/>
              <w:right w:val="single" w:sz="4"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17,969</w:t>
            </w:r>
          </w:p>
        </w:tc>
        <w:tc>
          <w:tcPr>
            <w:tcW w:w="1008" w:type="dxa"/>
            <w:tcBorders>
              <w:top w:val="nil"/>
              <w:left w:val="single" w:sz="4" w:space="0" w:color="auto"/>
              <w:bottom w:val="single" w:sz="4" w:space="0" w:color="auto"/>
              <w:right w:val="single" w:sz="12"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2,981</w:t>
            </w:r>
          </w:p>
        </w:tc>
        <w:tc>
          <w:tcPr>
            <w:tcW w:w="1080" w:type="dxa"/>
            <w:tcBorders>
              <w:top w:val="nil"/>
              <w:left w:val="single" w:sz="12" w:space="0" w:color="auto"/>
              <w:bottom w:val="single" w:sz="4" w:space="0" w:color="auto"/>
              <w:right w:val="single" w:sz="4"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14,716</w:t>
            </w:r>
          </w:p>
        </w:tc>
        <w:tc>
          <w:tcPr>
            <w:tcW w:w="1172" w:type="dxa"/>
            <w:tcBorders>
              <w:top w:val="nil"/>
              <w:left w:val="single" w:sz="4" w:space="0" w:color="auto"/>
              <w:bottom w:val="single" w:sz="4" w:space="0" w:color="auto"/>
              <w:right w:val="single" w:sz="12" w:space="0" w:color="auto"/>
            </w:tcBorders>
            <w:shd w:val="clear" w:color="auto" w:fill="auto"/>
            <w:vAlign w:val="center"/>
          </w:tcPr>
          <w:p w:rsidR="00E97EDA" w:rsidRPr="00051B9A" w:rsidP="006E3D08">
            <w:pPr>
              <w:jc w:val="both"/>
              <w:rPr>
                <w:rFonts w:ascii="FrankRuehl" w:hAnsi="FrankRuehl" w:cs="FrankRuehl"/>
                <w:sz w:val="20"/>
                <w:szCs w:val="20"/>
              </w:rPr>
            </w:pPr>
            <w:r w:rsidRPr="00051B9A">
              <w:rPr>
                <w:rFonts w:ascii="FrankRuehl" w:hAnsi="FrankRuehl" w:cs="FrankRuehl"/>
                <w:sz w:val="20"/>
                <w:szCs w:val="20"/>
              </w:rPr>
              <w:t>6,234</w:t>
            </w:r>
          </w:p>
        </w:tc>
      </w:tr>
      <w:tr w:rsidTr="00051B9A">
        <w:tblPrEx>
          <w:tblW w:w="6691" w:type="dxa"/>
          <w:jc w:val="center"/>
          <w:tblLayout w:type="fixed"/>
          <w:tblCellMar>
            <w:left w:w="57" w:type="dxa"/>
            <w:right w:w="57" w:type="dxa"/>
          </w:tblCellMar>
          <w:tblLook w:val="0000"/>
        </w:tblPrEx>
        <w:trPr>
          <w:jc w:val="center"/>
        </w:trPr>
        <w:tc>
          <w:tcPr>
            <w:tcW w:w="936" w:type="dxa"/>
            <w:tcBorders>
              <w:top w:val="nil"/>
              <w:left w:val="single" w:sz="12" w:space="0" w:color="auto"/>
              <w:bottom w:val="single" w:sz="4" w:space="0" w:color="auto"/>
              <w:right w:val="single" w:sz="12" w:space="0" w:color="auto"/>
            </w:tcBorders>
            <w:shd w:val="clear" w:color="auto" w:fill="auto"/>
            <w:vAlign w:val="center"/>
          </w:tcPr>
          <w:p w:rsidR="00E97EDA" w:rsidRPr="00051B9A" w:rsidP="00051B9A">
            <w:pPr>
              <w:rPr>
                <w:rFonts w:ascii="FrankRuehl" w:hAnsi="FrankRuehl" w:cs="FrankRuehl"/>
                <w:sz w:val="20"/>
                <w:szCs w:val="20"/>
              </w:rPr>
            </w:pPr>
            <w:r w:rsidRPr="00051B9A">
              <w:rPr>
                <w:rFonts w:ascii="FrankRuehl" w:hAnsi="FrankRuehl" w:cs="FrankRuehl"/>
                <w:sz w:val="20"/>
                <w:szCs w:val="20"/>
                <w:rtl/>
              </w:rPr>
              <w:t>המרכז</w:t>
            </w:r>
          </w:p>
        </w:tc>
        <w:tc>
          <w:tcPr>
            <w:tcW w:w="1133" w:type="dxa"/>
            <w:tcBorders>
              <w:top w:val="nil"/>
              <w:left w:val="single" w:sz="12" w:space="0" w:color="auto"/>
              <w:bottom w:val="single" w:sz="4" w:space="0" w:color="auto"/>
              <w:right w:val="single" w:sz="12" w:space="0" w:color="auto"/>
            </w:tcBorders>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55,529</w:t>
            </w:r>
          </w:p>
        </w:tc>
        <w:tc>
          <w:tcPr>
            <w:tcW w:w="1080" w:type="dxa"/>
            <w:tcBorders>
              <w:top w:val="nil"/>
              <w:left w:val="single" w:sz="12" w:space="0" w:color="auto"/>
              <w:bottom w:val="single" w:sz="4" w:space="0" w:color="auto"/>
              <w:right w:val="single" w:sz="4" w:space="0" w:color="auto"/>
            </w:tcBorders>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55,000</w:t>
            </w:r>
          </w:p>
        </w:tc>
        <w:tc>
          <w:tcPr>
            <w:tcW w:w="1080" w:type="dxa"/>
            <w:tcBorders>
              <w:top w:val="nil"/>
              <w:left w:val="single" w:sz="4" w:space="0" w:color="auto"/>
              <w:bottom w:val="single" w:sz="4" w:space="0" w:color="auto"/>
              <w:right w:val="single" w:sz="12"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529</w:t>
            </w:r>
          </w:p>
        </w:tc>
        <w:tc>
          <w:tcPr>
            <w:tcW w:w="1060" w:type="dxa"/>
            <w:tcBorders>
              <w:top w:val="nil"/>
              <w:left w:val="single" w:sz="12" w:space="0" w:color="auto"/>
              <w:bottom w:val="single" w:sz="4" w:space="0" w:color="auto"/>
              <w:right w:val="single" w:sz="4"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75,746</w:t>
            </w:r>
          </w:p>
        </w:tc>
        <w:tc>
          <w:tcPr>
            <w:tcW w:w="1008" w:type="dxa"/>
            <w:tcBorders>
              <w:top w:val="nil"/>
              <w:left w:val="single" w:sz="4" w:space="0" w:color="auto"/>
              <w:bottom w:val="single" w:sz="4" w:space="0" w:color="auto"/>
              <w:right w:val="single" w:sz="12"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-20,217</w:t>
            </w:r>
          </w:p>
        </w:tc>
        <w:tc>
          <w:tcPr>
            <w:tcW w:w="1080" w:type="dxa"/>
            <w:tcBorders>
              <w:top w:val="nil"/>
              <w:left w:val="single" w:sz="12" w:space="0" w:color="auto"/>
              <w:bottom w:val="single" w:sz="4" w:space="0" w:color="auto"/>
              <w:right w:val="single" w:sz="4"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67,805</w:t>
            </w:r>
          </w:p>
        </w:tc>
        <w:tc>
          <w:tcPr>
            <w:tcW w:w="1172" w:type="dxa"/>
            <w:tcBorders>
              <w:top w:val="nil"/>
              <w:left w:val="single" w:sz="4" w:space="0" w:color="auto"/>
              <w:bottom w:val="single" w:sz="4" w:space="0" w:color="auto"/>
              <w:right w:val="single" w:sz="12" w:space="0" w:color="auto"/>
            </w:tcBorders>
            <w:shd w:val="clear" w:color="auto" w:fill="auto"/>
            <w:vAlign w:val="center"/>
          </w:tcPr>
          <w:p w:rsidR="00E97EDA" w:rsidRPr="00051B9A" w:rsidP="006E3D08">
            <w:pPr>
              <w:jc w:val="both"/>
              <w:rPr>
                <w:rFonts w:ascii="FrankRuehl" w:hAnsi="FrankRuehl" w:cs="FrankRuehl"/>
                <w:sz w:val="20"/>
                <w:szCs w:val="20"/>
              </w:rPr>
            </w:pPr>
            <w:r w:rsidRPr="00051B9A">
              <w:rPr>
                <w:rFonts w:ascii="FrankRuehl" w:hAnsi="FrankRuehl" w:cs="FrankRuehl"/>
                <w:sz w:val="20"/>
                <w:szCs w:val="20"/>
              </w:rPr>
              <w:t>-12,276</w:t>
            </w:r>
          </w:p>
        </w:tc>
      </w:tr>
      <w:tr w:rsidTr="00051B9A">
        <w:tblPrEx>
          <w:tblW w:w="6691" w:type="dxa"/>
          <w:jc w:val="center"/>
          <w:tblLayout w:type="fixed"/>
          <w:tblCellMar>
            <w:left w:w="57" w:type="dxa"/>
            <w:right w:w="57" w:type="dxa"/>
          </w:tblCellMar>
          <w:tblLook w:val="0000"/>
        </w:tblPrEx>
        <w:trPr>
          <w:jc w:val="center"/>
        </w:trPr>
        <w:tc>
          <w:tcPr>
            <w:tcW w:w="936" w:type="dxa"/>
            <w:tcBorders>
              <w:top w:val="nil"/>
              <w:left w:val="single" w:sz="12" w:space="0" w:color="auto"/>
              <w:bottom w:val="single" w:sz="4" w:space="0" w:color="auto"/>
              <w:right w:val="single" w:sz="12" w:space="0" w:color="auto"/>
            </w:tcBorders>
            <w:shd w:val="clear" w:color="auto" w:fill="auto"/>
            <w:vAlign w:val="center"/>
          </w:tcPr>
          <w:p w:rsidR="00E97EDA" w:rsidRPr="00051B9A" w:rsidP="00051B9A">
            <w:pPr>
              <w:rPr>
                <w:rFonts w:ascii="FrankRuehl" w:hAnsi="FrankRuehl" w:cs="FrankRuehl"/>
                <w:sz w:val="20"/>
                <w:szCs w:val="20"/>
              </w:rPr>
            </w:pPr>
            <w:r w:rsidRPr="00051B9A">
              <w:rPr>
                <w:rFonts w:ascii="FrankRuehl" w:hAnsi="FrankRuehl" w:cs="FrankRuehl"/>
                <w:sz w:val="20"/>
                <w:szCs w:val="20"/>
                <w:rtl/>
              </w:rPr>
              <w:t>הצפון</w:t>
            </w:r>
          </w:p>
        </w:tc>
        <w:tc>
          <w:tcPr>
            <w:tcW w:w="1133" w:type="dxa"/>
            <w:tcBorders>
              <w:top w:val="nil"/>
              <w:left w:val="single" w:sz="12" w:space="0" w:color="auto"/>
              <w:bottom w:val="single" w:sz="4" w:space="0" w:color="auto"/>
              <w:right w:val="single" w:sz="12" w:space="0" w:color="auto"/>
            </w:tcBorders>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32,039</w:t>
            </w:r>
          </w:p>
        </w:tc>
        <w:tc>
          <w:tcPr>
            <w:tcW w:w="1080" w:type="dxa"/>
            <w:tcBorders>
              <w:top w:val="nil"/>
              <w:left w:val="single" w:sz="12" w:space="0" w:color="auto"/>
              <w:bottom w:val="single" w:sz="4" w:space="0" w:color="auto"/>
              <w:right w:val="single" w:sz="4" w:space="0" w:color="auto"/>
            </w:tcBorders>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72,000</w:t>
            </w:r>
          </w:p>
        </w:tc>
        <w:tc>
          <w:tcPr>
            <w:tcW w:w="1080" w:type="dxa"/>
            <w:tcBorders>
              <w:top w:val="nil"/>
              <w:left w:val="single" w:sz="4" w:space="0" w:color="auto"/>
              <w:bottom w:val="single" w:sz="4" w:space="0" w:color="auto"/>
              <w:right w:val="single" w:sz="12"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-39,961</w:t>
            </w:r>
          </w:p>
        </w:tc>
        <w:tc>
          <w:tcPr>
            <w:tcW w:w="1060" w:type="dxa"/>
            <w:tcBorders>
              <w:top w:val="nil"/>
              <w:left w:val="single" w:sz="12" w:space="0" w:color="auto"/>
              <w:bottom w:val="single" w:sz="4" w:space="0" w:color="auto"/>
              <w:right w:val="single" w:sz="4"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44,154</w:t>
            </w:r>
          </w:p>
        </w:tc>
        <w:tc>
          <w:tcPr>
            <w:tcW w:w="1008" w:type="dxa"/>
            <w:tcBorders>
              <w:top w:val="nil"/>
              <w:left w:val="single" w:sz="4" w:space="0" w:color="auto"/>
              <w:bottom w:val="single" w:sz="4" w:space="0" w:color="auto"/>
              <w:right w:val="single" w:sz="12"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-12,115</w:t>
            </w:r>
          </w:p>
        </w:tc>
        <w:tc>
          <w:tcPr>
            <w:tcW w:w="1080" w:type="dxa"/>
            <w:tcBorders>
              <w:top w:val="nil"/>
              <w:left w:val="single" w:sz="12" w:space="0" w:color="auto"/>
              <w:bottom w:val="single" w:sz="4" w:space="0" w:color="auto"/>
              <w:right w:val="single" w:sz="4"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43,034</w:t>
            </w:r>
          </w:p>
        </w:tc>
        <w:tc>
          <w:tcPr>
            <w:tcW w:w="1172" w:type="dxa"/>
            <w:tcBorders>
              <w:top w:val="nil"/>
              <w:left w:val="single" w:sz="4" w:space="0" w:color="auto"/>
              <w:bottom w:val="single" w:sz="4" w:space="0" w:color="auto"/>
              <w:right w:val="single" w:sz="12" w:space="0" w:color="auto"/>
            </w:tcBorders>
            <w:shd w:val="clear" w:color="auto" w:fill="auto"/>
            <w:vAlign w:val="center"/>
          </w:tcPr>
          <w:p w:rsidR="00E97EDA" w:rsidRPr="00051B9A" w:rsidP="006E3D08">
            <w:pPr>
              <w:jc w:val="both"/>
              <w:rPr>
                <w:rFonts w:ascii="FrankRuehl" w:hAnsi="FrankRuehl" w:cs="FrankRuehl"/>
                <w:sz w:val="20"/>
                <w:szCs w:val="20"/>
              </w:rPr>
            </w:pPr>
            <w:r w:rsidRPr="00051B9A">
              <w:rPr>
                <w:rFonts w:ascii="FrankRuehl" w:hAnsi="FrankRuehl" w:cs="FrankRuehl"/>
                <w:sz w:val="20"/>
                <w:szCs w:val="20"/>
              </w:rPr>
              <w:t>-10,995</w:t>
            </w:r>
          </w:p>
        </w:tc>
      </w:tr>
      <w:tr w:rsidTr="00051B9A">
        <w:tblPrEx>
          <w:tblW w:w="6691" w:type="dxa"/>
          <w:jc w:val="center"/>
          <w:tblLayout w:type="fixed"/>
          <w:tblCellMar>
            <w:left w:w="57" w:type="dxa"/>
            <w:right w:w="57" w:type="dxa"/>
          </w:tblCellMar>
          <w:tblLook w:val="0000"/>
        </w:tblPrEx>
        <w:trPr>
          <w:jc w:val="center"/>
        </w:trPr>
        <w:tc>
          <w:tcPr>
            <w:tcW w:w="936" w:type="dxa"/>
            <w:tcBorders>
              <w:top w:val="nil"/>
              <w:left w:val="single" w:sz="12" w:space="0" w:color="auto"/>
              <w:bottom w:val="single" w:sz="12" w:space="0" w:color="auto"/>
              <w:right w:val="single" w:sz="12" w:space="0" w:color="auto"/>
            </w:tcBorders>
            <w:shd w:val="clear" w:color="auto" w:fill="auto"/>
            <w:vAlign w:val="center"/>
          </w:tcPr>
          <w:p w:rsidR="00E97EDA" w:rsidRPr="00051B9A" w:rsidP="00051B9A">
            <w:pPr>
              <w:rPr>
                <w:rFonts w:ascii="FrankRuehl" w:hAnsi="FrankRuehl" w:cs="FrankRuehl"/>
                <w:sz w:val="20"/>
                <w:szCs w:val="20"/>
              </w:rPr>
            </w:pPr>
            <w:r w:rsidRPr="00051B9A">
              <w:rPr>
                <w:rFonts w:ascii="FrankRuehl" w:hAnsi="FrankRuehl" w:cs="FrankRuehl"/>
                <w:sz w:val="20"/>
                <w:szCs w:val="20"/>
                <w:rtl/>
              </w:rPr>
              <w:t>תל</w:t>
            </w:r>
            <w:r w:rsidRPr="00051B9A">
              <w:rPr>
                <w:rFonts w:ascii="FrankRuehl" w:hAnsi="FrankRuehl" w:cs="FrankRuehl" w:hint="cs"/>
                <w:sz w:val="20"/>
                <w:szCs w:val="20"/>
                <w:rtl/>
              </w:rPr>
              <w:t xml:space="preserve"> </w:t>
            </w:r>
            <w:r w:rsidRPr="00051B9A">
              <w:rPr>
                <w:rFonts w:ascii="FrankRuehl" w:hAnsi="FrankRuehl" w:cs="FrankRuehl"/>
                <w:sz w:val="20"/>
                <w:szCs w:val="20"/>
                <w:rtl/>
              </w:rPr>
              <w:t>אביב</w:t>
            </w:r>
          </w:p>
        </w:tc>
        <w:tc>
          <w:tcPr>
            <w:tcW w:w="1133" w:type="dxa"/>
            <w:tcBorders>
              <w:top w:val="nil"/>
              <w:left w:val="single" w:sz="12" w:space="0" w:color="auto"/>
              <w:bottom w:val="single" w:sz="12" w:space="0" w:color="auto"/>
              <w:right w:val="single" w:sz="12" w:space="0" w:color="auto"/>
            </w:tcBorders>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17,736</w:t>
            </w:r>
          </w:p>
        </w:tc>
        <w:tc>
          <w:tcPr>
            <w:tcW w:w="1080" w:type="dxa"/>
            <w:tcBorders>
              <w:top w:val="nil"/>
              <w:left w:val="single" w:sz="12" w:space="0" w:color="auto"/>
              <w:bottom w:val="single" w:sz="12" w:space="0" w:color="auto"/>
              <w:right w:val="single" w:sz="4" w:space="0" w:color="auto"/>
            </w:tcBorders>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27,000</w:t>
            </w:r>
          </w:p>
        </w:tc>
        <w:tc>
          <w:tcPr>
            <w:tcW w:w="1080" w:type="dxa"/>
            <w:tcBorders>
              <w:top w:val="nil"/>
              <w:left w:val="single" w:sz="4" w:space="0" w:color="auto"/>
              <w:bottom w:val="single" w:sz="12" w:space="0" w:color="auto"/>
              <w:right w:val="single" w:sz="12"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-9,264</w:t>
            </w:r>
          </w:p>
        </w:tc>
        <w:tc>
          <w:tcPr>
            <w:tcW w:w="1060" w:type="dxa"/>
            <w:tcBorders>
              <w:top w:val="nil"/>
              <w:left w:val="single" w:sz="12" w:space="0" w:color="auto"/>
              <w:bottom w:val="single" w:sz="12" w:space="0" w:color="auto"/>
              <w:right w:val="single" w:sz="4"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31,580</w:t>
            </w:r>
          </w:p>
        </w:tc>
        <w:tc>
          <w:tcPr>
            <w:tcW w:w="1008" w:type="dxa"/>
            <w:tcBorders>
              <w:top w:val="nil"/>
              <w:left w:val="single" w:sz="4" w:space="0" w:color="auto"/>
              <w:bottom w:val="single" w:sz="12" w:space="0" w:color="auto"/>
              <w:right w:val="single" w:sz="12"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-13,844</w:t>
            </w:r>
          </w:p>
        </w:tc>
        <w:tc>
          <w:tcPr>
            <w:tcW w:w="1080" w:type="dxa"/>
            <w:tcBorders>
              <w:top w:val="nil"/>
              <w:left w:val="single" w:sz="12" w:space="0" w:color="auto"/>
              <w:bottom w:val="single" w:sz="12" w:space="0" w:color="auto"/>
              <w:right w:val="single" w:sz="4" w:space="0" w:color="auto"/>
            </w:tcBorders>
            <w:shd w:val="clear"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40,548</w:t>
            </w:r>
          </w:p>
        </w:tc>
        <w:tc>
          <w:tcPr>
            <w:tcW w:w="1172" w:type="dxa"/>
            <w:tcBorders>
              <w:top w:val="nil"/>
              <w:left w:val="single" w:sz="4" w:space="0" w:color="auto"/>
              <w:bottom w:val="single" w:sz="12" w:space="0" w:color="auto"/>
              <w:right w:val="single" w:sz="12" w:space="0" w:color="auto"/>
            </w:tcBorders>
            <w:shd w:val="clear" w:color="auto" w:fill="auto"/>
            <w:vAlign w:val="center"/>
          </w:tcPr>
          <w:p w:rsidR="00E97EDA" w:rsidRPr="00051B9A" w:rsidP="006E3D08">
            <w:pPr>
              <w:jc w:val="both"/>
              <w:rPr>
                <w:rFonts w:ascii="FrankRuehl" w:hAnsi="FrankRuehl" w:cs="FrankRuehl"/>
                <w:sz w:val="20"/>
                <w:szCs w:val="20"/>
              </w:rPr>
            </w:pPr>
            <w:r w:rsidRPr="00051B9A">
              <w:rPr>
                <w:rFonts w:ascii="FrankRuehl" w:hAnsi="FrankRuehl" w:cs="FrankRuehl"/>
                <w:sz w:val="20"/>
                <w:szCs w:val="20"/>
              </w:rPr>
              <w:t>-22,812</w:t>
            </w:r>
          </w:p>
        </w:tc>
      </w:tr>
      <w:tr w:rsidTr="00051B9A">
        <w:tblPrEx>
          <w:tblW w:w="6691" w:type="dxa"/>
          <w:jc w:val="center"/>
          <w:tblLayout w:type="fixed"/>
          <w:tblCellMar>
            <w:left w:w="57" w:type="dxa"/>
            <w:right w:w="57" w:type="dxa"/>
          </w:tblCellMar>
          <w:tblLook w:val="0000"/>
        </w:tblPrEx>
        <w:trPr>
          <w:jc w:val="center"/>
        </w:trPr>
        <w:tc>
          <w:tcPr>
            <w:tcW w:w="936" w:type="dxa"/>
            <w:tcBorders>
              <w:top w:val="single" w:sz="12" w:space="0" w:color="auto"/>
              <w:left w:val="single" w:sz="12" w:space="0" w:color="auto"/>
              <w:bottom w:val="single" w:sz="12" w:space="0" w:color="auto"/>
              <w:right w:val="single" w:sz="12" w:space="0" w:color="auto"/>
            </w:tcBorders>
            <w:shd w:val="pct10" w:color="auto" w:fill="auto"/>
            <w:vAlign w:val="center"/>
          </w:tcPr>
          <w:p w:rsidR="00E97EDA" w:rsidRPr="00051B9A" w:rsidP="00051B9A">
            <w:pPr>
              <w:jc w:val="right"/>
              <w:rPr>
                <w:rFonts w:ascii="FrankRuehl" w:hAnsi="FrankRuehl" w:cs="FrankRuehl"/>
                <w:b/>
                <w:bCs/>
                <w:sz w:val="20"/>
                <w:szCs w:val="20"/>
              </w:rPr>
            </w:pPr>
            <w:r w:rsidRPr="00051B9A">
              <w:rPr>
                <w:rFonts w:ascii="FrankRuehl" w:hAnsi="FrankRuehl" w:cs="FrankRuehl" w:hint="cs"/>
                <w:b/>
                <w:bCs/>
                <w:sz w:val="20"/>
                <w:szCs w:val="20"/>
                <w:rtl/>
              </w:rPr>
              <w:t>סך הכול</w:t>
            </w:r>
          </w:p>
        </w:tc>
        <w:tc>
          <w:tcPr>
            <w:tcW w:w="1133" w:type="dxa"/>
            <w:tcBorders>
              <w:top w:val="single" w:sz="12" w:space="0" w:color="auto"/>
              <w:left w:val="single" w:sz="12" w:space="0" w:color="auto"/>
              <w:bottom w:val="single" w:sz="12" w:space="0" w:color="auto"/>
              <w:right w:val="single" w:sz="12" w:space="0" w:color="auto"/>
            </w:tcBorders>
            <w:shd w:val="pct10"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193,482</w:t>
            </w:r>
          </w:p>
        </w:tc>
        <w:tc>
          <w:tcPr>
            <w:tcW w:w="1080" w:type="dxa"/>
            <w:tcBorders>
              <w:top w:val="single" w:sz="12" w:space="0" w:color="auto"/>
              <w:left w:val="single" w:sz="12" w:space="0" w:color="auto"/>
              <w:bottom w:val="single" w:sz="12" w:space="0" w:color="auto"/>
              <w:right w:val="single" w:sz="4" w:space="0" w:color="auto"/>
            </w:tcBorders>
            <w:shd w:val="pct10"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270,000</w:t>
            </w:r>
          </w:p>
        </w:tc>
        <w:tc>
          <w:tcPr>
            <w:tcW w:w="1080" w:type="dxa"/>
            <w:tcBorders>
              <w:top w:val="single" w:sz="12" w:space="0" w:color="auto"/>
              <w:left w:val="single" w:sz="4" w:space="0" w:color="auto"/>
              <w:bottom w:val="single" w:sz="12" w:space="0" w:color="auto"/>
              <w:right w:val="single" w:sz="12" w:space="0" w:color="auto"/>
            </w:tcBorders>
            <w:shd w:val="pct10"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-76,518</w:t>
            </w:r>
          </w:p>
        </w:tc>
        <w:tc>
          <w:tcPr>
            <w:tcW w:w="1060" w:type="dxa"/>
            <w:tcBorders>
              <w:top w:val="single" w:sz="12" w:space="0" w:color="auto"/>
              <w:left w:val="single" w:sz="12" w:space="0" w:color="auto"/>
              <w:bottom w:val="single" w:sz="12" w:space="0" w:color="auto"/>
              <w:right w:val="single" w:sz="4" w:space="0" w:color="auto"/>
            </w:tcBorders>
            <w:shd w:val="pct10"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216,463</w:t>
            </w:r>
          </w:p>
        </w:tc>
        <w:tc>
          <w:tcPr>
            <w:tcW w:w="1008" w:type="dxa"/>
            <w:tcBorders>
              <w:top w:val="single" w:sz="12" w:space="0" w:color="auto"/>
              <w:left w:val="single" w:sz="4" w:space="0" w:color="auto"/>
              <w:bottom w:val="single" w:sz="12" w:space="0" w:color="auto"/>
              <w:right w:val="single" w:sz="12" w:space="0" w:color="auto"/>
            </w:tcBorders>
            <w:shd w:val="pct10"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-22,981</w:t>
            </w:r>
          </w:p>
        </w:tc>
        <w:tc>
          <w:tcPr>
            <w:tcW w:w="1080" w:type="dxa"/>
            <w:tcBorders>
              <w:top w:val="single" w:sz="12" w:space="0" w:color="auto"/>
              <w:left w:val="single" w:sz="12" w:space="0" w:color="auto"/>
              <w:bottom w:val="single" w:sz="12" w:space="0" w:color="auto"/>
              <w:right w:val="single" w:sz="4" w:space="0" w:color="auto"/>
            </w:tcBorders>
            <w:shd w:val="pct10" w:color="auto" w:fill="auto"/>
            <w:vAlign w:val="center"/>
          </w:tcPr>
          <w:p w:rsidR="00E97EDA" w:rsidRPr="00051B9A" w:rsidP="00A7557B">
            <w:pPr>
              <w:bidi w:val="0"/>
              <w:jc w:val="center"/>
              <w:rPr>
                <w:rFonts w:ascii="FrankRuehl" w:hAnsi="FrankRuehl" w:cs="FrankRuehl"/>
                <w:sz w:val="20"/>
                <w:szCs w:val="20"/>
              </w:rPr>
            </w:pPr>
            <w:r w:rsidRPr="00051B9A">
              <w:rPr>
                <w:rFonts w:ascii="FrankRuehl" w:hAnsi="FrankRuehl" w:cs="FrankRuehl"/>
                <w:sz w:val="20"/>
                <w:szCs w:val="20"/>
              </w:rPr>
              <w:t>222,632</w:t>
            </w:r>
          </w:p>
        </w:tc>
        <w:tc>
          <w:tcPr>
            <w:tcW w:w="1172" w:type="dxa"/>
            <w:tcBorders>
              <w:top w:val="single" w:sz="12" w:space="0" w:color="auto"/>
              <w:left w:val="single" w:sz="4" w:space="0" w:color="auto"/>
              <w:bottom w:val="single" w:sz="12" w:space="0" w:color="auto"/>
              <w:right w:val="single" w:sz="12" w:space="0" w:color="auto"/>
            </w:tcBorders>
            <w:shd w:val="pct10" w:color="auto" w:fill="auto"/>
            <w:vAlign w:val="center"/>
          </w:tcPr>
          <w:p w:rsidR="00E97EDA" w:rsidRPr="00051B9A" w:rsidP="006E3D08">
            <w:pPr>
              <w:jc w:val="both"/>
              <w:rPr>
                <w:rFonts w:ascii="FrankRuehl" w:hAnsi="FrankRuehl" w:cs="FrankRuehl"/>
                <w:sz w:val="20"/>
                <w:szCs w:val="20"/>
              </w:rPr>
            </w:pPr>
            <w:r w:rsidRPr="00051B9A">
              <w:rPr>
                <w:rFonts w:ascii="FrankRuehl" w:hAnsi="FrankRuehl" w:cs="FrankRuehl"/>
                <w:sz w:val="20"/>
                <w:szCs w:val="20"/>
              </w:rPr>
              <w:t>-29,150</w:t>
            </w:r>
          </w:p>
        </w:tc>
      </w:tr>
    </w:tbl>
    <w:p w:rsidR="00E97EDA" w:rsidRPr="00051B9A" w:rsidP="00051B9A">
      <w:pPr>
        <w:spacing w:before="120" w:after="240" w:line="200" w:lineRule="exact"/>
        <w:ind w:left="397" w:hanging="397"/>
        <w:jc w:val="both"/>
        <w:rPr>
          <w:rFonts w:cs="FrankRuehl"/>
          <w:sz w:val="20"/>
          <w:szCs w:val="20"/>
          <w:rtl/>
        </w:rPr>
      </w:pPr>
      <w:r w:rsidRPr="00051B9A">
        <w:rPr>
          <w:rFonts w:cs="FrankRuehl" w:hint="cs"/>
          <w:sz w:val="20"/>
          <w:szCs w:val="20"/>
          <w:rtl/>
        </w:rPr>
        <w:t xml:space="preserve">* </w:t>
      </w:r>
      <w:r w:rsidR="00051B9A">
        <w:rPr>
          <w:rFonts w:cs="FrankRuehl"/>
          <w:sz w:val="20"/>
          <w:szCs w:val="20"/>
        </w:rPr>
        <w:tab/>
      </w:r>
      <w:r w:rsidRPr="00051B9A">
        <w:rPr>
          <w:rFonts w:cs="FrankRuehl" w:hint="cs"/>
          <w:sz w:val="20"/>
          <w:szCs w:val="20"/>
          <w:rtl/>
        </w:rPr>
        <w:t>ההערכה מבוססת על נתונים משנים 2011-2007 שפרסמה הלמ"ס.</w:t>
      </w:r>
    </w:p>
    <w:p w:rsidR="00D22B16" w:rsidRPr="00F41E78" w:rsidP="00D22B16">
      <w:pPr>
        <w:pStyle w:val="RESHET"/>
        <w:keepLines/>
        <w:rPr>
          <w:rtl/>
        </w:rPr>
      </w:pPr>
      <w:r w:rsidRPr="00F41E78">
        <w:rPr>
          <w:rFonts w:hint="cs"/>
          <w:rtl/>
        </w:rPr>
        <w:t xml:space="preserve">מלוח 3 עולה כי ברוב המחוזות לא הושגו יעדי תמ"א 35, ובולטים במיוחד הפערים בין יעדי התמ"א ובין אישור יחידות הדיור בפועל במחוזות הדרום והצפון. עוד עולה מהלוח כי במחוז המרכז אושרו יותר יח"ד מהנדרש ביעדי התמ"א. </w:t>
      </w:r>
    </w:p>
    <w:p w:rsidR="00D22B16" w:rsidRPr="00F41E78" w:rsidP="00D22B16">
      <w:pPr>
        <w:pStyle w:val="RESHET"/>
        <w:keepLines/>
        <w:rPr>
          <w:rtl/>
        </w:rPr>
      </w:pPr>
      <w:r w:rsidRPr="00F41E78">
        <w:rPr>
          <w:rFonts w:hint="cs"/>
          <w:rtl/>
        </w:rPr>
        <w:t xml:space="preserve">הנתונים גם מראים שבאזורים בעלי ביקושים גדולים במחוזות המרכז ותל אביב, נגרעו </w:t>
      </w:r>
      <w:r>
        <w:br/>
      </w:r>
      <w:r w:rsidRPr="00F41E78">
        <w:rPr>
          <w:rFonts w:hint="cs"/>
          <w:rtl/>
        </w:rPr>
        <w:t xml:space="preserve">כ-34,000 יח"ד מהמלאי התכנוני; הגריעה במחוזות אלו היא בשיעור של כ-50% מסך יחידות הדיור שאושרו באותן שנים (73,000). אם תימשך מגמה זו, גם בשנים הקרובות לא יהיה מלאי תכנוני באזור המרכז והיצע יחידות הדיור יצטמצם באופן ניכר. </w:t>
      </w:r>
    </w:p>
    <w:p w:rsidR="00D22B16" w:rsidRPr="00F41E78" w:rsidP="00D22B16">
      <w:pPr>
        <w:pStyle w:val="RESHET"/>
        <w:keepLines/>
        <w:rPr>
          <w:rtl/>
        </w:rPr>
      </w:pPr>
      <w:r w:rsidRPr="00F41E78">
        <w:rPr>
          <w:rFonts w:hint="cs"/>
          <w:rtl/>
        </w:rPr>
        <w:t xml:space="preserve">כמו כן, במחוזות המרכז ותל אביב נרשם פער גדול בין מספר משקי הבית שנוספו ובין מספר יחידות הדיור בתכניות המפורטות, דהיינו קצב אישור התכניות אינו מדביק את קצב הביקושים. </w:t>
      </w:r>
      <w:r w:rsidRPr="00F41E78">
        <w:rPr>
          <w:rtl/>
        </w:rPr>
        <w:t>יתר</w:t>
      </w:r>
      <w:r w:rsidRPr="00F41E78">
        <w:rPr>
          <w:rFonts w:hint="cs"/>
          <w:rtl/>
        </w:rPr>
        <w:t>ה</w:t>
      </w:r>
      <w:r w:rsidRPr="00F41E78">
        <w:rPr>
          <w:rtl/>
        </w:rPr>
        <w:t xml:space="preserve"> </w:t>
      </w:r>
      <w:r w:rsidRPr="00F41E78">
        <w:rPr>
          <w:rFonts w:hint="cs"/>
          <w:rtl/>
        </w:rPr>
        <w:t>מזאת</w:t>
      </w:r>
      <w:r w:rsidRPr="00F41E78">
        <w:rPr>
          <w:rtl/>
        </w:rPr>
        <w:t>, הנתונים המוצגים</w:t>
      </w:r>
      <w:r w:rsidRPr="00F41E78">
        <w:rPr>
          <w:rFonts w:hint="cs"/>
          <w:rtl/>
        </w:rPr>
        <w:t xml:space="preserve"> בלוח זה</w:t>
      </w:r>
      <w:r w:rsidRPr="00F41E78">
        <w:rPr>
          <w:rtl/>
        </w:rPr>
        <w:t xml:space="preserve"> אינם </w:t>
      </w:r>
      <w:r w:rsidRPr="00F41E78">
        <w:rPr>
          <w:rFonts w:hint="cs"/>
          <w:rtl/>
        </w:rPr>
        <w:t>כוללים</w:t>
      </w:r>
      <w:r w:rsidRPr="00F41E78">
        <w:rPr>
          <w:rtl/>
        </w:rPr>
        <w:t xml:space="preserve"> ביקושים לדירות מצד משקיעים</w:t>
      </w:r>
      <w:r w:rsidRPr="00F41E78">
        <w:rPr>
          <w:rFonts w:hint="cs"/>
          <w:rtl/>
        </w:rPr>
        <w:t>,</w:t>
      </w:r>
      <w:r w:rsidRPr="00F41E78">
        <w:rPr>
          <w:rtl/>
        </w:rPr>
        <w:t xml:space="preserve"> לכן הפער בין</w:t>
      </w:r>
      <w:r w:rsidRPr="00F41E78">
        <w:rPr>
          <w:rFonts w:hint="cs"/>
          <w:rtl/>
        </w:rPr>
        <w:t xml:space="preserve"> המלאי התכנוני </w:t>
      </w:r>
      <w:r w:rsidRPr="00F41E78">
        <w:rPr>
          <w:rtl/>
        </w:rPr>
        <w:t>לביקוש אף גבוה יותר</w:t>
      </w:r>
      <w:r w:rsidRPr="00F41E78">
        <w:rPr>
          <w:rFonts w:hint="cs"/>
          <w:rtl/>
        </w:rPr>
        <w:t>,</w:t>
      </w:r>
      <w:r w:rsidRPr="00F41E78">
        <w:rPr>
          <w:rtl/>
        </w:rPr>
        <w:t xml:space="preserve"> </w:t>
      </w:r>
      <w:r w:rsidRPr="00F41E78">
        <w:rPr>
          <w:rFonts w:hint="cs"/>
          <w:rtl/>
        </w:rPr>
        <w:t xml:space="preserve">ואפשר שהדבר תורם לעלייה במחירי הדיור. </w:t>
      </w:r>
    </w:p>
    <w:p w:rsidR="00E97EDA" w:rsidRPr="00F41E78" w:rsidP="00051B9A">
      <w:pPr>
        <w:spacing w:before="180" w:after="120" w:line="230" w:lineRule="exact"/>
        <w:jc w:val="both"/>
        <w:rPr>
          <w:rFonts w:cs="FrankRuehl"/>
          <w:sz w:val="18"/>
          <w:szCs w:val="22"/>
          <w:rtl/>
          <w:lang w:eastAsia="he-IL"/>
        </w:rPr>
      </w:pPr>
      <w:r w:rsidRPr="00F41E78">
        <w:rPr>
          <w:rFonts w:cs="FrankRuehl" w:hint="eastAsia"/>
          <w:sz w:val="18"/>
          <w:szCs w:val="22"/>
          <w:rtl/>
          <w:lang w:eastAsia="he-IL"/>
        </w:rPr>
        <w:t>בתשובתו</w:t>
      </w:r>
      <w:r w:rsidRPr="00F41E78">
        <w:rPr>
          <w:rFonts w:cs="FrankRuehl"/>
          <w:sz w:val="18"/>
          <w:szCs w:val="22"/>
          <w:rtl/>
          <w:lang w:eastAsia="he-IL"/>
        </w:rPr>
        <w:t xml:space="preserve"> </w:t>
      </w:r>
      <w:r w:rsidRPr="00F41E78">
        <w:rPr>
          <w:rFonts w:cs="FrankRuehl" w:hint="eastAsia"/>
          <w:sz w:val="18"/>
          <w:szCs w:val="22"/>
          <w:rtl/>
          <w:lang w:eastAsia="he-IL"/>
        </w:rPr>
        <w:t>מאפריל</w:t>
      </w:r>
      <w:r w:rsidRPr="00F41E78">
        <w:rPr>
          <w:rFonts w:cs="FrankRuehl"/>
          <w:sz w:val="18"/>
          <w:szCs w:val="22"/>
          <w:rtl/>
          <w:lang w:eastAsia="he-IL"/>
        </w:rPr>
        <w:t xml:space="preserve"> 2014 </w:t>
      </w:r>
      <w:r w:rsidRPr="00F41E78">
        <w:rPr>
          <w:rFonts w:cs="FrankRuehl" w:hint="eastAsia"/>
          <w:sz w:val="18"/>
          <w:szCs w:val="22"/>
          <w:rtl/>
          <w:lang w:eastAsia="he-IL"/>
        </w:rPr>
        <w:t>מסר</w:t>
      </w:r>
      <w:r w:rsidRPr="00F41E78">
        <w:rPr>
          <w:rFonts w:cs="FrankRuehl"/>
          <w:sz w:val="18"/>
          <w:szCs w:val="22"/>
          <w:rtl/>
          <w:lang w:eastAsia="he-IL"/>
        </w:rPr>
        <w:t xml:space="preserve"> </w:t>
      </w:r>
      <w:r w:rsidRPr="00F41E78">
        <w:rPr>
          <w:rFonts w:cs="FrankRuehl" w:hint="eastAsia"/>
          <w:sz w:val="18"/>
          <w:szCs w:val="22"/>
          <w:rtl/>
          <w:lang w:eastAsia="he-IL"/>
        </w:rPr>
        <w:t>שר</w:t>
      </w:r>
      <w:r w:rsidRPr="00F41E78">
        <w:rPr>
          <w:rFonts w:cs="FrankRuehl"/>
          <w:sz w:val="18"/>
          <w:szCs w:val="22"/>
          <w:rtl/>
          <w:lang w:eastAsia="he-IL"/>
        </w:rPr>
        <w:t xml:space="preserve"> הפנים </w:t>
      </w:r>
      <w:r w:rsidRPr="00F41E78">
        <w:rPr>
          <w:rFonts w:cs="FrankRuehl" w:hint="eastAsia"/>
          <w:sz w:val="18"/>
          <w:szCs w:val="22"/>
          <w:rtl/>
          <w:lang w:eastAsia="he-IL"/>
        </w:rPr>
        <w:t>כי</w:t>
      </w:r>
      <w:r w:rsidRPr="00F41E78">
        <w:rPr>
          <w:rFonts w:cs="FrankRuehl"/>
          <w:sz w:val="18"/>
          <w:szCs w:val="22"/>
          <w:rtl/>
          <w:lang w:eastAsia="he-IL"/>
        </w:rPr>
        <w:t xml:space="preserve"> </w:t>
      </w:r>
      <w:r w:rsidRPr="00F41E78">
        <w:rPr>
          <w:rFonts w:cs="FrankRuehl" w:hint="eastAsia"/>
          <w:sz w:val="18"/>
          <w:szCs w:val="22"/>
          <w:rtl/>
          <w:lang w:eastAsia="he-IL"/>
        </w:rPr>
        <w:t>במהלך</w:t>
      </w:r>
      <w:r w:rsidRPr="00F41E78">
        <w:rPr>
          <w:rFonts w:cs="FrankRuehl"/>
          <w:sz w:val="18"/>
          <w:szCs w:val="22"/>
          <w:rtl/>
          <w:lang w:eastAsia="he-IL"/>
        </w:rPr>
        <w:t xml:space="preserve"> 2013 </w:t>
      </w:r>
      <w:r w:rsidRPr="00F41E78">
        <w:rPr>
          <w:rFonts w:cs="FrankRuehl" w:hint="eastAsia"/>
          <w:sz w:val="18"/>
          <w:szCs w:val="22"/>
          <w:rtl/>
          <w:lang w:eastAsia="he-IL"/>
        </w:rPr>
        <w:t>אישר</w:t>
      </w:r>
      <w:r w:rsidRPr="00F41E78">
        <w:rPr>
          <w:rFonts w:cs="FrankRuehl"/>
          <w:sz w:val="18"/>
          <w:szCs w:val="22"/>
          <w:rtl/>
          <w:lang w:eastAsia="he-IL"/>
        </w:rPr>
        <w:t xml:space="preserve"> </w:t>
      </w:r>
      <w:r w:rsidRPr="00F41E78">
        <w:rPr>
          <w:rFonts w:cs="FrankRuehl" w:hint="eastAsia"/>
          <w:sz w:val="18"/>
          <w:szCs w:val="22"/>
          <w:rtl/>
          <w:lang w:eastAsia="he-IL"/>
        </w:rPr>
        <w:t>משרד</w:t>
      </w:r>
      <w:r w:rsidRPr="00F41E78">
        <w:rPr>
          <w:rFonts w:cs="FrankRuehl"/>
          <w:sz w:val="18"/>
          <w:szCs w:val="22"/>
          <w:rtl/>
          <w:lang w:eastAsia="he-IL"/>
        </w:rPr>
        <w:t xml:space="preserve"> </w:t>
      </w:r>
      <w:r w:rsidRPr="00F41E78">
        <w:rPr>
          <w:rFonts w:cs="FrankRuehl" w:hint="eastAsia"/>
          <w:sz w:val="18"/>
          <w:szCs w:val="22"/>
          <w:rtl/>
          <w:lang w:eastAsia="he-IL"/>
        </w:rPr>
        <w:t>הפנים</w:t>
      </w:r>
      <w:r w:rsidRPr="00F41E78">
        <w:rPr>
          <w:rFonts w:cs="FrankRuehl"/>
          <w:sz w:val="18"/>
          <w:szCs w:val="22"/>
          <w:rtl/>
          <w:lang w:eastAsia="he-IL"/>
        </w:rPr>
        <w:t xml:space="preserve"> </w:t>
      </w:r>
      <w:r w:rsidRPr="00F41E78">
        <w:rPr>
          <w:rFonts w:cs="FrankRuehl" w:hint="eastAsia"/>
          <w:sz w:val="18"/>
          <w:szCs w:val="22"/>
          <w:rtl/>
          <w:lang w:eastAsia="he-IL"/>
        </w:rPr>
        <w:t>כ</w:t>
      </w:r>
      <w:r w:rsidRPr="00F41E78">
        <w:rPr>
          <w:rFonts w:cs="FrankRuehl"/>
          <w:sz w:val="18"/>
          <w:szCs w:val="22"/>
          <w:rtl/>
          <w:lang w:eastAsia="he-IL"/>
        </w:rPr>
        <w:t xml:space="preserve">-80,000 </w:t>
      </w:r>
      <w:r w:rsidRPr="00F41E78">
        <w:rPr>
          <w:rFonts w:cs="FrankRuehl" w:hint="eastAsia"/>
          <w:sz w:val="18"/>
          <w:szCs w:val="22"/>
          <w:rtl/>
          <w:lang w:eastAsia="he-IL"/>
        </w:rPr>
        <w:t>יח</w:t>
      </w:r>
      <w:r w:rsidRPr="00F41E78">
        <w:rPr>
          <w:rFonts w:cs="FrankRuehl"/>
          <w:sz w:val="18"/>
          <w:szCs w:val="22"/>
          <w:rtl/>
          <w:lang w:eastAsia="he-IL"/>
        </w:rPr>
        <w:t xml:space="preserve">"ד - </w:t>
      </w:r>
      <w:r w:rsidRPr="00F41E78">
        <w:rPr>
          <w:rFonts w:cs="FrankRuehl" w:hint="eastAsia"/>
          <w:sz w:val="18"/>
          <w:szCs w:val="22"/>
          <w:rtl/>
          <w:lang w:eastAsia="he-IL"/>
        </w:rPr>
        <w:t>מספר</w:t>
      </w:r>
      <w:r w:rsidRPr="00F41E78">
        <w:rPr>
          <w:rFonts w:cs="FrankRuehl"/>
          <w:sz w:val="18"/>
          <w:szCs w:val="22"/>
          <w:rtl/>
          <w:lang w:eastAsia="he-IL"/>
        </w:rPr>
        <w:t xml:space="preserve"> </w:t>
      </w:r>
      <w:r w:rsidRPr="00F41E78">
        <w:rPr>
          <w:rFonts w:cs="FrankRuehl" w:hint="cs"/>
          <w:sz w:val="18"/>
          <w:szCs w:val="22"/>
          <w:rtl/>
          <w:lang w:eastAsia="he-IL"/>
        </w:rPr>
        <w:t>ה</w:t>
      </w:r>
      <w:r w:rsidRPr="00F41E78">
        <w:rPr>
          <w:rFonts w:cs="FrankRuehl" w:hint="eastAsia"/>
          <w:sz w:val="18"/>
          <w:szCs w:val="22"/>
          <w:rtl/>
          <w:lang w:eastAsia="he-IL"/>
        </w:rPr>
        <w:t>גדול</w:t>
      </w:r>
      <w:r w:rsidRPr="00F41E78">
        <w:rPr>
          <w:rFonts w:cs="FrankRuehl"/>
          <w:sz w:val="18"/>
          <w:szCs w:val="22"/>
          <w:rtl/>
          <w:lang w:eastAsia="he-IL"/>
        </w:rPr>
        <w:t xml:space="preserve"> </w:t>
      </w:r>
      <w:r w:rsidRPr="00F41E78">
        <w:rPr>
          <w:rFonts w:cs="FrankRuehl" w:hint="cs"/>
          <w:sz w:val="18"/>
          <w:szCs w:val="22"/>
          <w:rtl/>
          <w:lang w:eastAsia="he-IL"/>
        </w:rPr>
        <w:t>באופן ניכר</w:t>
      </w:r>
      <w:r w:rsidRPr="00F41E78">
        <w:rPr>
          <w:rFonts w:cs="FrankRuehl"/>
          <w:sz w:val="18"/>
          <w:szCs w:val="22"/>
          <w:rtl/>
          <w:lang w:eastAsia="he-IL"/>
        </w:rPr>
        <w:t xml:space="preserve"> </w:t>
      </w:r>
      <w:r w:rsidRPr="00F41E78">
        <w:rPr>
          <w:rFonts w:cs="FrankRuehl" w:hint="cs"/>
          <w:sz w:val="18"/>
          <w:szCs w:val="22"/>
          <w:rtl/>
          <w:lang w:eastAsia="he-IL"/>
        </w:rPr>
        <w:t>מהנקוב</w:t>
      </w:r>
      <w:r w:rsidRPr="00F41E78">
        <w:rPr>
          <w:rFonts w:cs="FrankRuehl"/>
          <w:sz w:val="18"/>
          <w:szCs w:val="22"/>
          <w:rtl/>
          <w:lang w:eastAsia="he-IL"/>
        </w:rPr>
        <w:t xml:space="preserve"> </w:t>
      </w:r>
      <w:r w:rsidRPr="00F41E78">
        <w:rPr>
          <w:rFonts w:cs="FrankRuehl" w:hint="eastAsia"/>
          <w:sz w:val="18"/>
          <w:szCs w:val="22"/>
          <w:rtl/>
          <w:lang w:eastAsia="he-IL"/>
        </w:rPr>
        <w:t>ביעדי</w:t>
      </w:r>
      <w:r w:rsidRPr="00F41E78">
        <w:rPr>
          <w:rFonts w:cs="FrankRuehl"/>
          <w:sz w:val="18"/>
          <w:szCs w:val="22"/>
          <w:rtl/>
          <w:lang w:eastAsia="he-IL"/>
        </w:rPr>
        <w:t xml:space="preserve"> </w:t>
      </w:r>
      <w:r w:rsidRPr="00F41E78">
        <w:rPr>
          <w:rFonts w:cs="FrankRuehl" w:hint="eastAsia"/>
          <w:sz w:val="18"/>
          <w:szCs w:val="22"/>
          <w:rtl/>
          <w:lang w:eastAsia="he-IL"/>
        </w:rPr>
        <w:t>הממשלה</w:t>
      </w:r>
      <w:r w:rsidRPr="00F41E78">
        <w:rPr>
          <w:rFonts w:cs="FrankRuehl"/>
          <w:sz w:val="18"/>
          <w:szCs w:val="22"/>
          <w:rtl/>
          <w:lang w:eastAsia="he-IL"/>
        </w:rPr>
        <w:t>.</w:t>
      </w:r>
    </w:p>
    <w:p w:rsidR="00E97EDA" w:rsidRPr="00CB33CD" w:rsidP="00A7557B">
      <w:pPr>
        <w:pStyle w:val="KOT5"/>
        <w:rPr>
          <w:rtl/>
          <w:lang w:eastAsia="he-IL"/>
        </w:rPr>
      </w:pPr>
      <w:r w:rsidRPr="00CB33CD">
        <w:rPr>
          <w:rFonts w:hint="cs"/>
          <w:rtl/>
          <w:lang w:eastAsia="he-IL"/>
        </w:rPr>
        <w:t xml:space="preserve">עתודות למלאי התכנוני </w:t>
      </w:r>
    </w:p>
    <w:p w:rsidR="00E97EDA" w:rsidRPr="00F41E78" w:rsidP="00051B9A">
      <w:pPr>
        <w:spacing w:after="240" w:line="230" w:lineRule="exact"/>
        <w:jc w:val="both"/>
        <w:rPr>
          <w:rFonts w:cs="FrankRuehl"/>
          <w:sz w:val="18"/>
          <w:szCs w:val="22"/>
          <w:rtl/>
          <w:lang w:eastAsia="he-IL"/>
        </w:rPr>
      </w:pPr>
      <w:r w:rsidRPr="00F41E78">
        <w:rPr>
          <w:rFonts w:cs="FrankRuehl" w:hint="cs"/>
          <w:sz w:val="18"/>
          <w:szCs w:val="22"/>
          <w:rtl/>
          <w:lang w:eastAsia="he-IL"/>
        </w:rPr>
        <w:t xml:space="preserve">בביקורת נמצא כי כדי להתמיד בהשגת יעדי הממשלה לאישור תכניות למגורים גם בשנים </w:t>
      </w:r>
      <w:r w:rsidR="00051B9A">
        <w:rPr>
          <w:rFonts w:cs="FrankRuehl"/>
          <w:sz w:val="18"/>
          <w:szCs w:val="22"/>
          <w:lang w:eastAsia="he-IL"/>
        </w:rPr>
        <w:br/>
      </w:r>
      <w:r w:rsidRPr="00F41E78">
        <w:rPr>
          <w:rFonts w:cs="FrankRuehl" w:hint="cs"/>
          <w:sz w:val="18"/>
          <w:szCs w:val="22"/>
          <w:rtl/>
          <w:lang w:eastAsia="he-IL"/>
        </w:rPr>
        <w:t xml:space="preserve">2014-2013, גיבש מינהל התכנון (במהלך השנים 2013-2012) תכניות עבודה, בשיתוף עם לשכות התכנון. מדי רבעון המינהל בודק אם היעדים מושגים ולפי הממצאים הוא עושה את ההתאמות הנדרשות בתכניות העבודה. תכניות העבודה האלו מאפשרות לו להתמקד בתכניות מפורטות גדולות שהסיכוי לאשרן גבוה. </w:t>
      </w:r>
    </w:p>
    <w:p w:rsidR="00D22B16" w:rsidRPr="00F41E78" w:rsidP="00D22B16">
      <w:pPr>
        <w:pStyle w:val="RESHET"/>
        <w:keepLines/>
        <w:rPr>
          <w:rtl/>
        </w:rPr>
      </w:pPr>
      <w:r w:rsidRPr="00F41E78">
        <w:rPr>
          <w:rFonts w:hint="cs"/>
          <w:rtl/>
        </w:rPr>
        <w:t xml:space="preserve">הכנת תכניות עבודה מתואמות עם המחוזות ובקרה עליהן הן פעילות מבורכת העשויה לתרום לניהול יעיל של כוח אדם ושל משאבים. אולם לדעת משרד מבקר המדינה, ראוי לשלב בגיבוש תכניות כאלו שיקולים נוספים מלבד הצורך לעמוד ביעדים הכמותיים. יש לקבוע את סדרי העדיפות לקידום התכניות המפורטות גם לפי שיקולים מוניציפליים ומתוך תפיסה מקיפה של הצרכים לטווח הארוך. </w:t>
      </w:r>
    </w:p>
    <w:p w:rsidR="00E97EDA" w:rsidRPr="00F41E78" w:rsidP="00051B9A">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בין היתר גיבש מינהל התכנון, בתיאום עם רמ"י ועם משרד האוצר, תכנית עבודה לליווי קידומן של תכניות מפורטות גדולות. בתכנית האמורה כלולות כ-55,000 יח"ד שקשה לאשרן במוסדות התכנון בשל גורמים שונים, ובעיקר בשל הצורך בפיתוח תשתיות ביוב ותחבורה.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משרד מבקר המדינה בדק את מספר יחידות הדיור בתכניות מפורטות המצויות בהליכי תכנון. להלן הנתונים, לפי מחוזות ולפי השלב שבו מצויות התכניות המפורטות (נכון לאפריל 2013):</w:t>
      </w:r>
    </w:p>
    <w:p w:rsidR="00E97EDA" w:rsidRPr="00A72050" w:rsidP="00051B9A">
      <w:pPr>
        <w:pStyle w:val="tab-name"/>
        <w:rPr>
          <w:rtl/>
          <w:lang w:eastAsia="he-IL"/>
        </w:rPr>
      </w:pPr>
      <w:r w:rsidRPr="00051B9A">
        <w:rPr>
          <w:rFonts w:hint="cs"/>
          <w:b w:val="0"/>
          <w:bCs w:val="0"/>
          <w:sz w:val="20"/>
          <w:szCs w:val="20"/>
          <w:rtl/>
          <w:lang w:eastAsia="he-IL"/>
        </w:rPr>
        <w:t xml:space="preserve">לוח </w:t>
      </w:r>
      <w:r w:rsidRPr="00051B9A" w:rsidR="00051B9A">
        <w:rPr>
          <w:rFonts w:hint="cs"/>
          <w:b w:val="0"/>
          <w:bCs w:val="0"/>
          <w:sz w:val="20"/>
          <w:szCs w:val="20"/>
          <w:rtl/>
          <w:lang w:eastAsia="he-IL"/>
        </w:rPr>
        <w:t xml:space="preserve">4 </w:t>
      </w:r>
      <w:r w:rsidRPr="00051B9A" w:rsidR="00051B9A">
        <w:rPr>
          <w:b w:val="0"/>
          <w:bCs w:val="0"/>
          <w:sz w:val="20"/>
          <w:szCs w:val="20"/>
          <w:lang w:eastAsia="he-IL"/>
        </w:rPr>
        <w:br/>
      </w:r>
      <w:r w:rsidRPr="00A72050">
        <w:rPr>
          <w:rFonts w:hint="cs"/>
          <w:rtl/>
          <w:lang w:eastAsia="he-IL"/>
        </w:rPr>
        <w:t xml:space="preserve">יח"ד בהליכי תכנון </w:t>
      </w:r>
      <w:r w:rsidR="00F7366E">
        <w:rPr>
          <w:rFonts w:hint="cs"/>
          <w:rtl/>
          <w:lang w:eastAsia="he-IL"/>
        </w:rPr>
        <w:t xml:space="preserve">מפורט </w:t>
      </w:r>
      <w:r w:rsidRPr="00A72050">
        <w:rPr>
          <w:rFonts w:hint="cs"/>
          <w:rtl/>
          <w:lang w:eastAsia="he-IL"/>
        </w:rPr>
        <w:t>בוועדות המחוזיות, לפי מחוזות, אפריל 2013</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ayout w:type="fixed"/>
        <w:tblCellMar>
          <w:left w:w="57" w:type="dxa"/>
          <w:right w:w="57" w:type="dxa"/>
        </w:tblCellMar>
        <w:tblLook w:val="0000"/>
      </w:tblPr>
      <w:tblGrid>
        <w:gridCol w:w="675"/>
        <w:gridCol w:w="762"/>
        <w:gridCol w:w="756"/>
        <w:gridCol w:w="757"/>
        <w:gridCol w:w="653"/>
        <w:gridCol w:w="859"/>
        <w:gridCol w:w="750"/>
        <w:gridCol w:w="742"/>
        <w:gridCol w:w="737"/>
      </w:tblGrid>
      <w:tr w:rsidTr="00051B9A">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ayout w:type="fixed"/>
          <w:tblCellMar>
            <w:left w:w="57" w:type="dxa"/>
            <w:right w:w="57" w:type="dxa"/>
          </w:tblCellMar>
          <w:tblLook w:val="0000"/>
        </w:tblPrEx>
        <w:trPr>
          <w:jc w:val="center"/>
        </w:trPr>
        <w:tc>
          <w:tcPr>
            <w:tcW w:w="881" w:type="dxa"/>
            <w:tcBorders>
              <w:top w:val="single" w:sz="12" w:space="0" w:color="auto"/>
              <w:bottom w:val="single" w:sz="12"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hint="cs"/>
                <w:b/>
                <w:bCs/>
                <w:sz w:val="20"/>
                <w:szCs w:val="20"/>
                <w:rtl/>
              </w:rPr>
              <w:t>מחוז</w:t>
            </w:r>
          </w:p>
        </w:tc>
        <w:tc>
          <w:tcPr>
            <w:tcW w:w="1000" w:type="dxa"/>
            <w:tcBorders>
              <w:top w:val="single" w:sz="12" w:space="0" w:color="auto"/>
              <w:bottom w:val="single" w:sz="12"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hint="cs"/>
                <w:b/>
                <w:bCs/>
                <w:sz w:val="20"/>
                <w:szCs w:val="20"/>
                <w:rtl/>
              </w:rPr>
              <w:t xml:space="preserve">בהמתנה </w:t>
            </w:r>
            <w:r w:rsidR="00051B9A">
              <w:rPr>
                <w:rFonts w:ascii="FrankRuehl" w:hAnsi="FrankRuehl" w:cs="FrankRuehl"/>
                <w:b/>
                <w:bCs/>
                <w:sz w:val="20"/>
                <w:szCs w:val="20"/>
              </w:rPr>
              <w:br/>
            </w:r>
            <w:r w:rsidRPr="00051B9A">
              <w:rPr>
                <w:rFonts w:ascii="FrankRuehl" w:hAnsi="FrankRuehl" w:cs="FrankRuehl"/>
                <w:b/>
                <w:bCs/>
                <w:sz w:val="20"/>
                <w:szCs w:val="20"/>
                <w:rtl/>
              </w:rPr>
              <w:t xml:space="preserve">לבדיקת </w:t>
            </w:r>
            <w:r w:rsidR="00051B9A">
              <w:rPr>
                <w:rFonts w:ascii="FrankRuehl" w:hAnsi="FrankRuehl" w:cs="FrankRuehl"/>
                <w:b/>
                <w:bCs/>
                <w:sz w:val="20"/>
                <w:szCs w:val="20"/>
              </w:rPr>
              <w:br/>
            </w:r>
            <w:r w:rsidRPr="00051B9A">
              <w:rPr>
                <w:rFonts w:ascii="FrankRuehl" w:hAnsi="FrankRuehl" w:cs="FrankRuehl"/>
                <w:b/>
                <w:bCs/>
                <w:sz w:val="20"/>
                <w:szCs w:val="20"/>
                <w:rtl/>
              </w:rPr>
              <w:t>תנאי סף</w:t>
            </w:r>
          </w:p>
        </w:tc>
        <w:tc>
          <w:tcPr>
            <w:tcW w:w="992" w:type="dxa"/>
            <w:tcBorders>
              <w:top w:val="single" w:sz="12" w:space="0" w:color="auto"/>
              <w:bottom w:val="single" w:sz="12"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hint="cs"/>
                <w:b/>
                <w:bCs/>
                <w:sz w:val="20"/>
                <w:szCs w:val="20"/>
                <w:rtl/>
              </w:rPr>
              <w:t xml:space="preserve">בהמתנה </w:t>
            </w:r>
            <w:r w:rsidR="00051B9A">
              <w:rPr>
                <w:rFonts w:ascii="FrankRuehl" w:hAnsi="FrankRuehl" w:cs="FrankRuehl"/>
                <w:b/>
                <w:bCs/>
                <w:sz w:val="20"/>
                <w:szCs w:val="20"/>
              </w:rPr>
              <w:br/>
            </w:r>
            <w:r w:rsidRPr="00051B9A">
              <w:rPr>
                <w:rFonts w:ascii="FrankRuehl" w:hAnsi="FrankRuehl" w:cs="FrankRuehl"/>
                <w:b/>
                <w:bCs/>
                <w:sz w:val="20"/>
                <w:szCs w:val="20"/>
                <w:rtl/>
              </w:rPr>
              <w:t xml:space="preserve">להחלטה </w:t>
            </w:r>
            <w:r w:rsidR="00051B9A">
              <w:rPr>
                <w:rFonts w:ascii="FrankRuehl" w:hAnsi="FrankRuehl" w:cs="FrankRuehl"/>
                <w:b/>
                <w:bCs/>
                <w:sz w:val="20"/>
                <w:szCs w:val="20"/>
              </w:rPr>
              <w:br/>
            </w:r>
            <w:r w:rsidRPr="00051B9A">
              <w:rPr>
                <w:rFonts w:ascii="FrankRuehl" w:hAnsi="FrankRuehl" w:cs="FrankRuehl" w:hint="cs"/>
                <w:b/>
                <w:bCs/>
                <w:sz w:val="20"/>
                <w:szCs w:val="20"/>
                <w:rtl/>
              </w:rPr>
              <w:t xml:space="preserve">בדבר </w:t>
            </w:r>
            <w:r w:rsidR="00051B9A">
              <w:rPr>
                <w:rFonts w:ascii="FrankRuehl" w:hAnsi="FrankRuehl" w:cs="FrankRuehl"/>
                <w:b/>
                <w:bCs/>
                <w:sz w:val="20"/>
                <w:szCs w:val="20"/>
              </w:rPr>
              <w:br/>
            </w:r>
            <w:r w:rsidRPr="00051B9A">
              <w:rPr>
                <w:rFonts w:ascii="FrankRuehl" w:hAnsi="FrankRuehl" w:cs="FrankRuehl"/>
                <w:b/>
                <w:bCs/>
                <w:sz w:val="20"/>
                <w:szCs w:val="20"/>
                <w:rtl/>
              </w:rPr>
              <w:t>הפקדה</w:t>
            </w:r>
          </w:p>
        </w:tc>
        <w:tc>
          <w:tcPr>
            <w:tcW w:w="993" w:type="dxa"/>
            <w:tcBorders>
              <w:top w:val="single" w:sz="12" w:space="0" w:color="auto"/>
              <w:bottom w:val="single" w:sz="12"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hint="cs"/>
                <w:b/>
                <w:bCs/>
                <w:sz w:val="20"/>
                <w:szCs w:val="20"/>
                <w:rtl/>
              </w:rPr>
              <w:t xml:space="preserve">בהמתנה </w:t>
            </w:r>
            <w:r w:rsidR="00051B9A">
              <w:rPr>
                <w:rFonts w:ascii="FrankRuehl" w:hAnsi="FrankRuehl" w:cs="FrankRuehl"/>
                <w:b/>
                <w:bCs/>
                <w:sz w:val="20"/>
                <w:szCs w:val="20"/>
              </w:rPr>
              <w:br/>
            </w:r>
            <w:r w:rsidRPr="00051B9A">
              <w:rPr>
                <w:rFonts w:ascii="FrankRuehl" w:hAnsi="FrankRuehl" w:cs="FrankRuehl"/>
                <w:b/>
                <w:bCs/>
                <w:sz w:val="20"/>
                <w:szCs w:val="20"/>
                <w:rtl/>
              </w:rPr>
              <w:t xml:space="preserve">לפרסום </w:t>
            </w:r>
            <w:r w:rsidR="00051B9A">
              <w:rPr>
                <w:rFonts w:ascii="FrankRuehl" w:hAnsi="FrankRuehl" w:cs="FrankRuehl"/>
                <w:b/>
                <w:bCs/>
                <w:sz w:val="20"/>
                <w:szCs w:val="20"/>
              </w:rPr>
              <w:br/>
            </w:r>
            <w:r w:rsidRPr="00051B9A">
              <w:rPr>
                <w:rFonts w:ascii="FrankRuehl" w:hAnsi="FrankRuehl" w:cs="FrankRuehl" w:hint="cs"/>
                <w:b/>
                <w:bCs/>
                <w:sz w:val="20"/>
                <w:szCs w:val="20"/>
                <w:rtl/>
              </w:rPr>
              <w:t>ה</w:t>
            </w:r>
            <w:r w:rsidRPr="00051B9A">
              <w:rPr>
                <w:rFonts w:ascii="FrankRuehl" w:hAnsi="FrankRuehl" w:cs="FrankRuehl"/>
                <w:b/>
                <w:bCs/>
                <w:sz w:val="20"/>
                <w:szCs w:val="20"/>
                <w:rtl/>
              </w:rPr>
              <w:t>הפקדה</w:t>
            </w:r>
          </w:p>
        </w:tc>
        <w:tc>
          <w:tcPr>
            <w:tcW w:w="850" w:type="dxa"/>
            <w:tcBorders>
              <w:top w:val="single" w:sz="12" w:space="0" w:color="auto"/>
              <w:bottom w:val="single" w:sz="12"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b/>
                <w:bCs/>
                <w:sz w:val="20"/>
                <w:szCs w:val="20"/>
                <w:rtl/>
              </w:rPr>
              <w:t xml:space="preserve">בהליך </w:t>
            </w:r>
            <w:r w:rsidR="00051B9A">
              <w:rPr>
                <w:rFonts w:ascii="FrankRuehl" w:hAnsi="FrankRuehl" w:cs="FrankRuehl"/>
                <w:b/>
                <w:bCs/>
                <w:sz w:val="20"/>
                <w:szCs w:val="20"/>
              </w:rPr>
              <w:br/>
            </w:r>
            <w:r w:rsidRPr="00051B9A">
              <w:rPr>
                <w:rFonts w:ascii="FrankRuehl" w:hAnsi="FrankRuehl" w:cs="FrankRuehl"/>
                <w:b/>
                <w:bCs/>
                <w:sz w:val="20"/>
                <w:szCs w:val="20"/>
                <w:rtl/>
              </w:rPr>
              <w:t>הפקדה</w:t>
            </w:r>
          </w:p>
        </w:tc>
        <w:tc>
          <w:tcPr>
            <w:tcW w:w="1134" w:type="dxa"/>
            <w:tcBorders>
              <w:top w:val="single" w:sz="12" w:space="0" w:color="auto"/>
              <w:bottom w:val="single" w:sz="12"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hint="cs"/>
                <w:b/>
                <w:bCs/>
                <w:sz w:val="20"/>
                <w:szCs w:val="20"/>
                <w:rtl/>
              </w:rPr>
              <w:t>ב</w:t>
            </w:r>
            <w:r w:rsidRPr="00051B9A">
              <w:rPr>
                <w:rFonts w:ascii="FrankRuehl" w:hAnsi="FrankRuehl" w:cs="FrankRuehl"/>
                <w:b/>
                <w:bCs/>
                <w:sz w:val="20"/>
                <w:szCs w:val="20"/>
                <w:rtl/>
              </w:rPr>
              <w:t xml:space="preserve">התנגדויות </w:t>
            </w:r>
            <w:r w:rsidR="00051B9A">
              <w:rPr>
                <w:rFonts w:ascii="FrankRuehl" w:hAnsi="FrankRuehl" w:cs="FrankRuehl"/>
                <w:b/>
                <w:bCs/>
                <w:sz w:val="20"/>
                <w:szCs w:val="20"/>
              </w:rPr>
              <w:br/>
            </w:r>
            <w:r w:rsidRPr="00051B9A">
              <w:rPr>
                <w:rFonts w:ascii="FrankRuehl" w:hAnsi="FrankRuehl" w:cs="FrankRuehl"/>
                <w:b/>
                <w:bCs/>
                <w:sz w:val="20"/>
                <w:szCs w:val="20"/>
                <w:rtl/>
              </w:rPr>
              <w:t xml:space="preserve">או לפני </w:t>
            </w:r>
            <w:r w:rsidR="00051B9A">
              <w:rPr>
                <w:rFonts w:ascii="FrankRuehl" w:hAnsi="FrankRuehl" w:cs="FrankRuehl"/>
                <w:b/>
                <w:bCs/>
                <w:sz w:val="20"/>
                <w:szCs w:val="20"/>
              </w:rPr>
              <w:br/>
            </w:r>
            <w:r w:rsidRPr="00051B9A">
              <w:rPr>
                <w:rFonts w:ascii="FrankRuehl" w:hAnsi="FrankRuehl" w:cs="FrankRuehl"/>
                <w:b/>
                <w:bCs/>
                <w:sz w:val="20"/>
                <w:szCs w:val="20"/>
                <w:rtl/>
              </w:rPr>
              <w:t>אישור</w:t>
            </w:r>
          </w:p>
        </w:tc>
        <w:tc>
          <w:tcPr>
            <w:tcW w:w="983" w:type="dxa"/>
            <w:tcBorders>
              <w:top w:val="single" w:sz="12" w:space="0" w:color="auto"/>
              <w:bottom w:val="single" w:sz="12"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b/>
                <w:bCs/>
                <w:sz w:val="20"/>
                <w:szCs w:val="20"/>
                <w:rtl/>
              </w:rPr>
              <w:t xml:space="preserve">בהליך </w:t>
            </w:r>
            <w:r w:rsidR="00051B9A">
              <w:rPr>
                <w:rFonts w:ascii="FrankRuehl" w:hAnsi="FrankRuehl" w:cs="FrankRuehl"/>
                <w:b/>
                <w:bCs/>
                <w:sz w:val="20"/>
                <w:szCs w:val="20"/>
              </w:rPr>
              <w:br/>
            </w:r>
            <w:r w:rsidRPr="00051B9A">
              <w:rPr>
                <w:rFonts w:ascii="FrankRuehl" w:hAnsi="FrankRuehl" w:cs="FrankRuehl"/>
                <w:b/>
                <w:bCs/>
                <w:sz w:val="20"/>
                <w:szCs w:val="20"/>
                <w:rtl/>
              </w:rPr>
              <w:t>אישור</w:t>
            </w:r>
          </w:p>
        </w:tc>
        <w:tc>
          <w:tcPr>
            <w:tcW w:w="972" w:type="dxa"/>
            <w:tcBorders>
              <w:top w:val="single" w:sz="12" w:space="0" w:color="auto"/>
              <w:bottom w:val="single" w:sz="12"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hint="cs"/>
                <w:b/>
                <w:bCs/>
                <w:sz w:val="20"/>
                <w:szCs w:val="20"/>
                <w:rtl/>
              </w:rPr>
              <w:t xml:space="preserve">בהמתנה </w:t>
            </w:r>
            <w:r w:rsidR="00051B9A">
              <w:rPr>
                <w:rFonts w:ascii="FrankRuehl" w:hAnsi="FrankRuehl" w:cs="FrankRuehl"/>
                <w:b/>
                <w:bCs/>
                <w:sz w:val="20"/>
                <w:szCs w:val="20"/>
              </w:rPr>
              <w:br/>
            </w:r>
            <w:r w:rsidRPr="00051B9A">
              <w:rPr>
                <w:rFonts w:ascii="FrankRuehl" w:hAnsi="FrankRuehl" w:cs="FrankRuehl"/>
                <w:b/>
                <w:bCs/>
                <w:sz w:val="20"/>
                <w:szCs w:val="20"/>
                <w:rtl/>
              </w:rPr>
              <w:t xml:space="preserve">לפרסום </w:t>
            </w:r>
            <w:r w:rsidR="00051B9A">
              <w:rPr>
                <w:rFonts w:ascii="FrankRuehl" w:hAnsi="FrankRuehl" w:cs="FrankRuehl"/>
                <w:b/>
                <w:bCs/>
                <w:sz w:val="20"/>
                <w:szCs w:val="20"/>
              </w:rPr>
              <w:br/>
            </w:r>
            <w:r w:rsidRPr="00051B9A">
              <w:rPr>
                <w:rFonts w:ascii="FrankRuehl" w:hAnsi="FrankRuehl" w:cs="FrankRuehl" w:hint="cs"/>
                <w:b/>
                <w:bCs/>
                <w:sz w:val="20"/>
                <w:szCs w:val="20"/>
                <w:rtl/>
              </w:rPr>
              <w:t>ה</w:t>
            </w:r>
            <w:r w:rsidRPr="00051B9A">
              <w:rPr>
                <w:rFonts w:ascii="FrankRuehl" w:hAnsi="FrankRuehl" w:cs="FrankRuehl"/>
                <w:b/>
                <w:bCs/>
                <w:sz w:val="20"/>
                <w:szCs w:val="20"/>
                <w:rtl/>
              </w:rPr>
              <w:t xml:space="preserve">אישור </w:t>
            </w:r>
            <w:r w:rsidR="00051B9A">
              <w:rPr>
                <w:rFonts w:ascii="FrankRuehl" w:hAnsi="FrankRuehl" w:cs="FrankRuehl"/>
                <w:b/>
                <w:bCs/>
                <w:sz w:val="20"/>
                <w:szCs w:val="20"/>
              </w:rPr>
              <w:br/>
            </w:r>
            <w:r w:rsidRPr="00051B9A">
              <w:rPr>
                <w:rFonts w:ascii="FrankRuehl" w:hAnsi="FrankRuehl" w:cs="FrankRuehl"/>
                <w:b/>
                <w:bCs/>
                <w:sz w:val="20"/>
                <w:szCs w:val="20"/>
                <w:rtl/>
              </w:rPr>
              <w:t>ברשומות</w:t>
            </w:r>
          </w:p>
        </w:tc>
        <w:tc>
          <w:tcPr>
            <w:tcW w:w="966" w:type="dxa"/>
            <w:tcBorders>
              <w:top w:val="single" w:sz="12" w:space="0" w:color="auto"/>
              <w:bottom w:val="single" w:sz="12" w:space="0" w:color="auto"/>
            </w:tcBorders>
            <w:shd w:val="pct10" w:color="auto" w:fill="auto"/>
            <w:vAlign w:val="bottom"/>
          </w:tcPr>
          <w:p w:rsidR="00E97EDA" w:rsidRPr="00051B9A" w:rsidP="00051B9A">
            <w:pPr>
              <w:jc w:val="center"/>
              <w:rPr>
                <w:rFonts w:ascii="FrankRuehl" w:hAnsi="FrankRuehl" w:cs="FrankRuehl"/>
                <w:b/>
                <w:bCs/>
                <w:sz w:val="20"/>
                <w:szCs w:val="20"/>
              </w:rPr>
            </w:pPr>
            <w:r w:rsidRPr="00051B9A">
              <w:rPr>
                <w:rFonts w:ascii="FrankRuehl" w:hAnsi="FrankRuehl" w:cs="FrankRuehl"/>
                <w:b/>
                <w:bCs/>
                <w:sz w:val="20"/>
                <w:szCs w:val="20"/>
                <w:rtl/>
              </w:rPr>
              <w:t>ס</w:t>
            </w:r>
            <w:r w:rsidRPr="00051B9A">
              <w:rPr>
                <w:rFonts w:ascii="FrankRuehl" w:hAnsi="FrankRuehl" w:cs="FrankRuehl" w:hint="cs"/>
                <w:b/>
                <w:bCs/>
                <w:sz w:val="20"/>
                <w:szCs w:val="20"/>
                <w:rtl/>
              </w:rPr>
              <w:t>י</w:t>
            </w:r>
            <w:r w:rsidRPr="00051B9A">
              <w:rPr>
                <w:rFonts w:ascii="FrankRuehl" w:hAnsi="FrankRuehl" w:cs="FrankRuehl"/>
                <w:b/>
                <w:bCs/>
                <w:sz w:val="20"/>
                <w:szCs w:val="20"/>
                <w:rtl/>
              </w:rPr>
              <w:t xml:space="preserve">כום </w:t>
            </w:r>
            <w:r w:rsidR="00051B9A">
              <w:rPr>
                <w:rFonts w:ascii="FrankRuehl" w:hAnsi="FrankRuehl" w:cs="FrankRuehl"/>
                <w:b/>
                <w:bCs/>
                <w:sz w:val="20"/>
                <w:szCs w:val="20"/>
              </w:rPr>
              <w:br/>
            </w:r>
            <w:r w:rsidRPr="00051B9A">
              <w:rPr>
                <w:rFonts w:ascii="FrankRuehl" w:hAnsi="FrankRuehl" w:cs="FrankRuehl"/>
                <w:b/>
                <w:bCs/>
                <w:sz w:val="20"/>
                <w:szCs w:val="20"/>
                <w:rtl/>
              </w:rPr>
              <w:t>כולל</w:t>
            </w:r>
          </w:p>
        </w:tc>
      </w:tr>
      <w:tr w:rsidTr="00051B9A">
        <w:tblPrEx>
          <w:tblW w:w="6691" w:type="dxa"/>
          <w:jc w:val="center"/>
          <w:tblLayout w:type="fixed"/>
          <w:tblCellMar>
            <w:left w:w="57" w:type="dxa"/>
            <w:right w:w="57" w:type="dxa"/>
          </w:tblCellMar>
          <w:tblLook w:val="0000"/>
        </w:tblPrEx>
        <w:trPr>
          <w:jc w:val="center"/>
        </w:trPr>
        <w:tc>
          <w:tcPr>
            <w:tcW w:w="881" w:type="dxa"/>
            <w:tcBorders>
              <w:top w:val="single" w:sz="12" w:space="0" w:color="auto"/>
            </w:tcBorders>
            <w:shd w:val="clear" w:color="auto" w:fill="auto"/>
            <w:vAlign w:val="center"/>
          </w:tcPr>
          <w:p w:rsidR="00E97EDA" w:rsidRPr="00051B9A" w:rsidP="00051B9A">
            <w:pPr>
              <w:rPr>
                <w:rFonts w:ascii="FrankRuehl" w:hAnsi="FrankRuehl" w:cs="FrankRuehl"/>
                <w:sz w:val="20"/>
                <w:szCs w:val="20"/>
              </w:rPr>
            </w:pPr>
            <w:r w:rsidRPr="00051B9A">
              <w:rPr>
                <w:rFonts w:ascii="FrankRuehl" w:hAnsi="FrankRuehl" w:cs="FrankRuehl" w:hint="cs"/>
                <w:sz w:val="20"/>
                <w:szCs w:val="20"/>
                <w:rtl/>
              </w:rPr>
              <w:t>ה</w:t>
            </w:r>
            <w:r w:rsidRPr="00051B9A">
              <w:rPr>
                <w:rFonts w:ascii="FrankRuehl" w:hAnsi="FrankRuehl" w:cs="FrankRuehl"/>
                <w:sz w:val="20"/>
                <w:szCs w:val="20"/>
                <w:rtl/>
              </w:rPr>
              <w:t>דרום</w:t>
            </w:r>
          </w:p>
        </w:tc>
        <w:tc>
          <w:tcPr>
            <w:tcW w:w="1000" w:type="dxa"/>
            <w:tcBorders>
              <w:top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-8,754</w:t>
            </w:r>
          </w:p>
        </w:tc>
        <w:tc>
          <w:tcPr>
            <w:tcW w:w="992" w:type="dxa"/>
            <w:tcBorders>
              <w:top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8,551</w:t>
            </w:r>
          </w:p>
        </w:tc>
        <w:tc>
          <w:tcPr>
            <w:tcW w:w="993" w:type="dxa"/>
            <w:tcBorders>
              <w:top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31,209</w:t>
            </w:r>
          </w:p>
        </w:tc>
        <w:tc>
          <w:tcPr>
            <w:tcW w:w="850" w:type="dxa"/>
            <w:tcBorders>
              <w:top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1,692</w:t>
            </w:r>
          </w:p>
        </w:tc>
        <w:tc>
          <w:tcPr>
            <w:tcW w:w="1134" w:type="dxa"/>
            <w:tcBorders>
              <w:top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4,974</w:t>
            </w:r>
          </w:p>
        </w:tc>
        <w:tc>
          <w:tcPr>
            <w:tcW w:w="983" w:type="dxa"/>
            <w:tcBorders>
              <w:top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2,641</w:t>
            </w:r>
          </w:p>
        </w:tc>
        <w:tc>
          <w:tcPr>
            <w:tcW w:w="972" w:type="dxa"/>
            <w:tcBorders>
              <w:top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2,496</w:t>
            </w:r>
          </w:p>
        </w:tc>
        <w:tc>
          <w:tcPr>
            <w:tcW w:w="966" w:type="dxa"/>
            <w:tcBorders>
              <w:top w:val="single" w:sz="12" w:space="0" w:color="auto"/>
            </w:tcBorders>
            <w:shd w:val="clear" w:color="auto" w:fill="auto"/>
            <w:vAlign w:val="center"/>
          </w:tcPr>
          <w:p w:rsidR="00E97EDA" w:rsidRPr="00051B9A" w:rsidP="009172BD">
            <w:pPr>
              <w:rPr>
                <w:rFonts w:ascii="FrankRuehl" w:hAnsi="FrankRuehl" w:cs="FrankRuehl"/>
                <w:b/>
                <w:bCs/>
                <w:sz w:val="20"/>
                <w:szCs w:val="20"/>
              </w:rPr>
            </w:pPr>
            <w:r w:rsidRPr="00051B9A">
              <w:rPr>
                <w:rFonts w:ascii="FrankRuehl" w:hAnsi="FrankRuehl" w:cs="FrankRuehl"/>
                <w:b/>
                <w:bCs/>
                <w:sz w:val="20"/>
                <w:szCs w:val="20"/>
              </w:rPr>
              <w:t>42,809</w:t>
            </w:r>
          </w:p>
        </w:tc>
      </w:tr>
      <w:tr w:rsidTr="00051B9A">
        <w:tblPrEx>
          <w:tblW w:w="6691" w:type="dxa"/>
          <w:jc w:val="center"/>
          <w:tblLayout w:type="fixed"/>
          <w:tblCellMar>
            <w:left w:w="57" w:type="dxa"/>
            <w:right w:w="57" w:type="dxa"/>
          </w:tblCellMar>
          <w:tblLook w:val="0000"/>
        </w:tblPrEx>
        <w:trPr>
          <w:jc w:val="center"/>
        </w:trPr>
        <w:tc>
          <w:tcPr>
            <w:tcW w:w="881" w:type="dxa"/>
            <w:shd w:val="clear" w:color="auto" w:fill="auto"/>
            <w:vAlign w:val="center"/>
          </w:tcPr>
          <w:p w:rsidR="00E97EDA" w:rsidRPr="00051B9A" w:rsidP="00051B9A">
            <w:pPr>
              <w:rPr>
                <w:rFonts w:ascii="FrankRuehl" w:hAnsi="FrankRuehl" w:cs="FrankRuehl"/>
                <w:sz w:val="20"/>
                <w:szCs w:val="20"/>
              </w:rPr>
            </w:pPr>
            <w:r w:rsidRPr="00051B9A">
              <w:rPr>
                <w:rFonts w:ascii="FrankRuehl" w:hAnsi="FrankRuehl" w:cs="FrankRuehl"/>
                <w:sz w:val="20"/>
                <w:szCs w:val="20"/>
                <w:rtl/>
              </w:rPr>
              <w:t>חיפה</w:t>
            </w:r>
          </w:p>
        </w:tc>
        <w:tc>
          <w:tcPr>
            <w:tcW w:w="1000"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12,022</w:t>
            </w:r>
          </w:p>
        </w:tc>
        <w:tc>
          <w:tcPr>
            <w:tcW w:w="992"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3,573</w:t>
            </w:r>
          </w:p>
        </w:tc>
        <w:tc>
          <w:tcPr>
            <w:tcW w:w="993"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3,749</w:t>
            </w:r>
          </w:p>
        </w:tc>
        <w:tc>
          <w:tcPr>
            <w:tcW w:w="850"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3,176</w:t>
            </w:r>
          </w:p>
        </w:tc>
        <w:tc>
          <w:tcPr>
            <w:tcW w:w="1134"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4,591</w:t>
            </w:r>
          </w:p>
        </w:tc>
        <w:tc>
          <w:tcPr>
            <w:tcW w:w="983"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5,581</w:t>
            </w:r>
          </w:p>
        </w:tc>
        <w:tc>
          <w:tcPr>
            <w:tcW w:w="972"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56</w:t>
            </w:r>
          </w:p>
        </w:tc>
        <w:tc>
          <w:tcPr>
            <w:tcW w:w="966" w:type="dxa"/>
            <w:shd w:val="clear" w:color="auto" w:fill="auto"/>
            <w:vAlign w:val="center"/>
          </w:tcPr>
          <w:p w:rsidR="00E97EDA" w:rsidRPr="00051B9A" w:rsidP="009172BD">
            <w:pPr>
              <w:rPr>
                <w:rFonts w:ascii="FrankRuehl" w:hAnsi="FrankRuehl" w:cs="FrankRuehl"/>
                <w:b/>
                <w:bCs/>
                <w:sz w:val="20"/>
                <w:szCs w:val="20"/>
              </w:rPr>
            </w:pPr>
            <w:r w:rsidRPr="00051B9A">
              <w:rPr>
                <w:rFonts w:ascii="FrankRuehl" w:hAnsi="FrankRuehl" w:cs="FrankRuehl"/>
                <w:b/>
                <w:bCs/>
                <w:sz w:val="20"/>
                <w:szCs w:val="20"/>
              </w:rPr>
              <w:t>32,748</w:t>
            </w:r>
          </w:p>
        </w:tc>
      </w:tr>
      <w:tr w:rsidTr="00051B9A">
        <w:tblPrEx>
          <w:tblW w:w="6691" w:type="dxa"/>
          <w:jc w:val="center"/>
          <w:tblLayout w:type="fixed"/>
          <w:tblCellMar>
            <w:left w:w="57" w:type="dxa"/>
            <w:right w:w="57" w:type="dxa"/>
          </w:tblCellMar>
          <w:tblLook w:val="0000"/>
        </w:tblPrEx>
        <w:trPr>
          <w:jc w:val="center"/>
        </w:trPr>
        <w:tc>
          <w:tcPr>
            <w:tcW w:w="881" w:type="dxa"/>
            <w:shd w:val="clear" w:color="auto" w:fill="auto"/>
            <w:vAlign w:val="center"/>
          </w:tcPr>
          <w:p w:rsidR="00E97EDA" w:rsidRPr="00051B9A" w:rsidP="00051B9A">
            <w:pPr>
              <w:rPr>
                <w:rFonts w:ascii="FrankRuehl" w:hAnsi="FrankRuehl" w:cs="FrankRuehl"/>
                <w:sz w:val="20"/>
                <w:szCs w:val="20"/>
              </w:rPr>
            </w:pPr>
            <w:r w:rsidRPr="00051B9A">
              <w:rPr>
                <w:rFonts w:ascii="FrankRuehl" w:hAnsi="FrankRuehl" w:cs="FrankRuehl"/>
                <w:sz w:val="20"/>
                <w:szCs w:val="20"/>
                <w:rtl/>
              </w:rPr>
              <w:t>ירושלים</w:t>
            </w:r>
          </w:p>
        </w:tc>
        <w:tc>
          <w:tcPr>
            <w:tcW w:w="1000"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18,253</w:t>
            </w:r>
          </w:p>
        </w:tc>
        <w:tc>
          <w:tcPr>
            <w:tcW w:w="992"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4,767</w:t>
            </w:r>
          </w:p>
        </w:tc>
        <w:tc>
          <w:tcPr>
            <w:tcW w:w="993"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9,527</w:t>
            </w:r>
          </w:p>
        </w:tc>
        <w:tc>
          <w:tcPr>
            <w:tcW w:w="850"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16</w:t>
            </w:r>
          </w:p>
        </w:tc>
        <w:tc>
          <w:tcPr>
            <w:tcW w:w="1134"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3,603</w:t>
            </w:r>
          </w:p>
        </w:tc>
        <w:tc>
          <w:tcPr>
            <w:tcW w:w="983"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5,765</w:t>
            </w:r>
          </w:p>
        </w:tc>
        <w:tc>
          <w:tcPr>
            <w:tcW w:w="972"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1,045</w:t>
            </w:r>
          </w:p>
        </w:tc>
        <w:tc>
          <w:tcPr>
            <w:tcW w:w="966" w:type="dxa"/>
            <w:shd w:val="clear" w:color="auto" w:fill="auto"/>
            <w:vAlign w:val="center"/>
          </w:tcPr>
          <w:p w:rsidR="00E97EDA" w:rsidRPr="00051B9A" w:rsidP="009172BD">
            <w:pPr>
              <w:rPr>
                <w:rFonts w:ascii="FrankRuehl" w:hAnsi="FrankRuehl" w:cs="FrankRuehl"/>
                <w:b/>
                <w:bCs/>
                <w:sz w:val="20"/>
                <w:szCs w:val="20"/>
              </w:rPr>
            </w:pPr>
            <w:r w:rsidRPr="00051B9A">
              <w:rPr>
                <w:rFonts w:ascii="FrankRuehl" w:hAnsi="FrankRuehl" w:cs="FrankRuehl"/>
                <w:b/>
                <w:bCs/>
                <w:sz w:val="20"/>
                <w:szCs w:val="20"/>
              </w:rPr>
              <w:t>42,976</w:t>
            </w:r>
          </w:p>
        </w:tc>
      </w:tr>
      <w:tr w:rsidTr="00051B9A">
        <w:tblPrEx>
          <w:tblW w:w="6691" w:type="dxa"/>
          <w:jc w:val="center"/>
          <w:tblLayout w:type="fixed"/>
          <w:tblCellMar>
            <w:left w:w="57" w:type="dxa"/>
            <w:right w:w="57" w:type="dxa"/>
          </w:tblCellMar>
          <w:tblLook w:val="0000"/>
        </w:tblPrEx>
        <w:trPr>
          <w:jc w:val="center"/>
        </w:trPr>
        <w:tc>
          <w:tcPr>
            <w:tcW w:w="881" w:type="dxa"/>
            <w:shd w:val="clear" w:color="auto" w:fill="auto"/>
            <w:vAlign w:val="center"/>
          </w:tcPr>
          <w:p w:rsidR="00E97EDA" w:rsidRPr="00051B9A" w:rsidP="00051B9A">
            <w:pPr>
              <w:rPr>
                <w:rFonts w:ascii="FrankRuehl" w:hAnsi="FrankRuehl" w:cs="FrankRuehl"/>
                <w:sz w:val="20"/>
                <w:szCs w:val="20"/>
              </w:rPr>
            </w:pPr>
            <w:r w:rsidRPr="00051B9A">
              <w:rPr>
                <w:rFonts w:ascii="FrankRuehl" w:hAnsi="FrankRuehl" w:cs="FrankRuehl" w:hint="cs"/>
                <w:sz w:val="20"/>
                <w:szCs w:val="20"/>
                <w:rtl/>
              </w:rPr>
              <w:t>ה</w:t>
            </w:r>
            <w:r w:rsidRPr="00051B9A">
              <w:rPr>
                <w:rFonts w:ascii="FrankRuehl" w:hAnsi="FrankRuehl" w:cs="FrankRuehl"/>
                <w:sz w:val="20"/>
                <w:szCs w:val="20"/>
                <w:rtl/>
              </w:rPr>
              <w:t>מרכז</w:t>
            </w:r>
          </w:p>
        </w:tc>
        <w:tc>
          <w:tcPr>
            <w:tcW w:w="1000"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4,139</w:t>
            </w:r>
          </w:p>
        </w:tc>
        <w:tc>
          <w:tcPr>
            <w:tcW w:w="992"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13,704</w:t>
            </w:r>
          </w:p>
        </w:tc>
        <w:tc>
          <w:tcPr>
            <w:tcW w:w="993"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37,706</w:t>
            </w:r>
          </w:p>
        </w:tc>
        <w:tc>
          <w:tcPr>
            <w:tcW w:w="850"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0</w:t>
            </w:r>
          </w:p>
        </w:tc>
        <w:tc>
          <w:tcPr>
            <w:tcW w:w="1134"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11,961</w:t>
            </w:r>
          </w:p>
        </w:tc>
        <w:tc>
          <w:tcPr>
            <w:tcW w:w="983"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15,126</w:t>
            </w:r>
          </w:p>
        </w:tc>
        <w:tc>
          <w:tcPr>
            <w:tcW w:w="972"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1,447</w:t>
            </w:r>
          </w:p>
        </w:tc>
        <w:tc>
          <w:tcPr>
            <w:tcW w:w="966" w:type="dxa"/>
            <w:shd w:val="clear" w:color="auto" w:fill="auto"/>
            <w:vAlign w:val="center"/>
          </w:tcPr>
          <w:p w:rsidR="00E97EDA" w:rsidRPr="00051B9A" w:rsidP="009172BD">
            <w:pPr>
              <w:rPr>
                <w:rFonts w:ascii="FrankRuehl" w:hAnsi="FrankRuehl" w:cs="FrankRuehl"/>
                <w:b/>
                <w:bCs/>
                <w:sz w:val="20"/>
                <w:szCs w:val="20"/>
              </w:rPr>
            </w:pPr>
            <w:r w:rsidRPr="00051B9A">
              <w:rPr>
                <w:rFonts w:ascii="FrankRuehl" w:hAnsi="FrankRuehl" w:cs="FrankRuehl"/>
                <w:b/>
                <w:bCs/>
                <w:sz w:val="20"/>
                <w:szCs w:val="20"/>
              </w:rPr>
              <w:t>84,083</w:t>
            </w:r>
          </w:p>
        </w:tc>
      </w:tr>
      <w:tr w:rsidTr="00051B9A">
        <w:tblPrEx>
          <w:tblW w:w="6691" w:type="dxa"/>
          <w:jc w:val="center"/>
          <w:tblLayout w:type="fixed"/>
          <w:tblCellMar>
            <w:left w:w="57" w:type="dxa"/>
            <w:right w:w="57" w:type="dxa"/>
          </w:tblCellMar>
          <w:tblLook w:val="0000"/>
        </w:tblPrEx>
        <w:trPr>
          <w:jc w:val="center"/>
        </w:trPr>
        <w:tc>
          <w:tcPr>
            <w:tcW w:w="881" w:type="dxa"/>
            <w:shd w:val="clear" w:color="auto" w:fill="auto"/>
            <w:vAlign w:val="center"/>
          </w:tcPr>
          <w:p w:rsidR="00E97EDA" w:rsidRPr="00051B9A" w:rsidP="00051B9A">
            <w:pPr>
              <w:rPr>
                <w:rFonts w:ascii="FrankRuehl" w:hAnsi="FrankRuehl" w:cs="FrankRuehl"/>
                <w:sz w:val="20"/>
                <w:szCs w:val="20"/>
              </w:rPr>
            </w:pPr>
            <w:r w:rsidRPr="00051B9A">
              <w:rPr>
                <w:rFonts w:ascii="FrankRuehl" w:hAnsi="FrankRuehl" w:cs="FrankRuehl" w:hint="cs"/>
                <w:sz w:val="20"/>
                <w:szCs w:val="20"/>
                <w:rtl/>
              </w:rPr>
              <w:t>ה</w:t>
            </w:r>
            <w:r w:rsidRPr="00051B9A">
              <w:rPr>
                <w:rFonts w:ascii="FrankRuehl" w:hAnsi="FrankRuehl" w:cs="FrankRuehl"/>
                <w:sz w:val="20"/>
                <w:szCs w:val="20"/>
                <w:rtl/>
              </w:rPr>
              <w:t>צפון</w:t>
            </w:r>
          </w:p>
        </w:tc>
        <w:tc>
          <w:tcPr>
            <w:tcW w:w="1000"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2,532</w:t>
            </w:r>
          </w:p>
        </w:tc>
        <w:tc>
          <w:tcPr>
            <w:tcW w:w="992"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9,224</w:t>
            </w:r>
          </w:p>
        </w:tc>
        <w:tc>
          <w:tcPr>
            <w:tcW w:w="993"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21,867</w:t>
            </w:r>
          </w:p>
        </w:tc>
        <w:tc>
          <w:tcPr>
            <w:tcW w:w="850"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-5</w:t>
            </w:r>
          </w:p>
        </w:tc>
        <w:tc>
          <w:tcPr>
            <w:tcW w:w="1134"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3,335</w:t>
            </w:r>
          </w:p>
        </w:tc>
        <w:tc>
          <w:tcPr>
            <w:tcW w:w="983"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11,221</w:t>
            </w:r>
          </w:p>
        </w:tc>
        <w:tc>
          <w:tcPr>
            <w:tcW w:w="972" w:type="dxa"/>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1,040</w:t>
            </w:r>
          </w:p>
        </w:tc>
        <w:tc>
          <w:tcPr>
            <w:tcW w:w="966" w:type="dxa"/>
            <w:shd w:val="clear" w:color="auto" w:fill="auto"/>
            <w:vAlign w:val="center"/>
          </w:tcPr>
          <w:p w:rsidR="00E97EDA" w:rsidRPr="00051B9A" w:rsidP="00027E32">
            <w:pPr>
              <w:rPr>
                <w:rFonts w:ascii="FrankRuehl" w:hAnsi="FrankRuehl" w:cs="FrankRuehl"/>
                <w:b/>
                <w:bCs/>
                <w:sz w:val="20"/>
                <w:szCs w:val="20"/>
              </w:rPr>
            </w:pPr>
            <w:r w:rsidRPr="00051B9A">
              <w:rPr>
                <w:rFonts w:ascii="FrankRuehl" w:hAnsi="FrankRuehl" w:cs="FrankRuehl"/>
                <w:b/>
                <w:bCs/>
                <w:sz w:val="20"/>
                <w:szCs w:val="20"/>
              </w:rPr>
              <w:t>49,21</w:t>
            </w:r>
            <w:r w:rsidR="00027E32">
              <w:rPr>
                <w:rFonts w:ascii="FrankRuehl" w:hAnsi="FrankRuehl" w:cs="FrankRuehl"/>
                <w:b/>
                <w:bCs/>
                <w:sz w:val="20"/>
                <w:szCs w:val="20"/>
              </w:rPr>
              <w:t>4</w:t>
            </w:r>
          </w:p>
        </w:tc>
      </w:tr>
      <w:tr w:rsidTr="00051B9A">
        <w:tblPrEx>
          <w:tblW w:w="6691" w:type="dxa"/>
          <w:jc w:val="center"/>
          <w:tblLayout w:type="fixed"/>
          <w:tblCellMar>
            <w:left w:w="57" w:type="dxa"/>
            <w:right w:w="57" w:type="dxa"/>
          </w:tblCellMar>
          <w:tblLook w:val="0000"/>
        </w:tblPrEx>
        <w:trPr>
          <w:jc w:val="center"/>
        </w:trPr>
        <w:tc>
          <w:tcPr>
            <w:tcW w:w="881" w:type="dxa"/>
            <w:tcBorders>
              <w:bottom w:val="single" w:sz="12" w:space="0" w:color="auto"/>
            </w:tcBorders>
            <w:shd w:val="clear" w:color="auto" w:fill="auto"/>
            <w:vAlign w:val="center"/>
          </w:tcPr>
          <w:p w:rsidR="00E97EDA" w:rsidRPr="00051B9A" w:rsidP="00051B9A">
            <w:pPr>
              <w:rPr>
                <w:rFonts w:ascii="FrankRuehl" w:hAnsi="FrankRuehl" w:cs="FrankRuehl"/>
                <w:sz w:val="20"/>
                <w:szCs w:val="20"/>
              </w:rPr>
            </w:pPr>
            <w:r w:rsidRPr="00051B9A">
              <w:rPr>
                <w:rFonts w:ascii="FrankRuehl" w:hAnsi="FrankRuehl" w:cs="FrankRuehl"/>
                <w:sz w:val="20"/>
                <w:szCs w:val="20"/>
                <w:rtl/>
              </w:rPr>
              <w:t>תל</w:t>
            </w:r>
            <w:r w:rsidRPr="00051B9A">
              <w:rPr>
                <w:rFonts w:ascii="FrankRuehl" w:hAnsi="FrankRuehl" w:cs="FrankRuehl" w:hint="cs"/>
                <w:sz w:val="20"/>
                <w:szCs w:val="20"/>
                <w:rtl/>
              </w:rPr>
              <w:t xml:space="preserve"> </w:t>
            </w:r>
            <w:r w:rsidRPr="00051B9A">
              <w:rPr>
                <w:rFonts w:ascii="FrankRuehl" w:hAnsi="FrankRuehl" w:cs="FrankRuehl"/>
                <w:sz w:val="20"/>
                <w:szCs w:val="20"/>
                <w:rtl/>
              </w:rPr>
              <w:t>אביב</w:t>
            </w:r>
          </w:p>
        </w:tc>
        <w:tc>
          <w:tcPr>
            <w:tcW w:w="1000" w:type="dxa"/>
            <w:tcBorders>
              <w:bottom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2,582</w:t>
            </w:r>
          </w:p>
        </w:tc>
        <w:tc>
          <w:tcPr>
            <w:tcW w:w="992" w:type="dxa"/>
            <w:tcBorders>
              <w:bottom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1,061</w:t>
            </w:r>
          </w:p>
        </w:tc>
        <w:tc>
          <w:tcPr>
            <w:tcW w:w="993" w:type="dxa"/>
            <w:tcBorders>
              <w:bottom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6,023</w:t>
            </w:r>
          </w:p>
        </w:tc>
        <w:tc>
          <w:tcPr>
            <w:tcW w:w="850" w:type="dxa"/>
            <w:tcBorders>
              <w:bottom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0</w:t>
            </w:r>
          </w:p>
        </w:tc>
        <w:tc>
          <w:tcPr>
            <w:tcW w:w="1134" w:type="dxa"/>
            <w:tcBorders>
              <w:bottom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23,224</w:t>
            </w:r>
          </w:p>
        </w:tc>
        <w:tc>
          <w:tcPr>
            <w:tcW w:w="983" w:type="dxa"/>
            <w:tcBorders>
              <w:bottom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15,884</w:t>
            </w:r>
          </w:p>
        </w:tc>
        <w:tc>
          <w:tcPr>
            <w:tcW w:w="972" w:type="dxa"/>
            <w:tcBorders>
              <w:bottom w:val="single" w:sz="12" w:space="0" w:color="auto"/>
            </w:tcBorders>
            <w:shd w:val="clear" w:color="auto" w:fill="auto"/>
            <w:vAlign w:val="center"/>
          </w:tcPr>
          <w:p w:rsidR="00E97EDA" w:rsidRPr="00051B9A" w:rsidP="009172BD">
            <w:pPr>
              <w:rPr>
                <w:rFonts w:ascii="FrankRuehl" w:hAnsi="FrankRuehl" w:cs="FrankRuehl"/>
                <w:sz w:val="20"/>
                <w:szCs w:val="20"/>
              </w:rPr>
            </w:pPr>
            <w:r w:rsidRPr="00051B9A">
              <w:rPr>
                <w:rFonts w:ascii="FrankRuehl" w:hAnsi="FrankRuehl" w:cs="FrankRuehl"/>
                <w:sz w:val="20"/>
                <w:szCs w:val="20"/>
              </w:rPr>
              <w:t>1,993</w:t>
            </w:r>
          </w:p>
        </w:tc>
        <w:tc>
          <w:tcPr>
            <w:tcW w:w="966" w:type="dxa"/>
            <w:tcBorders>
              <w:bottom w:val="single" w:sz="12" w:space="0" w:color="auto"/>
            </w:tcBorders>
            <w:shd w:val="clear" w:color="auto" w:fill="auto"/>
            <w:vAlign w:val="center"/>
          </w:tcPr>
          <w:p w:rsidR="00E97EDA" w:rsidRPr="00051B9A" w:rsidP="009172BD">
            <w:pPr>
              <w:rPr>
                <w:rFonts w:ascii="FrankRuehl" w:hAnsi="FrankRuehl" w:cs="FrankRuehl"/>
                <w:b/>
                <w:bCs/>
                <w:sz w:val="20"/>
                <w:szCs w:val="20"/>
              </w:rPr>
            </w:pPr>
            <w:r w:rsidRPr="00051B9A">
              <w:rPr>
                <w:rFonts w:ascii="FrankRuehl" w:hAnsi="FrankRuehl" w:cs="FrankRuehl"/>
                <w:b/>
                <w:bCs/>
                <w:sz w:val="20"/>
                <w:szCs w:val="20"/>
              </w:rPr>
              <w:t>50,767</w:t>
            </w:r>
          </w:p>
        </w:tc>
      </w:tr>
      <w:tr w:rsidTr="00051B9A">
        <w:tblPrEx>
          <w:tblW w:w="6691" w:type="dxa"/>
          <w:jc w:val="center"/>
          <w:tblLayout w:type="fixed"/>
          <w:tblCellMar>
            <w:left w:w="57" w:type="dxa"/>
            <w:right w:w="57" w:type="dxa"/>
          </w:tblCellMar>
          <w:tblLook w:val="0000"/>
        </w:tblPrEx>
        <w:trPr>
          <w:jc w:val="center"/>
        </w:trPr>
        <w:tc>
          <w:tcPr>
            <w:tcW w:w="881" w:type="dxa"/>
            <w:tcBorders>
              <w:top w:val="single" w:sz="12" w:space="0" w:color="auto"/>
              <w:bottom w:val="single" w:sz="12" w:space="0" w:color="auto"/>
            </w:tcBorders>
            <w:shd w:val="pct10" w:color="auto" w:fill="auto"/>
            <w:vAlign w:val="center"/>
          </w:tcPr>
          <w:p w:rsidR="00E97EDA" w:rsidRPr="00051B9A" w:rsidP="00051B9A">
            <w:pPr>
              <w:jc w:val="right"/>
              <w:rPr>
                <w:rFonts w:ascii="FrankRuehl" w:hAnsi="FrankRuehl" w:cs="FrankRuehl"/>
                <w:b/>
                <w:bCs/>
                <w:sz w:val="20"/>
                <w:szCs w:val="20"/>
              </w:rPr>
            </w:pPr>
            <w:r w:rsidRPr="00051B9A">
              <w:rPr>
                <w:rFonts w:ascii="FrankRuehl" w:hAnsi="FrankRuehl" w:cs="FrankRuehl" w:hint="cs"/>
                <w:b/>
                <w:bCs/>
                <w:sz w:val="20"/>
                <w:szCs w:val="20"/>
                <w:rtl/>
              </w:rPr>
              <w:t>סך הכול</w:t>
            </w:r>
            <w:r w:rsidRPr="00051B9A">
              <w:rPr>
                <w:rFonts w:ascii="FrankRuehl" w:hAnsi="FrankRuehl" w:cs="FrankRuehl"/>
                <w:b/>
                <w:bCs/>
                <w:sz w:val="20"/>
                <w:szCs w:val="20"/>
                <w:rtl/>
              </w:rPr>
              <w:t xml:space="preserve"> </w:t>
            </w:r>
          </w:p>
        </w:tc>
        <w:tc>
          <w:tcPr>
            <w:tcW w:w="1000" w:type="dxa"/>
            <w:tcBorders>
              <w:top w:val="single" w:sz="12" w:space="0" w:color="auto"/>
              <w:bottom w:val="single" w:sz="12" w:space="0" w:color="auto"/>
            </w:tcBorders>
            <w:shd w:val="pct10" w:color="auto" w:fill="auto"/>
            <w:vAlign w:val="center"/>
          </w:tcPr>
          <w:p w:rsidR="00E97EDA" w:rsidRPr="00051B9A" w:rsidP="009172BD">
            <w:pPr>
              <w:rPr>
                <w:rFonts w:ascii="FrankRuehl" w:hAnsi="FrankRuehl" w:cs="FrankRuehl"/>
                <w:b/>
                <w:bCs/>
                <w:sz w:val="20"/>
                <w:szCs w:val="20"/>
              </w:rPr>
            </w:pPr>
            <w:r w:rsidRPr="00051B9A">
              <w:rPr>
                <w:rFonts w:ascii="FrankRuehl" w:hAnsi="FrankRuehl" w:cs="FrankRuehl"/>
                <w:b/>
                <w:bCs/>
                <w:sz w:val="20"/>
                <w:szCs w:val="20"/>
              </w:rPr>
              <w:t>30,774</w:t>
            </w:r>
          </w:p>
        </w:tc>
        <w:tc>
          <w:tcPr>
            <w:tcW w:w="992" w:type="dxa"/>
            <w:tcBorders>
              <w:top w:val="single" w:sz="12" w:space="0" w:color="auto"/>
              <w:bottom w:val="single" w:sz="12" w:space="0" w:color="auto"/>
            </w:tcBorders>
            <w:shd w:val="pct10" w:color="auto" w:fill="auto"/>
            <w:vAlign w:val="center"/>
          </w:tcPr>
          <w:p w:rsidR="00E97EDA" w:rsidRPr="00051B9A" w:rsidP="009172BD">
            <w:pPr>
              <w:rPr>
                <w:rFonts w:ascii="FrankRuehl" w:hAnsi="FrankRuehl" w:cs="FrankRuehl"/>
                <w:b/>
                <w:bCs/>
                <w:sz w:val="20"/>
                <w:szCs w:val="20"/>
              </w:rPr>
            </w:pPr>
            <w:r w:rsidRPr="00051B9A">
              <w:rPr>
                <w:rFonts w:ascii="FrankRuehl" w:hAnsi="FrankRuehl" w:cs="FrankRuehl"/>
                <w:b/>
                <w:bCs/>
                <w:sz w:val="20"/>
                <w:szCs w:val="20"/>
              </w:rPr>
              <w:t>40,880</w:t>
            </w:r>
          </w:p>
        </w:tc>
        <w:tc>
          <w:tcPr>
            <w:tcW w:w="993" w:type="dxa"/>
            <w:tcBorders>
              <w:top w:val="single" w:sz="12" w:space="0" w:color="auto"/>
              <w:bottom w:val="single" w:sz="12" w:space="0" w:color="auto"/>
            </w:tcBorders>
            <w:shd w:val="pct10" w:color="auto" w:fill="auto"/>
            <w:vAlign w:val="center"/>
          </w:tcPr>
          <w:p w:rsidR="00E97EDA" w:rsidRPr="00051B9A" w:rsidP="009172BD">
            <w:pPr>
              <w:rPr>
                <w:rFonts w:ascii="FrankRuehl" w:hAnsi="FrankRuehl" w:cs="FrankRuehl"/>
                <w:b/>
                <w:bCs/>
                <w:sz w:val="20"/>
                <w:szCs w:val="20"/>
              </w:rPr>
            </w:pPr>
            <w:r w:rsidRPr="00051B9A">
              <w:rPr>
                <w:rFonts w:ascii="FrankRuehl" w:hAnsi="FrankRuehl" w:cs="FrankRuehl"/>
                <w:b/>
                <w:bCs/>
                <w:sz w:val="20"/>
                <w:szCs w:val="20"/>
              </w:rPr>
              <w:t>110,081</w:t>
            </w:r>
          </w:p>
        </w:tc>
        <w:tc>
          <w:tcPr>
            <w:tcW w:w="850" w:type="dxa"/>
            <w:tcBorders>
              <w:top w:val="single" w:sz="12" w:space="0" w:color="auto"/>
              <w:bottom w:val="single" w:sz="12" w:space="0" w:color="auto"/>
            </w:tcBorders>
            <w:shd w:val="pct10" w:color="auto" w:fill="auto"/>
            <w:vAlign w:val="center"/>
          </w:tcPr>
          <w:p w:rsidR="00E97EDA" w:rsidRPr="00051B9A" w:rsidP="009172BD">
            <w:pPr>
              <w:rPr>
                <w:rFonts w:ascii="FrankRuehl" w:hAnsi="FrankRuehl" w:cs="FrankRuehl"/>
                <w:b/>
                <w:bCs/>
                <w:sz w:val="20"/>
                <w:szCs w:val="20"/>
              </w:rPr>
            </w:pPr>
            <w:r w:rsidRPr="00051B9A">
              <w:rPr>
                <w:rFonts w:ascii="FrankRuehl" w:hAnsi="FrankRuehl" w:cs="FrankRuehl"/>
                <w:b/>
                <w:bCs/>
                <w:sz w:val="20"/>
                <w:szCs w:val="20"/>
              </w:rPr>
              <w:t>4,879</w:t>
            </w:r>
          </w:p>
        </w:tc>
        <w:tc>
          <w:tcPr>
            <w:tcW w:w="1134" w:type="dxa"/>
            <w:tcBorders>
              <w:top w:val="single" w:sz="12" w:space="0" w:color="auto"/>
              <w:bottom w:val="single" w:sz="12" w:space="0" w:color="auto"/>
            </w:tcBorders>
            <w:shd w:val="pct10" w:color="auto" w:fill="auto"/>
            <w:vAlign w:val="center"/>
          </w:tcPr>
          <w:p w:rsidR="00E97EDA" w:rsidRPr="00051B9A" w:rsidP="009172BD">
            <w:pPr>
              <w:rPr>
                <w:rFonts w:ascii="FrankRuehl" w:hAnsi="FrankRuehl" w:cs="FrankRuehl"/>
                <w:b/>
                <w:bCs/>
                <w:sz w:val="20"/>
                <w:szCs w:val="20"/>
              </w:rPr>
            </w:pPr>
            <w:r w:rsidRPr="00051B9A">
              <w:rPr>
                <w:rFonts w:ascii="FrankRuehl" w:hAnsi="FrankRuehl" w:cs="FrankRuehl"/>
                <w:b/>
                <w:bCs/>
                <w:sz w:val="20"/>
                <w:szCs w:val="20"/>
              </w:rPr>
              <w:t>51,688</w:t>
            </w:r>
          </w:p>
        </w:tc>
        <w:tc>
          <w:tcPr>
            <w:tcW w:w="983" w:type="dxa"/>
            <w:tcBorders>
              <w:top w:val="single" w:sz="12" w:space="0" w:color="auto"/>
              <w:bottom w:val="single" w:sz="12" w:space="0" w:color="auto"/>
            </w:tcBorders>
            <w:shd w:val="pct10" w:color="auto" w:fill="auto"/>
            <w:vAlign w:val="center"/>
          </w:tcPr>
          <w:p w:rsidR="00E97EDA" w:rsidRPr="00051B9A" w:rsidP="009172BD">
            <w:pPr>
              <w:rPr>
                <w:rFonts w:ascii="FrankRuehl" w:hAnsi="FrankRuehl" w:cs="FrankRuehl"/>
                <w:b/>
                <w:bCs/>
                <w:sz w:val="20"/>
                <w:szCs w:val="20"/>
              </w:rPr>
            </w:pPr>
            <w:r w:rsidRPr="00051B9A">
              <w:rPr>
                <w:rFonts w:ascii="FrankRuehl" w:hAnsi="FrankRuehl" w:cs="FrankRuehl"/>
                <w:b/>
                <w:bCs/>
                <w:sz w:val="20"/>
                <w:szCs w:val="20"/>
              </w:rPr>
              <w:t>56,218</w:t>
            </w:r>
          </w:p>
        </w:tc>
        <w:tc>
          <w:tcPr>
            <w:tcW w:w="972" w:type="dxa"/>
            <w:tcBorders>
              <w:top w:val="single" w:sz="12" w:space="0" w:color="auto"/>
              <w:bottom w:val="single" w:sz="12" w:space="0" w:color="auto"/>
            </w:tcBorders>
            <w:shd w:val="pct10" w:color="auto" w:fill="auto"/>
            <w:vAlign w:val="center"/>
          </w:tcPr>
          <w:p w:rsidR="00E97EDA" w:rsidRPr="00051B9A" w:rsidP="009172BD">
            <w:pPr>
              <w:rPr>
                <w:rFonts w:ascii="FrankRuehl" w:hAnsi="FrankRuehl" w:cs="FrankRuehl"/>
                <w:b/>
                <w:bCs/>
                <w:sz w:val="20"/>
                <w:szCs w:val="20"/>
              </w:rPr>
            </w:pPr>
            <w:r w:rsidRPr="00051B9A">
              <w:rPr>
                <w:rFonts w:ascii="FrankRuehl" w:hAnsi="FrankRuehl" w:cs="FrankRuehl"/>
                <w:b/>
                <w:bCs/>
                <w:sz w:val="20"/>
                <w:szCs w:val="20"/>
              </w:rPr>
              <w:t>8,077</w:t>
            </w:r>
          </w:p>
        </w:tc>
        <w:tc>
          <w:tcPr>
            <w:tcW w:w="966" w:type="dxa"/>
            <w:tcBorders>
              <w:top w:val="single" w:sz="12" w:space="0" w:color="auto"/>
              <w:bottom w:val="single" w:sz="12" w:space="0" w:color="auto"/>
            </w:tcBorders>
            <w:shd w:val="pct10" w:color="auto" w:fill="auto"/>
            <w:vAlign w:val="center"/>
          </w:tcPr>
          <w:p w:rsidR="00E97EDA" w:rsidRPr="00051B9A" w:rsidP="009172BD">
            <w:pPr>
              <w:rPr>
                <w:rFonts w:ascii="FrankRuehl" w:hAnsi="FrankRuehl" w:cs="FrankRuehl"/>
                <w:b/>
                <w:bCs/>
                <w:sz w:val="20"/>
                <w:szCs w:val="20"/>
              </w:rPr>
            </w:pPr>
            <w:r w:rsidRPr="00051B9A">
              <w:rPr>
                <w:rFonts w:ascii="FrankRuehl" w:hAnsi="FrankRuehl" w:cs="FrankRuehl"/>
                <w:b/>
                <w:bCs/>
                <w:sz w:val="20"/>
                <w:szCs w:val="20"/>
              </w:rPr>
              <w:t>302,597</w:t>
            </w:r>
          </w:p>
        </w:tc>
      </w:tr>
    </w:tbl>
    <w:p w:rsidR="00E97EDA" w:rsidRPr="00F41E78" w:rsidP="009172BD">
      <w:pPr>
        <w:spacing w:before="240" w:after="240" w:line="230" w:lineRule="exact"/>
        <w:jc w:val="both"/>
        <w:rPr>
          <w:rFonts w:cs="FrankRuehl"/>
          <w:sz w:val="18"/>
          <w:szCs w:val="22"/>
          <w:rtl/>
          <w:lang w:eastAsia="he-IL"/>
        </w:rPr>
      </w:pPr>
      <w:r w:rsidRPr="00F41E78">
        <w:rPr>
          <w:rFonts w:cs="FrankRuehl" w:hint="cs"/>
          <w:sz w:val="18"/>
          <w:szCs w:val="22"/>
          <w:rtl/>
          <w:lang w:eastAsia="he-IL"/>
        </w:rPr>
        <w:t xml:space="preserve">מהנתונים עולה כי באפריל 2013 נמצאו כ-300,000 יח"ד בהליכי תכנון, דהיינו כמות המאפשרת לכאורה לעמוד ביעדי הממשלה למשך חמש שנים. אולם בפועל, ולפי ניסיון העבר, לא כל התכניות המפורטות מאושרות. לפי נתוני מינהל התכנון על פעילות מוסדות התכנון בשנת 2012, מתוך </w:t>
      </w:r>
      <w:r w:rsidR="009172BD">
        <w:rPr>
          <w:rFonts w:cs="FrankRuehl"/>
          <w:sz w:val="18"/>
          <w:szCs w:val="22"/>
          <w:lang w:eastAsia="he-IL"/>
        </w:rPr>
        <w:br/>
      </w:r>
      <w:r w:rsidRPr="00F41E78">
        <w:rPr>
          <w:rFonts w:cs="FrankRuehl" w:hint="cs"/>
          <w:sz w:val="18"/>
          <w:szCs w:val="22"/>
          <w:rtl/>
          <w:lang w:eastAsia="he-IL"/>
        </w:rPr>
        <w:t>כ-7,200 תכניות מפורטות שטופלו באותה שנה הסתיים הטיפול בכ-2,200 תכניות בלבד. 50% מהתכניות שהטיפול בהן הושלם נדחו (בשלבים שונים של הליך קידום התכנית). יתרה מכך, הנתונים מראים כי כ-60% מיחידות הדיור מצויות בשלבים הראשונים של ההליך (לפני פרסום הפקדה), לכן אישורן עשוי להתעכב במשך שנים. יוצא אפוא שגם מהנתונים על יחידות הדיור המצויות בהליכי תכנון עולה החשש למחסור בהיצע הדירות בשנים הקרובות.</w:t>
      </w:r>
    </w:p>
    <w:p w:rsidR="00D22B16" w:rsidRPr="00F41E78" w:rsidP="00D22B16">
      <w:pPr>
        <w:pStyle w:val="RESHET"/>
        <w:keepLines/>
        <w:rPr>
          <w:rtl/>
        </w:rPr>
      </w:pPr>
      <w:r w:rsidRPr="00F41E78">
        <w:rPr>
          <w:rFonts w:hint="cs"/>
          <w:rtl/>
        </w:rPr>
        <w:t>לפי הערכות משרד הפנים מאפריל 2013, אישורן של כ-150,000 יחידות הדיור הכלולות בתכניות מפורטות המצויות בשלבים שונים של הליכי התכנון, מעוכב מכל מיני סיבות. גם נתון זה מחזק את החשש שתכנונן ובנייתן של יח"ד רבות יתעכבו זמן רב. הגורמים המעכבים את הליכי התכנון הם בעיקר היעדרן של תשתיות מים, ביוב ותחבורה, של פינוי מחנות צה"ל ושל טיהור קרקעות מזוהמות (ראו להלן בפרק "היבטים של תכנון למגורים בדרג המחוזי").</w:t>
      </w:r>
    </w:p>
    <w:p w:rsidR="00D22B16" w:rsidRPr="00F41E78" w:rsidP="00D22B16">
      <w:pPr>
        <w:pStyle w:val="RESHET"/>
        <w:keepLines/>
        <w:rPr>
          <w:rtl/>
        </w:rPr>
      </w:pPr>
      <w:r w:rsidRPr="00F41E78">
        <w:rPr>
          <w:rFonts w:hint="cs"/>
          <w:rtl/>
        </w:rPr>
        <w:t>יודגש כי הסרת החסמים לקידום תכניות חשובה מאוד. החשיבות היא לא רק משום שהיא מסייעת בהגדלת היצע יחידות הדיור ובמיצוי המשאבים שהושקעו בהכנת התכניות המפורטות או משום שהיא עשויה למנוע בזבוז משאבים הכרוך בייזום תכניות מפורטות נוספות אלא</w:t>
      </w:r>
      <w:r w:rsidRPr="00F41E78">
        <w:rPr>
          <w:rFonts w:hint="cs"/>
          <w:rtl/>
        </w:rPr>
        <w:t xml:space="preserve"> </w:t>
      </w:r>
      <w:r w:rsidRPr="00F41E78">
        <w:rPr>
          <w:rFonts w:hint="cs"/>
          <w:rtl/>
        </w:rPr>
        <w:t>היא עשויה למנוע פיתוח לא מושכל של הקרקע. על משרד הפנים, שתחום התכנון מצוי באחריותו, לפעול עם משרדי הממשלה הנוגעים בדבר להסרת החסמים המונעים קידום של תכניות מפורטות.</w:t>
      </w:r>
    </w:p>
    <w:p w:rsidR="00E97EDA" w:rsidRPr="00F41E78" w:rsidP="009172BD">
      <w:pPr>
        <w:spacing w:before="180" w:after="120" w:line="230" w:lineRule="exact"/>
        <w:jc w:val="both"/>
        <w:rPr>
          <w:rFonts w:cs="FrankRuehl"/>
          <w:sz w:val="18"/>
          <w:szCs w:val="22"/>
          <w:rtl/>
          <w:lang w:eastAsia="he-IL"/>
        </w:rPr>
      </w:pPr>
      <w:r w:rsidRPr="00F41E78">
        <w:rPr>
          <w:rFonts w:cs="FrankRuehl" w:hint="cs"/>
          <w:sz w:val="18"/>
          <w:szCs w:val="22"/>
          <w:rtl/>
          <w:lang w:eastAsia="he-IL"/>
        </w:rPr>
        <w:t>בתשובתו מדצמבר 2013 מסר משרד האוצר כי משרדי הממשלה השונים פועלים בשיתוף פעולה בשני אופנים. האחד, גיבוש הסכמי פיתוח עם ארבע רשויות מקומיות שבתחומן אפשר לשווק אלפי יח"ד, לפי החלטת ממשלה מאוקטובר 2013, והאופן האחר הוא הקמת פורום משותף למשרדי ממשלה שונים ולרמ"י לצורך הסרת חסמים כדי לאפשר את הגדלתו של היקף שיווק הקרקעות בשנים הקרובות.</w:t>
      </w:r>
    </w:p>
    <w:p w:rsidR="00E97EDA" w:rsidRPr="009172BD" w:rsidP="00A7557B">
      <w:pPr>
        <w:spacing w:after="120" w:line="230" w:lineRule="exact"/>
        <w:jc w:val="both"/>
        <w:rPr>
          <w:rFonts w:cs="FrankRuehl"/>
          <w:spacing w:val="-2"/>
          <w:sz w:val="18"/>
          <w:szCs w:val="22"/>
          <w:rtl/>
          <w:lang w:eastAsia="he-IL"/>
        </w:rPr>
      </w:pPr>
      <w:r w:rsidRPr="009172BD">
        <w:rPr>
          <w:rFonts w:cs="FrankRuehl" w:hint="cs"/>
          <w:spacing w:val="-2"/>
          <w:sz w:val="18"/>
          <w:szCs w:val="22"/>
          <w:rtl/>
          <w:lang w:eastAsia="he-IL"/>
        </w:rPr>
        <w:t>בביקורת נמצא בנוגע לעתודות המלאי התכנוני במקרקעי ישראל כי ב</w:t>
      </w:r>
      <w:r w:rsidRPr="009172BD">
        <w:rPr>
          <w:rFonts w:cs="FrankRuehl" w:hint="eastAsia"/>
          <w:spacing w:val="-2"/>
          <w:sz w:val="18"/>
          <w:szCs w:val="22"/>
          <w:rtl/>
          <w:lang w:eastAsia="he-IL"/>
        </w:rPr>
        <w:t>פברואר</w:t>
      </w:r>
      <w:r w:rsidRPr="009172BD">
        <w:rPr>
          <w:rFonts w:cs="FrankRuehl"/>
          <w:spacing w:val="-2"/>
          <w:sz w:val="18"/>
          <w:szCs w:val="22"/>
          <w:rtl/>
          <w:lang w:eastAsia="he-IL"/>
        </w:rPr>
        <w:t xml:space="preserve"> 2013 </w:t>
      </w:r>
      <w:r w:rsidRPr="009172BD">
        <w:rPr>
          <w:rFonts w:cs="FrankRuehl" w:hint="eastAsia"/>
          <w:spacing w:val="-2"/>
          <w:sz w:val="18"/>
          <w:szCs w:val="22"/>
          <w:rtl/>
          <w:lang w:eastAsia="he-IL"/>
        </w:rPr>
        <w:t>היו</w:t>
      </w:r>
      <w:r w:rsidRPr="009172BD">
        <w:rPr>
          <w:rFonts w:cs="FrankRuehl"/>
          <w:spacing w:val="-2"/>
          <w:sz w:val="18"/>
          <w:szCs w:val="22"/>
          <w:rtl/>
          <w:lang w:eastAsia="he-IL"/>
        </w:rPr>
        <w:t xml:space="preserve"> </w:t>
      </w:r>
      <w:r w:rsidRPr="009172BD">
        <w:rPr>
          <w:rFonts w:cs="FrankRuehl" w:hint="eastAsia"/>
          <w:spacing w:val="-2"/>
          <w:sz w:val="18"/>
          <w:szCs w:val="22"/>
          <w:rtl/>
          <w:lang w:eastAsia="he-IL"/>
        </w:rPr>
        <w:t>בהליכי</w:t>
      </w:r>
      <w:r w:rsidRPr="009172BD">
        <w:rPr>
          <w:rFonts w:cs="FrankRuehl"/>
          <w:spacing w:val="-2"/>
          <w:sz w:val="18"/>
          <w:szCs w:val="22"/>
          <w:rtl/>
          <w:lang w:eastAsia="he-IL"/>
        </w:rPr>
        <w:t xml:space="preserve"> </w:t>
      </w:r>
      <w:r w:rsidRPr="009172BD">
        <w:rPr>
          <w:rFonts w:cs="FrankRuehl" w:hint="eastAsia"/>
          <w:spacing w:val="-2"/>
          <w:sz w:val="18"/>
          <w:szCs w:val="22"/>
          <w:rtl/>
          <w:lang w:eastAsia="he-IL"/>
        </w:rPr>
        <w:t>תכנון</w:t>
      </w:r>
      <w:r w:rsidRPr="009172BD">
        <w:rPr>
          <w:rFonts w:cs="FrankRuehl" w:hint="cs"/>
          <w:spacing w:val="-2"/>
          <w:sz w:val="18"/>
          <w:szCs w:val="22"/>
          <w:rtl/>
          <w:lang w:eastAsia="he-IL"/>
        </w:rPr>
        <w:t xml:space="preserve"> מוקדמים</w:t>
      </w:r>
      <w:r w:rsidRPr="009172BD">
        <w:rPr>
          <w:rFonts w:cs="FrankRuehl"/>
          <w:spacing w:val="-2"/>
          <w:sz w:val="18"/>
          <w:szCs w:val="22"/>
          <w:rtl/>
          <w:lang w:eastAsia="he-IL"/>
        </w:rPr>
        <w:t xml:space="preserve"> ע"י רמ"י ומשרד הבינוי, </w:t>
      </w:r>
      <w:r w:rsidRPr="009172BD">
        <w:rPr>
          <w:rFonts w:cs="FrankRuehl" w:hint="eastAsia"/>
          <w:spacing w:val="-2"/>
          <w:sz w:val="18"/>
          <w:szCs w:val="22"/>
          <w:rtl/>
          <w:lang w:eastAsia="he-IL"/>
        </w:rPr>
        <w:t>כ</w:t>
      </w:r>
      <w:r w:rsidRPr="009172BD">
        <w:rPr>
          <w:rFonts w:cs="FrankRuehl"/>
          <w:spacing w:val="-2"/>
          <w:sz w:val="18"/>
          <w:szCs w:val="22"/>
          <w:rtl/>
          <w:lang w:eastAsia="he-IL"/>
        </w:rPr>
        <w:t>-125,000</w:t>
      </w:r>
      <w:r w:rsidR="00FF71E2">
        <w:rPr>
          <w:rFonts w:cs="FrankRuehl" w:hint="cs"/>
          <w:spacing w:val="-2"/>
          <w:sz w:val="18"/>
          <w:szCs w:val="22"/>
          <w:rtl/>
          <w:lang w:eastAsia="he-IL"/>
        </w:rPr>
        <w:t xml:space="preserve"> יח"ד</w:t>
      </w:r>
      <w:r w:rsidRPr="009172BD">
        <w:rPr>
          <w:rFonts w:cs="FrankRuehl" w:hint="cs"/>
          <w:spacing w:val="-2"/>
          <w:sz w:val="18"/>
          <w:szCs w:val="22"/>
          <w:rtl/>
          <w:lang w:eastAsia="he-IL"/>
        </w:rPr>
        <w:t>. במוסדות התכנון היו</w:t>
      </w:r>
      <w:r w:rsidRPr="009172BD">
        <w:rPr>
          <w:rFonts w:cs="FrankRuehl"/>
          <w:spacing w:val="-2"/>
          <w:sz w:val="18"/>
          <w:szCs w:val="22"/>
          <w:rtl/>
          <w:lang w:eastAsia="he-IL"/>
        </w:rPr>
        <w:t xml:space="preserve"> </w:t>
      </w:r>
      <w:r w:rsidRPr="009172BD">
        <w:rPr>
          <w:rFonts w:cs="FrankRuehl" w:hint="eastAsia"/>
          <w:spacing w:val="-2"/>
          <w:sz w:val="18"/>
          <w:szCs w:val="22"/>
          <w:rtl/>
          <w:lang w:eastAsia="he-IL"/>
        </w:rPr>
        <w:t>כ</w:t>
      </w:r>
      <w:r w:rsidRPr="009172BD">
        <w:rPr>
          <w:rFonts w:cs="FrankRuehl"/>
          <w:spacing w:val="-2"/>
          <w:sz w:val="18"/>
          <w:szCs w:val="22"/>
          <w:rtl/>
          <w:lang w:eastAsia="he-IL"/>
        </w:rPr>
        <w:t xml:space="preserve">-136,000 </w:t>
      </w:r>
      <w:r w:rsidRPr="009172BD">
        <w:rPr>
          <w:rFonts w:cs="FrankRuehl" w:hint="eastAsia"/>
          <w:spacing w:val="-2"/>
          <w:sz w:val="18"/>
          <w:szCs w:val="22"/>
          <w:rtl/>
          <w:lang w:eastAsia="he-IL"/>
        </w:rPr>
        <w:t>יח</w:t>
      </w:r>
      <w:r w:rsidRPr="009172BD">
        <w:rPr>
          <w:rFonts w:cs="FrankRuehl"/>
          <w:spacing w:val="-2"/>
          <w:sz w:val="18"/>
          <w:szCs w:val="22"/>
          <w:rtl/>
          <w:lang w:eastAsia="he-IL"/>
        </w:rPr>
        <w:t xml:space="preserve">"ד </w:t>
      </w:r>
      <w:r w:rsidRPr="009172BD">
        <w:rPr>
          <w:rFonts w:cs="FrankRuehl" w:hint="eastAsia"/>
          <w:spacing w:val="-2"/>
          <w:sz w:val="18"/>
          <w:szCs w:val="22"/>
          <w:rtl/>
          <w:lang w:eastAsia="he-IL"/>
        </w:rPr>
        <w:t>בשלבי</w:t>
      </w:r>
      <w:r w:rsidRPr="009172BD">
        <w:rPr>
          <w:rFonts w:cs="FrankRuehl"/>
          <w:spacing w:val="-2"/>
          <w:sz w:val="18"/>
          <w:szCs w:val="22"/>
          <w:rtl/>
          <w:lang w:eastAsia="he-IL"/>
        </w:rPr>
        <w:t xml:space="preserve"> </w:t>
      </w:r>
      <w:r w:rsidRPr="009172BD">
        <w:rPr>
          <w:rFonts w:cs="FrankRuehl" w:hint="eastAsia"/>
          <w:spacing w:val="-2"/>
          <w:sz w:val="18"/>
          <w:szCs w:val="22"/>
          <w:rtl/>
          <w:lang w:eastAsia="he-IL"/>
        </w:rPr>
        <w:t>טיפול</w:t>
      </w:r>
      <w:r w:rsidRPr="009172BD">
        <w:rPr>
          <w:rFonts w:cs="FrankRuehl"/>
          <w:spacing w:val="-2"/>
          <w:sz w:val="18"/>
          <w:szCs w:val="22"/>
          <w:rtl/>
          <w:lang w:eastAsia="he-IL"/>
        </w:rPr>
        <w:t xml:space="preserve"> שונים</w:t>
      </w:r>
      <w:r w:rsidRPr="009172BD">
        <w:rPr>
          <w:rFonts w:cs="FrankRuehl" w:hint="cs"/>
          <w:spacing w:val="-2"/>
          <w:sz w:val="18"/>
          <w:szCs w:val="22"/>
          <w:rtl/>
          <w:lang w:eastAsia="he-IL"/>
        </w:rPr>
        <w:t xml:space="preserve"> ו</w:t>
      </w:r>
      <w:r w:rsidRPr="009172BD">
        <w:rPr>
          <w:rFonts w:cs="FrankRuehl" w:hint="eastAsia"/>
          <w:spacing w:val="-2"/>
          <w:sz w:val="18"/>
          <w:szCs w:val="22"/>
          <w:rtl/>
          <w:lang w:eastAsia="he-IL"/>
        </w:rPr>
        <w:t>כ</w:t>
      </w:r>
      <w:r w:rsidRPr="009172BD">
        <w:rPr>
          <w:rFonts w:cs="FrankRuehl"/>
          <w:spacing w:val="-2"/>
          <w:sz w:val="18"/>
          <w:szCs w:val="22"/>
          <w:rtl/>
          <w:lang w:eastAsia="he-IL"/>
        </w:rPr>
        <w:t xml:space="preserve">-50,000 </w:t>
      </w:r>
      <w:r w:rsidRPr="009172BD">
        <w:rPr>
          <w:rFonts w:cs="FrankRuehl" w:hint="eastAsia"/>
          <w:spacing w:val="-2"/>
          <w:sz w:val="18"/>
          <w:szCs w:val="22"/>
          <w:rtl/>
          <w:lang w:eastAsia="he-IL"/>
        </w:rPr>
        <w:t>יח</w:t>
      </w:r>
      <w:r w:rsidRPr="009172BD">
        <w:rPr>
          <w:rFonts w:cs="FrankRuehl"/>
          <w:spacing w:val="-2"/>
          <w:sz w:val="18"/>
          <w:szCs w:val="22"/>
          <w:rtl/>
          <w:lang w:eastAsia="he-IL"/>
        </w:rPr>
        <w:t xml:space="preserve">"ד </w:t>
      </w:r>
      <w:r w:rsidRPr="009172BD">
        <w:rPr>
          <w:rFonts w:cs="FrankRuehl" w:hint="cs"/>
          <w:spacing w:val="-2"/>
          <w:sz w:val="18"/>
          <w:szCs w:val="22"/>
          <w:rtl/>
          <w:lang w:eastAsia="he-IL"/>
        </w:rPr>
        <w:t xml:space="preserve">נוספים </w:t>
      </w:r>
      <w:r w:rsidRPr="009172BD">
        <w:rPr>
          <w:rFonts w:cs="FrankRuehl" w:hint="eastAsia"/>
          <w:spacing w:val="-2"/>
          <w:sz w:val="18"/>
          <w:szCs w:val="22"/>
          <w:rtl/>
          <w:lang w:eastAsia="he-IL"/>
        </w:rPr>
        <w:t>היו</w:t>
      </w:r>
      <w:r w:rsidRPr="009172BD">
        <w:rPr>
          <w:rFonts w:cs="FrankRuehl"/>
          <w:spacing w:val="-2"/>
          <w:sz w:val="18"/>
          <w:szCs w:val="22"/>
          <w:rtl/>
          <w:lang w:eastAsia="he-IL"/>
        </w:rPr>
        <w:t xml:space="preserve"> </w:t>
      </w:r>
      <w:r w:rsidRPr="009172BD">
        <w:rPr>
          <w:rFonts w:cs="FrankRuehl" w:hint="eastAsia"/>
          <w:spacing w:val="-2"/>
          <w:sz w:val="18"/>
          <w:szCs w:val="22"/>
          <w:rtl/>
          <w:lang w:eastAsia="he-IL"/>
        </w:rPr>
        <w:t>לקראת</w:t>
      </w:r>
      <w:r w:rsidRPr="009172BD">
        <w:rPr>
          <w:rFonts w:cs="FrankRuehl"/>
          <w:spacing w:val="-2"/>
          <w:sz w:val="18"/>
          <w:szCs w:val="22"/>
          <w:rtl/>
          <w:lang w:eastAsia="he-IL"/>
        </w:rPr>
        <w:t xml:space="preserve"> </w:t>
      </w:r>
      <w:r w:rsidRPr="009172BD">
        <w:rPr>
          <w:rFonts w:cs="FrankRuehl" w:hint="eastAsia"/>
          <w:spacing w:val="-2"/>
          <w:sz w:val="18"/>
          <w:szCs w:val="22"/>
          <w:rtl/>
          <w:lang w:eastAsia="he-IL"/>
        </w:rPr>
        <w:t>סיום</w:t>
      </w:r>
      <w:r w:rsidRPr="009172BD">
        <w:rPr>
          <w:rFonts w:cs="FrankRuehl"/>
          <w:spacing w:val="-2"/>
          <w:sz w:val="18"/>
          <w:szCs w:val="22"/>
          <w:rtl/>
          <w:lang w:eastAsia="he-IL"/>
        </w:rPr>
        <w:t xml:space="preserve"> </w:t>
      </w:r>
      <w:r w:rsidRPr="009172BD">
        <w:rPr>
          <w:rFonts w:cs="FrankRuehl" w:hint="eastAsia"/>
          <w:spacing w:val="-2"/>
          <w:sz w:val="18"/>
          <w:szCs w:val="22"/>
          <w:rtl/>
          <w:lang w:eastAsia="he-IL"/>
        </w:rPr>
        <w:t>ההליכים</w:t>
      </w:r>
      <w:r w:rsidRPr="009172BD">
        <w:rPr>
          <w:rFonts w:cs="FrankRuehl"/>
          <w:spacing w:val="-2"/>
          <w:sz w:val="18"/>
          <w:szCs w:val="22"/>
          <w:rtl/>
          <w:lang w:eastAsia="he-IL"/>
        </w:rPr>
        <w:t xml:space="preserve">, בשלבי </w:t>
      </w:r>
      <w:r w:rsidRPr="009172BD">
        <w:rPr>
          <w:rFonts w:cs="FrankRuehl" w:hint="eastAsia"/>
          <w:spacing w:val="-2"/>
          <w:sz w:val="18"/>
          <w:szCs w:val="22"/>
          <w:rtl/>
          <w:lang w:eastAsia="he-IL"/>
        </w:rPr>
        <w:t>קבלת</w:t>
      </w:r>
      <w:r w:rsidRPr="009172BD">
        <w:rPr>
          <w:rFonts w:cs="FrankRuehl"/>
          <w:spacing w:val="-2"/>
          <w:sz w:val="18"/>
          <w:szCs w:val="22"/>
          <w:rtl/>
          <w:lang w:eastAsia="he-IL"/>
        </w:rPr>
        <w:t xml:space="preserve"> </w:t>
      </w:r>
      <w:r w:rsidRPr="009172BD">
        <w:rPr>
          <w:rFonts w:cs="FrankRuehl" w:hint="eastAsia"/>
          <w:spacing w:val="-2"/>
          <w:sz w:val="18"/>
          <w:szCs w:val="22"/>
          <w:rtl/>
          <w:lang w:eastAsia="he-IL"/>
        </w:rPr>
        <w:t>תוקף</w:t>
      </w:r>
      <w:r w:rsidRPr="009172BD">
        <w:rPr>
          <w:rFonts w:cs="FrankRuehl"/>
          <w:spacing w:val="-2"/>
          <w:sz w:val="18"/>
          <w:szCs w:val="22"/>
          <w:rtl/>
          <w:lang w:eastAsia="he-IL"/>
        </w:rPr>
        <w:t xml:space="preserve"> (החל משלב הגשת תכנית </w:t>
      </w:r>
      <w:r w:rsidRPr="009172BD">
        <w:rPr>
          <w:rFonts w:cs="FrankRuehl" w:hint="eastAsia"/>
          <w:spacing w:val="-2"/>
          <w:sz w:val="18"/>
          <w:szCs w:val="22"/>
          <w:rtl/>
          <w:lang w:eastAsia="he-IL"/>
        </w:rPr>
        <w:t>לוועדה</w:t>
      </w:r>
      <w:r w:rsidRPr="009172BD">
        <w:rPr>
          <w:rFonts w:cs="FrankRuehl"/>
          <w:spacing w:val="-2"/>
          <w:sz w:val="18"/>
          <w:szCs w:val="22"/>
          <w:rtl/>
          <w:lang w:eastAsia="he-IL"/>
        </w:rPr>
        <w:t xml:space="preserve"> מקומית </w:t>
      </w:r>
      <w:r w:rsidRPr="009172BD">
        <w:rPr>
          <w:rFonts w:cs="FrankRuehl" w:hint="eastAsia"/>
          <w:spacing w:val="-2"/>
          <w:sz w:val="18"/>
          <w:szCs w:val="22"/>
          <w:rtl/>
          <w:lang w:eastAsia="he-IL"/>
        </w:rPr>
        <w:t>לצורכי</w:t>
      </w:r>
      <w:r w:rsidRPr="009172BD">
        <w:rPr>
          <w:rFonts w:cs="FrankRuehl"/>
          <w:spacing w:val="-2"/>
          <w:sz w:val="18"/>
          <w:szCs w:val="22"/>
          <w:rtl/>
          <w:lang w:eastAsia="he-IL"/>
        </w:rPr>
        <w:t xml:space="preserve"> </w:t>
      </w:r>
      <w:r w:rsidRPr="009172BD">
        <w:rPr>
          <w:rFonts w:cs="FrankRuehl" w:hint="eastAsia"/>
          <w:spacing w:val="-2"/>
          <w:sz w:val="18"/>
          <w:szCs w:val="22"/>
          <w:rtl/>
          <w:lang w:eastAsia="he-IL"/>
        </w:rPr>
        <w:t>רישום</w:t>
      </w:r>
      <w:r w:rsidRPr="009172BD">
        <w:rPr>
          <w:rFonts w:cs="FrankRuehl"/>
          <w:spacing w:val="-2"/>
          <w:sz w:val="18"/>
          <w:szCs w:val="22"/>
          <w:rtl/>
          <w:lang w:eastAsia="he-IL"/>
        </w:rPr>
        <w:t xml:space="preserve"> </w:t>
      </w:r>
      <w:r w:rsidRPr="009172BD">
        <w:rPr>
          <w:rFonts w:cs="FrankRuehl" w:hint="eastAsia"/>
          <w:spacing w:val="-2"/>
          <w:sz w:val="18"/>
          <w:szCs w:val="22"/>
          <w:rtl/>
          <w:lang w:eastAsia="he-IL"/>
        </w:rPr>
        <w:t>וכלה</w:t>
      </w:r>
      <w:r w:rsidRPr="009172BD">
        <w:rPr>
          <w:rFonts w:cs="FrankRuehl"/>
          <w:spacing w:val="-2"/>
          <w:sz w:val="18"/>
          <w:szCs w:val="22"/>
          <w:rtl/>
          <w:lang w:eastAsia="he-IL"/>
        </w:rPr>
        <w:t xml:space="preserve"> ברישום </w:t>
      </w:r>
      <w:r w:rsidRPr="009172BD">
        <w:rPr>
          <w:rFonts w:cs="FrankRuehl" w:hint="eastAsia"/>
          <w:spacing w:val="-2"/>
          <w:sz w:val="18"/>
          <w:szCs w:val="22"/>
          <w:rtl/>
          <w:lang w:eastAsia="he-IL"/>
        </w:rPr>
        <w:t>בלשכת</w:t>
      </w:r>
      <w:r w:rsidRPr="009172BD">
        <w:rPr>
          <w:rFonts w:cs="FrankRuehl"/>
          <w:spacing w:val="-2"/>
          <w:sz w:val="18"/>
          <w:szCs w:val="22"/>
          <w:rtl/>
          <w:lang w:eastAsia="he-IL"/>
        </w:rPr>
        <w:t xml:space="preserve"> רישום המקרקעין). </w:t>
      </w:r>
      <w:r w:rsidRPr="009172BD">
        <w:rPr>
          <w:rFonts w:cs="FrankRuehl" w:hint="cs"/>
          <w:spacing w:val="-2"/>
          <w:sz w:val="18"/>
          <w:szCs w:val="22"/>
          <w:rtl/>
          <w:lang w:eastAsia="he-IL"/>
        </w:rPr>
        <w:t xml:space="preserve">כלומר, העתודות למלאי התכנוני על מקרקעי ישראל מסתכמים בכ-311,000 יח"ד. כמות זו מספיקה לכחמש שנים על פי יעדי הממשלה מ-2010. אולם חלק ניכר מהן (כ-40%) מצויים עוד לפני השלב הסטטוטורי, ועל כן אישורם צפוי רק בעוד יותר מחמש שנים (ראו להלן בפרק על משך הליכי התכנון). יתר על כן, לא כל התכניות מאושרות בסופו של דבר. נתונים אלו מעוררים אפוא חשש שהיקף התכניות על מקרקעי ישראל אינו מספיק כדי לעמוד ביעדים למלאי התכנוני בשנים הקרובות. </w:t>
      </w:r>
    </w:p>
    <w:p w:rsidR="000B6EE0"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 xml:space="preserve">ישימותו של המלאי התכנוני וזמינותו לבנייה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בהוראות התכניות המפורטות שמוסדות התכנון מאשרים נקבעים לעתים קרובות התנאים למתן היתר בנייה וכן שלבי הביצוע של התכניות. לכן, חלק מיחידות הדיור שנוספו למלאי התכנוני אינן זמינות לבנייה בטווח הקצר. למרות זאת, אין מינהל התכנון מסווג את המידע הכמותי על יחידות הדיור על פי רמת זמינותן לבנייה (הנגזרת מהתנאים ומגורמים נוספים). </w:t>
      </w:r>
    </w:p>
    <w:p w:rsidR="00E97EDA" w:rsidRPr="00F41E78" w:rsidP="009172BD">
      <w:pPr>
        <w:spacing w:after="240" w:line="230" w:lineRule="exact"/>
        <w:jc w:val="both"/>
        <w:rPr>
          <w:rFonts w:cs="FrankRuehl"/>
          <w:sz w:val="18"/>
          <w:szCs w:val="22"/>
          <w:rtl/>
          <w:lang w:eastAsia="he-IL"/>
        </w:rPr>
      </w:pPr>
      <w:r w:rsidRPr="00F41E78">
        <w:rPr>
          <w:rFonts w:cs="FrankRuehl" w:hint="cs"/>
          <w:sz w:val="18"/>
          <w:szCs w:val="22"/>
          <w:rtl/>
          <w:lang w:eastAsia="he-IL"/>
        </w:rPr>
        <w:t>בביקורת נמצא כי רמ"י אמנם מציינת מהם החסמים המונעים את שיווקן של חלק מהקרקעות המתוכננות שבניהולה, אך אין בנמצא ניתוח כמותי כולל של מספר יחידות הדיור הזמינות לבנייה, של מספר יחידות הדיור שהקמתן מעוכבת ושל פריסתן הגאוגרפית.</w:t>
      </w:r>
    </w:p>
    <w:p w:rsidR="00D22B16" w:rsidRPr="00F41E78" w:rsidP="00D22B16">
      <w:pPr>
        <w:pStyle w:val="RESHET"/>
        <w:keepLines/>
        <w:rPr>
          <w:rtl/>
        </w:rPr>
      </w:pPr>
      <w:r w:rsidRPr="00F41E78">
        <w:rPr>
          <w:rFonts w:hint="cs"/>
          <w:rtl/>
        </w:rPr>
        <w:t xml:space="preserve">לדעת משרד מבקר המדינה, ניהול מערכת התכנון ותהליך קבלת ההחלטות על ייזום תכניות חדשות צריכים להתבסס על מידע בדבר זמינותו של המלאי התכנוני הקיים. משרד מבקר המדינה ממליץ למינהל התכנון לסווג את המידע הכמותי על יח"ד מאושרות, על פי רמת זמינותן לבנייה ולפי התקציבים הנלווים הדרושים, כדי לשפר את היכולת להסתמך עליהן כמקור מידע מהימן בעל משמעויות אופרטיביות. </w:t>
      </w:r>
    </w:p>
    <w:p w:rsidR="00E97EDA" w:rsidRPr="00CB33CD" w:rsidP="009172BD">
      <w:pPr>
        <w:spacing w:before="180" w:after="120" w:line="230" w:lineRule="exact"/>
        <w:jc w:val="both"/>
        <w:rPr>
          <w:szCs w:val="20"/>
          <w:rtl/>
          <w:lang w:eastAsia="he-IL"/>
        </w:rPr>
      </w:pPr>
      <w:r w:rsidRPr="00F41E78">
        <w:rPr>
          <w:rFonts w:cs="FrankRuehl" w:hint="cs"/>
          <w:sz w:val="18"/>
          <w:szCs w:val="22"/>
          <w:rtl/>
          <w:lang w:eastAsia="he-IL"/>
        </w:rPr>
        <w:t>בנייר עמדה של מכון דש"א</w:t>
      </w:r>
      <w:r>
        <w:rPr>
          <w:rFonts w:cs="FrankRuehl"/>
          <w:sz w:val="18"/>
          <w:szCs w:val="22"/>
          <w:vertAlign w:val="superscript"/>
          <w:rtl/>
          <w:lang w:eastAsia="he-IL"/>
        </w:rPr>
        <w:footnoteReference w:id="187"/>
      </w:r>
      <w:r w:rsidRPr="00F41E78">
        <w:rPr>
          <w:rFonts w:cs="FrankRuehl" w:hint="cs"/>
          <w:sz w:val="18"/>
          <w:szCs w:val="22"/>
          <w:rtl/>
          <w:lang w:eastAsia="he-IL"/>
        </w:rPr>
        <w:t xml:space="preserve"> מנובמבר 2010 נותחו החסמים המונעים את מימושן של תכניות מפורטות על קרקעות מדינה. הניתוח מבוסס על דוח עתודות קרקע של רמ"י משנת 2010 ומצביע על כך שבנוגע ל-50% מיחידות הדיור בתכניות המפורטות המאושרות ישנם חסמים והתניות המונעים את מימושן בטווח הקצר; חסמים כמו כשלים בשיווק, קושי לפנות פולשים, מחסור בתשתיות ביוב ותחבורה ועיכובים משפטיים (ראו להלן בפרק "שיווק קרקע למגורים").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בשנת 2012 חלה כאמור עלייה במספר יחידות הדיור שאישרו מוסדות התכנון לכדי 65,000. אולם אין נתון זה מלמד על מידת זמינותן לבנייה של יח"ד בתכניות מפורטות שאושרו, משום שהוראות התכניות כוללות כאמור תנאים למתן היתרי בנייה ושלבים לביצוע מדורג של התכניות.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משרד מבקר המדינה בדק הוראות של 30 מהתכניות המפורטות למגורים שאושרו בשנת 2012 כדי להעריך את מידת זמינותן של יחידות הדיור שאושרו במסגרתן (כ-47,000 יח"ד שהן כ-72% מכלל יחידות הדיור שאושרו באותה שנה). </w:t>
      </w:r>
    </w:p>
    <w:p w:rsidR="00E97EDA" w:rsidRPr="00F41E78" w:rsidP="009172BD">
      <w:pPr>
        <w:spacing w:after="240" w:line="230" w:lineRule="exact"/>
        <w:jc w:val="both"/>
        <w:rPr>
          <w:rFonts w:cs="FrankRuehl"/>
          <w:sz w:val="18"/>
          <w:szCs w:val="22"/>
          <w:rtl/>
          <w:lang w:eastAsia="he-IL"/>
        </w:rPr>
      </w:pPr>
      <w:r w:rsidRPr="00F41E78">
        <w:rPr>
          <w:rFonts w:cs="FrankRuehl" w:hint="cs"/>
          <w:sz w:val="18"/>
          <w:szCs w:val="22"/>
          <w:rtl/>
          <w:lang w:eastAsia="he-IL"/>
        </w:rPr>
        <w:t>נמצא כי בנוגע לכ-60% מיחידות הדיור בתכניות שנבדקו נקבעו בהוראות תנאים למתן היתרי בנייה שמימושם עלול להסתיים רק בעוד כמה שנים</w:t>
      </w:r>
      <w:r>
        <w:rPr>
          <w:rFonts w:cs="FrankRuehl"/>
          <w:sz w:val="18"/>
          <w:szCs w:val="22"/>
          <w:vertAlign w:val="superscript"/>
          <w:rtl/>
          <w:lang w:eastAsia="he-IL"/>
        </w:rPr>
        <w:footnoteReference w:id="188"/>
      </w:r>
      <w:r w:rsidRPr="00F41E78">
        <w:rPr>
          <w:rFonts w:cs="FrankRuehl" w:hint="cs"/>
          <w:sz w:val="18"/>
          <w:szCs w:val="22"/>
          <w:rtl/>
          <w:lang w:eastAsia="he-IL"/>
        </w:rPr>
        <w:t xml:space="preserve">. מדובר בתנאים כמו הקמת מתקנים לטיהור </w:t>
      </w:r>
      <w:r w:rsidR="009172BD">
        <w:rPr>
          <w:rFonts w:cs="FrankRuehl"/>
          <w:sz w:val="18"/>
          <w:szCs w:val="22"/>
          <w:lang w:eastAsia="he-IL"/>
        </w:rPr>
        <w:br/>
      </w:r>
      <w:r w:rsidRPr="00F41E78">
        <w:rPr>
          <w:rFonts w:cs="FrankRuehl" w:hint="cs"/>
          <w:sz w:val="18"/>
          <w:szCs w:val="22"/>
          <w:rtl/>
          <w:lang w:eastAsia="he-IL"/>
        </w:rPr>
        <w:t xml:space="preserve">מי-שופכין או הרחבתם של מתקנים קיימים, הרחבת כבישים, הקמת מחלפים או גשרים, ביצוע הפרדות בין כבישים למסילות ברזל, הקמת מבני חינוך ומבני ציבור והעתקת קווי מתח עליון. </w:t>
      </w:r>
    </w:p>
    <w:p w:rsidR="00D22B16" w:rsidRPr="00F41E78" w:rsidP="00D22B16">
      <w:pPr>
        <w:pStyle w:val="RESHET"/>
        <w:keepLines/>
        <w:rPr>
          <w:rtl/>
        </w:rPr>
      </w:pPr>
      <w:r w:rsidRPr="00F41E78">
        <w:rPr>
          <w:rFonts w:hint="cs"/>
          <w:rtl/>
        </w:rPr>
        <w:t>יוצא אפוא שחלק ניכר מהמלאי התכנוני הקיים בפועל בתכניות המפורטות המאושרות אינו מאפשר את הגמשת ההיצע בטווח הזמן הקצר. פירושו של הדבר שלא יהיו די קרקעות לשיווק והוצאת היתרי בנייה למספר גדול של יח"ד לא תהיה אפשרית. דהיינו, היעד שקבעה הממשלה להגדלת ההיצע בשוק הדיור לא יושג בטווח הקצר. במציאות כזאת לא יהיה אפשר לווסת את מחירי הדיור באמצעות שינוי בהיצע הדירות, ומגמת העלייה במחירי הדיור עלולה להימשך עוד זמן רב.</w:t>
      </w:r>
    </w:p>
    <w:p w:rsidR="00D22B16" w:rsidRPr="00F41E78" w:rsidP="00D22B16">
      <w:pPr>
        <w:pStyle w:val="RESHET"/>
        <w:keepLines/>
        <w:rPr>
          <w:rtl/>
        </w:rPr>
      </w:pPr>
      <w:r w:rsidRPr="00F41E78">
        <w:rPr>
          <w:rFonts w:hint="cs"/>
          <w:rtl/>
        </w:rPr>
        <w:t xml:space="preserve">יודגש כי כל עוד הנתונים הכמותיים על המלאי התכנוני אינם מסווגים על פי אופי התנאים הנקבעים בהוראות התכניות המפורטות, אין הם מציגים תמונה מלאה על זמינותו. תשתית עובדתית חלקית אינה מאפשרת ניהול מושכל של הליכי התכנון, ואף עלולה להביא לידי כשלים בשוק הדיור, לידי קושי במתן מענה לצורכי הדיור ולידי פגיעה ביכולתה של הממשלה לקבל החלטות מושכלות. </w:t>
      </w:r>
    </w:p>
    <w:p w:rsidR="00E97EDA" w:rsidRPr="00F41E78" w:rsidP="009172BD">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בתשובת משרד הפנים נמסר ממינהל התכנון כי הוא מנהל מעקב אחר תכנית עבודה שהוא הכין עם רמ"י ועם </w:t>
      </w:r>
      <w:r w:rsidR="00FF71E2">
        <w:rPr>
          <w:rFonts w:cs="FrankRuehl" w:hint="cs"/>
          <w:sz w:val="18"/>
          <w:szCs w:val="22"/>
          <w:rtl/>
          <w:lang w:eastAsia="he-IL"/>
        </w:rPr>
        <w:t>משרדי הבינוי</w:t>
      </w:r>
      <w:r w:rsidRPr="00F41E78">
        <w:rPr>
          <w:rFonts w:cs="FrankRuehl" w:hint="cs"/>
          <w:sz w:val="18"/>
          <w:szCs w:val="22"/>
          <w:rtl/>
          <w:lang w:eastAsia="he-IL"/>
        </w:rPr>
        <w:t xml:space="preserve"> והאוצר וכן בקרה על יישומה. המינהל הוסיף כי לצורך קידום תכנית העבודה מתכנס צוות אחת לחודש ופועל בשיתוף פעולה להסרת חסמים בהליכי התכנון והמימוש של תכניות גדולות למגורים.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מחוז מרכז ציין כי הוא ממליץ לבחון את החסמים הקיימים המונעים מימוש של תכניות ולא ליזום תכנון של קרקעות נוספות, משום שגם תכניות חדשות לא יהיו ישימות בשל אותם החסמים.</w:t>
      </w:r>
    </w:p>
    <w:p w:rsidR="00252FE5" w:rsidP="00A7557B">
      <w:pPr>
        <w:spacing w:after="120" w:line="230" w:lineRule="exact"/>
        <w:jc w:val="both"/>
        <w:rPr>
          <w:rFonts w:cs="FrankRuehl"/>
          <w:sz w:val="18"/>
          <w:szCs w:val="22"/>
          <w:rtl/>
          <w:lang w:eastAsia="he-IL"/>
        </w:rPr>
        <w:sectPr w:rsidSect="004A767A">
          <w:footnotePr>
            <w:numRestart w:val="eachSect"/>
          </w:footnotePr>
          <w:pgSz w:w="11906" w:h="16838" w:code="9"/>
          <w:pgMar w:top="1758" w:right="2552" w:bottom="4253" w:left="2552" w:header="1247" w:footer="1134" w:gutter="0"/>
          <w:cols w:space="720"/>
          <w:rtlGutter/>
        </w:sectPr>
      </w:pPr>
    </w:p>
    <w:p w:rsidR="00E97EDA" w:rsidRPr="00F41E78" w:rsidP="00A7557B">
      <w:pPr>
        <w:spacing w:after="120" w:line="230" w:lineRule="exact"/>
        <w:jc w:val="both"/>
        <w:rPr>
          <w:rFonts w:cs="FrankRuehl"/>
          <w:sz w:val="18"/>
          <w:szCs w:val="22"/>
          <w:rtl/>
          <w:lang w:eastAsia="he-IL"/>
        </w:rPr>
      </w:pPr>
    </w:p>
    <w:p w:rsidR="00252FE5" w:rsidP="00FF71E2">
      <w:pPr>
        <w:pStyle w:val="KOT2"/>
        <w:outlineLvl w:val="0"/>
        <w:sectPr w:rsidSect="00252FE5">
          <w:footnotePr>
            <w:numRestart w:val="eachSect"/>
          </w:footnotePr>
          <w:pgSz w:w="11906" w:h="16838" w:code="9"/>
          <w:pgMar w:top="1758" w:right="2552" w:bottom="4253" w:left="2552" w:header="1247" w:footer="1134" w:gutter="0"/>
          <w:cols w:space="720"/>
          <w:titlePg/>
          <w:rtlGutter/>
        </w:sectPr>
      </w:pPr>
    </w:p>
    <w:p w:rsidR="00E97EDA" w:rsidRPr="00CB33CD" w:rsidP="00FF71E2">
      <w:pPr>
        <w:pStyle w:val="KOT2"/>
        <w:outlineLvl w:val="0"/>
        <w:rPr>
          <w:rtl/>
        </w:rPr>
      </w:pPr>
      <w:r w:rsidRPr="00FF71E2">
        <w:rPr>
          <w:rFonts w:hint="cs"/>
          <w:b w:val="0"/>
          <w:bCs w:val="0"/>
          <w:sz w:val="28"/>
          <w:szCs w:val="28"/>
          <w:rtl/>
        </w:rPr>
        <w:t>פרק שלישי</w:t>
      </w:r>
      <w:r w:rsidRPr="00FF71E2">
        <w:rPr>
          <w:b w:val="0"/>
          <w:bCs w:val="0"/>
          <w:sz w:val="28"/>
          <w:szCs w:val="28"/>
          <w:rtl/>
        </w:rPr>
        <w:br/>
      </w:r>
      <w:r w:rsidRPr="00CB33CD">
        <w:rPr>
          <w:rFonts w:hint="cs"/>
          <w:rtl/>
        </w:rPr>
        <w:t>תכנון</w:t>
      </w:r>
      <w:r w:rsidRPr="00CB33CD">
        <w:rPr>
          <w:rtl/>
        </w:rPr>
        <w:t xml:space="preserve"> </w:t>
      </w:r>
      <w:r w:rsidRPr="00CB33CD">
        <w:rPr>
          <w:rFonts w:hint="cs"/>
          <w:rtl/>
        </w:rPr>
        <w:t>מפורט</w:t>
      </w:r>
      <w:r w:rsidRPr="00CB33CD">
        <w:rPr>
          <w:rtl/>
        </w:rPr>
        <w:t xml:space="preserve"> </w:t>
      </w:r>
      <w:r w:rsidRPr="00CB33CD">
        <w:rPr>
          <w:rFonts w:hint="cs"/>
          <w:rtl/>
        </w:rPr>
        <w:t>למגורים</w:t>
      </w:r>
      <w:r w:rsidRPr="00CB33CD">
        <w:rPr>
          <w:rtl/>
        </w:rPr>
        <w:t xml:space="preserve"> </w:t>
      </w:r>
      <w:r w:rsidRPr="00CB33CD">
        <w:rPr>
          <w:rFonts w:hint="cs"/>
          <w:rtl/>
        </w:rPr>
        <w:t>במקרקעי</w:t>
      </w:r>
      <w:r w:rsidRPr="00CB33CD">
        <w:rPr>
          <w:rtl/>
        </w:rPr>
        <w:t xml:space="preserve"> </w:t>
      </w:r>
      <w:r w:rsidRPr="00CB33CD">
        <w:rPr>
          <w:rFonts w:hint="cs"/>
          <w:rtl/>
        </w:rPr>
        <w:t>ישראל</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ייזום התכנון הוא הבסיס ליצירת מלאי תכנוני של מתחמי מגורים. ככל שייזום התכנון יהיה רחב יותר, כך יגדלו הסיכויים ליצור מלאי תכנוני גדול יותר לבנייה על מקרקעי ישראל ויתאפשר שיווק קרקעות לבנייה בכמות גדולה יותר. את רוב היזמות לתכנון מפורט של מקרקעי ישראל מעלים רמ"י, משרד הבינוי והרשויות המקומיות.</w:t>
      </w:r>
    </w:p>
    <w:p w:rsidR="000B6EE0" w:rsidRPr="00F41E78" w:rsidP="00A7557B">
      <w:pPr>
        <w:spacing w:after="120" w:line="230" w:lineRule="exact"/>
        <w:jc w:val="both"/>
        <w:rPr>
          <w:rFonts w:cs="FrankRuehl"/>
          <w:sz w:val="18"/>
          <w:szCs w:val="22"/>
          <w:rtl/>
          <w:lang w:eastAsia="he-IL"/>
        </w:rPr>
      </w:pPr>
    </w:p>
    <w:p w:rsidR="000B6EE0" w:rsidRPr="00F41E78" w:rsidP="00A7557B">
      <w:pPr>
        <w:spacing w:after="120" w:line="230" w:lineRule="exact"/>
        <w:jc w:val="both"/>
        <w:rPr>
          <w:rFonts w:cs="FrankRuehl"/>
          <w:sz w:val="18"/>
          <w:szCs w:val="22"/>
          <w:rtl/>
          <w:lang w:eastAsia="he-IL"/>
        </w:rPr>
      </w:pPr>
    </w:p>
    <w:p w:rsidR="00E97EDA" w:rsidRPr="00CB33CD" w:rsidP="00A7557B">
      <w:pPr>
        <w:pStyle w:val="KOT4"/>
        <w:rPr>
          <w:rtl/>
          <w:lang w:eastAsia="he-IL"/>
        </w:rPr>
      </w:pPr>
      <w:bookmarkStart w:id="36" w:name="_Toc368499932"/>
      <w:r w:rsidRPr="00CB33CD">
        <w:rPr>
          <w:rFonts w:hint="cs"/>
          <w:rtl/>
          <w:lang w:eastAsia="he-IL"/>
        </w:rPr>
        <w:t>ייזום התכנון</w:t>
      </w:r>
      <w:bookmarkEnd w:id="36"/>
      <w:r w:rsidRPr="00CB33CD">
        <w:rPr>
          <w:rFonts w:hint="cs"/>
          <w:rtl/>
          <w:lang w:eastAsia="he-IL"/>
        </w:rPr>
        <w:t xml:space="preserve"> על מקרקעי ישראל</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חוק רשות מקרקעי ישראל, התש"ך-1960 (להלן - חוק רשות מקרקעי ישראל), קובע כי "הממשלה תמנה מועצת מקרקעי ישראל, שתקבע את המדיניות הקרקעית שלפיה תפעל הרשות [רמ"י], תפקח על פעולות המינהל ותאשר הצעת תקציבה שייקבע בחוק".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במהלך השנים האחרונות, ובעיקר מאז שהממשלה אישרה את המלצות ועדת טרכטנברג בסוף 2011, התקבלו כמה החלטות ממשלה בנושאי תכנון מקרקעין למגורים. חלק מההחלטות כלליות, חלקן מופנות למוסדות התכנון וחלקן מגדירות יעדים ספציפיים לרמ"י.</w:t>
      </w:r>
    </w:p>
    <w:p w:rsidR="00E97EDA" w:rsidRPr="00F41E78" w:rsidP="009172BD">
      <w:pPr>
        <w:spacing w:after="240" w:line="230" w:lineRule="exact"/>
        <w:jc w:val="both"/>
        <w:rPr>
          <w:rFonts w:cs="FrankRuehl"/>
          <w:sz w:val="18"/>
          <w:szCs w:val="22"/>
          <w:rtl/>
          <w:lang w:eastAsia="he-IL"/>
        </w:rPr>
      </w:pPr>
      <w:r w:rsidRPr="00F41E78">
        <w:rPr>
          <w:rFonts w:cs="FrankRuehl" w:hint="cs"/>
          <w:sz w:val="18"/>
          <w:szCs w:val="22"/>
          <w:rtl/>
          <w:lang w:eastAsia="he-IL"/>
        </w:rPr>
        <w:t>החלטות אלו משקפות את המדיניות הממשלתית בנוגע לשוק הדיור וקבועים בהן הצעדים הנדרשים בהליכי ייזום התכנון ליח"ד למגורים.</w:t>
      </w:r>
    </w:p>
    <w:p w:rsidR="00D22B16" w:rsidRPr="00F41E78" w:rsidP="00D22B16">
      <w:pPr>
        <w:pStyle w:val="RESHET"/>
        <w:keepLines/>
        <w:rPr>
          <w:rtl/>
        </w:rPr>
      </w:pPr>
      <w:r w:rsidRPr="00F41E78">
        <w:rPr>
          <w:rFonts w:hint="cs"/>
          <w:rtl/>
        </w:rPr>
        <w:t>נמצא כי על אף החלטות הממשלה לא הגדירה מועצת מקרקעי ישראל את יעדי רמ"י בנוגע לייזום תכנון קרקעות למגורים. יתרה מזאת, המועצה אף לא דנה בהחלטות הממשלה הנוגעות ליעדי התכנון. כמו כן רמ"י לא העבירה לממשלה מידע מדויק שיאפשר קבלת החלטות וקביעת יעדים ריאליים, כפי שיפורט בהמשך.</w:t>
      </w:r>
    </w:p>
    <w:p w:rsidR="00D22B16" w:rsidRPr="00F41E78" w:rsidP="00D22B16">
      <w:pPr>
        <w:pStyle w:val="RESHET"/>
        <w:keepLines/>
        <w:rPr>
          <w:rtl/>
        </w:rPr>
      </w:pPr>
      <w:r w:rsidRPr="00F41E78">
        <w:rPr>
          <w:rFonts w:hint="cs"/>
          <w:rtl/>
        </w:rPr>
        <w:t xml:space="preserve">משרד מבקר המדינה מעיר כי בהינתן החלטות ממשלה הקובעות יעדים, מן הראוי היה שמועצת מקרקעי ישראל תתכנס ותיצוק תוכן יותר מפורט להחלטות אלו הנוגעות לייזום ולתכנון מגורים על קרקעות המדינה ותגדיר את היעדים הספציפיים של רמ"י. </w:t>
      </w:r>
    </w:p>
    <w:p w:rsidR="00D22B16" w:rsidRPr="00F41E78" w:rsidP="00D22B16">
      <w:pPr>
        <w:pStyle w:val="RESHET"/>
        <w:keepLines/>
        <w:rPr>
          <w:rtl/>
        </w:rPr>
      </w:pPr>
      <w:r w:rsidRPr="00F41E78">
        <w:rPr>
          <w:rFonts w:hint="cs"/>
          <w:rtl/>
        </w:rPr>
        <w:t>כמו כן, ראוי שרמ"י תמציא לממשלה מידע מדויק שיאפשר לקבוע בהחלטות ממשלה יעדים ריאליים התואמים למידע התכנוני המצוי בידי רמ"י.</w:t>
      </w:r>
    </w:p>
    <w:p w:rsidR="00E97EDA" w:rsidRPr="00F41E78" w:rsidP="009172BD">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היעדר הגדרה של יעדי ייזום תכנון קרקעות יפגע בעתיד במלאי התכנוני ובעקיפין יביא לידי מחסור בקרקע מתוכננת זמינה לשיווק. </w:t>
      </w:r>
    </w:p>
    <w:p w:rsidR="000B6EE0"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bookmarkStart w:id="37" w:name="_Toc368499934"/>
      <w:r w:rsidRPr="00CB33CD">
        <w:rPr>
          <w:rFonts w:hint="cs"/>
          <w:rtl/>
          <w:lang w:eastAsia="he-IL"/>
        </w:rPr>
        <w:t>הליך התכנון</w:t>
      </w:r>
      <w:bookmarkEnd w:id="37"/>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בשלב התכנון המקדמי של תכנית מפורטת, לפני הגשתה למוסדות התכנון, מטפל הגורם המתכנן (בדרך כלל רמ"י באמצעות חברות מתכננות או משרד הבינוי או הרשויות המקומיות). בשלב ראשון נבחנים ההיתכנות ומתן ההרשאות לתכנון, וזאת על פי המטרות והיעדים, בדיקת הבעלויות וכיוצא באלו. עם סיום שלב זה נקבעים פרוגרמה ומתווה תכנוני ראשוני, מוצעות חלופות לתכנון ונבחרת </w:t>
      </w:r>
      <w:r w:rsidRPr="00F41E78">
        <w:rPr>
          <w:rFonts w:cs="FrankRuehl" w:hint="cs"/>
          <w:sz w:val="18"/>
          <w:szCs w:val="22"/>
          <w:rtl/>
          <w:lang w:eastAsia="he-IL"/>
        </w:rPr>
        <w:t xml:space="preserve">החלופה המועדפת. אחר כך נערכים תיאום של מערכת התשתיות ותיאומים נדרשים נוספים ולאחריהם נערכים מסמכי התכנית. עם סיום השלב הזה מועברת התכנית למוסדות התכנון (באחריות משרד הפנים) לצורך קידומה.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לאחר סיום הטיפול במוסדות התכנון ופרסום התכנית ברשומות מוגשת התכנית לוועדה המקומית ומאושרת לצורכי רישום בלשכת רישום המקרקעין. בסיום שלבי התכנון, התכנית מועברת לרמ"י לצורך פיתוח הקרקע ושיווקה.</w:t>
      </w:r>
    </w:p>
    <w:p w:rsidR="00E97EDA"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bookmarkStart w:id="38" w:name="_Toc368499935"/>
      <w:r w:rsidRPr="00CB33CD">
        <w:rPr>
          <w:rFonts w:hint="cs"/>
          <w:rtl/>
          <w:lang w:eastAsia="he-IL"/>
        </w:rPr>
        <w:t>יעדי התכנון למגורים לשנים 2012-2007</w:t>
      </w:r>
      <w:bookmarkEnd w:id="38"/>
    </w:p>
    <w:p w:rsidR="00E97EDA" w:rsidRPr="00F41E78" w:rsidP="00632AE5">
      <w:pPr>
        <w:spacing w:after="120" w:line="230" w:lineRule="exact"/>
        <w:jc w:val="both"/>
        <w:rPr>
          <w:rFonts w:cs="FrankRuehl"/>
          <w:sz w:val="18"/>
          <w:szCs w:val="22"/>
          <w:rtl/>
          <w:lang w:eastAsia="he-IL"/>
        </w:rPr>
      </w:pPr>
      <w:r w:rsidRPr="00F41E78">
        <w:rPr>
          <w:rFonts w:cs="FrankRuehl" w:hint="cs"/>
          <w:sz w:val="18"/>
          <w:szCs w:val="22"/>
          <w:rtl/>
          <w:lang w:eastAsia="he-IL"/>
        </w:rPr>
        <w:t xml:space="preserve">כאמור, מלאי תכנוני זמין פירושו מספר יחידות הדיור הכלולות בתכניות מפורטות מאושרות החלות על קרקע הזמינה לשיווק ליזמים, כדי שאלו יוכלו, לאחר הזכייה במכרז, </w:t>
      </w:r>
      <w:r w:rsidR="00632AE5">
        <w:rPr>
          <w:rFonts w:cs="FrankRuehl" w:hint="cs"/>
          <w:sz w:val="18"/>
          <w:szCs w:val="22"/>
          <w:rtl/>
          <w:lang w:eastAsia="he-IL"/>
        </w:rPr>
        <w:t>לקבל</w:t>
      </w:r>
      <w:r w:rsidRPr="00F41E78">
        <w:rPr>
          <w:rFonts w:cs="FrankRuehl" w:hint="cs"/>
          <w:sz w:val="18"/>
          <w:szCs w:val="22"/>
          <w:rtl/>
          <w:lang w:eastAsia="he-IL"/>
        </w:rPr>
        <w:t xml:space="preserve"> היתרי בנייה </w:t>
      </w:r>
      <w:r w:rsidRPr="00F41E78">
        <w:rPr>
          <w:rFonts w:cs="FrankRuehl" w:hint="eastAsia"/>
          <w:sz w:val="18"/>
          <w:szCs w:val="22"/>
          <w:rtl/>
          <w:lang w:eastAsia="he-IL"/>
        </w:rPr>
        <w:t>מהוועדה</w:t>
      </w:r>
      <w:r w:rsidRPr="00F41E78">
        <w:rPr>
          <w:rFonts w:cs="FrankRuehl"/>
          <w:sz w:val="18"/>
          <w:szCs w:val="22"/>
          <w:rtl/>
          <w:lang w:eastAsia="he-IL"/>
        </w:rPr>
        <w:t xml:space="preserve"> </w:t>
      </w:r>
      <w:r w:rsidRPr="00F41E78">
        <w:rPr>
          <w:rFonts w:cs="FrankRuehl" w:hint="eastAsia"/>
          <w:sz w:val="18"/>
          <w:szCs w:val="22"/>
          <w:rtl/>
          <w:lang w:eastAsia="he-IL"/>
        </w:rPr>
        <w:t>המקומית</w:t>
      </w:r>
      <w:r w:rsidRPr="00F41E78">
        <w:rPr>
          <w:rFonts w:cs="FrankRuehl" w:hint="cs"/>
          <w:sz w:val="18"/>
          <w:szCs w:val="22"/>
          <w:rtl/>
          <w:lang w:eastAsia="he-IL"/>
        </w:rPr>
        <w:t>. יצירת מלאי תכנוני זמין, בפריסה התואמת את הביקוש ואת מדיניות הממשלה, היא תנאי הכרחי לעמידה בביקושים לקרקע, לשמירה על יציבות מחירי הדיור ולהתמודדות עם ביקושים בלתי צפויים.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ככל שהמלאי התכנוני הזמין יגדל, כך יתאפשר לשווק באופן מבוקר קרקעות למגורים, על פי הצרכים, ואף להשפיע על רמת מחירי הדיור.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על פי תחזיות שהוכנו במסגרת תמ"א 35 נדרשת למשק תוספת של כ-45,000 יח"ד</w:t>
      </w:r>
      <w:r w:rsidRPr="00F41E78">
        <w:rPr>
          <w:rFonts w:cs="FrankRuehl" w:hint="cs"/>
          <w:b/>
          <w:bCs/>
          <w:sz w:val="18"/>
          <w:szCs w:val="22"/>
          <w:rtl/>
          <w:lang w:eastAsia="he-IL"/>
        </w:rPr>
        <w:t xml:space="preserve"> </w:t>
      </w:r>
      <w:r w:rsidRPr="00F41E78">
        <w:rPr>
          <w:rFonts w:cs="FrankRuehl" w:hint="cs"/>
          <w:sz w:val="18"/>
          <w:szCs w:val="22"/>
          <w:rtl/>
          <w:lang w:eastAsia="he-IL"/>
        </w:rPr>
        <w:t xml:space="preserve">חדשות בממוצע לשנה. על בסיס צפי זה נבנתה התכנית התלת-שנתית המשותפת למינהל התכנון, לרמ"י ולמשרד האוצר, לשנים 2007-2005. </w:t>
      </w:r>
    </w:p>
    <w:p w:rsidR="00E97EDA" w:rsidRPr="00CB33CD" w:rsidP="00A7557B">
      <w:pPr>
        <w:spacing w:after="120" w:line="230" w:lineRule="exact"/>
        <w:jc w:val="both"/>
        <w:rPr>
          <w:szCs w:val="20"/>
          <w:rtl/>
          <w:lang w:eastAsia="he-IL"/>
        </w:rPr>
      </w:pPr>
      <w:r w:rsidRPr="00F41E78">
        <w:rPr>
          <w:rFonts w:cs="FrankRuehl" w:hint="cs"/>
          <w:sz w:val="18"/>
          <w:szCs w:val="22"/>
          <w:rtl/>
          <w:lang w:eastAsia="he-IL"/>
        </w:rPr>
        <w:t>יעדי התכנית התלת-שנתית היו גבוהים מהצפי המוערך בתמ"א 35, משום שהם התבססו על ההנחה שיש ליצור מלאי תכנוני זמין בהיקף גדול מהתחזיות. לפיכך, הוגדר יעד חדש - אישור לכ-75,000 יח"ד לשנה בתכניות מפורטות בשנים 2007-2006 ולכ-50,000 יח"ד בשנת 2008</w:t>
      </w:r>
      <w:r>
        <w:rPr>
          <w:rFonts w:cs="FrankRuehl"/>
          <w:sz w:val="18"/>
          <w:szCs w:val="22"/>
          <w:vertAlign w:val="superscript"/>
          <w:rtl/>
          <w:lang w:eastAsia="he-IL"/>
        </w:rPr>
        <w:footnoteReference w:id="189"/>
      </w:r>
      <w:r w:rsidRPr="00F41E78">
        <w:rPr>
          <w:rFonts w:cs="FrankRuehl" w:hint="cs"/>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eastAsia"/>
          <w:sz w:val="18"/>
          <w:szCs w:val="22"/>
          <w:rtl/>
          <w:lang w:eastAsia="he-IL"/>
        </w:rPr>
        <w:t>במאי</w:t>
      </w:r>
      <w:r w:rsidRPr="00F41E78">
        <w:rPr>
          <w:rFonts w:cs="FrankRuehl"/>
          <w:sz w:val="18"/>
          <w:szCs w:val="22"/>
          <w:rtl/>
          <w:lang w:eastAsia="he-IL"/>
        </w:rPr>
        <w:t xml:space="preserve"> 2009 </w:t>
      </w:r>
      <w:r w:rsidRPr="00F41E78">
        <w:rPr>
          <w:rFonts w:cs="FrankRuehl" w:hint="eastAsia"/>
          <w:sz w:val="18"/>
          <w:szCs w:val="22"/>
          <w:rtl/>
          <w:lang w:eastAsia="he-IL"/>
        </w:rPr>
        <w:t>החליטה</w:t>
      </w:r>
      <w:r w:rsidRPr="00F41E78">
        <w:rPr>
          <w:rFonts w:cs="FrankRuehl"/>
          <w:sz w:val="18"/>
          <w:szCs w:val="22"/>
          <w:rtl/>
          <w:lang w:eastAsia="he-IL"/>
        </w:rPr>
        <w:t xml:space="preserve"> </w:t>
      </w:r>
      <w:r w:rsidRPr="00F41E78">
        <w:rPr>
          <w:rFonts w:cs="FrankRuehl" w:hint="eastAsia"/>
          <w:sz w:val="18"/>
          <w:szCs w:val="22"/>
          <w:rtl/>
          <w:lang w:eastAsia="he-IL"/>
        </w:rPr>
        <w:t>הממשלה</w:t>
      </w:r>
      <w:r w:rsidRPr="00F41E78">
        <w:rPr>
          <w:rFonts w:cs="FrankRuehl" w:hint="cs"/>
          <w:sz w:val="18"/>
          <w:szCs w:val="22"/>
          <w:rtl/>
          <w:lang w:eastAsia="he-IL"/>
        </w:rPr>
        <w:t xml:space="preserve"> (בהחלטה מס' 123)</w:t>
      </w:r>
      <w:r w:rsidRPr="00F41E78">
        <w:rPr>
          <w:rFonts w:cs="FrankRuehl"/>
          <w:sz w:val="18"/>
          <w:szCs w:val="22"/>
          <w:rtl/>
          <w:lang w:eastAsia="he-IL"/>
        </w:rPr>
        <w:t xml:space="preserve"> </w:t>
      </w:r>
      <w:r w:rsidRPr="00F41E78">
        <w:rPr>
          <w:rFonts w:cs="FrankRuehl" w:hint="eastAsia"/>
          <w:sz w:val="18"/>
          <w:szCs w:val="22"/>
          <w:rtl/>
          <w:lang w:eastAsia="he-IL"/>
        </w:rPr>
        <w:t>כאמור</w:t>
      </w:r>
      <w:r w:rsidRPr="00F41E78">
        <w:rPr>
          <w:rFonts w:cs="FrankRuehl"/>
          <w:sz w:val="18"/>
          <w:szCs w:val="22"/>
          <w:rtl/>
          <w:lang w:eastAsia="he-IL"/>
        </w:rPr>
        <w:t xml:space="preserve"> להטיל על שר הפנים לקבוע יעדים כמותיים למוסדות התכנון </w:t>
      </w:r>
      <w:r w:rsidRPr="00F41E78">
        <w:rPr>
          <w:rFonts w:cs="FrankRuehl" w:hint="cs"/>
          <w:sz w:val="18"/>
          <w:szCs w:val="22"/>
          <w:rtl/>
          <w:lang w:eastAsia="he-IL"/>
        </w:rPr>
        <w:t>לצורך</w:t>
      </w:r>
      <w:r w:rsidRPr="00F41E78">
        <w:rPr>
          <w:rFonts w:cs="FrankRuehl"/>
          <w:sz w:val="18"/>
          <w:szCs w:val="22"/>
          <w:rtl/>
          <w:lang w:eastAsia="he-IL"/>
        </w:rPr>
        <w:t xml:space="preserve"> ש</w:t>
      </w:r>
      <w:r w:rsidRPr="00F41E78">
        <w:rPr>
          <w:rFonts w:cs="FrankRuehl" w:hint="cs"/>
          <w:sz w:val="18"/>
          <w:szCs w:val="22"/>
          <w:rtl/>
          <w:lang w:eastAsia="he-IL"/>
        </w:rPr>
        <w:t>י</w:t>
      </w:r>
      <w:r w:rsidRPr="00F41E78">
        <w:rPr>
          <w:rFonts w:cs="FrankRuehl" w:hint="eastAsia"/>
          <w:sz w:val="18"/>
          <w:szCs w:val="22"/>
          <w:rtl/>
          <w:lang w:eastAsia="he-IL"/>
        </w:rPr>
        <w:t>ווק</w:t>
      </w:r>
      <w:r w:rsidRPr="00F41E78">
        <w:rPr>
          <w:rFonts w:cs="FrankRuehl" w:hint="cs"/>
          <w:sz w:val="18"/>
          <w:szCs w:val="22"/>
          <w:rtl/>
          <w:lang w:eastAsia="he-IL"/>
        </w:rPr>
        <w:t>ו של</w:t>
      </w:r>
      <w:r w:rsidRPr="00F41E78">
        <w:rPr>
          <w:rFonts w:cs="FrankRuehl"/>
          <w:sz w:val="18"/>
          <w:szCs w:val="22"/>
          <w:rtl/>
          <w:lang w:eastAsia="he-IL"/>
        </w:rPr>
        <w:t xml:space="preserve"> לפחות 35,000 יחידות דיור בשנה.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בהמשך להחלטה זו קבעה הממשלה (בהחלטה מס' 2019), ביולי 2010, יעדים כמותיים לאישור יח"ד במחוזות השונים. לפי יעדים אלו יש לאשר בכל הארץ</w:t>
      </w:r>
      <w:r>
        <w:rPr>
          <w:rFonts w:cs="FrankRuehl"/>
          <w:sz w:val="18"/>
          <w:szCs w:val="22"/>
          <w:vertAlign w:val="superscript"/>
          <w:rtl/>
          <w:lang w:eastAsia="he-IL"/>
        </w:rPr>
        <w:footnoteReference w:id="190"/>
      </w:r>
      <w:r w:rsidRPr="00F41E78">
        <w:rPr>
          <w:rFonts w:cs="FrankRuehl" w:hint="cs"/>
          <w:sz w:val="18"/>
          <w:szCs w:val="22"/>
          <w:rtl/>
          <w:lang w:eastAsia="he-IL"/>
        </w:rPr>
        <w:t xml:space="preserve"> ומדי שנה (עד 2020) לפחות 60,000 יח"ד, דהיינו כ-50% יותר מסך יחידות הדיור הנדרשות למשק מדי שנה. </w:t>
      </w:r>
    </w:p>
    <w:p w:rsidR="00E97EDA" w:rsidRPr="00CB33CD" w:rsidP="009172BD">
      <w:pPr>
        <w:spacing w:after="240" w:line="230" w:lineRule="exact"/>
        <w:jc w:val="both"/>
        <w:rPr>
          <w:szCs w:val="20"/>
          <w:rtl/>
          <w:lang w:eastAsia="he-IL"/>
        </w:rPr>
      </w:pPr>
      <w:r w:rsidRPr="00F41E78">
        <w:rPr>
          <w:rFonts w:cs="FrankRuehl" w:hint="cs"/>
          <w:sz w:val="18"/>
          <w:szCs w:val="22"/>
          <w:rtl/>
          <w:lang w:eastAsia="he-IL"/>
        </w:rPr>
        <w:t xml:space="preserve">בהחלטת ממשלה ממרץ 2012 (החלטה מס' 4429) נקבע כי על רמ"י ועל משרד הבינוי לתכנן </w:t>
      </w:r>
      <w:r w:rsidR="009172BD">
        <w:rPr>
          <w:rFonts w:cs="FrankRuehl"/>
          <w:sz w:val="18"/>
          <w:szCs w:val="22"/>
          <w:lang w:eastAsia="he-IL"/>
        </w:rPr>
        <w:br/>
      </w:r>
      <w:r w:rsidRPr="00F41E78">
        <w:rPr>
          <w:rFonts w:cs="FrankRuehl" w:hint="cs"/>
          <w:sz w:val="18"/>
          <w:szCs w:val="22"/>
          <w:rtl/>
          <w:lang w:eastAsia="he-IL"/>
        </w:rPr>
        <w:t>כ-200,000 יח"ד בשנים 2016-2012 על פי חלוקה למחוזות (לרבות ייזום התכנון ואישור התכניות במוסדות התכנון), ושיעור נפל יחידות הדיור המאושרות לא יעלה על 10% מהיעדים האמורים. בשנת 2012 הועמד היעד על 20,800 יח"ד.</w:t>
      </w:r>
    </w:p>
    <w:p w:rsidR="00D22B16" w:rsidRPr="00F41E78" w:rsidP="00D22B16">
      <w:pPr>
        <w:pStyle w:val="RESHET"/>
        <w:keepLines/>
        <w:rPr>
          <w:rtl/>
        </w:rPr>
      </w:pPr>
      <w:r w:rsidRPr="00F41E78">
        <w:rPr>
          <w:rFonts w:hint="cs"/>
          <w:rtl/>
        </w:rPr>
        <w:t>נמצא אפוא כי</w:t>
      </w:r>
      <w:r w:rsidRPr="00F41E78">
        <w:rPr>
          <w:rtl/>
        </w:rPr>
        <w:t xml:space="preserve"> החלטות הממשלה עד </w:t>
      </w:r>
      <w:r w:rsidRPr="00F41E78">
        <w:rPr>
          <w:rFonts w:hint="cs"/>
          <w:rtl/>
        </w:rPr>
        <w:t>2012 לא הגדירו לרמ"י ולמשרד הבינוי יעדים ספציפיים לייזום התכנון. מועצת מקרקעי ישראל מצידה לא יזמה תרגום החלטות הממשלה להחלטות מעשיות הכוללות יעדי התכנון הנדרשים.</w:t>
      </w:r>
    </w:p>
    <w:p w:rsidR="00E97EDA"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bookmarkStart w:id="39" w:name="_Toc368499936"/>
      <w:r w:rsidRPr="00CB33CD">
        <w:rPr>
          <w:rFonts w:hint="cs"/>
          <w:rtl/>
          <w:lang w:eastAsia="he-IL"/>
        </w:rPr>
        <w:t>הרשאות לתכנון</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הרשאות</w:t>
      </w:r>
      <w:r w:rsidRPr="00F41E78">
        <w:rPr>
          <w:rFonts w:cs="FrankRuehl"/>
          <w:sz w:val="18"/>
          <w:szCs w:val="22"/>
          <w:rtl/>
          <w:lang w:eastAsia="he-IL"/>
        </w:rPr>
        <w:t xml:space="preserve"> </w:t>
      </w:r>
      <w:r w:rsidRPr="00F41E78">
        <w:rPr>
          <w:rFonts w:cs="FrankRuehl" w:hint="cs"/>
          <w:sz w:val="18"/>
          <w:szCs w:val="22"/>
          <w:rtl/>
          <w:lang w:eastAsia="he-IL"/>
        </w:rPr>
        <w:t>לתכנון</w:t>
      </w:r>
      <w:r w:rsidRPr="00F41E78">
        <w:rPr>
          <w:rFonts w:cs="FrankRuehl"/>
          <w:sz w:val="18"/>
          <w:szCs w:val="22"/>
          <w:rtl/>
          <w:lang w:eastAsia="he-IL"/>
        </w:rPr>
        <w:t xml:space="preserve"> </w:t>
      </w:r>
      <w:r w:rsidRPr="00F41E78">
        <w:rPr>
          <w:rFonts w:cs="FrankRuehl" w:hint="cs"/>
          <w:sz w:val="18"/>
          <w:szCs w:val="22"/>
          <w:rtl/>
          <w:lang w:eastAsia="he-IL"/>
        </w:rPr>
        <w:t>ניתנות</w:t>
      </w:r>
      <w:r w:rsidRPr="00F41E78">
        <w:rPr>
          <w:rFonts w:cs="FrankRuehl"/>
          <w:sz w:val="18"/>
          <w:szCs w:val="22"/>
          <w:rtl/>
          <w:lang w:eastAsia="he-IL"/>
        </w:rPr>
        <w:t xml:space="preserve"> </w:t>
      </w:r>
      <w:r w:rsidRPr="00F41E78">
        <w:rPr>
          <w:rFonts w:cs="FrankRuehl" w:hint="cs"/>
          <w:sz w:val="18"/>
          <w:szCs w:val="22"/>
          <w:rtl/>
          <w:lang w:eastAsia="he-IL"/>
        </w:rPr>
        <w:t>על</w:t>
      </w:r>
      <w:r w:rsidRPr="00F41E78">
        <w:rPr>
          <w:rFonts w:cs="FrankRuehl"/>
          <w:sz w:val="18"/>
          <w:szCs w:val="22"/>
          <w:rtl/>
          <w:lang w:eastAsia="he-IL"/>
        </w:rPr>
        <w:t xml:space="preserve"> </w:t>
      </w:r>
      <w:r w:rsidRPr="00F41E78">
        <w:rPr>
          <w:rFonts w:cs="FrankRuehl" w:hint="cs"/>
          <w:sz w:val="18"/>
          <w:szCs w:val="22"/>
          <w:rtl/>
          <w:lang w:eastAsia="he-IL"/>
        </w:rPr>
        <w:t>ידי</w:t>
      </w:r>
      <w:r w:rsidRPr="00F41E78">
        <w:rPr>
          <w:rFonts w:cs="FrankRuehl"/>
          <w:sz w:val="18"/>
          <w:szCs w:val="22"/>
          <w:rtl/>
          <w:lang w:eastAsia="he-IL"/>
        </w:rPr>
        <w:t xml:space="preserve"> </w:t>
      </w:r>
      <w:r w:rsidRPr="00F41E78">
        <w:rPr>
          <w:rFonts w:cs="FrankRuehl" w:hint="cs"/>
          <w:sz w:val="18"/>
          <w:szCs w:val="22"/>
          <w:rtl/>
          <w:lang w:eastAsia="he-IL"/>
        </w:rPr>
        <w:t>רמ</w:t>
      </w:r>
      <w:r w:rsidRPr="00F41E78">
        <w:rPr>
          <w:rFonts w:cs="FrankRuehl"/>
          <w:sz w:val="18"/>
          <w:szCs w:val="22"/>
          <w:rtl/>
          <w:lang w:eastAsia="he-IL"/>
        </w:rPr>
        <w:t xml:space="preserve">"י </w:t>
      </w:r>
      <w:r w:rsidRPr="00F41E78">
        <w:rPr>
          <w:rFonts w:cs="FrankRuehl" w:hint="cs"/>
          <w:sz w:val="18"/>
          <w:szCs w:val="22"/>
          <w:rtl/>
          <w:lang w:eastAsia="he-IL"/>
        </w:rPr>
        <w:t>והן</w:t>
      </w:r>
      <w:r w:rsidRPr="00F41E78">
        <w:rPr>
          <w:rFonts w:cs="FrankRuehl"/>
          <w:sz w:val="18"/>
          <w:szCs w:val="22"/>
          <w:rtl/>
          <w:lang w:eastAsia="he-IL"/>
        </w:rPr>
        <w:t xml:space="preserve"> </w:t>
      </w:r>
      <w:r w:rsidRPr="00F41E78">
        <w:rPr>
          <w:rFonts w:cs="FrankRuehl" w:hint="cs"/>
          <w:sz w:val="18"/>
          <w:szCs w:val="22"/>
          <w:rtl/>
          <w:lang w:eastAsia="he-IL"/>
        </w:rPr>
        <w:t>השלב</w:t>
      </w:r>
      <w:r w:rsidRPr="00F41E78">
        <w:rPr>
          <w:rFonts w:cs="FrankRuehl"/>
          <w:sz w:val="18"/>
          <w:szCs w:val="22"/>
          <w:rtl/>
          <w:lang w:eastAsia="he-IL"/>
        </w:rPr>
        <w:t xml:space="preserve"> </w:t>
      </w:r>
      <w:r w:rsidRPr="00F41E78">
        <w:rPr>
          <w:rFonts w:cs="FrankRuehl" w:hint="cs"/>
          <w:sz w:val="18"/>
          <w:szCs w:val="22"/>
          <w:rtl/>
          <w:lang w:eastAsia="he-IL"/>
        </w:rPr>
        <w:t>הראשון</w:t>
      </w:r>
      <w:r w:rsidRPr="00F41E78">
        <w:rPr>
          <w:rFonts w:cs="FrankRuehl"/>
          <w:sz w:val="18"/>
          <w:szCs w:val="22"/>
          <w:rtl/>
          <w:lang w:eastAsia="he-IL"/>
        </w:rPr>
        <w:t xml:space="preserve"> </w:t>
      </w:r>
      <w:r w:rsidRPr="00F41E78">
        <w:rPr>
          <w:rFonts w:cs="FrankRuehl" w:hint="cs"/>
          <w:sz w:val="18"/>
          <w:szCs w:val="22"/>
          <w:rtl/>
          <w:lang w:eastAsia="he-IL"/>
        </w:rPr>
        <w:t>בתהליך</w:t>
      </w:r>
      <w:r w:rsidRPr="00F41E78">
        <w:rPr>
          <w:rFonts w:cs="FrankRuehl"/>
          <w:sz w:val="18"/>
          <w:szCs w:val="22"/>
          <w:rtl/>
          <w:lang w:eastAsia="he-IL"/>
        </w:rPr>
        <w:t xml:space="preserve"> </w:t>
      </w:r>
      <w:r w:rsidRPr="00F41E78">
        <w:rPr>
          <w:rFonts w:cs="FrankRuehl" w:hint="cs"/>
          <w:sz w:val="18"/>
          <w:szCs w:val="22"/>
          <w:rtl/>
          <w:lang w:eastAsia="he-IL"/>
        </w:rPr>
        <w:t>יצירת</w:t>
      </w:r>
      <w:r w:rsidRPr="00F41E78">
        <w:rPr>
          <w:rFonts w:cs="FrankRuehl"/>
          <w:sz w:val="18"/>
          <w:szCs w:val="22"/>
          <w:rtl/>
          <w:lang w:eastAsia="he-IL"/>
        </w:rPr>
        <w:t xml:space="preserve"> </w:t>
      </w:r>
      <w:r w:rsidRPr="00F41E78">
        <w:rPr>
          <w:rFonts w:cs="FrankRuehl" w:hint="cs"/>
          <w:sz w:val="18"/>
          <w:szCs w:val="22"/>
          <w:rtl/>
          <w:lang w:eastAsia="he-IL"/>
        </w:rPr>
        <w:t>מלאי</w:t>
      </w:r>
      <w:r w:rsidRPr="00F41E78">
        <w:rPr>
          <w:rFonts w:cs="FrankRuehl"/>
          <w:sz w:val="18"/>
          <w:szCs w:val="22"/>
          <w:rtl/>
          <w:lang w:eastAsia="he-IL"/>
        </w:rPr>
        <w:t xml:space="preserve"> </w:t>
      </w:r>
      <w:r w:rsidRPr="00F41E78">
        <w:rPr>
          <w:rFonts w:cs="FrankRuehl" w:hint="cs"/>
          <w:sz w:val="18"/>
          <w:szCs w:val="22"/>
          <w:rtl/>
          <w:lang w:eastAsia="he-IL"/>
        </w:rPr>
        <w:t>תכנוני</w:t>
      </w:r>
      <w:r w:rsidRPr="00F41E78">
        <w:rPr>
          <w:rFonts w:cs="FrankRuehl"/>
          <w:sz w:val="18"/>
          <w:szCs w:val="22"/>
          <w:rtl/>
          <w:lang w:eastAsia="he-IL"/>
        </w:rPr>
        <w:t xml:space="preserve"> </w:t>
      </w:r>
      <w:r w:rsidRPr="00F41E78">
        <w:rPr>
          <w:rFonts w:cs="FrankRuehl" w:hint="cs"/>
          <w:sz w:val="18"/>
          <w:szCs w:val="22"/>
          <w:rtl/>
          <w:lang w:eastAsia="he-IL"/>
        </w:rPr>
        <w:t>למגורים</w:t>
      </w:r>
      <w:r w:rsidRPr="00F41E78">
        <w:rPr>
          <w:rFonts w:cs="FrankRuehl"/>
          <w:sz w:val="18"/>
          <w:szCs w:val="22"/>
          <w:rtl/>
          <w:lang w:eastAsia="he-IL"/>
        </w:rPr>
        <w:t xml:space="preserve"> </w:t>
      </w:r>
      <w:r w:rsidRPr="00F41E78">
        <w:rPr>
          <w:rFonts w:cs="FrankRuehl" w:hint="cs"/>
          <w:sz w:val="18"/>
          <w:szCs w:val="22"/>
          <w:rtl/>
          <w:lang w:eastAsia="he-IL"/>
        </w:rPr>
        <w:t>במקרקעי</w:t>
      </w:r>
      <w:r w:rsidRPr="00F41E78">
        <w:rPr>
          <w:rFonts w:cs="FrankRuehl"/>
          <w:sz w:val="18"/>
          <w:szCs w:val="22"/>
          <w:rtl/>
          <w:lang w:eastAsia="he-IL"/>
        </w:rPr>
        <w:t xml:space="preserve"> </w:t>
      </w:r>
      <w:r w:rsidRPr="00F41E78">
        <w:rPr>
          <w:rFonts w:cs="FrankRuehl" w:hint="cs"/>
          <w:sz w:val="18"/>
          <w:szCs w:val="22"/>
          <w:rtl/>
          <w:lang w:eastAsia="he-IL"/>
        </w:rPr>
        <w:t>ישראל.</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bookmarkStart w:id="40" w:name="_Toc368499938"/>
      <w:bookmarkEnd w:id="39"/>
      <w:r w:rsidRPr="00CB33CD">
        <w:rPr>
          <w:rFonts w:hint="cs"/>
          <w:rtl/>
          <w:lang w:eastAsia="he-IL"/>
        </w:rPr>
        <w:t>הרשאות לתכנון שניתנו בשנים 2012-2007</w:t>
      </w:r>
      <w:bookmarkEnd w:id="40"/>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רמ"י מנהלת את מלאי הקרקעות ונותנת הרשאות לתכנון למשרד הבינוי, לוועדות המקומיות ולחברות מנהלות וחברות תכנון הפועלות מטעמה. </w:t>
      </w:r>
      <w:r w:rsidRPr="00F41E78">
        <w:rPr>
          <w:rFonts w:cs="FrankRuehl"/>
          <w:sz w:val="18"/>
          <w:szCs w:val="22"/>
          <w:rtl/>
          <w:lang w:eastAsia="he-IL"/>
        </w:rPr>
        <w:t xml:space="preserve">המטרה במתן הרשאות תכנון היא לאפשר </w:t>
      </w:r>
      <w:r w:rsidRPr="00F41E78">
        <w:rPr>
          <w:rFonts w:cs="FrankRuehl" w:hint="cs"/>
          <w:sz w:val="18"/>
          <w:szCs w:val="22"/>
          <w:rtl/>
          <w:lang w:eastAsia="he-IL"/>
        </w:rPr>
        <w:t>תכנון</w:t>
      </w:r>
      <w:r w:rsidRPr="00F41E78">
        <w:rPr>
          <w:rFonts w:cs="FrankRuehl"/>
          <w:sz w:val="18"/>
          <w:szCs w:val="22"/>
          <w:rtl/>
          <w:lang w:eastAsia="he-IL"/>
        </w:rPr>
        <w:t xml:space="preserve"> בהיקף רחב, משום שבסופו של </w:t>
      </w:r>
      <w:r w:rsidRPr="00F41E78">
        <w:rPr>
          <w:rFonts w:cs="FrankRuehl" w:hint="cs"/>
          <w:sz w:val="18"/>
          <w:szCs w:val="22"/>
          <w:rtl/>
          <w:lang w:eastAsia="he-IL"/>
        </w:rPr>
        <w:t>תהליך</w:t>
      </w:r>
      <w:r w:rsidRPr="00F41E78">
        <w:rPr>
          <w:rFonts w:cs="FrankRuehl"/>
          <w:sz w:val="18"/>
          <w:szCs w:val="22"/>
          <w:rtl/>
          <w:lang w:eastAsia="he-IL"/>
        </w:rPr>
        <w:t xml:space="preserve"> לא כל יזמת תכנון </w:t>
      </w:r>
      <w:r w:rsidRPr="00F41E78">
        <w:rPr>
          <w:rFonts w:cs="FrankRuehl" w:hint="cs"/>
          <w:sz w:val="18"/>
          <w:szCs w:val="22"/>
          <w:rtl/>
          <w:lang w:eastAsia="he-IL"/>
        </w:rPr>
        <w:t xml:space="preserve">מתגבשת לכדי </w:t>
      </w:r>
      <w:r w:rsidRPr="00F41E78">
        <w:rPr>
          <w:rFonts w:cs="FrankRuehl" w:hint="eastAsia"/>
          <w:sz w:val="18"/>
          <w:szCs w:val="22"/>
          <w:rtl/>
          <w:lang w:eastAsia="he-IL"/>
        </w:rPr>
        <w:t>תכנית</w:t>
      </w:r>
      <w:r w:rsidRPr="00F41E78">
        <w:rPr>
          <w:rFonts w:cs="FrankRuehl"/>
          <w:sz w:val="18"/>
          <w:szCs w:val="22"/>
          <w:rtl/>
          <w:lang w:eastAsia="he-IL"/>
        </w:rPr>
        <w:t xml:space="preserve"> </w:t>
      </w:r>
      <w:r w:rsidRPr="00F41E78">
        <w:rPr>
          <w:rFonts w:cs="FrankRuehl" w:hint="eastAsia"/>
          <w:sz w:val="18"/>
          <w:szCs w:val="22"/>
          <w:rtl/>
          <w:lang w:eastAsia="he-IL"/>
        </w:rPr>
        <w:t>מאושרת</w:t>
      </w:r>
      <w:r w:rsidRPr="00F41E78">
        <w:rPr>
          <w:rFonts w:cs="FrankRuehl"/>
          <w:sz w:val="18"/>
          <w:szCs w:val="22"/>
          <w:rtl/>
          <w:lang w:eastAsia="he-IL"/>
        </w:rPr>
        <w:t>.</w:t>
      </w:r>
    </w:p>
    <w:p w:rsidR="00E97EDA" w:rsidRPr="00F41E78" w:rsidP="009172BD">
      <w:pPr>
        <w:spacing w:after="240" w:line="230" w:lineRule="exact"/>
        <w:jc w:val="both"/>
        <w:rPr>
          <w:rFonts w:cs="FrankRuehl"/>
          <w:sz w:val="18"/>
          <w:szCs w:val="22"/>
          <w:rtl/>
          <w:lang w:eastAsia="he-IL"/>
        </w:rPr>
      </w:pPr>
      <w:r w:rsidRPr="00F41E78">
        <w:rPr>
          <w:rFonts w:cs="FrankRuehl" w:hint="cs"/>
          <w:sz w:val="18"/>
          <w:szCs w:val="22"/>
          <w:rtl/>
          <w:lang w:eastAsia="he-IL"/>
        </w:rPr>
        <w:t>כבר במאי 1997 החליטה הממשלה (החלטה מס' 2012) כי יש להגיע למלאי תכנוני זמין בהיקף הנדרש,</w:t>
      </w:r>
      <w:r w:rsidRPr="00F41E78">
        <w:rPr>
          <w:rFonts w:cs="FrankRuehl"/>
          <w:sz w:val="18"/>
          <w:szCs w:val="22"/>
          <w:rtl/>
          <w:lang w:eastAsia="he-IL"/>
        </w:rPr>
        <w:t xml:space="preserve"> בקיבולת קבוע</w:t>
      </w:r>
      <w:r w:rsidRPr="00F41E78">
        <w:rPr>
          <w:rFonts w:cs="FrankRuehl" w:hint="cs"/>
          <w:sz w:val="18"/>
          <w:szCs w:val="22"/>
          <w:rtl/>
          <w:lang w:eastAsia="he-IL"/>
        </w:rPr>
        <w:t>ה</w:t>
      </w:r>
      <w:r w:rsidRPr="00F41E78">
        <w:rPr>
          <w:rFonts w:cs="FrankRuehl"/>
          <w:sz w:val="18"/>
          <w:szCs w:val="22"/>
          <w:rtl/>
          <w:lang w:eastAsia="he-IL"/>
        </w:rPr>
        <w:t xml:space="preserve"> ובפריסה המתחשבת בהיקף הביקושים הצפויים</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 xml:space="preserve">כדי </w:t>
      </w:r>
      <w:r w:rsidRPr="00F41E78">
        <w:rPr>
          <w:rFonts w:cs="FrankRuehl"/>
          <w:sz w:val="18"/>
          <w:szCs w:val="22"/>
          <w:rtl/>
          <w:lang w:eastAsia="he-IL"/>
        </w:rPr>
        <w:t xml:space="preserve">לעמוד ביעד זה על </w:t>
      </w:r>
      <w:r w:rsidRPr="00F41E78">
        <w:rPr>
          <w:rFonts w:cs="FrankRuehl" w:hint="cs"/>
          <w:sz w:val="18"/>
          <w:szCs w:val="22"/>
          <w:rtl/>
          <w:lang w:eastAsia="he-IL"/>
        </w:rPr>
        <w:t>רמ"י</w:t>
      </w:r>
      <w:r w:rsidRPr="00F41E78">
        <w:rPr>
          <w:rFonts w:cs="FrankRuehl"/>
          <w:sz w:val="18"/>
          <w:szCs w:val="22"/>
          <w:rtl/>
          <w:lang w:eastAsia="he-IL"/>
        </w:rPr>
        <w:t xml:space="preserve"> ו</w:t>
      </w:r>
      <w:r w:rsidRPr="00F41E78">
        <w:rPr>
          <w:rFonts w:cs="FrankRuehl" w:hint="cs"/>
          <w:sz w:val="18"/>
          <w:szCs w:val="22"/>
          <w:rtl/>
          <w:lang w:eastAsia="he-IL"/>
        </w:rPr>
        <w:t xml:space="preserve">על </w:t>
      </w:r>
      <w:r w:rsidRPr="00F41E78">
        <w:rPr>
          <w:rFonts w:cs="FrankRuehl"/>
          <w:sz w:val="18"/>
          <w:szCs w:val="22"/>
          <w:rtl/>
          <w:lang w:eastAsia="he-IL"/>
        </w:rPr>
        <w:t>משרד הבינוי לקדם, בכל נקודת זמן, תכניות</w:t>
      </w:r>
      <w:r w:rsidRPr="00F41E78">
        <w:rPr>
          <w:rFonts w:cs="FrankRuehl" w:hint="cs"/>
          <w:sz w:val="18"/>
          <w:szCs w:val="22"/>
          <w:rtl/>
          <w:lang w:eastAsia="he-IL"/>
        </w:rPr>
        <w:t xml:space="preserve"> </w:t>
      </w:r>
      <w:r w:rsidRPr="00F41E78">
        <w:rPr>
          <w:rFonts w:cs="FrankRuehl"/>
          <w:sz w:val="18"/>
          <w:szCs w:val="22"/>
          <w:rtl/>
          <w:lang w:eastAsia="he-IL"/>
        </w:rPr>
        <w:t>מפורטות בקיבולת הגדולה פי ש</w:t>
      </w:r>
      <w:r w:rsidRPr="00F41E78">
        <w:rPr>
          <w:rFonts w:cs="FrankRuehl" w:hint="cs"/>
          <w:sz w:val="18"/>
          <w:szCs w:val="22"/>
          <w:rtl/>
          <w:lang w:eastAsia="he-IL"/>
        </w:rPr>
        <w:t>נ</w:t>
      </w:r>
      <w:r w:rsidRPr="00F41E78">
        <w:rPr>
          <w:rFonts w:cs="FrankRuehl"/>
          <w:sz w:val="18"/>
          <w:szCs w:val="22"/>
          <w:rtl/>
          <w:lang w:eastAsia="he-IL"/>
        </w:rPr>
        <w:t>יים לפחות מהמלאי הנדרש</w:t>
      </w:r>
      <w:r w:rsidRPr="00F41E78">
        <w:rPr>
          <w:rFonts w:cs="FrankRuehl" w:hint="cs"/>
          <w:sz w:val="18"/>
          <w:szCs w:val="22"/>
          <w:rtl/>
          <w:lang w:eastAsia="he-IL"/>
        </w:rPr>
        <w:t>, ואף פי שלושה על פי החלטת ממשלה מס' 141 מאוגוסט 1999. לכן, מאחר שההרשאות לתכנון הן הבסיס ליצירת המלאי התכנוני, היה ראוי שרמ"י תדאג לתת כמות מספיקה של הרשאות. להלן פירוט של מספר יח"ד שנכללו בהרשאות לתכנון שנתנה רמ"י:</w:t>
      </w:r>
    </w:p>
    <w:p w:rsidR="00143E57" w:rsidRPr="00EC0156" w:rsidP="00582A43">
      <w:pPr>
        <w:spacing w:after="240" w:line="240" w:lineRule="atLeast"/>
        <w:jc w:val="center"/>
        <w:rPr>
          <w:rFonts w:ascii="Arial" w:hAnsi="Arial" w:cs="Arial"/>
          <w:szCs w:val="20"/>
          <w:rtl/>
          <w:lang w:eastAsia="he-IL"/>
        </w:rPr>
      </w:pPr>
      <w:r>
        <w:rPr>
          <w:rFonts w:ascii="Arial" w:hAnsi="Arial" w:cs="Arial"/>
          <w:szCs w:val="20"/>
          <w:lang w:eastAsia="he-IL"/>
        </w:rPr>
        <w:pict>
          <v:shape id="_x0000_i1047" type="#_x0000_t75" style="width:340pt;height:204.5pt">
            <v:imagedata r:id="rId35" o:title="C1-Cx"/>
          </v:shape>
        </w:pic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נמצא כי בשנים 2012-2007 ניתנו הרשאות לתכנון שכללו כ-250,000 יח"ד בלבד (כולל הרשאות לחברות מטעם רמ"י). אולם, בקיזוז הרשאות חוזרות שניתנו בשנים קודמות או שבוטלו הסתכמו ההרשאות החדשות לתכנון בכ-212,000 יח"ד בלבד; וזאת בשעה שיעדי התכנון שקבעה הממשלה לשנים אלו עומדים על כ-300,000, וכאמור נדרשות הרשאות </w:t>
      </w:r>
      <w:r w:rsidRPr="00F41E78">
        <w:rPr>
          <w:rFonts w:cs="FrankRuehl" w:hint="eastAsia"/>
          <w:sz w:val="18"/>
          <w:szCs w:val="22"/>
          <w:rtl/>
          <w:lang w:eastAsia="he-IL"/>
        </w:rPr>
        <w:t>בכמות</w:t>
      </w:r>
      <w:r w:rsidRPr="00F41E78">
        <w:rPr>
          <w:rFonts w:cs="FrankRuehl"/>
          <w:sz w:val="18"/>
          <w:szCs w:val="22"/>
          <w:rtl/>
          <w:lang w:eastAsia="he-IL"/>
        </w:rPr>
        <w:t xml:space="preserve"> </w:t>
      </w:r>
      <w:r w:rsidRPr="00F41E78">
        <w:rPr>
          <w:rFonts w:cs="FrankRuehl" w:hint="eastAsia"/>
          <w:sz w:val="18"/>
          <w:szCs w:val="22"/>
          <w:rtl/>
          <w:lang w:eastAsia="he-IL"/>
        </w:rPr>
        <w:t>גדולה</w:t>
      </w:r>
      <w:r w:rsidRPr="00F41E78">
        <w:rPr>
          <w:rFonts w:cs="FrankRuehl"/>
          <w:sz w:val="18"/>
          <w:szCs w:val="22"/>
          <w:rtl/>
          <w:lang w:eastAsia="he-IL"/>
        </w:rPr>
        <w:t xml:space="preserve"> </w:t>
      </w:r>
      <w:r w:rsidRPr="00F41E78">
        <w:rPr>
          <w:rFonts w:cs="FrankRuehl" w:hint="eastAsia"/>
          <w:sz w:val="18"/>
          <w:szCs w:val="22"/>
          <w:rtl/>
          <w:lang w:eastAsia="he-IL"/>
        </w:rPr>
        <w:t>יותר</w:t>
      </w:r>
      <w:r w:rsidRPr="00F41E78">
        <w:rPr>
          <w:rFonts w:cs="FrankRuehl"/>
          <w:sz w:val="18"/>
          <w:szCs w:val="22"/>
          <w:rtl/>
          <w:lang w:eastAsia="he-IL"/>
        </w:rPr>
        <w:t xml:space="preserve"> </w:t>
      </w:r>
      <w:r w:rsidRPr="00F41E78">
        <w:rPr>
          <w:rFonts w:cs="FrankRuehl" w:hint="eastAsia"/>
          <w:sz w:val="18"/>
          <w:szCs w:val="22"/>
          <w:rtl/>
          <w:lang w:eastAsia="he-IL"/>
        </w:rPr>
        <w:t>נוכח</w:t>
      </w:r>
      <w:r w:rsidRPr="00F41E78">
        <w:rPr>
          <w:rFonts w:cs="FrankRuehl"/>
          <w:sz w:val="18"/>
          <w:szCs w:val="22"/>
          <w:rtl/>
          <w:lang w:eastAsia="he-IL"/>
        </w:rPr>
        <w:t xml:space="preserve"> </w:t>
      </w:r>
      <w:r w:rsidRPr="00F41E78">
        <w:rPr>
          <w:rFonts w:cs="FrankRuehl" w:hint="eastAsia"/>
          <w:sz w:val="18"/>
          <w:szCs w:val="22"/>
          <w:rtl/>
          <w:lang w:eastAsia="he-IL"/>
        </w:rPr>
        <w:t>הפחת</w:t>
      </w:r>
      <w:r w:rsidRPr="00F41E78">
        <w:rPr>
          <w:rFonts w:cs="FrankRuehl"/>
          <w:sz w:val="18"/>
          <w:szCs w:val="22"/>
          <w:rtl/>
          <w:lang w:eastAsia="he-IL"/>
        </w:rPr>
        <w:t xml:space="preserve"> </w:t>
      </w:r>
      <w:r w:rsidRPr="00F41E78">
        <w:rPr>
          <w:rFonts w:cs="FrankRuehl" w:hint="cs"/>
          <w:sz w:val="18"/>
          <w:szCs w:val="22"/>
          <w:rtl/>
          <w:lang w:eastAsia="he-IL"/>
        </w:rPr>
        <w:t>ב</w:t>
      </w:r>
      <w:r w:rsidRPr="00F41E78">
        <w:rPr>
          <w:rFonts w:cs="FrankRuehl" w:hint="eastAsia"/>
          <w:sz w:val="18"/>
          <w:szCs w:val="22"/>
          <w:rtl/>
          <w:lang w:eastAsia="he-IL"/>
        </w:rPr>
        <w:t>תהליך</w:t>
      </w:r>
      <w:r w:rsidRPr="00F41E78">
        <w:rPr>
          <w:rFonts w:cs="FrankRuehl"/>
          <w:sz w:val="18"/>
          <w:szCs w:val="22"/>
          <w:rtl/>
          <w:lang w:eastAsia="he-IL"/>
        </w:rPr>
        <w:t xml:space="preserve"> </w:t>
      </w:r>
      <w:r w:rsidRPr="00F41E78">
        <w:rPr>
          <w:rFonts w:cs="FrankRuehl" w:hint="eastAsia"/>
          <w:sz w:val="18"/>
          <w:szCs w:val="22"/>
          <w:rtl/>
          <w:lang w:eastAsia="he-IL"/>
        </w:rPr>
        <w:t>התכנון</w:t>
      </w:r>
      <w:r w:rsidRPr="00F41E78">
        <w:rPr>
          <w:rFonts w:cs="FrankRuehl"/>
          <w:sz w:val="18"/>
          <w:szCs w:val="22"/>
          <w:rtl/>
          <w:lang w:eastAsia="he-IL"/>
        </w:rPr>
        <w:t>.</w:t>
      </w:r>
      <w:r w:rsidRPr="00F41E78">
        <w:rPr>
          <w:rFonts w:cs="FrankRuehl" w:hint="cs"/>
          <w:sz w:val="18"/>
          <w:szCs w:val="22"/>
          <w:rtl/>
          <w:lang w:eastAsia="he-IL"/>
        </w:rPr>
        <w:t xml:space="preserve"> </w:t>
      </w:r>
    </w:p>
    <w:p w:rsidR="00E97EDA" w:rsidRPr="00F41E78" w:rsidP="001B5632">
      <w:pPr>
        <w:spacing w:after="240" w:line="230" w:lineRule="exact"/>
        <w:jc w:val="both"/>
        <w:rPr>
          <w:rFonts w:cs="FrankRuehl"/>
          <w:sz w:val="18"/>
          <w:szCs w:val="22"/>
          <w:rtl/>
          <w:lang w:eastAsia="he-IL"/>
        </w:rPr>
      </w:pPr>
      <w:r w:rsidRPr="00F41E78">
        <w:rPr>
          <w:rFonts w:cs="FrankRuehl" w:hint="cs"/>
          <w:sz w:val="18"/>
          <w:szCs w:val="22"/>
          <w:rtl/>
          <w:lang w:eastAsia="he-IL"/>
        </w:rPr>
        <w:t>מהחלוקה לפי שנים עולה כי עד 2010 (כולל) נתנה רמ"י מספר נמוך של הרשאות חדשות לתכנון, כאשר הממוצע עמד על כ-13,000 יח"ד לשנה. נמצא כי רק בשנת 2011 המצב השתנה ורמ"י נתנה הרשאות לתכנון לכ-63,000 יח"ד ובשנת 2012 לכ-96,000 יח"ד.</w:t>
      </w:r>
    </w:p>
    <w:p w:rsidR="00D22B16" w:rsidRPr="00F41E78" w:rsidP="00D22B16">
      <w:pPr>
        <w:pStyle w:val="RESHET"/>
        <w:keepLines/>
        <w:rPr>
          <w:rtl/>
        </w:rPr>
      </w:pPr>
      <w:r w:rsidRPr="00F41E78">
        <w:rPr>
          <w:rFonts w:hint="cs"/>
          <w:rtl/>
        </w:rPr>
        <w:t>יוצא אפוא כי עד 2011 לא נתנה רמ"י הרשאות לתכנון חדשות בכמות מספיקה כדי לאפשר את השגת יעדי התכנון שקבעה הממשלה; משמעות הדבר היא פגיעה ביכולת לשווק קרקעות למגורים בכמות מספיקה בשנים העוקבות (ראו להלן).</w:t>
      </w:r>
    </w:p>
    <w:p w:rsidR="00D22B16" w:rsidRPr="00F41E78" w:rsidP="00D22B16">
      <w:pPr>
        <w:pStyle w:val="RESHET"/>
        <w:keepLines/>
        <w:rPr>
          <w:rtl/>
        </w:rPr>
      </w:pPr>
      <w:r w:rsidRPr="00F41E78">
        <w:rPr>
          <w:rFonts w:hint="cs"/>
          <w:rtl/>
        </w:rPr>
        <w:t>משרד מבקר המדינה מעיר כי על רמ"י היה לתת הרשאות לתכנון בכמות הנדרשת כדי להשיג את יעדי הממשלה וכדי לייצר מלאי תכנוני זמין שיאפשר בעתיד לשווק כמות מספיקה של קרקע למגורים. מאחר שרמ"י לא עמדה ביעדי הממשלה נוצר מחסור במלאי התכנוני, ובעקבות זאת מחסור בקרקעות זמינות לשיווק ולבנייה בעתיד.</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הרשאות לתכנון שניתנו ל</w:t>
      </w:r>
      <w:r>
        <w:rPr>
          <w:rFonts w:hint="cs"/>
          <w:rtl/>
          <w:lang w:eastAsia="he-IL"/>
        </w:rPr>
        <w:t>משרד הבינוי</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לאורך השנים לא הבחינה הממשלה בהחלטותיה הנוגעות לייזום התכנון בין רמ"י ובין משרד הבינוי, לכן שני הגופים אמורים לשתף פעולה בייזום התכנון ולקדם תכניות על מנת להגיע למלאי זמין בהיקף הנדרש. כך גם בשנים 2013-2012.</w:t>
      </w:r>
    </w:p>
    <w:p w:rsidR="00E97EDA" w:rsidRPr="00F41E78" w:rsidP="001B5632">
      <w:pPr>
        <w:spacing w:after="240" w:line="230" w:lineRule="exact"/>
        <w:jc w:val="both"/>
        <w:rPr>
          <w:rFonts w:cs="FrankRuehl"/>
          <w:sz w:val="18"/>
          <w:szCs w:val="22"/>
          <w:rtl/>
          <w:lang w:eastAsia="he-IL"/>
        </w:rPr>
      </w:pPr>
      <w:r w:rsidRPr="00F41E78">
        <w:rPr>
          <w:rFonts w:cs="FrankRuehl" w:hint="cs"/>
          <w:sz w:val="18"/>
          <w:szCs w:val="22"/>
          <w:rtl/>
          <w:lang w:eastAsia="he-IL"/>
        </w:rPr>
        <w:t>לנוכח החלטות הממשלה לאורך השנים, שהנחיותיהן הופנו לרמ"י ולמשרד הבינוי, ללא כל הבחנה ביניהם, ובשל הצורך ליצור מלאי תכנוני זמין בהיקף הנדרש, חתמו רמ"י ומשרד הבינוי במשך השנים על הסכמים שהסדירו את חלוקת העבודה ביניהם בכל הקשור לתכנון קרקע למגורים.</w:t>
      </w:r>
    </w:p>
    <w:p w:rsidR="00D22B16" w:rsidRPr="00F41E78" w:rsidP="00D22B16">
      <w:pPr>
        <w:pStyle w:val="RESHET"/>
        <w:keepLines/>
        <w:rPr>
          <w:rtl/>
        </w:rPr>
      </w:pPr>
      <w:r w:rsidRPr="00F41E78">
        <w:rPr>
          <w:rFonts w:hint="cs"/>
          <w:rtl/>
        </w:rPr>
        <w:t xml:space="preserve">למרות האמור הועלו ליקויים מהותיים ביישום ההסדרים האמורים. הליקויים נגעו בעיקר לכמות ההרשאות שניתנו למשרד הבינוי ולאופן הפיקוח והבקרה של רמ"י. להלן הפרטים: </w:t>
      </w:r>
    </w:p>
    <w:p w:rsidR="00E97EDA" w:rsidRPr="00F41E78" w:rsidP="001B5632">
      <w:pPr>
        <w:spacing w:before="180" w:after="240" w:line="230" w:lineRule="exact"/>
        <w:ind w:left="340" w:hanging="340"/>
        <w:jc w:val="both"/>
        <w:rPr>
          <w:rFonts w:cs="FrankRuehl"/>
          <w:sz w:val="18"/>
          <w:szCs w:val="22"/>
          <w:rtl/>
          <w:lang w:eastAsia="he-IL"/>
        </w:rPr>
      </w:pPr>
      <w:r w:rsidRPr="00F41E78">
        <w:rPr>
          <w:rFonts w:cs="FrankRuehl" w:hint="cs"/>
          <w:sz w:val="18"/>
          <w:szCs w:val="22"/>
          <w:rtl/>
          <w:lang w:eastAsia="he-IL"/>
        </w:rPr>
        <w:t xml:space="preserve">1. </w:t>
      </w:r>
      <w:r w:rsidRPr="00F41E78">
        <w:rPr>
          <w:rFonts w:cs="FrankRuehl" w:hint="cs"/>
          <w:sz w:val="18"/>
          <w:szCs w:val="22"/>
          <w:rtl/>
          <w:lang w:eastAsia="he-IL"/>
        </w:rPr>
        <w:tab/>
        <w:t>לאחר החלטת הממשלה מאוגוסט 1999 שעניינה כאמור קידום תכניות "מתאריות" לצורך יצירת מלאי זמין בהיקף הנדרש, חתמו רמ"י ומשרד הבינוי, ביולי 2000, על הסדר</w:t>
      </w:r>
      <w:r>
        <w:rPr>
          <w:rFonts w:cs="FrankRuehl"/>
          <w:sz w:val="18"/>
          <w:szCs w:val="22"/>
          <w:vertAlign w:val="superscript"/>
          <w:rtl/>
          <w:lang w:eastAsia="he-IL"/>
        </w:rPr>
        <w:footnoteReference w:id="191"/>
      </w:r>
      <w:r w:rsidRPr="00F41E78">
        <w:rPr>
          <w:rFonts w:cs="FrankRuehl" w:hint="cs"/>
          <w:sz w:val="18"/>
          <w:szCs w:val="22"/>
          <w:rtl/>
          <w:lang w:eastAsia="he-IL"/>
        </w:rPr>
        <w:t>. על פי ההסדר, היקף ההרשאות לתכנון ולפיתוח שיעמוד לרשות משרד הבינוי בכל זמן נתון לא יפחת מ-300,000 יח"ד, כאשר מיקום האתרים יהיה לפי דרישות משרד הבינוי. הסדר זה קיבל את אישורה של ועדת השרים לענייני כלכלה ובאוקטובר 2000 גם את אישורה של מועצת מקרקעי ישראל.</w:t>
      </w:r>
    </w:p>
    <w:p w:rsidR="00D22B16" w:rsidRPr="00F41E78" w:rsidP="00D22B16">
      <w:pPr>
        <w:pStyle w:val="RESHET"/>
        <w:keepLines/>
        <w:ind w:left="567"/>
        <w:rPr>
          <w:rtl/>
        </w:rPr>
      </w:pPr>
      <w:r w:rsidRPr="00F41E78">
        <w:rPr>
          <w:rtl/>
        </w:rPr>
        <w:t xml:space="preserve">אולם </w:t>
      </w:r>
      <w:r w:rsidRPr="00F41E78">
        <w:rPr>
          <w:rFonts w:hint="eastAsia"/>
          <w:rtl/>
        </w:rPr>
        <w:t>רמ</w:t>
      </w:r>
      <w:r w:rsidRPr="00F41E78">
        <w:rPr>
          <w:rtl/>
        </w:rPr>
        <w:t xml:space="preserve">"י </w:t>
      </w:r>
      <w:r w:rsidRPr="00F41E78">
        <w:rPr>
          <w:rFonts w:hint="eastAsia"/>
          <w:rtl/>
        </w:rPr>
        <w:t>ומשרד הבינוי</w:t>
      </w:r>
      <w:r w:rsidRPr="00F41E78">
        <w:rPr>
          <w:rtl/>
        </w:rPr>
        <w:t xml:space="preserve"> </w:t>
      </w:r>
      <w:r w:rsidRPr="00F41E78">
        <w:rPr>
          <w:rFonts w:hint="eastAsia"/>
          <w:rtl/>
        </w:rPr>
        <w:t>לא</w:t>
      </w:r>
      <w:r w:rsidRPr="00F41E78">
        <w:rPr>
          <w:rtl/>
        </w:rPr>
        <w:t xml:space="preserve"> </w:t>
      </w:r>
      <w:r w:rsidRPr="00F41E78">
        <w:rPr>
          <w:rFonts w:hint="eastAsia"/>
          <w:rtl/>
        </w:rPr>
        <w:t>עמדו</w:t>
      </w:r>
      <w:r w:rsidRPr="00F41E78">
        <w:rPr>
          <w:rtl/>
        </w:rPr>
        <w:t xml:space="preserve"> </w:t>
      </w:r>
      <w:r w:rsidRPr="00F41E78">
        <w:rPr>
          <w:rFonts w:hint="eastAsia"/>
          <w:rtl/>
        </w:rPr>
        <w:t>בתנאי</w:t>
      </w:r>
      <w:r w:rsidRPr="00F41E78">
        <w:rPr>
          <w:rtl/>
        </w:rPr>
        <w:t xml:space="preserve"> </w:t>
      </w:r>
      <w:r w:rsidRPr="00F41E78">
        <w:rPr>
          <w:rFonts w:hint="eastAsia"/>
          <w:rtl/>
        </w:rPr>
        <w:t>ההסדר</w:t>
      </w:r>
      <w:r w:rsidRPr="00F41E78">
        <w:rPr>
          <w:rtl/>
        </w:rPr>
        <w:t xml:space="preserve"> </w:t>
      </w:r>
      <w:r w:rsidRPr="00F41E78">
        <w:rPr>
          <w:rFonts w:hint="eastAsia"/>
          <w:rtl/>
        </w:rPr>
        <w:t>האמור</w:t>
      </w:r>
      <w:r w:rsidRPr="00F41E78">
        <w:rPr>
          <w:rtl/>
        </w:rPr>
        <w:t xml:space="preserve">, </w:t>
      </w:r>
      <w:r w:rsidRPr="00F41E78">
        <w:rPr>
          <w:rFonts w:hint="eastAsia"/>
          <w:rtl/>
        </w:rPr>
        <w:t>והיקף</w:t>
      </w:r>
      <w:r w:rsidRPr="00F41E78">
        <w:rPr>
          <w:rtl/>
        </w:rPr>
        <w:t xml:space="preserve"> </w:t>
      </w:r>
      <w:r w:rsidRPr="00F41E78">
        <w:rPr>
          <w:rFonts w:hint="eastAsia"/>
          <w:rtl/>
        </w:rPr>
        <w:t>ההרשאות</w:t>
      </w:r>
      <w:r w:rsidRPr="00F41E78">
        <w:rPr>
          <w:rtl/>
        </w:rPr>
        <w:t xml:space="preserve"> </w:t>
      </w:r>
      <w:r w:rsidRPr="00F41E78">
        <w:rPr>
          <w:rFonts w:hint="eastAsia"/>
          <w:rtl/>
        </w:rPr>
        <w:t>ש</w:t>
      </w:r>
      <w:r w:rsidRPr="00F41E78">
        <w:rPr>
          <w:rFonts w:hint="cs"/>
          <w:rtl/>
        </w:rPr>
        <w:t xml:space="preserve">ניתנו </w:t>
      </w:r>
      <w:r w:rsidRPr="00F41E78">
        <w:rPr>
          <w:rFonts w:hint="eastAsia"/>
          <w:rtl/>
        </w:rPr>
        <w:t>למשרד הבינוי</w:t>
      </w:r>
      <w:r w:rsidRPr="00F41E78">
        <w:rPr>
          <w:rtl/>
        </w:rPr>
        <w:t xml:space="preserve"> </w:t>
      </w:r>
      <w:r w:rsidRPr="00F41E78">
        <w:rPr>
          <w:rFonts w:hint="eastAsia"/>
          <w:rtl/>
        </w:rPr>
        <w:t>בשנים</w:t>
      </w:r>
      <w:r w:rsidRPr="00F41E78">
        <w:rPr>
          <w:rtl/>
        </w:rPr>
        <w:t xml:space="preserve"> 2004-2003 </w:t>
      </w:r>
      <w:r w:rsidRPr="00F41E78">
        <w:rPr>
          <w:rFonts w:hint="eastAsia"/>
          <w:rtl/>
        </w:rPr>
        <w:t>עמד</w:t>
      </w:r>
      <w:r w:rsidRPr="00F41E78">
        <w:rPr>
          <w:rtl/>
        </w:rPr>
        <w:t xml:space="preserve"> </w:t>
      </w:r>
      <w:r w:rsidRPr="00F41E78">
        <w:rPr>
          <w:rFonts w:hint="eastAsia"/>
          <w:rtl/>
        </w:rPr>
        <w:t>על</w:t>
      </w:r>
      <w:r w:rsidRPr="00F41E78">
        <w:rPr>
          <w:rtl/>
        </w:rPr>
        <w:t xml:space="preserve"> </w:t>
      </w:r>
      <w:r w:rsidRPr="00F41E78">
        <w:rPr>
          <w:rFonts w:hint="eastAsia"/>
          <w:rtl/>
        </w:rPr>
        <w:t>כ</w:t>
      </w:r>
      <w:r w:rsidRPr="00F41E78">
        <w:rPr>
          <w:rtl/>
        </w:rPr>
        <w:t xml:space="preserve">-70% </w:t>
      </w:r>
      <w:r w:rsidRPr="00F41E78">
        <w:rPr>
          <w:rFonts w:hint="eastAsia"/>
          <w:rtl/>
        </w:rPr>
        <w:t>מהמוסכם</w:t>
      </w:r>
      <w:r w:rsidRPr="00F41E78">
        <w:rPr>
          <w:rtl/>
        </w:rPr>
        <w:t xml:space="preserve">; </w:t>
      </w:r>
      <w:r w:rsidRPr="00F41E78">
        <w:rPr>
          <w:rFonts w:hint="eastAsia"/>
          <w:rtl/>
        </w:rPr>
        <w:t>הדבר</w:t>
      </w:r>
      <w:r w:rsidRPr="00F41E78">
        <w:rPr>
          <w:rtl/>
        </w:rPr>
        <w:t xml:space="preserve"> </w:t>
      </w:r>
      <w:r w:rsidRPr="00F41E78">
        <w:rPr>
          <w:rFonts w:hint="eastAsia"/>
          <w:rtl/>
        </w:rPr>
        <w:t>כבר</w:t>
      </w:r>
      <w:r w:rsidRPr="00F41E78">
        <w:rPr>
          <w:rtl/>
        </w:rPr>
        <w:t xml:space="preserve"> </w:t>
      </w:r>
      <w:r w:rsidRPr="00F41E78">
        <w:rPr>
          <w:rFonts w:hint="eastAsia"/>
          <w:rtl/>
        </w:rPr>
        <w:t>צוין</w:t>
      </w:r>
      <w:r w:rsidRPr="00F41E78">
        <w:rPr>
          <w:rtl/>
        </w:rPr>
        <w:t xml:space="preserve"> </w:t>
      </w:r>
      <w:r w:rsidRPr="00F41E78">
        <w:rPr>
          <w:rFonts w:hint="eastAsia"/>
          <w:rtl/>
        </w:rPr>
        <w:t>בדוח</w:t>
      </w:r>
      <w:r w:rsidRPr="00F41E78">
        <w:rPr>
          <w:rtl/>
        </w:rPr>
        <w:t xml:space="preserve"> </w:t>
      </w:r>
      <w:r w:rsidRPr="00F41E78">
        <w:rPr>
          <w:rFonts w:hint="eastAsia"/>
          <w:rtl/>
        </w:rPr>
        <w:t>מבקר</w:t>
      </w:r>
      <w:r w:rsidRPr="00F41E78">
        <w:rPr>
          <w:rtl/>
        </w:rPr>
        <w:t xml:space="preserve"> </w:t>
      </w:r>
      <w:r w:rsidRPr="00F41E78">
        <w:rPr>
          <w:rFonts w:hint="eastAsia"/>
          <w:rtl/>
        </w:rPr>
        <w:t>המדינה</w:t>
      </w:r>
      <w:r w:rsidRPr="00F41E78">
        <w:rPr>
          <w:rtl/>
        </w:rPr>
        <w:t xml:space="preserve"> </w:t>
      </w:r>
      <w:r w:rsidRPr="00F41E78">
        <w:rPr>
          <w:rFonts w:hint="eastAsia"/>
          <w:rtl/>
        </w:rPr>
        <w:t>משנת</w:t>
      </w:r>
      <w:r w:rsidRPr="00F41E78">
        <w:rPr>
          <w:rtl/>
        </w:rPr>
        <w:t xml:space="preserve"> </w:t>
      </w:r>
      <w:r w:rsidRPr="00F41E78">
        <w:rPr>
          <w:rFonts w:hint="cs"/>
          <w:rtl/>
        </w:rPr>
        <w:t>2005.</w:t>
      </w:r>
      <w:r>
        <w:rPr>
          <w:vertAlign w:val="superscript"/>
          <w:rtl/>
        </w:rPr>
        <w:footnoteReference w:id="192"/>
      </w:r>
    </w:p>
    <w:p w:rsidR="00E97EDA" w:rsidRPr="00F41E78" w:rsidP="00BE12D6">
      <w:pPr>
        <w:spacing w:before="180" w:after="120" w:line="230" w:lineRule="exact"/>
        <w:ind w:left="340" w:hanging="340"/>
        <w:jc w:val="both"/>
        <w:rPr>
          <w:rFonts w:cs="FrankRuehl"/>
          <w:sz w:val="18"/>
          <w:szCs w:val="22"/>
          <w:rtl/>
          <w:lang w:eastAsia="he-IL"/>
        </w:rPr>
      </w:pPr>
      <w:r w:rsidRPr="00F41E78">
        <w:rPr>
          <w:rFonts w:cs="FrankRuehl" w:hint="cs"/>
          <w:sz w:val="18"/>
          <w:szCs w:val="22"/>
          <w:rtl/>
          <w:lang w:eastAsia="he-IL"/>
        </w:rPr>
        <w:t xml:space="preserve">2. </w:t>
      </w:r>
      <w:r w:rsidRPr="00F41E78">
        <w:rPr>
          <w:rFonts w:cs="FrankRuehl" w:hint="cs"/>
          <w:sz w:val="18"/>
          <w:szCs w:val="22"/>
          <w:rtl/>
          <w:lang w:eastAsia="he-IL"/>
        </w:rPr>
        <w:tab/>
        <w:t>במאי 2004 מונתה ועדה ציבורית שדנה ברפורמה ברמ"י (להלן ועדת גדיש)</w:t>
      </w:r>
      <w:r>
        <w:rPr>
          <w:rFonts w:cs="FrankRuehl"/>
          <w:sz w:val="18"/>
          <w:szCs w:val="22"/>
          <w:vertAlign w:val="superscript"/>
          <w:rtl/>
          <w:lang w:eastAsia="he-IL"/>
        </w:rPr>
        <w:footnoteReference w:id="193"/>
      </w:r>
      <w:r w:rsidRPr="00F41E78">
        <w:rPr>
          <w:rFonts w:cs="FrankRuehl" w:hint="cs"/>
          <w:sz w:val="18"/>
          <w:szCs w:val="22"/>
          <w:rtl/>
          <w:lang w:eastAsia="he-IL"/>
        </w:rPr>
        <w:t xml:space="preserve"> ובמרץ 2005 פרסמה הוועדה את המלצותיה. בין המלצות הוועדה </w:t>
      </w:r>
      <w:r w:rsidRPr="00F41E78">
        <w:rPr>
          <w:rFonts w:cs="FrankRuehl" w:hint="eastAsia"/>
          <w:sz w:val="18"/>
          <w:szCs w:val="22"/>
          <w:rtl/>
          <w:lang w:eastAsia="he-IL"/>
        </w:rPr>
        <w:t>שקיבלו</w:t>
      </w:r>
      <w:r w:rsidRPr="00F41E78">
        <w:rPr>
          <w:rFonts w:cs="FrankRuehl"/>
          <w:sz w:val="18"/>
          <w:szCs w:val="22"/>
          <w:rtl/>
          <w:lang w:eastAsia="he-IL"/>
        </w:rPr>
        <w:t xml:space="preserve"> תוקף של החלטת </w:t>
      </w:r>
      <w:r w:rsidRPr="00F41E78">
        <w:rPr>
          <w:rFonts w:cs="FrankRuehl" w:hint="eastAsia"/>
          <w:sz w:val="18"/>
          <w:szCs w:val="22"/>
          <w:rtl/>
          <w:lang w:eastAsia="he-IL"/>
        </w:rPr>
        <w:t>מועצת</w:t>
      </w:r>
      <w:r w:rsidRPr="00F41E78">
        <w:rPr>
          <w:rFonts w:cs="FrankRuehl"/>
          <w:sz w:val="18"/>
          <w:szCs w:val="22"/>
          <w:rtl/>
          <w:lang w:eastAsia="he-IL"/>
        </w:rPr>
        <w:t xml:space="preserve"> </w:t>
      </w:r>
      <w:r w:rsidRPr="00F41E78">
        <w:rPr>
          <w:rFonts w:cs="FrankRuehl" w:hint="eastAsia"/>
          <w:sz w:val="18"/>
          <w:szCs w:val="22"/>
          <w:rtl/>
          <w:lang w:eastAsia="he-IL"/>
        </w:rPr>
        <w:t>מקרקעי</w:t>
      </w:r>
      <w:r w:rsidRPr="00F41E78">
        <w:rPr>
          <w:rFonts w:cs="FrankRuehl"/>
          <w:sz w:val="18"/>
          <w:szCs w:val="22"/>
          <w:rtl/>
          <w:lang w:eastAsia="he-IL"/>
        </w:rPr>
        <w:t xml:space="preserve"> </w:t>
      </w:r>
      <w:r w:rsidRPr="00F41E78">
        <w:rPr>
          <w:rFonts w:cs="FrankRuehl" w:hint="eastAsia"/>
          <w:sz w:val="18"/>
          <w:szCs w:val="22"/>
          <w:rtl/>
          <w:lang w:eastAsia="he-IL"/>
        </w:rPr>
        <w:t>ישראל</w:t>
      </w:r>
      <w:r w:rsidRPr="00F41E78">
        <w:rPr>
          <w:rFonts w:cs="FrankRuehl" w:hint="cs"/>
          <w:sz w:val="18"/>
          <w:szCs w:val="22"/>
          <w:rtl/>
          <w:lang w:eastAsia="he-IL"/>
        </w:rPr>
        <w:t xml:space="preserve"> הומלץ לקבוע חלוקה גאוגרפית בין רמ"י ובין משרד הבינוי. משרד הבינוי יתכנן תכניות מפורטות ויפתח פרויקטים באזורי עדיפות לאומית, ביישובים חדשים, </w:t>
      </w:r>
      <w:r w:rsidRPr="00F41E78">
        <w:rPr>
          <w:rFonts w:cs="FrankRuehl" w:hint="cs"/>
          <w:sz w:val="18"/>
          <w:szCs w:val="22"/>
          <w:rtl/>
          <w:lang w:eastAsia="he-IL"/>
        </w:rPr>
        <w:t xml:space="preserve">בפרויקטים להתחדשות עירונית, במגזר הלא-יהודי ועוד. עוד הוחלט כי רמ"י </w:t>
      </w:r>
      <w:r w:rsidRPr="00F41E78">
        <w:rPr>
          <w:rFonts w:cs="FrankRuehl" w:hint="eastAsia"/>
          <w:sz w:val="18"/>
          <w:szCs w:val="22"/>
          <w:rtl/>
          <w:lang w:eastAsia="he-IL"/>
        </w:rPr>
        <w:t>תיתן</w:t>
      </w:r>
      <w:r w:rsidRPr="00F41E78">
        <w:rPr>
          <w:rFonts w:cs="FrankRuehl"/>
          <w:sz w:val="18"/>
          <w:szCs w:val="22"/>
          <w:rtl/>
          <w:lang w:eastAsia="he-IL"/>
        </w:rPr>
        <w:t xml:space="preserve"> </w:t>
      </w:r>
      <w:r w:rsidRPr="00F41E78">
        <w:rPr>
          <w:rFonts w:cs="FrankRuehl" w:hint="eastAsia"/>
          <w:sz w:val="18"/>
          <w:szCs w:val="22"/>
          <w:rtl/>
          <w:lang w:eastAsia="he-IL"/>
        </w:rPr>
        <w:t>הרשאות</w:t>
      </w:r>
      <w:r w:rsidRPr="00F41E78">
        <w:rPr>
          <w:rFonts w:cs="FrankRuehl"/>
          <w:sz w:val="18"/>
          <w:szCs w:val="22"/>
          <w:rtl/>
          <w:lang w:eastAsia="he-IL"/>
        </w:rPr>
        <w:t xml:space="preserve"> </w:t>
      </w:r>
      <w:r w:rsidRPr="00F41E78">
        <w:rPr>
          <w:rFonts w:cs="FrankRuehl" w:hint="eastAsia"/>
          <w:sz w:val="18"/>
          <w:szCs w:val="22"/>
          <w:rtl/>
          <w:lang w:eastAsia="he-IL"/>
        </w:rPr>
        <w:t>לתכנון</w:t>
      </w:r>
      <w:r w:rsidRPr="00F41E78">
        <w:rPr>
          <w:rFonts w:cs="FrankRuehl"/>
          <w:sz w:val="18"/>
          <w:szCs w:val="22"/>
          <w:rtl/>
          <w:lang w:eastAsia="he-IL"/>
        </w:rPr>
        <w:t xml:space="preserve"> </w:t>
      </w:r>
      <w:r w:rsidRPr="00F41E78">
        <w:rPr>
          <w:rFonts w:cs="FrankRuehl" w:hint="eastAsia"/>
          <w:sz w:val="18"/>
          <w:szCs w:val="22"/>
          <w:rtl/>
          <w:lang w:eastAsia="he-IL"/>
        </w:rPr>
        <w:t>ולפיתוח</w:t>
      </w:r>
      <w:r w:rsidRPr="00F41E78">
        <w:rPr>
          <w:rFonts w:cs="FrankRuehl"/>
          <w:sz w:val="18"/>
          <w:szCs w:val="22"/>
          <w:rtl/>
          <w:lang w:eastAsia="he-IL"/>
        </w:rPr>
        <w:t xml:space="preserve"> </w:t>
      </w:r>
      <w:r w:rsidRPr="00F41E78">
        <w:rPr>
          <w:rFonts w:cs="FrankRuehl" w:hint="eastAsia"/>
          <w:sz w:val="18"/>
          <w:szCs w:val="22"/>
          <w:rtl/>
          <w:lang w:eastAsia="he-IL"/>
        </w:rPr>
        <w:t>למשרד הבינוי</w:t>
      </w:r>
      <w:r w:rsidRPr="00F41E78">
        <w:rPr>
          <w:rFonts w:cs="FrankRuehl"/>
          <w:sz w:val="18"/>
          <w:szCs w:val="22"/>
          <w:rtl/>
          <w:lang w:eastAsia="he-IL"/>
        </w:rPr>
        <w:t xml:space="preserve"> </w:t>
      </w:r>
      <w:r w:rsidRPr="00F41E78">
        <w:rPr>
          <w:rFonts w:cs="FrankRuehl" w:hint="eastAsia"/>
          <w:sz w:val="18"/>
          <w:szCs w:val="22"/>
          <w:rtl/>
          <w:lang w:eastAsia="he-IL"/>
        </w:rPr>
        <w:t>בתחום</w:t>
      </w:r>
      <w:r w:rsidRPr="00F41E78">
        <w:rPr>
          <w:rFonts w:cs="FrankRuehl"/>
          <w:sz w:val="18"/>
          <w:szCs w:val="22"/>
          <w:rtl/>
          <w:lang w:eastAsia="he-IL"/>
        </w:rPr>
        <w:t xml:space="preserve"> </w:t>
      </w:r>
      <w:r w:rsidRPr="00F41E78">
        <w:rPr>
          <w:rFonts w:cs="FrankRuehl" w:hint="eastAsia"/>
          <w:sz w:val="18"/>
          <w:szCs w:val="22"/>
          <w:rtl/>
          <w:lang w:eastAsia="he-IL"/>
        </w:rPr>
        <w:t>הרשויות</w:t>
      </w:r>
      <w:r w:rsidRPr="00F41E78">
        <w:rPr>
          <w:rFonts w:cs="FrankRuehl"/>
          <w:sz w:val="18"/>
          <w:szCs w:val="22"/>
          <w:rtl/>
          <w:lang w:eastAsia="he-IL"/>
        </w:rPr>
        <w:t xml:space="preserve"> </w:t>
      </w:r>
      <w:r w:rsidRPr="00F41E78">
        <w:rPr>
          <w:rFonts w:cs="FrankRuehl" w:hint="eastAsia"/>
          <w:sz w:val="18"/>
          <w:szCs w:val="22"/>
          <w:rtl/>
          <w:lang w:eastAsia="he-IL"/>
        </w:rPr>
        <w:t>המקומיות</w:t>
      </w:r>
      <w:r w:rsidRPr="00F41E78">
        <w:rPr>
          <w:rFonts w:cs="FrankRuehl"/>
          <w:sz w:val="18"/>
          <w:szCs w:val="22"/>
          <w:rtl/>
          <w:lang w:eastAsia="he-IL"/>
        </w:rPr>
        <w:t xml:space="preserve"> </w:t>
      </w:r>
      <w:r w:rsidRPr="00F41E78">
        <w:rPr>
          <w:rFonts w:cs="FrankRuehl" w:hint="eastAsia"/>
          <w:sz w:val="18"/>
          <w:szCs w:val="22"/>
          <w:rtl/>
          <w:lang w:eastAsia="he-IL"/>
        </w:rPr>
        <w:t>ותימנע</w:t>
      </w:r>
      <w:r w:rsidRPr="00F41E78">
        <w:rPr>
          <w:rFonts w:cs="FrankRuehl"/>
          <w:sz w:val="18"/>
          <w:szCs w:val="22"/>
          <w:rtl/>
          <w:lang w:eastAsia="he-IL"/>
        </w:rPr>
        <w:t xml:space="preserve"> </w:t>
      </w:r>
      <w:r w:rsidRPr="00F41E78">
        <w:rPr>
          <w:rFonts w:cs="FrankRuehl" w:hint="eastAsia"/>
          <w:sz w:val="18"/>
          <w:szCs w:val="22"/>
          <w:rtl/>
          <w:lang w:eastAsia="he-IL"/>
        </w:rPr>
        <w:t>מלפעול</w:t>
      </w:r>
      <w:r w:rsidRPr="00F41E78">
        <w:rPr>
          <w:rFonts w:cs="FrankRuehl" w:hint="cs"/>
          <w:sz w:val="18"/>
          <w:szCs w:val="22"/>
          <w:rtl/>
          <w:lang w:eastAsia="he-IL"/>
        </w:rPr>
        <w:t xml:space="preserve"> בתחום זה.</w:t>
      </w:r>
    </w:p>
    <w:p w:rsidR="00E97EDA" w:rsidRPr="00F41E78" w:rsidP="001B5632">
      <w:pPr>
        <w:spacing w:after="120" w:line="230" w:lineRule="exact"/>
        <w:ind w:left="340" w:hanging="340"/>
        <w:jc w:val="both"/>
        <w:rPr>
          <w:rFonts w:cs="FrankRuehl"/>
          <w:sz w:val="18"/>
          <w:szCs w:val="22"/>
          <w:rtl/>
          <w:lang w:eastAsia="he-IL"/>
        </w:rPr>
      </w:pPr>
      <w:r>
        <w:rPr>
          <w:rFonts w:cs="FrankRuehl"/>
          <w:sz w:val="18"/>
          <w:szCs w:val="22"/>
          <w:lang w:eastAsia="he-IL"/>
        </w:rPr>
        <w:tab/>
      </w:r>
      <w:r w:rsidRPr="00F41E78">
        <w:rPr>
          <w:rFonts w:cs="FrankRuehl" w:hint="cs"/>
          <w:sz w:val="18"/>
          <w:szCs w:val="22"/>
          <w:rtl/>
          <w:lang w:eastAsia="he-IL"/>
        </w:rPr>
        <w:t xml:space="preserve">במרץ 2006 קיבלה מועצת מקרקעי ישראל החלטה נוספת שעניינה הסדר עבודה לתכנון ולפיתוח בין רמ"י ובין משרד הבינוי. בהחלטה נקבע כי לצורך העמדת מלאי קרקעות זמין בהיקף הנדרש לפיתוח ירכזו רמ"י ומשרד הבינוי מאמץ בתכנון מפורט של תכניות התואמות את תכניות המתאר הקיימות. המועצה גם חזרה על עיקרי החלטתה מינואר 2006 בנוגע לחלוקה הגאוגרפית בין רמ"י למשרד הבינוי. </w:t>
      </w:r>
    </w:p>
    <w:p w:rsidR="00E97EDA" w:rsidRPr="00F41E78" w:rsidP="001B5632">
      <w:pPr>
        <w:spacing w:after="120" w:line="230" w:lineRule="exact"/>
        <w:ind w:left="340" w:hanging="340"/>
        <w:jc w:val="both"/>
        <w:rPr>
          <w:rFonts w:cs="FrankRuehl"/>
          <w:b/>
          <w:bCs/>
          <w:sz w:val="18"/>
          <w:szCs w:val="22"/>
          <w:rtl/>
          <w:lang w:eastAsia="he-IL"/>
        </w:rPr>
      </w:pPr>
      <w:r>
        <w:rPr>
          <w:rFonts w:cs="FrankRuehl"/>
          <w:sz w:val="18"/>
          <w:szCs w:val="22"/>
          <w:lang w:eastAsia="he-IL"/>
        </w:rPr>
        <w:tab/>
      </w:r>
      <w:r w:rsidRPr="00F41E78">
        <w:rPr>
          <w:rFonts w:cs="FrankRuehl" w:hint="cs"/>
          <w:sz w:val="18"/>
          <w:szCs w:val="22"/>
          <w:rtl/>
          <w:lang w:eastAsia="he-IL"/>
        </w:rPr>
        <w:t>נמצא כי רמ"י ומשרד הבינוי לא עמדו גם בהסדר זה. בשנים 2012-2007 נתנה רמ"י למשרד הבינוי, במסגרת ועדת ההרשאות, הרשאה חדשה אחת בלבד לתכנון. דהיינו, כל התכניות שקידם משרד הבינוי בשנים אלו נעשו על פי הרשאות לתכנון ישנות</w:t>
      </w:r>
      <w:r w:rsidRPr="00F41E78">
        <w:rPr>
          <w:rFonts w:cs="FrankRuehl"/>
          <w:sz w:val="18"/>
          <w:szCs w:val="22"/>
          <w:rtl/>
          <w:lang w:eastAsia="he-IL"/>
        </w:rPr>
        <w:t xml:space="preserve">. </w:t>
      </w:r>
    </w:p>
    <w:p w:rsidR="00E97EDA" w:rsidRPr="00F41E78" w:rsidP="001B5632">
      <w:pPr>
        <w:spacing w:after="240" w:line="230" w:lineRule="exact"/>
        <w:ind w:left="340" w:hanging="340"/>
        <w:jc w:val="both"/>
        <w:rPr>
          <w:rFonts w:cs="FrankRuehl"/>
          <w:sz w:val="18"/>
          <w:szCs w:val="22"/>
          <w:rtl/>
          <w:lang w:eastAsia="he-IL"/>
        </w:rPr>
      </w:pPr>
      <w:r w:rsidRPr="00F41E78">
        <w:rPr>
          <w:rFonts w:cs="FrankRuehl"/>
          <w:sz w:val="18"/>
          <w:szCs w:val="22"/>
          <w:rtl/>
          <w:lang w:eastAsia="he-IL"/>
        </w:rPr>
        <w:t>3.</w:t>
      </w:r>
      <w:r w:rsidRPr="00F41E78">
        <w:rPr>
          <w:rFonts w:cs="FrankRuehl"/>
          <w:sz w:val="18"/>
          <w:szCs w:val="22"/>
          <w:rtl/>
          <w:lang w:eastAsia="he-IL"/>
        </w:rPr>
        <w:tab/>
        <w:t xml:space="preserve">בדצמבר 2009 החליטה מועצת מקרקעי ישראל, במסגרת הרפורמה בניהול מקרקעי ישראל, לבטל החלטה זו וקבעה כי פעולות התכנון יועברו מרמ"י </w:t>
      </w:r>
      <w:r w:rsidRPr="00F41E78">
        <w:rPr>
          <w:rFonts w:cs="FrankRuehl" w:hint="eastAsia"/>
          <w:sz w:val="18"/>
          <w:szCs w:val="22"/>
          <w:rtl/>
          <w:lang w:eastAsia="he-IL"/>
        </w:rPr>
        <w:t>למגזר</w:t>
      </w:r>
      <w:r w:rsidRPr="00F41E78">
        <w:rPr>
          <w:rFonts w:cs="FrankRuehl"/>
          <w:sz w:val="18"/>
          <w:szCs w:val="22"/>
          <w:rtl/>
          <w:lang w:eastAsia="he-IL"/>
        </w:rPr>
        <w:t xml:space="preserve"> </w:t>
      </w:r>
      <w:r w:rsidRPr="00F41E78">
        <w:rPr>
          <w:rFonts w:cs="FrankRuehl" w:hint="eastAsia"/>
          <w:sz w:val="18"/>
          <w:szCs w:val="22"/>
          <w:rtl/>
          <w:lang w:eastAsia="he-IL"/>
        </w:rPr>
        <w:t>הפרטי</w:t>
      </w:r>
      <w:r w:rsidRPr="00F41E78">
        <w:rPr>
          <w:rFonts w:cs="FrankRuehl"/>
          <w:sz w:val="18"/>
          <w:szCs w:val="22"/>
          <w:rtl/>
          <w:lang w:eastAsia="he-IL"/>
        </w:rPr>
        <w:t xml:space="preserve">, </w:t>
      </w:r>
      <w:r w:rsidRPr="00F41E78">
        <w:rPr>
          <w:rFonts w:cs="FrankRuehl" w:hint="eastAsia"/>
          <w:sz w:val="18"/>
          <w:szCs w:val="22"/>
          <w:rtl/>
          <w:lang w:eastAsia="he-IL"/>
        </w:rPr>
        <w:t>למשרד הבינוי</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eastAsia"/>
          <w:sz w:val="18"/>
          <w:szCs w:val="22"/>
          <w:rtl/>
          <w:lang w:eastAsia="he-IL"/>
        </w:rPr>
        <w:t>לרשויות</w:t>
      </w:r>
      <w:r w:rsidRPr="00F41E78">
        <w:rPr>
          <w:rFonts w:cs="FrankRuehl"/>
          <w:sz w:val="18"/>
          <w:szCs w:val="22"/>
          <w:rtl/>
          <w:lang w:eastAsia="he-IL"/>
        </w:rPr>
        <w:t xml:space="preserve"> </w:t>
      </w:r>
      <w:r w:rsidRPr="00F41E78">
        <w:rPr>
          <w:rFonts w:cs="FrankRuehl" w:hint="eastAsia"/>
          <w:sz w:val="18"/>
          <w:szCs w:val="22"/>
          <w:rtl/>
          <w:lang w:eastAsia="he-IL"/>
        </w:rPr>
        <w:t>המקומיות</w:t>
      </w:r>
      <w:r w:rsidRPr="00F41E78">
        <w:rPr>
          <w:rFonts w:cs="FrankRuehl"/>
          <w:sz w:val="18"/>
          <w:szCs w:val="22"/>
          <w:rtl/>
          <w:lang w:eastAsia="he-IL"/>
        </w:rPr>
        <w:t xml:space="preserve"> </w:t>
      </w:r>
      <w:r w:rsidRPr="00F41E78">
        <w:rPr>
          <w:rFonts w:cs="FrankRuehl" w:hint="eastAsia"/>
          <w:sz w:val="18"/>
          <w:szCs w:val="22"/>
          <w:rtl/>
          <w:lang w:eastAsia="he-IL"/>
        </w:rPr>
        <w:t>ו</w:t>
      </w:r>
      <w:r w:rsidRPr="00F41E78">
        <w:rPr>
          <w:rFonts w:cs="FrankRuehl" w:hint="cs"/>
          <w:sz w:val="18"/>
          <w:szCs w:val="22"/>
          <w:rtl/>
          <w:lang w:eastAsia="he-IL"/>
        </w:rPr>
        <w:t xml:space="preserve">כן </w:t>
      </w:r>
      <w:r w:rsidRPr="00F41E78">
        <w:rPr>
          <w:rFonts w:cs="FrankRuehl" w:hint="eastAsia"/>
          <w:sz w:val="18"/>
          <w:szCs w:val="22"/>
          <w:rtl/>
          <w:lang w:eastAsia="he-IL"/>
        </w:rPr>
        <w:t>לרשויות</w:t>
      </w:r>
      <w:r w:rsidRPr="00F41E78">
        <w:rPr>
          <w:rFonts w:cs="FrankRuehl"/>
          <w:sz w:val="18"/>
          <w:szCs w:val="22"/>
          <w:rtl/>
          <w:lang w:eastAsia="he-IL"/>
        </w:rPr>
        <w:t xml:space="preserve"> </w:t>
      </w:r>
      <w:r w:rsidRPr="00F41E78">
        <w:rPr>
          <w:rFonts w:cs="FrankRuehl" w:hint="eastAsia"/>
          <w:sz w:val="18"/>
          <w:szCs w:val="22"/>
          <w:rtl/>
          <w:lang w:eastAsia="he-IL"/>
        </w:rPr>
        <w:t>הסטטוטוריות</w:t>
      </w:r>
      <w:r w:rsidRPr="00F41E78">
        <w:rPr>
          <w:rFonts w:cs="FrankRuehl"/>
          <w:sz w:val="18"/>
          <w:szCs w:val="22"/>
          <w:rtl/>
          <w:lang w:eastAsia="he-IL"/>
        </w:rPr>
        <w:t xml:space="preserve"> העוסקות על פי מטרותיהן בפיתוח ו</w:t>
      </w:r>
      <w:r w:rsidRPr="00F41E78">
        <w:rPr>
          <w:rFonts w:cs="FrankRuehl" w:hint="eastAsia"/>
          <w:sz w:val="18"/>
          <w:szCs w:val="22"/>
          <w:rtl/>
          <w:lang w:eastAsia="he-IL"/>
        </w:rPr>
        <w:t>בתכנון</w:t>
      </w:r>
      <w:r w:rsidRPr="00F41E78">
        <w:rPr>
          <w:rFonts w:cs="FrankRuehl" w:hint="cs"/>
          <w:sz w:val="18"/>
          <w:szCs w:val="22"/>
          <w:rtl/>
          <w:lang w:eastAsia="he-IL"/>
        </w:rPr>
        <w:t xml:space="preserve">. </w:t>
      </w:r>
      <w:r w:rsidRPr="00F41E78">
        <w:rPr>
          <w:rFonts w:cs="FrankRuehl" w:hint="eastAsia"/>
          <w:sz w:val="18"/>
          <w:szCs w:val="22"/>
          <w:rtl/>
          <w:lang w:eastAsia="he-IL"/>
        </w:rPr>
        <w:t>החלטה</w:t>
      </w:r>
      <w:r w:rsidRPr="00F41E78">
        <w:rPr>
          <w:rFonts w:cs="FrankRuehl"/>
          <w:sz w:val="18"/>
          <w:szCs w:val="22"/>
          <w:rtl/>
          <w:lang w:eastAsia="he-IL"/>
        </w:rPr>
        <w:t xml:space="preserve"> </w:t>
      </w:r>
      <w:r w:rsidRPr="00F41E78">
        <w:rPr>
          <w:rFonts w:cs="FrankRuehl" w:hint="eastAsia"/>
          <w:sz w:val="18"/>
          <w:szCs w:val="22"/>
          <w:rtl/>
          <w:lang w:eastAsia="he-IL"/>
        </w:rPr>
        <w:t>זו</w:t>
      </w:r>
      <w:r w:rsidRPr="00F41E78">
        <w:rPr>
          <w:rFonts w:cs="FrankRuehl"/>
          <w:sz w:val="18"/>
          <w:szCs w:val="22"/>
          <w:rtl/>
          <w:lang w:eastAsia="he-IL"/>
        </w:rPr>
        <w:t xml:space="preserve"> </w:t>
      </w:r>
      <w:r w:rsidRPr="00F41E78">
        <w:rPr>
          <w:rFonts w:cs="FrankRuehl" w:hint="eastAsia"/>
          <w:sz w:val="18"/>
          <w:szCs w:val="22"/>
          <w:rtl/>
          <w:lang w:eastAsia="he-IL"/>
        </w:rPr>
        <w:t>שונתה</w:t>
      </w:r>
      <w:r w:rsidRPr="00F41E78">
        <w:rPr>
          <w:rFonts w:cs="FrankRuehl"/>
          <w:sz w:val="18"/>
          <w:szCs w:val="22"/>
          <w:rtl/>
          <w:lang w:eastAsia="he-IL"/>
        </w:rPr>
        <w:t xml:space="preserve"> </w:t>
      </w:r>
      <w:r w:rsidRPr="00F41E78">
        <w:rPr>
          <w:rFonts w:cs="FrankRuehl" w:hint="eastAsia"/>
          <w:sz w:val="18"/>
          <w:szCs w:val="22"/>
          <w:rtl/>
          <w:lang w:eastAsia="he-IL"/>
        </w:rPr>
        <w:t>בנובמבר</w:t>
      </w:r>
      <w:r w:rsidRPr="00F41E78">
        <w:rPr>
          <w:rFonts w:cs="FrankRuehl"/>
          <w:sz w:val="18"/>
          <w:szCs w:val="22"/>
          <w:rtl/>
          <w:lang w:eastAsia="he-IL"/>
        </w:rPr>
        <w:t xml:space="preserve"> 2013, </w:t>
      </w:r>
      <w:r w:rsidRPr="00F41E78">
        <w:rPr>
          <w:rFonts w:cs="FrankRuehl" w:hint="eastAsia"/>
          <w:sz w:val="18"/>
          <w:szCs w:val="22"/>
          <w:rtl/>
          <w:lang w:eastAsia="he-IL"/>
        </w:rPr>
        <w:t>אך</w:t>
      </w:r>
      <w:r w:rsidRPr="00F41E78">
        <w:rPr>
          <w:rFonts w:cs="FrankRuehl"/>
          <w:sz w:val="18"/>
          <w:szCs w:val="22"/>
          <w:rtl/>
          <w:lang w:eastAsia="he-IL"/>
        </w:rPr>
        <w:t xml:space="preserve"> </w:t>
      </w:r>
      <w:r w:rsidRPr="00F41E78">
        <w:rPr>
          <w:rFonts w:cs="FrankRuehl" w:hint="eastAsia"/>
          <w:sz w:val="18"/>
          <w:szCs w:val="22"/>
          <w:rtl/>
          <w:lang w:eastAsia="he-IL"/>
        </w:rPr>
        <w:t>הקביעה</w:t>
      </w:r>
      <w:r w:rsidRPr="00F41E78">
        <w:rPr>
          <w:rFonts w:cs="FrankRuehl"/>
          <w:sz w:val="18"/>
          <w:szCs w:val="22"/>
          <w:rtl/>
          <w:lang w:eastAsia="he-IL"/>
        </w:rPr>
        <w:t xml:space="preserve"> </w:t>
      </w:r>
      <w:r w:rsidRPr="00F41E78">
        <w:rPr>
          <w:rFonts w:cs="FrankRuehl" w:hint="eastAsia"/>
          <w:sz w:val="18"/>
          <w:szCs w:val="22"/>
          <w:rtl/>
          <w:lang w:eastAsia="he-IL"/>
        </w:rPr>
        <w:t>בנוגע</w:t>
      </w:r>
      <w:r w:rsidRPr="00F41E78">
        <w:rPr>
          <w:rFonts w:cs="FrankRuehl" w:hint="cs"/>
          <w:sz w:val="18"/>
          <w:szCs w:val="22"/>
          <w:rtl/>
          <w:lang w:eastAsia="he-IL"/>
        </w:rPr>
        <w:t xml:space="preserve"> לפעולות התכנון נותרה על כנה.</w:t>
      </w:r>
    </w:p>
    <w:p w:rsidR="00D22B16" w:rsidRPr="00F41E78" w:rsidP="00D22B16">
      <w:pPr>
        <w:pStyle w:val="RESHET"/>
        <w:keepLines/>
        <w:ind w:left="567"/>
        <w:rPr>
          <w:rtl/>
        </w:rPr>
      </w:pPr>
      <w:r w:rsidRPr="00F41E78">
        <w:rPr>
          <w:rFonts w:hint="cs"/>
          <w:rtl/>
        </w:rPr>
        <w:t>נמצא כי רמ"י לא יישמה גם החלטה זו. בשנים 2012-2009 העבירה רמ"י למשרד הבינוי פרויקטים ספורים שכבר החלה בתכנונם, ולא נתנה למשרד הבינוי אף לא הרשאה חדשה אחת נוספת.</w:t>
      </w:r>
    </w:p>
    <w:p w:rsidR="00E97EDA" w:rsidRPr="00CB33CD" w:rsidP="008C0652">
      <w:pPr>
        <w:spacing w:before="180" w:after="240" w:line="230" w:lineRule="exact"/>
        <w:ind w:left="340"/>
        <w:jc w:val="both"/>
        <w:rPr>
          <w:szCs w:val="20"/>
          <w:rtl/>
          <w:lang w:eastAsia="he-IL"/>
        </w:rPr>
      </w:pPr>
      <w:r w:rsidRPr="00F41E78">
        <w:rPr>
          <w:rFonts w:cs="FrankRuehl" w:hint="cs"/>
          <w:sz w:val="18"/>
          <w:szCs w:val="22"/>
          <w:rtl/>
          <w:lang w:eastAsia="he-IL"/>
        </w:rPr>
        <w:t>רק במרץ 2013 דנה ועדת ההרשאות של רמ"י בבקשות משרד הבינוי למתן הרשאות לתכנון. בדיון הוחלט לאשר למשרד הבינוי הרשאות לתכנון לבניית 18,500 יח"ד בחמישה פרויקטים ולדחות את בקשות המשרד לתכנון שני פרויקטים נוספים.</w:t>
      </w:r>
    </w:p>
    <w:p w:rsidR="00D22B16" w:rsidRPr="00F41E78" w:rsidP="00D22B16">
      <w:pPr>
        <w:pStyle w:val="RESHET"/>
        <w:keepLines/>
        <w:rPr>
          <w:rtl/>
        </w:rPr>
      </w:pPr>
      <w:r w:rsidRPr="00F41E78">
        <w:rPr>
          <w:rFonts w:hint="cs"/>
          <w:rtl/>
        </w:rPr>
        <w:t>אף שלאורך השנים הושגו הסכמות והבנות בין רמ"י למשרד הבינוי, במטרה להגביר ולייעל את תהליכי ייזום התכנון במדינה, שני הגופים לא עמדו בהסכמות ובהבנות שהושגו, וממילא לא עמדו ביעדי הממשלה לתכנון.</w:t>
      </w:r>
    </w:p>
    <w:p w:rsidR="00E97EDA" w:rsidRPr="00F41E78" w:rsidP="001B5632">
      <w:pPr>
        <w:spacing w:before="180" w:after="120" w:line="230" w:lineRule="exact"/>
        <w:jc w:val="both"/>
        <w:rPr>
          <w:rFonts w:cs="FrankRuehl"/>
          <w:sz w:val="18"/>
          <w:szCs w:val="22"/>
          <w:rtl/>
          <w:lang w:eastAsia="he-IL"/>
        </w:rPr>
      </w:pPr>
      <w:r w:rsidRPr="00F41E78">
        <w:rPr>
          <w:rFonts w:cs="FrankRuehl" w:hint="cs"/>
          <w:sz w:val="18"/>
          <w:szCs w:val="22"/>
          <w:rtl/>
          <w:lang w:eastAsia="he-IL"/>
        </w:rPr>
        <w:t>בתשובתו של משרד הבינוי ציין מנכ"ל המשרד מר שלמה בן אליהו כי לאורך השנים אכן נחתמו הסכמים בין רמ"י למשרד הבינוי שנועדו להסדיר את אופן מתן ההרשאות. אולם הסכמים אלו לא יושמו, והיקף ההרשאות שנתנה רמ"י למשרד הבינוי היה מצומצם ביותר ולא אפשר למשרד לנהל מלאי אפקטיבי של קרקעות מתוכננות.</w:t>
      </w:r>
    </w:p>
    <w:p w:rsidR="00E97EDA" w:rsidRPr="00F41E78" w:rsidP="001B5632">
      <w:pPr>
        <w:spacing w:after="240" w:line="230" w:lineRule="exact"/>
        <w:jc w:val="both"/>
        <w:rPr>
          <w:rFonts w:cs="FrankRuehl"/>
          <w:sz w:val="18"/>
          <w:szCs w:val="22"/>
          <w:rtl/>
          <w:lang w:eastAsia="he-IL"/>
        </w:rPr>
      </w:pPr>
      <w:r w:rsidRPr="00F41E78">
        <w:rPr>
          <w:rFonts w:cs="FrankRuehl" w:hint="cs"/>
          <w:sz w:val="18"/>
          <w:szCs w:val="22"/>
          <w:rtl/>
          <w:lang w:eastAsia="he-IL"/>
        </w:rPr>
        <w:t>המנכ"ל הוסיף כי בספטמבר 2013 נחתם הסכם חדש בין רמ"י למשרד הבינוי, שקבע מנגנון חדש לחלוקת האתרים לתכנון ולפיתוח ביניהם במטרה לייעל את תהליכי העבודה ולהגדיל את היצע הדיור.</w:t>
      </w:r>
    </w:p>
    <w:p w:rsidR="00D22B16" w:rsidRPr="00F41E78" w:rsidP="00D22B16">
      <w:pPr>
        <w:pStyle w:val="RESHET"/>
        <w:keepLines/>
        <w:rPr>
          <w:rtl/>
        </w:rPr>
      </w:pPr>
      <w:r w:rsidRPr="00F41E78">
        <w:rPr>
          <w:rFonts w:hint="cs"/>
          <w:rtl/>
        </w:rPr>
        <w:t>משרד מבקר המדינה מעיר כי מבחנם של ההסכמים בין רמ"י למשרד שיכון, לרבות ההסכם מספטמבר 2013, מתמצה באופן יישומם והשפעתם על מלאי הקרקעות הזמינות לשיווק.</w:t>
      </w:r>
    </w:p>
    <w:p w:rsidR="00E97EDA" w:rsidRPr="00F41E78" w:rsidP="00A7557B">
      <w:pPr>
        <w:spacing w:after="120" w:line="230" w:lineRule="exact"/>
        <w:jc w:val="both"/>
        <w:rPr>
          <w:rFonts w:cs="FrankRuehl"/>
          <w:sz w:val="18"/>
          <w:szCs w:val="22"/>
          <w:rtl/>
          <w:lang w:eastAsia="he-IL"/>
        </w:rPr>
      </w:pPr>
    </w:p>
    <w:p w:rsidR="00E97EDA" w:rsidRPr="00CB33CD" w:rsidP="00A7557B">
      <w:pPr>
        <w:pStyle w:val="KOT7"/>
        <w:rPr>
          <w:rtl/>
          <w:lang w:eastAsia="he-IL"/>
        </w:rPr>
      </w:pPr>
      <w:bookmarkStart w:id="41" w:name="_Toc368499947"/>
      <w:r w:rsidRPr="00CB33CD">
        <w:rPr>
          <w:rFonts w:hint="cs"/>
          <w:rtl/>
          <w:lang w:eastAsia="he-IL"/>
        </w:rPr>
        <w:t>היעדר מעקב אחר מתן הרשאות לתכנון ל</w:t>
      </w:r>
      <w:bookmarkEnd w:id="41"/>
      <w:r>
        <w:rPr>
          <w:rFonts w:hint="cs"/>
          <w:rtl/>
          <w:lang w:eastAsia="he-IL"/>
        </w:rPr>
        <w:t>משרד הבינוי</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באמצעות </w:t>
      </w:r>
      <w:r w:rsidR="008C0652">
        <w:rPr>
          <w:rFonts w:cs="FrankRuehl" w:hint="cs"/>
          <w:sz w:val="18"/>
          <w:szCs w:val="22"/>
          <w:rtl/>
          <w:lang w:eastAsia="he-IL"/>
        </w:rPr>
        <w:t xml:space="preserve">מעקב אחר </w:t>
      </w:r>
      <w:r w:rsidRPr="00F41E78">
        <w:rPr>
          <w:rFonts w:cs="FrankRuehl" w:hint="cs"/>
          <w:sz w:val="18"/>
          <w:szCs w:val="22"/>
          <w:rtl/>
          <w:lang w:eastAsia="he-IL"/>
        </w:rPr>
        <w:t>מתן הרשאה לתכנון רמ"י יכולה לוודא כי לא נמסרה הרשאת תכנון על הקרקע לגורם אחר, כמו כן היא יכולה לווסת תכנוני קרקע באזורי ביקוש על חשבון אזורים אחרים; וזאת משום שרק לרמ"י, כגוף המנהל את הקרקע, אמורה להיות תמונת מצב כוללת על המלאי התכנוני, על סטטוס התכנון ועל אזורי הביקוש.</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נמצא כי רמ"י לא ניהלה מעקב אחר ההרשאות לתכנון שהיא נתנה למשרד הבינוי ואחר התקדמות הליכי התכנון בכל אחד מהפרויקטים. על פי נתונים פנימיים של משרד הבינוי מיוני 2012, המשרד החזיק במלאי תכנוני של כ-124,000 יח"ד, לעומת זאת נתוני רמ"י העלו כי משרד הבינוי החזיק במלאי תכנוני של כ-168,000 יח"ד. </w:t>
      </w:r>
      <w:r w:rsidRPr="00F41E78">
        <w:rPr>
          <w:rFonts w:cs="FrankRuehl" w:hint="eastAsia"/>
          <w:sz w:val="18"/>
          <w:szCs w:val="22"/>
          <w:rtl/>
          <w:lang w:eastAsia="he-IL"/>
        </w:rPr>
        <w:t>זאת</w:t>
      </w:r>
      <w:r w:rsidRPr="00F41E78">
        <w:rPr>
          <w:rFonts w:cs="FrankRuehl"/>
          <w:sz w:val="18"/>
          <w:szCs w:val="22"/>
          <w:rtl/>
          <w:lang w:eastAsia="he-IL"/>
        </w:rPr>
        <w:t xml:space="preserve"> </w:t>
      </w:r>
      <w:r w:rsidRPr="00F41E78">
        <w:rPr>
          <w:rFonts w:cs="FrankRuehl" w:hint="eastAsia"/>
          <w:sz w:val="18"/>
          <w:szCs w:val="22"/>
          <w:rtl/>
          <w:lang w:eastAsia="he-IL"/>
        </w:rPr>
        <w:t>ועוד</w:t>
      </w:r>
      <w:r w:rsidRPr="00F41E78">
        <w:rPr>
          <w:rFonts w:cs="FrankRuehl"/>
          <w:sz w:val="18"/>
          <w:szCs w:val="22"/>
          <w:rtl/>
          <w:lang w:eastAsia="he-IL"/>
        </w:rPr>
        <w:t xml:space="preserve">, </w:t>
      </w:r>
      <w:r w:rsidRPr="00F41E78">
        <w:rPr>
          <w:rFonts w:cs="FrankRuehl" w:hint="eastAsia"/>
          <w:sz w:val="18"/>
          <w:szCs w:val="22"/>
          <w:rtl/>
          <w:lang w:eastAsia="he-IL"/>
        </w:rPr>
        <w:t>נתוני</w:t>
      </w:r>
      <w:r w:rsidRPr="00F41E78">
        <w:rPr>
          <w:rFonts w:cs="FrankRuehl"/>
          <w:sz w:val="18"/>
          <w:szCs w:val="22"/>
          <w:rtl/>
          <w:lang w:eastAsia="he-IL"/>
        </w:rPr>
        <w:t xml:space="preserve"> </w:t>
      </w:r>
      <w:r w:rsidRPr="00F41E78">
        <w:rPr>
          <w:rFonts w:cs="FrankRuehl" w:hint="eastAsia"/>
          <w:sz w:val="18"/>
          <w:szCs w:val="22"/>
          <w:rtl/>
          <w:lang w:eastAsia="he-IL"/>
        </w:rPr>
        <w:t>רמ</w:t>
      </w:r>
      <w:r w:rsidRPr="00F41E78">
        <w:rPr>
          <w:rFonts w:cs="FrankRuehl"/>
          <w:sz w:val="18"/>
          <w:szCs w:val="22"/>
          <w:rtl/>
          <w:lang w:eastAsia="he-IL"/>
        </w:rPr>
        <w:t xml:space="preserve">"י </w:t>
      </w:r>
      <w:r w:rsidRPr="00F41E78">
        <w:rPr>
          <w:rFonts w:cs="FrankRuehl" w:hint="eastAsia"/>
          <w:sz w:val="18"/>
          <w:szCs w:val="22"/>
          <w:rtl/>
          <w:lang w:eastAsia="he-IL"/>
        </w:rPr>
        <w:t>תאמו</w:t>
      </w:r>
      <w:r w:rsidRPr="00F41E78">
        <w:rPr>
          <w:rFonts w:cs="FrankRuehl"/>
          <w:sz w:val="18"/>
          <w:szCs w:val="22"/>
          <w:rtl/>
          <w:lang w:eastAsia="he-IL"/>
        </w:rPr>
        <w:t xml:space="preserve"> </w:t>
      </w:r>
      <w:r w:rsidRPr="00F41E78">
        <w:rPr>
          <w:rFonts w:cs="FrankRuehl" w:hint="eastAsia"/>
          <w:sz w:val="18"/>
          <w:szCs w:val="22"/>
          <w:rtl/>
          <w:lang w:eastAsia="he-IL"/>
        </w:rPr>
        <w:t>לנתוניו</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משרד הבינוי</w:t>
      </w:r>
      <w:r w:rsidRPr="00F41E78">
        <w:rPr>
          <w:rFonts w:cs="FrankRuehl"/>
          <w:sz w:val="18"/>
          <w:szCs w:val="22"/>
          <w:rtl/>
          <w:lang w:eastAsia="he-IL"/>
        </w:rPr>
        <w:t xml:space="preserve"> </w:t>
      </w:r>
      <w:r w:rsidRPr="00F41E78">
        <w:rPr>
          <w:rFonts w:cs="FrankRuehl" w:hint="eastAsia"/>
          <w:sz w:val="18"/>
          <w:szCs w:val="22"/>
          <w:rtl/>
          <w:lang w:eastAsia="he-IL"/>
        </w:rPr>
        <w:t>רק</w:t>
      </w:r>
      <w:r w:rsidRPr="00F41E78">
        <w:rPr>
          <w:rFonts w:cs="FrankRuehl"/>
          <w:sz w:val="18"/>
          <w:szCs w:val="22"/>
          <w:rtl/>
          <w:lang w:eastAsia="he-IL"/>
        </w:rPr>
        <w:t xml:space="preserve"> </w:t>
      </w:r>
      <w:r w:rsidRPr="00F41E78">
        <w:rPr>
          <w:rFonts w:cs="FrankRuehl" w:hint="eastAsia"/>
          <w:sz w:val="18"/>
          <w:szCs w:val="22"/>
          <w:rtl/>
          <w:lang w:eastAsia="he-IL"/>
        </w:rPr>
        <w:t>בנוגע</w:t>
      </w:r>
      <w:r w:rsidRPr="00F41E78">
        <w:rPr>
          <w:rFonts w:cs="FrankRuehl"/>
          <w:sz w:val="18"/>
          <w:szCs w:val="22"/>
          <w:rtl/>
          <w:lang w:eastAsia="he-IL"/>
        </w:rPr>
        <w:t xml:space="preserve"> </w:t>
      </w:r>
      <w:r w:rsidRPr="00F41E78">
        <w:rPr>
          <w:rFonts w:cs="FrankRuehl" w:hint="eastAsia"/>
          <w:sz w:val="18"/>
          <w:szCs w:val="22"/>
          <w:rtl/>
          <w:lang w:eastAsia="he-IL"/>
        </w:rPr>
        <w:t>להרשאות</w:t>
      </w:r>
      <w:r w:rsidRPr="00F41E78">
        <w:rPr>
          <w:rFonts w:cs="FrankRuehl"/>
          <w:sz w:val="18"/>
          <w:szCs w:val="22"/>
          <w:rtl/>
          <w:lang w:eastAsia="he-IL"/>
        </w:rPr>
        <w:t xml:space="preserve"> </w:t>
      </w:r>
      <w:r w:rsidRPr="00F41E78">
        <w:rPr>
          <w:rFonts w:cs="FrankRuehl" w:hint="eastAsia"/>
          <w:sz w:val="18"/>
          <w:szCs w:val="22"/>
          <w:rtl/>
          <w:lang w:eastAsia="he-IL"/>
        </w:rPr>
        <w:t>לתכנון</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כ</w:t>
      </w:r>
      <w:r w:rsidRPr="00F41E78">
        <w:rPr>
          <w:rFonts w:cs="FrankRuehl"/>
          <w:sz w:val="18"/>
          <w:szCs w:val="22"/>
          <w:rtl/>
          <w:lang w:eastAsia="he-IL"/>
        </w:rPr>
        <w:t xml:space="preserve">-68,000 </w:t>
      </w:r>
      <w:r w:rsidRPr="00F41E78">
        <w:rPr>
          <w:rFonts w:cs="FrankRuehl" w:hint="eastAsia"/>
          <w:sz w:val="18"/>
          <w:szCs w:val="22"/>
          <w:rtl/>
          <w:lang w:eastAsia="he-IL"/>
        </w:rPr>
        <w:t>יח</w:t>
      </w:r>
      <w:r w:rsidRPr="00F41E78">
        <w:rPr>
          <w:rFonts w:cs="FrankRuehl"/>
          <w:sz w:val="18"/>
          <w:szCs w:val="22"/>
          <w:rtl/>
          <w:lang w:eastAsia="he-IL"/>
        </w:rPr>
        <w:t xml:space="preserve">"ד; </w:t>
      </w:r>
      <w:r w:rsidRPr="00F41E78">
        <w:rPr>
          <w:rFonts w:cs="FrankRuehl" w:hint="eastAsia"/>
          <w:sz w:val="18"/>
          <w:szCs w:val="22"/>
          <w:rtl/>
          <w:lang w:eastAsia="he-IL"/>
        </w:rPr>
        <w:t>בנוגע</w:t>
      </w:r>
      <w:r w:rsidRPr="00F41E78">
        <w:rPr>
          <w:rFonts w:cs="FrankRuehl"/>
          <w:sz w:val="18"/>
          <w:szCs w:val="22"/>
          <w:rtl/>
          <w:lang w:eastAsia="he-IL"/>
        </w:rPr>
        <w:t xml:space="preserve"> </w:t>
      </w:r>
      <w:r w:rsidRPr="00F41E78">
        <w:rPr>
          <w:rFonts w:cs="FrankRuehl" w:hint="eastAsia"/>
          <w:sz w:val="18"/>
          <w:szCs w:val="22"/>
          <w:rtl/>
          <w:lang w:eastAsia="he-IL"/>
        </w:rPr>
        <w:t>לשאר</w:t>
      </w:r>
      <w:r w:rsidRPr="00F41E78">
        <w:rPr>
          <w:rFonts w:cs="FrankRuehl"/>
          <w:sz w:val="18"/>
          <w:szCs w:val="22"/>
          <w:rtl/>
          <w:lang w:eastAsia="he-IL"/>
        </w:rPr>
        <w:t xml:space="preserve"> </w:t>
      </w:r>
      <w:r w:rsidRPr="00F41E78">
        <w:rPr>
          <w:rFonts w:cs="FrankRuehl" w:hint="eastAsia"/>
          <w:sz w:val="18"/>
          <w:szCs w:val="22"/>
          <w:rtl/>
          <w:lang w:eastAsia="he-IL"/>
        </w:rPr>
        <w:t>ההרשאות</w:t>
      </w:r>
      <w:r w:rsidRPr="00F41E78">
        <w:rPr>
          <w:rFonts w:cs="FrankRuehl"/>
          <w:sz w:val="18"/>
          <w:szCs w:val="22"/>
          <w:rtl/>
          <w:lang w:eastAsia="he-IL"/>
        </w:rPr>
        <w:t xml:space="preserve"> </w:t>
      </w:r>
      <w:r w:rsidRPr="00F41E78">
        <w:rPr>
          <w:rFonts w:cs="FrankRuehl" w:hint="eastAsia"/>
          <w:sz w:val="18"/>
          <w:szCs w:val="22"/>
          <w:rtl/>
          <w:lang w:eastAsia="he-IL"/>
        </w:rPr>
        <w:t>לתכנון</w:t>
      </w:r>
      <w:r w:rsidRPr="00F41E78">
        <w:rPr>
          <w:rFonts w:cs="FrankRuehl"/>
          <w:sz w:val="18"/>
          <w:szCs w:val="22"/>
          <w:rtl/>
          <w:lang w:eastAsia="he-IL"/>
        </w:rPr>
        <w:t xml:space="preserve"> </w:t>
      </w:r>
      <w:r w:rsidRPr="00F41E78">
        <w:rPr>
          <w:rFonts w:cs="FrankRuehl" w:hint="eastAsia"/>
          <w:sz w:val="18"/>
          <w:szCs w:val="22"/>
          <w:rtl/>
          <w:lang w:eastAsia="he-IL"/>
        </w:rPr>
        <w:t>שניתנו</w:t>
      </w:r>
      <w:r w:rsidRPr="00F41E78">
        <w:rPr>
          <w:rFonts w:cs="FrankRuehl"/>
          <w:sz w:val="18"/>
          <w:szCs w:val="22"/>
          <w:rtl/>
          <w:lang w:eastAsia="he-IL"/>
        </w:rPr>
        <w:t xml:space="preserve"> </w:t>
      </w:r>
      <w:r w:rsidRPr="00F41E78">
        <w:rPr>
          <w:rFonts w:cs="FrankRuehl" w:hint="eastAsia"/>
          <w:sz w:val="18"/>
          <w:szCs w:val="22"/>
          <w:rtl/>
          <w:lang w:eastAsia="he-IL"/>
        </w:rPr>
        <w:t>למשרד הבינוי</w:t>
      </w:r>
      <w:r w:rsidRPr="00F41E78">
        <w:rPr>
          <w:rFonts w:cs="FrankRuehl"/>
          <w:sz w:val="18"/>
          <w:szCs w:val="22"/>
          <w:rtl/>
          <w:lang w:eastAsia="he-IL"/>
        </w:rPr>
        <w:t xml:space="preserve"> </w:t>
      </w:r>
      <w:r w:rsidRPr="00F41E78">
        <w:rPr>
          <w:rFonts w:cs="FrankRuehl" w:hint="eastAsia"/>
          <w:sz w:val="18"/>
          <w:szCs w:val="22"/>
          <w:rtl/>
          <w:lang w:eastAsia="he-IL"/>
        </w:rPr>
        <w:t>בעבר</w:t>
      </w:r>
      <w:r w:rsidRPr="00F41E78">
        <w:rPr>
          <w:rFonts w:cs="FrankRuehl"/>
          <w:sz w:val="18"/>
          <w:szCs w:val="22"/>
          <w:rtl/>
          <w:lang w:eastAsia="he-IL"/>
        </w:rPr>
        <w:t xml:space="preserve"> </w:t>
      </w:r>
      <w:r w:rsidRPr="00F41E78">
        <w:rPr>
          <w:rFonts w:cs="FrankRuehl" w:hint="eastAsia"/>
          <w:sz w:val="18"/>
          <w:szCs w:val="22"/>
          <w:rtl/>
          <w:lang w:eastAsia="he-IL"/>
        </w:rPr>
        <w:t>לא</w:t>
      </w:r>
      <w:r w:rsidRPr="00F41E78">
        <w:rPr>
          <w:rFonts w:cs="FrankRuehl"/>
          <w:sz w:val="18"/>
          <w:szCs w:val="22"/>
          <w:rtl/>
          <w:lang w:eastAsia="he-IL"/>
        </w:rPr>
        <w:t xml:space="preserve"> </w:t>
      </w:r>
      <w:r w:rsidRPr="00F41E78">
        <w:rPr>
          <w:rFonts w:cs="FrankRuehl" w:hint="eastAsia"/>
          <w:sz w:val="18"/>
          <w:szCs w:val="22"/>
          <w:rtl/>
          <w:lang w:eastAsia="he-IL"/>
        </w:rPr>
        <w:t>ניהלה</w:t>
      </w:r>
      <w:r w:rsidRPr="00F41E78">
        <w:rPr>
          <w:rFonts w:cs="FrankRuehl"/>
          <w:sz w:val="18"/>
          <w:szCs w:val="22"/>
          <w:rtl/>
          <w:lang w:eastAsia="he-IL"/>
        </w:rPr>
        <w:t xml:space="preserve"> </w:t>
      </w:r>
      <w:r w:rsidRPr="00F41E78">
        <w:rPr>
          <w:rFonts w:cs="FrankRuehl" w:hint="eastAsia"/>
          <w:sz w:val="18"/>
          <w:szCs w:val="22"/>
          <w:rtl/>
          <w:lang w:eastAsia="he-IL"/>
        </w:rPr>
        <w:t>רמ</w:t>
      </w:r>
      <w:r w:rsidRPr="00F41E78">
        <w:rPr>
          <w:rFonts w:cs="FrankRuehl"/>
          <w:sz w:val="18"/>
          <w:szCs w:val="22"/>
          <w:rtl/>
          <w:lang w:eastAsia="he-IL"/>
        </w:rPr>
        <w:t xml:space="preserve">"י </w:t>
      </w:r>
      <w:r w:rsidRPr="00F41E78">
        <w:rPr>
          <w:rFonts w:cs="FrankRuehl" w:hint="eastAsia"/>
          <w:sz w:val="18"/>
          <w:szCs w:val="22"/>
          <w:rtl/>
          <w:lang w:eastAsia="he-IL"/>
        </w:rPr>
        <w:t>כל</w:t>
      </w:r>
      <w:r w:rsidRPr="00F41E78">
        <w:rPr>
          <w:rFonts w:cs="FrankRuehl"/>
          <w:sz w:val="18"/>
          <w:szCs w:val="22"/>
          <w:rtl/>
          <w:lang w:eastAsia="he-IL"/>
        </w:rPr>
        <w:t xml:space="preserve"> </w:t>
      </w:r>
      <w:r w:rsidRPr="00F41E78">
        <w:rPr>
          <w:rFonts w:cs="FrankRuehl" w:hint="eastAsia"/>
          <w:sz w:val="18"/>
          <w:szCs w:val="22"/>
          <w:rtl/>
          <w:lang w:eastAsia="he-IL"/>
        </w:rPr>
        <w:t>פיקוח</w:t>
      </w:r>
      <w:r w:rsidRPr="00F41E78">
        <w:rPr>
          <w:rFonts w:cs="FrankRuehl"/>
          <w:sz w:val="18"/>
          <w:szCs w:val="22"/>
          <w:rtl/>
          <w:lang w:eastAsia="he-IL"/>
        </w:rPr>
        <w:t xml:space="preserve"> </w:t>
      </w:r>
      <w:r w:rsidRPr="00F41E78">
        <w:rPr>
          <w:rFonts w:cs="FrankRuehl" w:hint="eastAsia"/>
          <w:sz w:val="18"/>
          <w:szCs w:val="22"/>
          <w:rtl/>
          <w:lang w:eastAsia="he-IL"/>
        </w:rPr>
        <w:t>ובקרה</w:t>
      </w:r>
      <w:r w:rsidRPr="00F41E78">
        <w:rPr>
          <w:rFonts w:cs="FrankRuehl" w:hint="cs"/>
          <w:sz w:val="18"/>
          <w:szCs w:val="22"/>
          <w:rtl/>
          <w:lang w:eastAsia="he-IL"/>
        </w:rPr>
        <w:t xml:space="preserve">. </w:t>
      </w:r>
    </w:p>
    <w:p w:rsidR="00E97EDA" w:rsidRPr="00F41E78" w:rsidP="001B5632">
      <w:pPr>
        <w:spacing w:after="240" w:line="230" w:lineRule="exact"/>
        <w:jc w:val="both"/>
        <w:rPr>
          <w:rFonts w:cs="FrankRuehl"/>
          <w:sz w:val="18"/>
          <w:szCs w:val="22"/>
          <w:rtl/>
          <w:lang w:eastAsia="he-IL"/>
        </w:rPr>
      </w:pPr>
      <w:r w:rsidRPr="00F41E78">
        <w:rPr>
          <w:rFonts w:cs="FrankRuehl" w:hint="cs"/>
          <w:sz w:val="18"/>
          <w:szCs w:val="22"/>
          <w:rtl/>
          <w:lang w:eastAsia="he-IL"/>
        </w:rPr>
        <w:t xml:space="preserve">הנושא עלה גם בפגישת עבודה שוטפת מינואר 2013 בין מנכ"ל משרד הבינוי לשעבר ומנהל רמ"י (ועובדיהם) שבמהלכה ציין </w:t>
      </w:r>
      <w:r w:rsidRPr="00F41E78">
        <w:rPr>
          <w:rFonts w:cs="FrankRuehl" w:hint="eastAsia"/>
          <w:sz w:val="18"/>
          <w:szCs w:val="22"/>
          <w:rtl/>
          <w:lang w:eastAsia="he-IL"/>
        </w:rPr>
        <w:t>מנהל</w:t>
      </w:r>
      <w:r w:rsidRPr="00F41E78">
        <w:rPr>
          <w:rFonts w:cs="FrankRuehl"/>
          <w:sz w:val="18"/>
          <w:szCs w:val="22"/>
          <w:rtl/>
          <w:lang w:eastAsia="he-IL"/>
        </w:rPr>
        <w:t xml:space="preserve"> אגף התכנון </w:t>
      </w:r>
      <w:r w:rsidRPr="00F41E78">
        <w:rPr>
          <w:rFonts w:cs="FrankRuehl" w:hint="eastAsia"/>
          <w:sz w:val="18"/>
          <w:szCs w:val="22"/>
          <w:rtl/>
          <w:lang w:eastAsia="he-IL"/>
        </w:rPr>
        <w:t>ברמ</w:t>
      </w:r>
      <w:r w:rsidRPr="00F41E78">
        <w:rPr>
          <w:rFonts w:cs="FrankRuehl"/>
          <w:sz w:val="18"/>
          <w:szCs w:val="22"/>
          <w:rtl/>
          <w:lang w:eastAsia="he-IL"/>
        </w:rPr>
        <w:t xml:space="preserve">"י </w:t>
      </w:r>
      <w:r w:rsidRPr="00F41E78">
        <w:rPr>
          <w:rFonts w:cs="FrankRuehl" w:hint="cs"/>
          <w:sz w:val="18"/>
          <w:szCs w:val="22"/>
          <w:rtl/>
          <w:lang w:eastAsia="he-IL"/>
        </w:rPr>
        <w:t>כי הוא מתקשה לעקוב באופן מסודר אחר התקדמות תכנון האתרים העוברים לידי משרד הבינוי. הוא דרש לגבש נוהל שינחה על קיום ישיבה רבעונית שבה ידווח משרד הבינוי על סטטוס תכנון הקרקעות שהועברו אליו.</w:t>
      </w:r>
    </w:p>
    <w:p w:rsidR="00D22B16" w:rsidRPr="00F41E78" w:rsidP="00D22B16">
      <w:pPr>
        <w:pStyle w:val="RESHET"/>
        <w:keepLines/>
        <w:rPr>
          <w:rtl/>
        </w:rPr>
      </w:pPr>
      <w:r w:rsidRPr="00F41E78">
        <w:rPr>
          <w:rFonts w:hint="cs"/>
          <w:rtl/>
        </w:rPr>
        <w:t xml:space="preserve">ראוי היה כי רמ"י תנהל מעקב מסודר ושיטתי אחר כל ההרשאות לתכנון שהיא נתנה למשרד הבינוי. היעדר מעקב ובקרה שיטתיים פגע ביעילותו של הליך ייזום התכנון במדינה, והוא עלול להביא לידי מחסור במלאי התכנוני הזמין ולידי אי-השגת יעדי הממשלה. </w:t>
      </w:r>
    </w:p>
    <w:p w:rsidR="00E97EDA" w:rsidRPr="00F41E78" w:rsidP="00A7557B">
      <w:pPr>
        <w:spacing w:after="120" w:line="230" w:lineRule="exact"/>
        <w:jc w:val="both"/>
        <w:rPr>
          <w:rFonts w:cs="FrankRuehl"/>
          <w:sz w:val="18"/>
          <w:szCs w:val="22"/>
          <w:rtl/>
          <w:lang w:eastAsia="he-IL"/>
        </w:rPr>
      </w:pPr>
    </w:p>
    <w:p w:rsidR="00E97EDA" w:rsidRPr="00CB33CD" w:rsidP="00A7557B">
      <w:pPr>
        <w:pStyle w:val="KOT7"/>
        <w:rPr>
          <w:rtl/>
          <w:lang w:eastAsia="he-IL"/>
        </w:rPr>
      </w:pPr>
      <w:bookmarkStart w:id="42" w:name="_Toc368499949"/>
      <w:r w:rsidRPr="00CB33CD">
        <w:rPr>
          <w:rFonts w:hint="cs"/>
          <w:rtl/>
          <w:lang w:eastAsia="he-IL"/>
        </w:rPr>
        <w:t xml:space="preserve">תכנון של </w:t>
      </w:r>
      <w:r>
        <w:rPr>
          <w:rFonts w:hint="cs"/>
          <w:rtl/>
          <w:lang w:eastAsia="he-IL"/>
        </w:rPr>
        <w:t>משרד הבינוי</w:t>
      </w:r>
      <w:r w:rsidRPr="00CB33CD">
        <w:rPr>
          <w:rFonts w:hint="cs"/>
          <w:rtl/>
          <w:lang w:eastAsia="he-IL"/>
        </w:rPr>
        <w:t xml:space="preserve"> הנעשה ללא קבלת הרשאות לתכנון מרמ"י</w:t>
      </w:r>
      <w:bookmarkEnd w:id="42"/>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כאמור, כל גוף הרוצה לתכנן על קרקעות המדינה חייב לקבל הרשאה לתכנון מרמ"י. למרות זאת, נמצא כי משרד הבינוי יזם לעתים תכנון בלי שקיבל הרשאה מרמ"י או שעשה זאת על בסיס הרשאה לתכנון שפג תוקפה.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במאי 2012 פנה מנכ"ל משרד הבינוי</w:t>
      </w:r>
      <w:r w:rsidRPr="00F41E78">
        <w:rPr>
          <w:rFonts w:cs="FrankRuehl"/>
          <w:sz w:val="18"/>
          <w:szCs w:val="22"/>
          <w:rtl/>
          <w:lang w:eastAsia="he-IL"/>
        </w:rPr>
        <w:t xml:space="preserve"> </w:t>
      </w:r>
      <w:r w:rsidRPr="00F41E78">
        <w:rPr>
          <w:rFonts w:cs="FrankRuehl" w:hint="eastAsia"/>
          <w:sz w:val="18"/>
          <w:szCs w:val="22"/>
          <w:rtl/>
          <w:lang w:eastAsia="he-IL"/>
        </w:rPr>
        <w:t>דאז</w:t>
      </w:r>
      <w:r w:rsidRPr="00F41E78">
        <w:rPr>
          <w:rFonts w:cs="FrankRuehl"/>
          <w:sz w:val="18"/>
          <w:szCs w:val="22"/>
          <w:rtl/>
          <w:lang w:eastAsia="he-IL"/>
        </w:rPr>
        <w:t xml:space="preserve"> </w:t>
      </w:r>
      <w:r w:rsidRPr="00F41E78">
        <w:rPr>
          <w:rFonts w:cs="FrankRuehl" w:hint="eastAsia"/>
          <w:sz w:val="18"/>
          <w:szCs w:val="22"/>
          <w:rtl/>
          <w:lang w:eastAsia="he-IL"/>
        </w:rPr>
        <w:t>למנהל</w:t>
      </w:r>
      <w:r w:rsidRPr="00F41E78">
        <w:rPr>
          <w:rFonts w:cs="FrankRuehl"/>
          <w:sz w:val="18"/>
          <w:szCs w:val="22"/>
          <w:rtl/>
          <w:lang w:eastAsia="he-IL"/>
        </w:rPr>
        <w:t xml:space="preserve"> </w:t>
      </w:r>
      <w:r w:rsidRPr="00F41E78">
        <w:rPr>
          <w:rFonts w:cs="FrankRuehl" w:hint="cs"/>
          <w:sz w:val="18"/>
          <w:szCs w:val="22"/>
          <w:rtl/>
          <w:lang w:eastAsia="he-IL"/>
        </w:rPr>
        <w:t>רמ"י וביקש לקבל הרשאות חדשות לתכנון</w:t>
      </w:r>
      <w:r w:rsidR="00CC3472">
        <w:rPr>
          <w:rFonts w:cs="FrankRuehl" w:hint="cs"/>
          <w:sz w:val="18"/>
          <w:szCs w:val="22"/>
          <w:rtl/>
          <w:lang w:eastAsia="he-IL"/>
        </w:rPr>
        <w:t>.</w:t>
      </w:r>
      <w:r w:rsidRPr="00F41E78">
        <w:rPr>
          <w:rFonts w:cs="FrankRuehl" w:hint="cs"/>
          <w:sz w:val="18"/>
          <w:szCs w:val="22"/>
          <w:rtl/>
          <w:lang w:eastAsia="he-IL"/>
        </w:rPr>
        <w:t xml:space="preserve"> בבקשתו ציין כי בשנים האחרונות משרד הבינוי לא קיבל הרשאות חדשות לתכנון סטטוטורי. לכן, בחלק מהאתרים יזם המשרד תכנון לאחר שקיבל לכאורה הסכמה בעל פה מרמ"י</w:t>
      </w:r>
      <w:r>
        <w:rPr>
          <w:rFonts w:cs="FrankRuehl"/>
          <w:sz w:val="18"/>
          <w:szCs w:val="22"/>
          <w:vertAlign w:val="superscript"/>
          <w:rtl/>
          <w:lang w:eastAsia="he-IL"/>
        </w:rPr>
        <w:footnoteReference w:id="194"/>
      </w:r>
      <w:r w:rsidRPr="00F41E78">
        <w:rPr>
          <w:rFonts w:cs="FrankRuehl" w:hint="cs"/>
          <w:sz w:val="18"/>
          <w:szCs w:val="22"/>
          <w:rtl/>
          <w:lang w:eastAsia="he-IL"/>
        </w:rPr>
        <w:t xml:space="preserve"> ובחלק אחר עשה זאת בלי שקיבל כל הרשאה לתכנון</w:t>
      </w:r>
      <w:r>
        <w:rPr>
          <w:rFonts w:cs="FrankRuehl"/>
          <w:sz w:val="18"/>
          <w:szCs w:val="22"/>
          <w:vertAlign w:val="superscript"/>
          <w:rtl/>
          <w:lang w:eastAsia="he-IL"/>
        </w:rPr>
        <w:footnoteReference w:id="195"/>
      </w:r>
      <w:r w:rsidRPr="00F41E78">
        <w:rPr>
          <w:rFonts w:cs="FrankRuehl" w:hint="cs"/>
          <w:sz w:val="18"/>
          <w:szCs w:val="22"/>
          <w:rtl/>
          <w:lang w:eastAsia="he-IL"/>
        </w:rPr>
        <w:t>. בכמה אתרים נוספים המשיך המשרד ליזום תכנון על בסיס הרשאה לתכנון שפג תוקפה</w:t>
      </w:r>
      <w:r>
        <w:rPr>
          <w:rFonts w:cs="FrankRuehl"/>
          <w:sz w:val="18"/>
          <w:szCs w:val="22"/>
          <w:vertAlign w:val="superscript"/>
          <w:rtl/>
          <w:lang w:eastAsia="he-IL"/>
        </w:rPr>
        <w:footnoteReference w:id="196"/>
      </w:r>
      <w:r w:rsidRPr="00F41E78">
        <w:rPr>
          <w:rFonts w:cs="FrankRuehl" w:hint="cs"/>
          <w:sz w:val="18"/>
          <w:szCs w:val="22"/>
          <w:rtl/>
          <w:lang w:eastAsia="he-IL"/>
        </w:rPr>
        <w:t xml:space="preserve">, והוא לא חידש אותה. </w:t>
      </w:r>
    </w:p>
    <w:p w:rsidR="00E97EDA" w:rsidRPr="00F41E78" w:rsidP="001B5632">
      <w:pPr>
        <w:spacing w:after="240" w:line="230" w:lineRule="exact"/>
        <w:jc w:val="both"/>
        <w:rPr>
          <w:rFonts w:cs="FrankRuehl"/>
          <w:sz w:val="18"/>
          <w:szCs w:val="22"/>
          <w:rtl/>
          <w:lang w:eastAsia="he-IL"/>
        </w:rPr>
      </w:pPr>
      <w:r w:rsidRPr="00F41E78">
        <w:rPr>
          <w:rFonts w:cs="FrankRuehl" w:hint="cs"/>
          <w:sz w:val="18"/>
          <w:szCs w:val="22"/>
          <w:rtl/>
          <w:lang w:eastAsia="he-IL"/>
        </w:rPr>
        <w:t xml:space="preserve">יצוין כי משרד מבקר המדינה כבר כתב </w:t>
      </w:r>
      <w:r w:rsidRPr="00F41E78">
        <w:rPr>
          <w:rFonts w:cs="FrankRuehl" w:hint="eastAsia"/>
          <w:sz w:val="18"/>
          <w:szCs w:val="22"/>
          <w:rtl/>
          <w:lang w:eastAsia="he-IL"/>
        </w:rPr>
        <w:t>בדוח</w:t>
      </w:r>
      <w:r w:rsidRPr="00F41E78">
        <w:rPr>
          <w:rFonts w:cs="FrankRuehl"/>
          <w:sz w:val="18"/>
          <w:szCs w:val="22"/>
          <w:rtl/>
          <w:lang w:eastAsia="he-IL"/>
        </w:rPr>
        <w:t xml:space="preserve"> </w:t>
      </w:r>
      <w:r w:rsidRPr="00F41E78">
        <w:rPr>
          <w:rFonts w:cs="FrankRuehl" w:hint="eastAsia"/>
          <w:sz w:val="18"/>
          <w:szCs w:val="22"/>
          <w:rtl/>
          <w:lang w:eastAsia="he-IL"/>
        </w:rPr>
        <w:t>קודם</w:t>
      </w:r>
      <w:r w:rsidRPr="00F41E78">
        <w:rPr>
          <w:rFonts w:cs="FrankRuehl"/>
          <w:sz w:val="18"/>
          <w:szCs w:val="22"/>
          <w:rtl/>
          <w:lang w:eastAsia="he-IL"/>
        </w:rPr>
        <w:t xml:space="preserve"> </w:t>
      </w:r>
      <w:r w:rsidRPr="00F41E78">
        <w:rPr>
          <w:rFonts w:cs="FrankRuehl" w:hint="cs"/>
          <w:sz w:val="18"/>
          <w:szCs w:val="22"/>
          <w:rtl/>
          <w:lang w:eastAsia="he-IL"/>
        </w:rPr>
        <w:t>מ</w:t>
      </w:r>
      <w:r w:rsidRPr="00F41E78">
        <w:rPr>
          <w:rFonts w:cs="FrankRuehl"/>
          <w:sz w:val="18"/>
          <w:szCs w:val="22"/>
          <w:rtl/>
          <w:lang w:eastAsia="he-IL"/>
        </w:rPr>
        <w:t>שנת 2005</w:t>
      </w:r>
      <w:r>
        <w:rPr>
          <w:rFonts w:cs="FrankRuehl"/>
          <w:sz w:val="18"/>
          <w:szCs w:val="22"/>
          <w:vertAlign w:val="superscript"/>
          <w:rtl/>
          <w:lang w:eastAsia="he-IL"/>
        </w:rPr>
        <w:footnoteReference w:id="197"/>
      </w:r>
      <w:r w:rsidRPr="00F41E78">
        <w:rPr>
          <w:rFonts w:cs="FrankRuehl" w:hint="cs"/>
          <w:sz w:val="18"/>
          <w:szCs w:val="22"/>
          <w:rtl/>
          <w:lang w:eastAsia="he-IL"/>
        </w:rPr>
        <w:t xml:space="preserve"> כי משרד הבינוי עסק בתכנון מפורט של עשרות אלפי יח"ד ללא קבלת הרשאות לתכנון מרמ"י. כבר אז נמצאו מקרים שמשרד הבינוי ביקש הרשאה לתכנון קרקע, ומשלא הגיעה תשובתה של רמ"י החל בתכנון ללא כל הרשאה. כלומר, מההיבט הזה לא השתנה דבר.</w:t>
      </w:r>
    </w:p>
    <w:p w:rsidR="00D22B16" w:rsidRPr="00F41E78" w:rsidP="00D22B16">
      <w:pPr>
        <w:pStyle w:val="RESHET"/>
        <w:keepLines/>
        <w:rPr>
          <w:rtl/>
        </w:rPr>
      </w:pPr>
      <w:r w:rsidRPr="00F41E78">
        <w:rPr>
          <w:rFonts w:hint="cs"/>
          <w:rtl/>
        </w:rPr>
        <w:t xml:space="preserve">יוצא אפוא שרמ"י אכן לא עקבה אחר הליכי ייזום התכנון על הקרקע שבניהולה. לכן, ייתכן שנוצר מצב שבו שני הגופים עוסקים בתכנון של אותה יחידת קרקע, או לחלופין מצב של היעדר תכנון באזורים אחרים. </w:t>
      </w:r>
    </w:p>
    <w:p w:rsidR="00D22B16" w:rsidRPr="00F41E78" w:rsidP="00D22B16">
      <w:pPr>
        <w:pStyle w:val="RESHET"/>
        <w:keepLines/>
        <w:rPr>
          <w:rtl/>
        </w:rPr>
      </w:pPr>
      <w:r w:rsidRPr="00F41E78">
        <w:rPr>
          <w:rFonts w:hint="cs"/>
          <w:rtl/>
        </w:rPr>
        <w:t xml:space="preserve">לדעת משרד מבקר המדינה, אין זה ראוי שמשרד הבינוי יפעל בניגוד לנורמות של </w:t>
      </w:r>
      <w:r w:rsidRPr="00F41E78">
        <w:rPr>
          <w:rtl/>
        </w:rPr>
        <w:t xml:space="preserve">סדרי </w:t>
      </w:r>
      <w:r w:rsidRPr="00F41E78">
        <w:rPr>
          <w:rFonts w:hint="eastAsia"/>
          <w:rtl/>
        </w:rPr>
        <w:t>מינהל</w:t>
      </w:r>
      <w:r w:rsidRPr="00F41E78">
        <w:rPr>
          <w:rtl/>
        </w:rPr>
        <w:t xml:space="preserve"> </w:t>
      </w:r>
      <w:r w:rsidRPr="00F41E78">
        <w:rPr>
          <w:rFonts w:hint="eastAsia"/>
          <w:rtl/>
        </w:rPr>
        <w:t>תקין</w:t>
      </w:r>
      <w:r w:rsidRPr="00F41E78">
        <w:rPr>
          <w:rFonts w:hint="cs"/>
          <w:rtl/>
        </w:rPr>
        <w:t xml:space="preserve"> ויתכנן על קרקע של המדינה בלי שקיבל הרשאה לתכנון מסודרת מרמ"י האחראית לניהול הקרקע על פי חוק. פעילות מסוג זה עלולה להביא לידי פגיעה ביעילות התהליכים השונים ולידי בזבוז כספי ציבור.</w:t>
      </w:r>
    </w:p>
    <w:p w:rsidR="009110D1" w:rsidRPr="00252FE5" w:rsidP="00A7557B">
      <w:pPr>
        <w:spacing w:after="120" w:line="230" w:lineRule="exact"/>
        <w:jc w:val="both"/>
        <w:rPr>
          <w:rFonts w:cs="FrankRuehl"/>
          <w:sz w:val="18"/>
          <w:szCs w:val="22"/>
          <w:rtl/>
          <w:lang w:eastAsia="he-IL"/>
        </w:rPr>
      </w:pPr>
    </w:p>
    <w:p w:rsidR="00E97EDA" w:rsidRPr="00CB33CD" w:rsidP="00A7557B">
      <w:pPr>
        <w:pStyle w:val="KOT5"/>
        <w:rPr>
          <w:rtl/>
          <w:lang w:eastAsia="he-IL"/>
        </w:rPr>
      </w:pPr>
      <w:bookmarkStart w:id="43" w:name="_Toc368499939"/>
      <w:r w:rsidRPr="00CB33CD">
        <w:rPr>
          <w:rFonts w:hint="cs"/>
          <w:rtl/>
          <w:lang w:eastAsia="he-IL"/>
        </w:rPr>
        <w:t xml:space="preserve">תכניות </w:t>
      </w:r>
      <w:r w:rsidRPr="00CB33CD">
        <w:rPr>
          <w:rtl/>
          <w:lang w:eastAsia="he-IL"/>
        </w:rPr>
        <w:t>מפורטות</w:t>
      </w:r>
      <w:r w:rsidRPr="00CB33CD">
        <w:rPr>
          <w:rFonts w:hint="cs"/>
          <w:rtl/>
          <w:lang w:eastAsia="he-IL"/>
        </w:rPr>
        <w:t xml:space="preserve"> למגורים שהוגשו למוסדות התכנון בשנים 2012-</w:t>
      </w:r>
      <w:bookmarkEnd w:id="43"/>
      <w:r w:rsidRPr="00CB33CD">
        <w:rPr>
          <w:rFonts w:hint="cs"/>
          <w:rtl/>
          <w:lang w:eastAsia="he-IL"/>
        </w:rPr>
        <w:t>2007</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לשם בחינת תפוקת יזמות התכנון על קרקעות שאינן בבעלות פרטית מלאה בדק משרד מבקר המדינה את כמות יחידות הדיור החדשות שהוגשו למוסדות התכנון בשנים 2012-2007.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מסד הנתונים שמשרד מבקר המדינה נסמך עליו, בבואו לבחון את פעילות ייזום התכנון בקרקעות שאינן פרטיות, הוא מסד הנתונים של מינהל התכנון במשרד הפנים; וזאת, מאחר שלא נמצא כי ברמ"י קיים מסד נתונים כולל ומהימן על כל התכניות הנמצאות בהליכי תכנון ועל הסטטוס העדכני שלהם.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כפי שצוין בשער השני החליטה הממשלה ביוני 2013 להקים ועדת היגוי שתעסוק בשיפור מסד הנתונים על שוק הנדל"ן. בדברי ההסבר להצעת ההחלטה נכתב כי המידע על מקרקעי ישראל המצויים בידי הממשלה מפוזר במספר רב של מערכות שונות שלא ניתן להצליב ביניהן. לכן, ישנו קושי להציג תמונה מלאה על הפעילות בשוק הנדל"ן בפני גורמי הממשלה או בעלי עניין בשוק הפרטי. </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r w:rsidRPr="00E97EDA">
        <w:rPr>
          <w:rFonts w:hint="eastAsia"/>
          <w:rtl/>
        </w:rPr>
        <w:t>קביעת</w:t>
      </w:r>
      <w:r w:rsidRPr="00E97EDA">
        <w:rPr>
          <w:rtl/>
        </w:rPr>
        <w:t xml:space="preserve"> </w:t>
      </w:r>
      <w:r w:rsidRPr="00E97EDA">
        <w:rPr>
          <w:rFonts w:hint="eastAsia"/>
          <w:rtl/>
        </w:rPr>
        <w:t>יעדים</w:t>
      </w:r>
      <w:r w:rsidRPr="00E97EDA">
        <w:rPr>
          <w:rtl/>
        </w:rPr>
        <w:t xml:space="preserve"> </w:t>
      </w:r>
      <w:r w:rsidRPr="00E97EDA">
        <w:rPr>
          <w:rFonts w:hint="eastAsia"/>
          <w:rtl/>
        </w:rPr>
        <w:t>לייזום</w:t>
      </w:r>
      <w:r w:rsidRPr="00E97EDA">
        <w:rPr>
          <w:rtl/>
        </w:rPr>
        <w:t xml:space="preserve"> </w:t>
      </w:r>
      <w:r w:rsidRPr="00E97EDA">
        <w:rPr>
          <w:rFonts w:hint="eastAsia"/>
          <w:rtl/>
        </w:rPr>
        <w:t>התכנון</w:t>
      </w:r>
    </w:p>
    <w:p w:rsidR="00E97EDA" w:rsidRPr="00F41E78" w:rsidP="00A7557B">
      <w:pPr>
        <w:spacing w:after="120" w:line="230" w:lineRule="exact"/>
        <w:jc w:val="both"/>
        <w:rPr>
          <w:rFonts w:cs="FrankRuehl"/>
          <w:sz w:val="18"/>
          <w:szCs w:val="22"/>
          <w:rtl/>
          <w:lang w:eastAsia="he-IL"/>
        </w:rPr>
      </w:pPr>
      <w:r w:rsidRPr="00F41E78">
        <w:rPr>
          <w:rFonts w:cs="FrankRuehl"/>
          <w:sz w:val="18"/>
          <w:szCs w:val="22"/>
          <w:rtl/>
          <w:lang w:eastAsia="he-IL"/>
        </w:rPr>
        <w:t xml:space="preserve">כאמור, </w:t>
      </w:r>
      <w:r w:rsidRPr="00F41E78">
        <w:rPr>
          <w:rFonts w:cs="FrankRuehl" w:hint="eastAsia"/>
          <w:sz w:val="18"/>
          <w:szCs w:val="22"/>
          <w:rtl/>
          <w:lang w:eastAsia="he-IL"/>
        </w:rPr>
        <w:t>מועצת</w:t>
      </w:r>
      <w:r w:rsidRPr="00F41E78">
        <w:rPr>
          <w:rFonts w:cs="FrankRuehl"/>
          <w:sz w:val="18"/>
          <w:szCs w:val="22"/>
          <w:rtl/>
          <w:lang w:eastAsia="he-IL"/>
        </w:rPr>
        <w:t xml:space="preserve"> </w:t>
      </w:r>
      <w:r w:rsidRPr="00F41E78">
        <w:rPr>
          <w:rFonts w:cs="FrankRuehl" w:hint="eastAsia"/>
          <w:sz w:val="18"/>
          <w:szCs w:val="22"/>
          <w:rtl/>
          <w:lang w:eastAsia="he-IL"/>
        </w:rPr>
        <w:t>מקרקעי</w:t>
      </w:r>
      <w:r w:rsidRPr="00F41E78">
        <w:rPr>
          <w:rFonts w:cs="FrankRuehl"/>
          <w:sz w:val="18"/>
          <w:szCs w:val="22"/>
          <w:rtl/>
          <w:lang w:eastAsia="he-IL"/>
        </w:rPr>
        <w:t xml:space="preserve"> </w:t>
      </w:r>
      <w:r w:rsidRPr="00F41E78">
        <w:rPr>
          <w:rFonts w:cs="FrankRuehl" w:hint="eastAsia"/>
          <w:sz w:val="18"/>
          <w:szCs w:val="22"/>
          <w:rtl/>
          <w:lang w:eastAsia="he-IL"/>
        </w:rPr>
        <w:t>ישראל</w:t>
      </w:r>
      <w:r w:rsidRPr="00F41E78">
        <w:rPr>
          <w:rFonts w:cs="FrankRuehl"/>
          <w:sz w:val="18"/>
          <w:szCs w:val="22"/>
          <w:rtl/>
          <w:lang w:eastAsia="he-IL"/>
        </w:rPr>
        <w:t xml:space="preserve"> </w:t>
      </w:r>
      <w:r w:rsidRPr="00F41E78">
        <w:rPr>
          <w:rFonts w:cs="FrankRuehl" w:hint="cs"/>
          <w:sz w:val="18"/>
          <w:szCs w:val="22"/>
          <w:rtl/>
          <w:lang w:eastAsia="he-IL"/>
        </w:rPr>
        <w:t xml:space="preserve">הייתה צריכה </w:t>
      </w:r>
      <w:r w:rsidRPr="00F41E78">
        <w:rPr>
          <w:rFonts w:cs="FrankRuehl" w:hint="eastAsia"/>
          <w:sz w:val="18"/>
          <w:szCs w:val="22"/>
          <w:rtl/>
          <w:lang w:eastAsia="he-IL"/>
        </w:rPr>
        <w:t>לקבוע</w:t>
      </w:r>
      <w:r w:rsidRPr="00F41E78">
        <w:rPr>
          <w:rFonts w:cs="FrankRuehl"/>
          <w:sz w:val="18"/>
          <w:szCs w:val="22"/>
          <w:rtl/>
          <w:lang w:eastAsia="he-IL"/>
        </w:rPr>
        <w:t xml:space="preserve"> </w:t>
      </w:r>
      <w:r w:rsidRPr="00F41E78">
        <w:rPr>
          <w:rFonts w:cs="FrankRuehl" w:hint="eastAsia"/>
          <w:sz w:val="18"/>
          <w:szCs w:val="22"/>
          <w:rtl/>
          <w:lang w:eastAsia="he-IL"/>
        </w:rPr>
        <w:t>באופן</w:t>
      </w:r>
      <w:r w:rsidRPr="00F41E78">
        <w:rPr>
          <w:rFonts w:cs="FrankRuehl"/>
          <w:sz w:val="18"/>
          <w:szCs w:val="22"/>
          <w:rtl/>
          <w:lang w:eastAsia="he-IL"/>
        </w:rPr>
        <w:t xml:space="preserve"> </w:t>
      </w:r>
      <w:r w:rsidRPr="00F41E78">
        <w:rPr>
          <w:rFonts w:cs="FrankRuehl" w:hint="eastAsia"/>
          <w:sz w:val="18"/>
          <w:szCs w:val="22"/>
          <w:rtl/>
          <w:lang w:eastAsia="he-IL"/>
        </w:rPr>
        <w:t>ספציפי</w:t>
      </w:r>
      <w:r w:rsidRPr="00F41E78">
        <w:rPr>
          <w:rFonts w:cs="FrankRuehl"/>
          <w:sz w:val="18"/>
          <w:szCs w:val="22"/>
          <w:rtl/>
          <w:lang w:eastAsia="he-IL"/>
        </w:rPr>
        <w:t xml:space="preserve"> </w:t>
      </w:r>
      <w:r w:rsidRPr="00F41E78">
        <w:rPr>
          <w:rFonts w:cs="FrankRuehl" w:hint="eastAsia"/>
          <w:sz w:val="18"/>
          <w:szCs w:val="22"/>
          <w:rtl/>
          <w:lang w:eastAsia="he-IL"/>
        </w:rPr>
        <w:t>ומפורש</w:t>
      </w:r>
      <w:r w:rsidRPr="00F41E78">
        <w:rPr>
          <w:rFonts w:cs="FrankRuehl"/>
          <w:sz w:val="18"/>
          <w:szCs w:val="22"/>
          <w:rtl/>
          <w:lang w:eastAsia="he-IL"/>
        </w:rPr>
        <w:t xml:space="preserve"> </w:t>
      </w:r>
      <w:r w:rsidRPr="00F41E78">
        <w:rPr>
          <w:rFonts w:cs="FrankRuehl" w:hint="eastAsia"/>
          <w:sz w:val="18"/>
          <w:szCs w:val="22"/>
          <w:rtl/>
          <w:lang w:eastAsia="he-IL"/>
        </w:rPr>
        <w:t>את</w:t>
      </w:r>
      <w:r w:rsidRPr="00F41E78">
        <w:rPr>
          <w:rFonts w:cs="FrankRuehl"/>
          <w:sz w:val="18"/>
          <w:szCs w:val="22"/>
          <w:rtl/>
          <w:lang w:eastAsia="he-IL"/>
        </w:rPr>
        <w:t xml:space="preserve"> </w:t>
      </w:r>
      <w:r w:rsidRPr="00F41E78">
        <w:rPr>
          <w:rFonts w:cs="FrankRuehl" w:hint="eastAsia"/>
          <w:sz w:val="18"/>
          <w:szCs w:val="22"/>
          <w:rtl/>
          <w:lang w:eastAsia="he-IL"/>
        </w:rPr>
        <w:t>יעדי</w:t>
      </w:r>
      <w:r w:rsidRPr="00F41E78">
        <w:rPr>
          <w:rFonts w:cs="FrankRuehl"/>
          <w:sz w:val="18"/>
          <w:szCs w:val="22"/>
          <w:rtl/>
          <w:lang w:eastAsia="he-IL"/>
        </w:rPr>
        <w:t xml:space="preserve"> </w:t>
      </w:r>
      <w:r w:rsidRPr="00F41E78">
        <w:rPr>
          <w:rFonts w:cs="FrankRuehl" w:hint="eastAsia"/>
          <w:sz w:val="18"/>
          <w:szCs w:val="22"/>
          <w:rtl/>
          <w:lang w:eastAsia="he-IL"/>
        </w:rPr>
        <w:t>התכנון</w:t>
      </w:r>
      <w:r w:rsidRPr="00F41E78">
        <w:rPr>
          <w:rFonts w:cs="FrankRuehl"/>
          <w:sz w:val="18"/>
          <w:szCs w:val="22"/>
          <w:rtl/>
          <w:lang w:eastAsia="he-IL"/>
        </w:rPr>
        <w:t xml:space="preserve"> </w:t>
      </w:r>
      <w:r w:rsidRPr="00F41E78">
        <w:rPr>
          <w:rFonts w:cs="FrankRuehl" w:hint="eastAsia"/>
          <w:sz w:val="18"/>
          <w:szCs w:val="22"/>
          <w:rtl/>
          <w:lang w:eastAsia="he-IL"/>
        </w:rPr>
        <w:t>הנדרשים</w:t>
      </w:r>
      <w:r w:rsidRPr="00F41E78">
        <w:rPr>
          <w:rFonts w:cs="FrankRuehl"/>
          <w:sz w:val="18"/>
          <w:szCs w:val="22"/>
          <w:rtl/>
          <w:lang w:eastAsia="he-IL"/>
        </w:rPr>
        <w:t xml:space="preserve"> </w:t>
      </w:r>
      <w:r w:rsidRPr="00F41E78">
        <w:rPr>
          <w:rFonts w:cs="FrankRuehl" w:hint="eastAsia"/>
          <w:sz w:val="18"/>
          <w:szCs w:val="22"/>
          <w:rtl/>
          <w:lang w:eastAsia="he-IL"/>
        </w:rPr>
        <w:t>מרמ</w:t>
      </w:r>
      <w:r w:rsidRPr="00F41E78">
        <w:rPr>
          <w:rFonts w:cs="FrankRuehl"/>
          <w:sz w:val="18"/>
          <w:szCs w:val="22"/>
          <w:rtl/>
          <w:lang w:eastAsia="he-IL"/>
        </w:rPr>
        <w:t>"י וממשרד הבינוי</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 xml:space="preserve">המועצה </w:t>
      </w:r>
      <w:r w:rsidRPr="00F41E78">
        <w:rPr>
          <w:rFonts w:cs="FrankRuehl"/>
          <w:sz w:val="18"/>
          <w:szCs w:val="22"/>
          <w:rtl/>
          <w:lang w:eastAsia="he-IL"/>
        </w:rPr>
        <w:t>לא עשתה זאת</w:t>
      </w:r>
      <w:r w:rsidRPr="00F41E78">
        <w:rPr>
          <w:rFonts w:cs="FrankRuehl" w:hint="cs"/>
          <w:sz w:val="18"/>
          <w:szCs w:val="22"/>
          <w:rtl/>
          <w:lang w:eastAsia="he-IL"/>
        </w:rPr>
        <w:t>;</w:t>
      </w:r>
      <w:r w:rsidRPr="00F41E78">
        <w:rPr>
          <w:rFonts w:cs="FrankRuehl"/>
          <w:sz w:val="18"/>
          <w:szCs w:val="22"/>
          <w:rtl/>
          <w:lang w:eastAsia="he-IL"/>
        </w:rPr>
        <w:t xml:space="preserve"> יתרה מזאת, </w:t>
      </w:r>
      <w:r w:rsidRPr="00F41E78">
        <w:rPr>
          <w:rFonts w:cs="FrankRuehl" w:hint="eastAsia"/>
          <w:sz w:val="18"/>
          <w:szCs w:val="22"/>
          <w:rtl/>
          <w:lang w:eastAsia="he-IL"/>
        </w:rPr>
        <w:t>על</w:t>
      </w:r>
      <w:r w:rsidRPr="00F41E78">
        <w:rPr>
          <w:rFonts w:cs="FrankRuehl"/>
          <w:sz w:val="18"/>
          <w:szCs w:val="22"/>
          <w:rtl/>
          <w:lang w:eastAsia="he-IL"/>
        </w:rPr>
        <w:t xml:space="preserve"> </w:t>
      </w:r>
      <w:r w:rsidRPr="00F41E78">
        <w:rPr>
          <w:rFonts w:cs="FrankRuehl" w:hint="eastAsia"/>
          <w:sz w:val="18"/>
          <w:szCs w:val="22"/>
          <w:rtl/>
          <w:lang w:eastAsia="he-IL"/>
        </w:rPr>
        <w:t>אף</w:t>
      </w:r>
      <w:r w:rsidRPr="00F41E78">
        <w:rPr>
          <w:rFonts w:cs="FrankRuehl"/>
          <w:sz w:val="18"/>
          <w:szCs w:val="22"/>
          <w:rtl/>
          <w:lang w:eastAsia="he-IL"/>
        </w:rPr>
        <w:t xml:space="preserve"> </w:t>
      </w:r>
      <w:r w:rsidRPr="00F41E78">
        <w:rPr>
          <w:rFonts w:cs="FrankRuehl" w:hint="eastAsia"/>
          <w:sz w:val="18"/>
          <w:szCs w:val="22"/>
          <w:rtl/>
          <w:lang w:eastAsia="he-IL"/>
        </w:rPr>
        <w:t>בקשותיו</w:t>
      </w:r>
      <w:r w:rsidRPr="00F41E78">
        <w:rPr>
          <w:rFonts w:cs="FrankRuehl"/>
          <w:sz w:val="18"/>
          <w:szCs w:val="22"/>
          <w:rtl/>
          <w:lang w:eastAsia="he-IL"/>
        </w:rPr>
        <w:t xml:space="preserve"> </w:t>
      </w:r>
      <w:r w:rsidRPr="00F41E78">
        <w:rPr>
          <w:rFonts w:cs="FrankRuehl" w:hint="eastAsia"/>
          <w:sz w:val="18"/>
          <w:szCs w:val="22"/>
          <w:rtl/>
          <w:lang w:eastAsia="he-IL"/>
        </w:rPr>
        <w:t>החוזרות</w:t>
      </w:r>
      <w:r w:rsidRPr="00F41E78">
        <w:rPr>
          <w:rFonts w:cs="FrankRuehl"/>
          <w:sz w:val="18"/>
          <w:szCs w:val="22"/>
          <w:rtl/>
          <w:lang w:eastAsia="he-IL"/>
        </w:rPr>
        <w:t xml:space="preserve"> </w:t>
      </w:r>
      <w:r w:rsidRPr="00F41E78">
        <w:rPr>
          <w:rFonts w:cs="FrankRuehl" w:hint="eastAsia"/>
          <w:sz w:val="18"/>
          <w:szCs w:val="22"/>
          <w:rtl/>
          <w:lang w:eastAsia="he-IL"/>
        </w:rPr>
        <w:t>ונשנות</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משרד</w:t>
      </w:r>
      <w:r w:rsidRPr="00F41E78">
        <w:rPr>
          <w:rFonts w:cs="FrankRuehl"/>
          <w:sz w:val="18"/>
          <w:szCs w:val="22"/>
          <w:rtl/>
          <w:lang w:eastAsia="he-IL"/>
        </w:rPr>
        <w:t xml:space="preserve"> </w:t>
      </w:r>
      <w:r w:rsidRPr="00F41E78">
        <w:rPr>
          <w:rFonts w:cs="FrankRuehl" w:hint="eastAsia"/>
          <w:sz w:val="18"/>
          <w:szCs w:val="22"/>
          <w:rtl/>
          <w:lang w:eastAsia="he-IL"/>
        </w:rPr>
        <w:t>מבקר</w:t>
      </w:r>
      <w:r w:rsidRPr="00F41E78">
        <w:rPr>
          <w:rFonts w:cs="FrankRuehl"/>
          <w:sz w:val="18"/>
          <w:szCs w:val="22"/>
          <w:rtl/>
          <w:lang w:eastAsia="he-IL"/>
        </w:rPr>
        <w:t xml:space="preserve"> </w:t>
      </w:r>
      <w:r w:rsidRPr="00F41E78">
        <w:rPr>
          <w:rFonts w:cs="FrankRuehl" w:hint="eastAsia"/>
          <w:sz w:val="18"/>
          <w:szCs w:val="22"/>
          <w:rtl/>
          <w:lang w:eastAsia="he-IL"/>
        </w:rPr>
        <w:t>המדינה</w:t>
      </w:r>
      <w:r w:rsidRPr="00F41E78">
        <w:rPr>
          <w:rFonts w:cs="FrankRuehl"/>
          <w:sz w:val="18"/>
          <w:szCs w:val="22"/>
          <w:rtl/>
          <w:lang w:eastAsia="he-IL"/>
        </w:rPr>
        <w:t xml:space="preserve">, </w:t>
      </w:r>
      <w:r w:rsidRPr="00F41E78">
        <w:rPr>
          <w:rFonts w:cs="FrankRuehl" w:hint="eastAsia"/>
          <w:sz w:val="18"/>
          <w:szCs w:val="22"/>
          <w:rtl/>
          <w:lang w:eastAsia="he-IL"/>
        </w:rPr>
        <w:t>לא</w:t>
      </w:r>
      <w:r w:rsidRPr="00F41E78">
        <w:rPr>
          <w:rFonts w:cs="FrankRuehl"/>
          <w:sz w:val="18"/>
          <w:szCs w:val="22"/>
          <w:rtl/>
          <w:lang w:eastAsia="he-IL"/>
        </w:rPr>
        <w:t xml:space="preserve"> </w:t>
      </w:r>
      <w:r w:rsidRPr="00F41E78">
        <w:rPr>
          <w:rFonts w:cs="FrankRuehl" w:hint="eastAsia"/>
          <w:sz w:val="18"/>
          <w:szCs w:val="22"/>
          <w:rtl/>
          <w:lang w:eastAsia="he-IL"/>
        </w:rPr>
        <w:t>הומצאו</w:t>
      </w:r>
      <w:r w:rsidRPr="00F41E78">
        <w:rPr>
          <w:rFonts w:cs="FrankRuehl" w:hint="cs"/>
          <w:sz w:val="18"/>
          <w:szCs w:val="22"/>
          <w:rtl/>
          <w:lang w:eastAsia="he-IL"/>
        </w:rPr>
        <w:t xml:space="preserve"> לו</w:t>
      </w:r>
      <w:r w:rsidRPr="00F41E78">
        <w:rPr>
          <w:rFonts w:cs="FrankRuehl"/>
          <w:sz w:val="18"/>
          <w:szCs w:val="22"/>
          <w:rtl/>
          <w:lang w:eastAsia="he-IL"/>
        </w:rPr>
        <w:t xml:space="preserve"> </w:t>
      </w:r>
      <w:r w:rsidRPr="00F41E78">
        <w:rPr>
          <w:rFonts w:cs="FrankRuehl" w:hint="eastAsia"/>
          <w:sz w:val="18"/>
          <w:szCs w:val="22"/>
          <w:rtl/>
          <w:lang w:eastAsia="he-IL"/>
        </w:rPr>
        <w:t>תכניות</w:t>
      </w:r>
      <w:r w:rsidRPr="00F41E78">
        <w:rPr>
          <w:rFonts w:cs="FrankRuehl"/>
          <w:sz w:val="18"/>
          <w:szCs w:val="22"/>
          <w:rtl/>
          <w:lang w:eastAsia="he-IL"/>
        </w:rPr>
        <w:t xml:space="preserve"> </w:t>
      </w:r>
      <w:r w:rsidRPr="00F41E78">
        <w:rPr>
          <w:rFonts w:cs="FrankRuehl" w:hint="eastAsia"/>
          <w:sz w:val="18"/>
          <w:szCs w:val="22"/>
          <w:rtl/>
          <w:lang w:eastAsia="he-IL"/>
        </w:rPr>
        <w:t>עבודה</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אגף</w:t>
      </w:r>
      <w:r w:rsidRPr="00F41E78">
        <w:rPr>
          <w:rFonts w:cs="FrankRuehl"/>
          <w:sz w:val="18"/>
          <w:szCs w:val="22"/>
          <w:rtl/>
          <w:lang w:eastAsia="he-IL"/>
        </w:rPr>
        <w:t xml:space="preserve"> </w:t>
      </w:r>
      <w:r w:rsidRPr="00F41E78">
        <w:rPr>
          <w:rFonts w:cs="FrankRuehl" w:hint="eastAsia"/>
          <w:sz w:val="18"/>
          <w:szCs w:val="22"/>
          <w:rtl/>
          <w:lang w:eastAsia="he-IL"/>
        </w:rPr>
        <w:t>התכנון</w:t>
      </w:r>
      <w:r w:rsidRPr="00F41E78">
        <w:rPr>
          <w:rFonts w:cs="FrankRuehl"/>
          <w:sz w:val="18"/>
          <w:szCs w:val="22"/>
          <w:rtl/>
          <w:lang w:eastAsia="he-IL"/>
        </w:rPr>
        <w:t xml:space="preserve"> </w:t>
      </w:r>
      <w:r w:rsidRPr="00F41E78">
        <w:rPr>
          <w:rFonts w:cs="FrankRuehl" w:hint="eastAsia"/>
          <w:sz w:val="18"/>
          <w:szCs w:val="22"/>
          <w:rtl/>
          <w:lang w:eastAsia="he-IL"/>
        </w:rPr>
        <w:t>ברמ</w:t>
      </w:r>
      <w:r w:rsidRPr="00F41E78">
        <w:rPr>
          <w:rFonts w:cs="FrankRuehl"/>
          <w:sz w:val="18"/>
          <w:szCs w:val="22"/>
          <w:rtl/>
          <w:lang w:eastAsia="he-IL"/>
        </w:rPr>
        <w:t xml:space="preserve">"י </w:t>
      </w:r>
      <w:r w:rsidRPr="00F41E78">
        <w:rPr>
          <w:rFonts w:cs="FrankRuehl" w:hint="eastAsia"/>
          <w:sz w:val="18"/>
          <w:szCs w:val="22"/>
          <w:rtl/>
          <w:lang w:eastAsia="he-IL"/>
        </w:rPr>
        <w:t>לשנים</w:t>
      </w:r>
      <w:r w:rsidRPr="00F41E78">
        <w:rPr>
          <w:rFonts w:cs="FrankRuehl"/>
          <w:sz w:val="18"/>
          <w:szCs w:val="22"/>
          <w:rtl/>
          <w:lang w:eastAsia="he-IL"/>
        </w:rPr>
        <w:t xml:space="preserve"> 2012-2005.</w:t>
      </w:r>
    </w:p>
    <w:p w:rsidR="00E97EDA" w:rsidRPr="001B5632" w:rsidP="001B5632">
      <w:pPr>
        <w:pStyle w:val="BodyText"/>
        <w:spacing w:before="0" w:after="240"/>
        <w:rPr>
          <w:sz w:val="18"/>
          <w:rtl/>
          <w:lang w:eastAsia="he-IL"/>
        </w:rPr>
      </w:pPr>
      <w:r w:rsidRPr="001B5632">
        <w:rPr>
          <w:rFonts w:hint="cs"/>
          <w:sz w:val="18"/>
          <w:rtl/>
          <w:lang w:eastAsia="he-IL"/>
        </w:rPr>
        <w:t>נוסף להחלטת ממשלה מס' 141 מאוגוסט 1999 הקובעת כי יש לקדם תכניות בקיבולת הגדולה פי שלושה לפחות מהמלאי הנדרש, עולה מהחלטת מועצת מקרקעי ישראל מאוקטובר 2000, שעניינה "הסדר בין מינהל מקרקעי ישראל ומשרד הבינוי בנושא הרשאות לתכנון ולפיתוח", כי רמ"י ומשרד הבינוי מחויבים בהשגת יעדי הממשלה בנושא תכנון ופיתוח בנייה למגורים. עליהם ליזום תכנון מקרקעין "בהיקפים העולים לעין שיעור מהיקף יחידות הדיור המתוכננות והנדרשות לשיווק מדי שנה".</w:t>
      </w:r>
    </w:p>
    <w:p w:rsidR="00D22B16" w:rsidRPr="00F41E78" w:rsidP="00FF1578">
      <w:pPr>
        <w:pStyle w:val="RESHET"/>
        <w:keepLines/>
        <w:rPr>
          <w:rtl/>
        </w:rPr>
      </w:pPr>
      <w:r w:rsidRPr="00F41E78">
        <w:rPr>
          <w:rFonts w:hint="cs"/>
          <w:rtl/>
        </w:rPr>
        <w:t>במהלך השנים 2012-2007 לא הגישה רמ"י למוסדות התכנון תכניות מפורטות בהיקף הקבוע בהחלטת הממשלה האמורה, ואף לא הגישה תכניות למגורים המכילות יח"ד בכמות המינימלית הנדרשת שהוגדרה ביעדי הממשלה; וממילא, מוסדות התכנון גם הם לא עמדו עד 201</w:t>
      </w:r>
      <w:r w:rsidR="00FF1578">
        <w:rPr>
          <w:rFonts w:hint="cs"/>
          <w:rtl/>
        </w:rPr>
        <w:t>2</w:t>
      </w:r>
      <w:r w:rsidRPr="00F41E78">
        <w:rPr>
          <w:rFonts w:hint="cs"/>
          <w:rtl/>
        </w:rPr>
        <w:t xml:space="preserve"> ביעד שקבעה הממשלה, והמלאי התכנוני למגורים על מקרקעי ישראל נשחק.</w:t>
      </w:r>
    </w:p>
    <w:p w:rsidR="00D22B16" w:rsidRPr="00F41E78" w:rsidP="00D22B16">
      <w:pPr>
        <w:pStyle w:val="RESHET"/>
        <w:keepLines/>
        <w:rPr>
          <w:u w:val="single"/>
          <w:rtl/>
        </w:rPr>
      </w:pPr>
      <w:r w:rsidRPr="00F41E78">
        <w:rPr>
          <w:rFonts w:hint="cs"/>
          <w:rtl/>
        </w:rPr>
        <w:t xml:space="preserve">לדעת משרד מבקר המדינה, ראוי היה כי רמ"י ומשרד הבינוי ייזמו תכנון שייתן מענה לכל הפחות ליעדים שהכתיבה הממשלה למוסדות התכנון. אילו עשו זאת, הייתה מוגשת לאישורם של מוסדות התכנון כמות יח"ד שתבטיח את השגת היעדים הנדרשים, ובכך להביא לידי הגדלת פוטנציאל יחידות הדיור </w:t>
      </w:r>
      <w:r>
        <w:rPr>
          <w:rFonts w:hint="cs"/>
          <w:rtl/>
        </w:rPr>
        <w:t>שיאושרו</w:t>
      </w:r>
      <w:r w:rsidRPr="00F41E78">
        <w:rPr>
          <w:rFonts w:hint="cs"/>
          <w:rtl/>
        </w:rPr>
        <w:t xml:space="preserve"> במוסדות התכנון.</w:t>
      </w:r>
    </w:p>
    <w:p w:rsidR="00E97EDA" w:rsidRPr="00F41E78" w:rsidP="00A7557B">
      <w:pPr>
        <w:spacing w:after="120" w:line="230" w:lineRule="exact"/>
        <w:jc w:val="both"/>
        <w:rPr>
          <w:rFonts w:cs="FrankRuehl"/>
          <w:sz w:val="18"/>
          <w:szCs w:val="22"/>
          <w:u w:val="single"/>
          <w:rtl/>
          <w:lang w:eastAsia="he-IL"/>
        </w:rPr>
      </w:pPr>
    </w:p>
    <w:p w:rsidR="00E97EDA" w:rsidRPr="00CB33CD" w:rsidP="00A7557B">
      <w:pPr>
        <w:pStyle w:val="KOT7"/>
        <w:rPr>
          <w:rtl/>
          <w:lang w:eastAsia="he-IL"/>
        </w:rPr>
      </w:pPr>
      <w:bookmarkStart w:id="44" w:name="_Toc368499941"/>
      <w:r w:rsidRPr="00CB33CD">
        <w:rPr>
          <w:rFonts w:hint="cs"/>
          <w:rtl/>
          <w:lang w:eastAsia="he-IL"/>
        </w:rPr>
        <w:t>היקף ייזום התכנון בשנים 2008-2007</w:t>
      </w:r>
      <w:bookmarkEnd w:id="44"/>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כאמור, בתכנית התלת-שנתית הוגדר היעד של אישור כ-75,000 יח"ד לשנה בשנים 2007-2006 וכן אישור כ-50,000 יח"ד בשנת 2008.</w:t>
      </w:r>
    </w:p>
    <w:p w:rsidR="00E97EDA" w:rsidRPr="001B5632" w:rsidP="001B5632">
      <w:pPr>
        <w:pStyle w:val="BodyText"/>
        <w:spacing w:before="0" w:after="240"/>
        <w:rPr>
          <w:sz w:val="18"/>
          <w:rtl/>
          <w:lang w:eastAsia="he-IL"/>
        </w:rPr>
      </w:pPr>
      <w:r w:rsidRPr="001B5632">
        <w:rPr>
          <w:rFonts w:hint="cs"/>
          <w:sz w:val="18"/>
          <w:rtl/>
          <w:lang w:eastAsia="he-IL"/>
        </w:rPr>
        <w:t>נמצא כי בפועל הוגשו למוסדות התכנון כ-260 תכניות בשנת 2007 הכוללות תוספת של כ-19,000 יח"ד בלבד. בשנת 2008 הוגשו כ-200 תכניות הכוללות תוספת של כ-9,000 יח"ד בלבד.</w:t>
      </w:r>
    </w:p>
    <w:p w:rsidR="00D22B16" w:rsidRPr="00F41E78" w:rsidP="00D22B16">
      <w:pPr>
        <w:pStyle w:val="RESHET"/>
        <w:keepLines/>
        <w:rPr>
          <w:rtl/>
        </w:rPr>
      </w:pPr>
      <w:r w:rsidRPr="00F41E78">
        <w:rPr>
          <w:rFonts w:hint="cs"/>
          <w:rtl/>
        </w:rPr>
        <w:t>משרד מבקר המדינה מעיר כי אין די בהיקף תכנונים אלו כדי להבטיח את השגת היעדים שנקבעו בתכנית הרב שנתית.</w:t>
      </w:r>
    </w:p>
    <w:p w:rsidR="00E97EDA" w:rsidRPr="00F41E78" w:rsidP="00A7557B">
      <w:pPr>
        <w:spacing w:after="120" w:line="230" w:lineRule="exact"/>
        <w:jc w:val="both"/>
        <w:rPr>
          <w:rFonts w:cs="FrankRuehl"/>
          <w:b/>
          <w:bCs/>
          <w:sz w:val="18"/>
          <w:szCs w:val="22"/>
          <w:rtl/>
          <w:lang w:eastAsia="he-IL"/>
        </w:rPr>
      </w:pPr>
    </w:p>
    <w:p w:rsidR="00E97EDA" w:rsidRPr="00CB33CD" w:rsidP="008C0652">
      <w:pPr>
        <w:pStyle w:val="KOT7"/>
        <w:rPr>
          <w:rtl/>
          <w:lang w:eastAsia="he-IL"/>
        </w:rPr>
      </w:pPr>
      <w:bookmarkStart w:id="45" w:name="_Toc368499942"/>
      <w:r w:rsidRPr="00CB33CD">
        <w:rPr>
          <w:rFonts w:hint="cs"/>
          <w:rtl/>
          <w:lang w:eastAsia="he-IL"/>
        </w:rPr>
        <w:t>היקף ייזום התכנון בשנים 201</w:t>
      </w:r>
      <w:r w:rsidR="008C0652">
        <w:rPr>
          <w:rFonts w:hint="cs"/>
          <w:rtl/>
          <w:lang w:eastAsia="he-IL"/>
        </w:rPr>
        <w:t>1</w:t>
      </w:r>
      <w:r w:rsidRPr="00CB33CD">
        <w:rPr>
          <w:rFonts w:hint="cs"/>
          <w:rtl/>
          <w:lang w:eastAsia="he-IL"/>
        </w:rPr>
        <w:t>-</w:t>
      </w:r>
      <w:bookmarkEnd w:id="45"/>
      <w:r w:rsidRPr="00CB33CD">
        <w:rPr>
          <w:rFonts w:hint="cs"/>
          <w:rtl/>
          <w:lang w:eastAsia="he-IL"/>
        </w:rPr>
        <w:t>2009</w:t>
      </w:r>
    </w:p>
    <w:p w:rsidR="00E97EDA" w:rsidRPr="00F41E78" w:rsidP="001B5632">
      <w:pPr>
        <w:spacing w:after="240" w:line="230" w:lineRule="exact"/>
        <w:jc w:val="both"/>
        <w:rPr>
          <w:rFonts w:cs="FrankRuehl"/>
          <w:sz w:val="18"/>
          <w:szCs w:val="22"/>
          <w:rtl/>
          <w:lang w:eastAsia="he-IL"/>
        </w:rPr>
      </w:pPr>
      <w:r w:rsidRPr="00F41E78">
        <w:rPr>
          <w:rFonts w:cs="FrankRuehl" w:hint="cs"/>
          <w:sz w:val="18"/>
          <w:szCs w:val="22"/>
          <w:rtl/>
          <w:lang w:eastAsia="he-IL"/>
        </w:rPr>
        <w:t>בהחלטת ממשלה מס' 123 ממאי 2009 נקבע כי על שר הפנים לקבוע יעדים כמותיים למוסדות התכנון, שיאפשרו את השגת יעדי השיווק, דהיינו כ-35,000 יח"ד בשנה שמתוכן כ-25,000 יח"ד יוצעו במכרזים פומביים ואולם כאמור בפרק על קביעת יעדים כמותיים למלאי התכנוני</w:t>
      </w:r>
      <w:r w:rsidRPr="00F41E78">
        <w:rPr>
          <w:rFonts w:cs="FrankRuehl"/>
          <w:sz w:val="18"/>
          <w:szCs w:val="22"/>
          <w:rtl/>
          <w:lang w:eastAsia="he-IL"/>
        </w:rPr>
        <w:t xml:space="preserve">, </w:t>
      </w:r>
      <w:r w:rsidRPr="00F41E78">
        <w:rPr>
          <w:rFonts w:cs="FrankRuehl" w:hint="eastAsia"/>
          <w:sz w:val="18"/>
          <w:szCs w:val="22"/>
          <w:rtl/>
          <w:lang w:eastAsia="he-IL"/>
        </w:rPr>
        <w:t>ההחלטה</w:t>
      </w:r>
      <w:r w:rsidRPr="00F41E78">
        <w:rPr>
          <w:rFonts w:cs="FrankRuehl"/>
          <w:sz w:val="18"/>
          <w:szCs w:val="22"/>
          <w:rtl/>
          <w:lang w:eastAsia="he-IL"/>
        </w:rPr>
        <w:t xml:space="preserve"> </w:t>
      </w:r>
      <w:r w:rsidRPr="00F41E78">
        <w:rPr>
          <w:rFonts w:cs="FrankRuehl" w:hint="eastAsia"/>
          <w:sz w:val="18"/>
          <w:szCs w:val="22"/>
          <w:rtl/>
          <w:lang w:eastAsia="he-IL"/>
        </w:rPr>
        <w:t>לא</w:t>
      </w:r>
      <w:r w:rsidRPr="00F41E78">
        <w:rPr>
          <w:rFonts w:cs="FrankRuehl"/>
          <w:sz w:val="18"/>
          <w:szCs w:val="22"/>
          <w:rtl/>
          <w:lang w:eastAsia="he-IL"/>
        </w:rPr>
        <w:t xml:space="preserve"> </w:t>
      </w:r>
      <w:r w:rsidRPr="00F41E78">
        <w:rPr>
          <w:rFonts w:cs="FrankRuehl" w:hint="eastAsia"/>
          <w:sz w:val="18"/>
          <w:szCs w:val="22"/>
          <w:rtl/>
          <w:lang w:eastAsia="he-IL"/>
        </w:rPr>
        <w:t>יושמה</w:t>
      </w:r>
      <w:r w:rsidRPr="00F41E78">
        <w:rPr>
          <w:rFonts w:cs="FrankRuehl"/>
          <w:sz w:val="18"/>
          <w:szCs w:val="22"/>
          <w:rtl/>
          <w:lang w:eastAsia="he-IL"/>
        </w:rPr>
        <w:t>.</w:t>
      </w:r>
      <w:r w:rsidRPr="00F41E78">
        <w:rPr>
          <w:rFonts w:cs="FrankRuehl" w:hint="cs"/>
          <w:sz w:val="18"/>
          <w:szCs w:val="22"/>
          <w:rtl/>
          <w:lang w:eastAsia="he-IL"/>
        </w:rPr>
        <w:t xml:space="preserve"> </w:t>
      </w:r>
    </w:p>
    <w:p w:rsidR="00D22B16" w:rsidRPr="00F41E78" w:rsidP="00D22B16">
      <w:pPr>
        <w:pStyle w:val="RESHET"/>
        <w:keepLines/>
        <w:rPr>
          <w:rtl/>
        </w:rPr>
      </w:pPr>
      <w:r w:rsidRPr="00F41E78">
        <w:rPr>
          <w:rFonts w:hint="cs"/>
          <w:rtl/>
        </w:rPr>
        <w:t xml:space="preserve">משרד מבקר המדינה מעיר כי משלא נקבעו יעדים כמותיים לתכנון, היה על רמ"י ועל משרד הבינוי ליזום תכנון על בסיס יעדי השיווק. </w:t>
      </w:r>
    </w:p>
    <w:p w:rsidR="00E97EDA" w:rsidRPr="00F41E78" w:rsidP="001B5632">
      <w:pPr>
        <w:spacing w:before="180" w:after="120" w:line="230" w:lineRule="exact"/>
        <w:jc w:val="both"/>
        <w:rPr>
          <w:rFonts w:cs="FrankRuehl"/>
          <w:sz w:val="18"/>
          <w:szCs w:val="22"/>
          <w:rtl/>
          <w:lang w:eastAsia="he-IL"/>
        </w:rPr>
      </w:pPr>
      <w:r w:rsidRPr="00F41E78">
        <w:rPr>
          <w:rFonts w:cs="FrankRuehl" w:hint="cs"/>
          <w:sz w:val="18"/>
          <w:szCs w:val="22"/>
          <w:rtl/>
          <w:lang w:eastAsia="he-IL"/>
        </w:rPr>
        <w:t>נמצא כי בפועל הוגשו למוסדות התכנון כ-250 תכניות בשנת 2009 הכוללות תוספת של כ-13,500 יח"ד בלבד. כאמור, כדי לשווק כ-35,000 יח"ד נדרש ליזום תכניות בהיקף גדול בהרבה.</w:t>
      </w:r>
    </w:p>
    <w:p w:rsidR="00E97EDA" w:rsidRPr="008C0652" w:rsidP="008C0652">
      <w:pPr>
        <w:pStyle w:val="BodyText"/>
        <w:spacing w:before="0"/>
        <w:rPr>
          <w:sz w:val="18"/>
          <w:rtl/>
          <w:lang w:eastAsia="he-IL"/>
        </w:rPr>
      </w:pPr>
      <w:r w:rsidRPr="008C0652">
        <w:rPr>
          <w:rFonts w:hint="cs"/>
          <w:sz w:val="18"/>
          <w:rtl/>
          <w:lang w:eastAsia="he-IL"/>
        </w:rPr>
        <w:t>עוד נמצא כי בשנת 2010 הוגשו למוסדות התכנון כ-270 תכניות הכוללות תוספת של כ-18,000 יח"ד בלבד. באותה שנה הופקדו 12 תכניות בלבד הכוללות תוספת של 336 יח"ד בלבד. נתונים אלו מצביעים על כך שבשנים הקרובות לא יהיו די קרקעות זמינות לשיווק.</w:t>
      </w:r>
    </w:p>
    <w:p w:rsidR="00E97EDA" w:rsidRPr="008C0652" w:rsidP="00FF1578">
      <w:pPr>
        <w:pStyle w:val="BodyText"/>
        <w:spacing w:before="0"/>
        <w:rPr>
          <w:sz w:val="18"/>
          <w:rtl/>
          <w:lang w:eastAsia="he-IL"/>
        </w:rPr>
      </w:pPr>
      <w:r w:rsidRPr="008C0652">
        <w:rPr>
          <w:rFonts w:hint="cs"/>
          <w:sz w:val="18"/>
          <w:rtl/>
          <w:lang w:eastAsia="he-IL"/>
        </w:rPr>
        <w:t>בהחלטת ממשלה מס' 2019 מיולי 2010 נקבע כי על מוסדות התכנון לאשר בכל שנה 60,000 יח"ד (בשנים 2020-2011) על כל קרקעות המדינה.</w:t>
      </w:r>
    </w:p>
    <w:p w:rsidR="00D22B16" w:rsidRPr="00FF1578" w:rsidP="00FF1578">
      <w:pPr>
        <w:pStyle w:val="BodyText"/>
        <w:spacing w:before="0" w:after="240"/>
        <w:rPr>
          <w:sz w:val="18"/>
          <w:rtl/>
          <w:lang w:eastAsia="he-IL"/>
        </w:rPr>
      </w:pPr>
      <w:r w:rsidRPr="00FF1578">
        <w:rPr>
          <w:rFonts w:hint="cs"/>
          <w:sz w:val="18"/>
          <w:rtl/>
          <w:lang w:eastAsia="he-IL"/>
        </w:rPr>
        <w:t>נמצא כי בשנת 2011 הוגשו למוסדות התכנון כ-400 תכניות הכוללות תוספת של כ-45,000 יח"ד.</w:t>
      </w:r>
    </w:p>
    <w:p w:rsidR="00D22B16" w:rsidRPr="00F41E78" w:rsidP="00D22B16">
      <w:pPr>
        <w:pStyle w:val="RESHET"/>
        <w:keepLines/>
        <w:rPr>
          <w:rtl/>
        </w:rPr>
      </w:pPr>
      <w:r w:rsidRPr="00F41E78">
        <w:rPr>
          <w:rFonts w:hint="cs"/>
          <w:rtl/>
        </w:rPr>
        <w:t>יוצא אפוא כי גם בשנים אלו לא הגישו רמ"י ומשרד הבינוי למוסדות התכנון תכניות הכוללות כמות מספיקה של יח"ד כדי להבטיח את השגת יעדי הממשלה</w:t>
      </w:r>
      <w:r>
        <w:rPr>
          <w:rFonts w:hint="cs"/>
          <w:rtl/>
        </w:rPr>
        <w:t>.</w:t>
      </w:r>
      <w:r w:rsidRPr="00F41E78">
        <w:rPr>
          <w:rFonts w:hint="cs"/>
          <w:rtl/>
        </w:rPr>
        <w:t xml:space="preserve"> </w:t>
      </w:r>
    </w:p>
    <w:p w:rsidR="00E97EDA" w:rsidRPr="00F41E78" w:rsidP="00A7557B">
      <w:pPr>
        <w:spacing w:after="120" w:line="230" w:lineRule="exact"/>
        <w:jc w:val="both"/>
        <w:rPr>
          <w:rFonts w:cs="FrankRuehl"/>
          <w:sz w:val="18"/>
          <w:szCs w:val="22"/>
          <w:rtl/>
          <w:lang w:eastAsia="he-IL"/>
        </w:rPr>
      </w:pPr>
    </w:p>
    <w:p w:rsidR="00E97EDA" w:rsidRPr="00CB33CD" w:rsidP="00A7557B">
      <w:pPr>
        <w:pStyle w:val="KOT7"/>
        <w:rPr>
          <w:rtl/>
          <w:lang w:eastAsia="he-IL"/>
        </w:rPr>
      </w:pPr>
      <w:bookmarkStart w:id="46" w:name="_Toc368499944"/>
      <w:r w:rsidRPr="00CB33CD">
        <w:rPr>
          <w:rFonts w:hint="cs"/>
          <w:rtl/>
          <w:lang w:eastAsia="he-IL"/>
        </w:rPr>
        <w:t>היקף ייזום התכנון בשנת</w:t>
      </w:r>
      <w:bookmarkEnd w:id="46"/>
      <w:r w:rsidRPr="00CB33CD">
        <w:rPr>
          <w:rFonts w:hint="cs"/>
          <w:rtl/>
          <w:lang w:eastAsia="he-IL"/>
        </w:rPr>
        <w:t xml:space="preserve"> 2012</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כאמור, בהחלטת ממשלה מס' 4429 ממרץ 2012 נקבע כי על רמ"י ועל משרד הבינוי ליזום תכנון של 20,800 יח"ד בשנת 2012, כאשר שיעור הנפל לא יעלה על 10% מיעד זה.</w:t>
      </w:r>
    </w:p>
    <w:p w:rsidR="00E97EDA" w:rsidRPr="00F41E78" w:rsidP="001B5632">
      <w:pPr>
        <w:spacing w:after="240" w:line="230" w:lineRule="exact"/>
        <w:jc w:val="both"/>
        <w:rPr>
          <w:rFonts w:cs="FrankRuehl"/>
          <w:sz w:val="18"/>
          <w:szCs w:val="22"/>
          <w:rtl/>
          <w:lang w:eastAsia="he-IL"/>
        </w:rPr>
      </w:pPr>
      <w:r w:rsidRPr="00F41E78">
        <w:rPr>
          <w:rFonts w:cs="FrankRuehl" w:hint="cs"/>
          <w:sz w:val="18"/>
          <w:szCs w:val="22"/>
          <w:rtl/>
          <w:lang w:eastAsia="he-IL"/>
        </w:rPr>
        <w:t xml:space="preserve">נמצא כי בפועל הוגשו למוסדות התכנון כ-380 תכניות בשנת 2012 הכוללות תוספת של כ-45,000 יח"ד; אף לא אחת מהן הייתה במחוזות תל אביב וירושלים. </w:t>
      </w:r>
    </w:p>
    <w:p w:rsidR="00D22B16" w:rsidRPr="00F41E78" w:rsidP="00D22B16">
      <w:pPr>
        <w:pStyle w:val="RESHET"/>
        <w:keepLines/>
        <w:rPr>
          <w:rtl/>
        </w:rPr>
      </w:pPr>
      <w:r w:rsidRPr="00F41E78">
        <w:rPr>
          <w:rFonts w:hint="cs"/>
          <w:rtl/>
        </w:rPr>
        <w:t>יוצא אפוא כי בשנת 2012 עמדו רמ"י ומשרד הבינוי ביעד התכנון השנתי. עם זאת, הם לא יזמו תכנון במחוזות תל אביב וירושלים; עקב כך, במחוזות אלו עלול להיווצר מחסור עתידי ביח"ד.</w:t>
      </w:r>
    </w:p>
    <w:p w:rsidR="001B5632" w:rsidP="001B5632">
      <w:pPr>
        <w:spacing w:after="120" w:line="230" w:lineRule="exact"/>
        <w:jc w:val="both"/>
        <w:rPr>
          <w:rFonts w:cs="FrankRuehl"/>
          <w:sz w:val="22"/>
          <w:szCs w:val="22"/>
          <w:rtl/>
        </w:rPr>
      </w:pPr>
    </w:p>
    <w:p w:rsidR="001B5632" w:rsidP="001B5632">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1B5632" w:rsidP="001B5632">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מהנתונים עולה כי בשנים 2012-2007 הוגשו למוסדות התכנון תכניות הכוללות תוספת של כ-1</w:t>
      </w:r>
      <w:r>
        <w:rPr>
          <w:rFonts w:hint="cs"/>
          <w:rtl/>
        </w:rPr>
        <w:t>51</w:t>
      </w:r>
      <w:r w:rsidRPr="00F41E78">
        <w:rPr>
          <w:rFonts w:hint="cs"/>
          <w:rtl/>
        </w:rPr>
        <w:t xml:space="preserve">,000 יח"ד בלבד על מקרקעי ישראל. דהיינו, </w:t>
      </w:r>
      <w:r w:rsidRPr="00F41E78">
        <w:rPr>
          <w:rFonts w:hint="eastAsia"/>
          <w:rtl/>
        </w:rPr>
        <w:t>כמות</w:t>
      </w:r>
      <w:r w:rsidRPr="00F41E78">
        <w:rPr>
          <w:rtl/>
        </w:rPr>
        <w:t xml:space="preserve"> שאינה תואמת את יעדי הממשלה</w:t>
      </w:r>
      <w:r w:rsidRPr="00F41E78">
        <w:rPr>
          <w:rFonts w:hint="cs"/>
          <w:rtl/>
        </w:rPr>
        <w:t>.</w:t>
      </w:r>
      <w:r w:rsidRPr="00F41E78">
        <w:rPr>
          <w:rtl/>
        </w:rPr>
        <w:t xml:space="preserve"> </w:t>
      </w:r>
      <w:r w:rsidRPr="00F41E78">
        <w:rPr>
          <w:rFonts w:hint="cs"/>
          <w:rtl/>
        </w:rPr>
        <w:t>נוסף לכך, יש לציין שבכל שלב יש לקדם כמות גדולה יותר של תכניות משום שבסופו של תהליך לא כולן מקבלות את אישורם של מוסדות התכנון.</w:t>
      </w:r>
    </w:p>
    <w:p w:rsidR="00D22B16" w:rsidRPr="00F41E78" w:rsidP="00D22B16">
      <w:pPr>
        <w:pStyle w:val="RESHET"/>
        <w:keepLines/>
        <w:rPr>
          <w:rtl/>
        </w:rPr>
      </w:pPr>
      <w:r w:rsidRPr="00F41E78">
        <w:rPr>
          <w:rFonts w:hint="cs"/>
          <w:rtl/>
        </w:rPr>
        <w:t>משרד מבקר המדינה מעיר כי מן הראוי שרמ"י, כגוף האחראי לייזום התכנון על קרקעות המדינה, תכין תכניות עבודה שנתיות ורב-שנתיות מסודרות שיאפשרו לתכנן את כמות יחידות הדיור הנדרשות למלאי התכנוני למגורים, על פי החלטותיהן של הממשלה ושל מועצת מקרקעי ישראל. על רמ"י לעשות זאת תוך כדי הוספת מקדם ביטחון לנוכח העובדה שמוסדות התכנון אינם מאשרים את כל התכניות המוגשות להם.</w:t>
      </w:r>
    </w:p>
    <w:p w:rsidR="00E97EDA" w:rsidRPr="00F41E78" w:rsidP="001B5632">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בתשובתה של רמ"י מינואר 2014 ציין מנהל רמ"י כי במאי 2009 החליטה הממשלה כי מסוף </w:t>
      </w:r>
      <w:r w:rsidRPr="00F41E78">
        <w:rPr>
          <w:rFonts w:cs="FrankRuehl" w:hint="eastAsia"/>
          <w:sz w:val="18"/>
          <w:szCs w:val="22"/>
          <w:rtl/>
          <w:lang w:eastAsia="he-IL"/>
        </w:rPr>
        <w:t>דצמבר</w:t>
      </w:r>
      <w:r w:rsidRPr="00F41E78">
        <w:rPr>
          <w:rFonts w:cs="FrankRuehl"/>
          <w:sz w:val="18"/>
          <w:szCs w:val="22"/>
          <w:rtl/>
          <w:lang w:eastAsia="he-IL"/>
        </w:rPr>
        <w:t xml:space="preserve"> 2009 תעביר רמ"י </w:t>
      </w:r>
      <w:r w:rsidRPr="00F41E78">
        <w:rPr>
          <w:rFonts w:cs="FrankRuehl" w:hint="eastAsia"/>
          <w:sz w:val="18"/>
          <w:szCs w:val="22"/>
          <w:rtl/>
          <w:lang w:eastAsia="he-IL"/>
        </w:rPr>
        <w:t>את</w:t>
      </w:r>
      <w:r w:rsidRPr="00F41E78">
        <w:rPr>
          <w:rFonts w:cs="FrankRuehl"/>
          <w:sz w:val="18"/>
          <w:szCs w:val="22"/>
          <w:rtl/>
          <w:lang w:eastAsia="he-IL"/>
        </w:rPr>
        <w:t xml:space="preserve"> פעולות התכנון והפיתוח </w:t>
      </w:r>
      <w:r w:rsidRPr="00F41E78">
        <w:rPr>
          <w:rFonts w:cs="FrankRuehl" w:hint="eastAsia"/>
          <w:sz w:val="18"/>
          <w:szCs w:val="22"/>
          <w:rtl/>
          <w:lang w:eastAsia="he-IL"/>
        </w:rPr>
        <w:t>לרשויות</w:t>
      </w:r>
      <w:r w:rsidRPr="00F41E78">
        <w:rPr>
          <w:rFonts w:cs="FrankRuehl"/>
          <w:sz w:val="18"/>
          <w:szCs w:val="22"/>
          <w:rtl/>
          <w:lang w:eastAsia="he-IL"/>
        </w:rPr>
        <w:t xml:space="preserve"> </w:t>
      </w:r>
      <w:r w:rsidRPr="00F41E78">
        <w:rPr>
          <w:rFonts w:cs="FrankRuehl" w:hint="eastAsia"/>
          <w:sz w:val="18"/>
          <w:szCs w:val="22"/>
          <w:rtl/>
          <w:lang w:eastAsia="he-IL"/>
        </w:rPr>
        <w:t>המקומיות</w:t>
      </w:r>
      <w:r w:rsidRPr="00F41E78">
        <w:rPr>
          <w:rFonts w:cs="FrankRuehl" w:hint="cs"/>
          <w:sz w:val="18"/>
          <w:szCs w:val="22"/>
          <w:rtl/>
          <w:lang w:eastAsia="he-IL"/>
        </w:rPr>
        <w:t>, למגזר העסקי</w:t>
      </w:r>
      <w:r w:rsidRPr="00F41E78">
        <w:rPr>
          <w:rFonts w:cs="FrankRuehl"/>
          <w:sz w:val="18"/>
          <w:szCs w:val="22"/>
          <w:rtl/>
          <w:lang w:eastAsia="he-IL"/>
        </w:rPr>
        <w:t xml:space="preserve"> </w:t>
      </w:r>
      <w:r w:rsidRPr="00F41E78">
        <w:rPr>
          <w:rFonts w:cs="FrankRuehl" w:hint="eastAsia"/>
          <w:sz w:val="18"/>
          <w:szCs w:val="22"/>
          <w:rtl/>
          <w:lang w:eastAsia="he-IL"/>
        </w:rPr>
        <w:t>ולרשויות</w:t>
      </w:r>
      <w:r w:rsidRPr="00F41E78">
        <w:rPr>
          <w:rFonts w:cs="FrankRuehl"/>
          <w:sz w:val="18"/>
          <w:szCs w:val="22"/>
          <w:rtl/>
          <w:lang w:eastAsia="he-IL"/>
        </w:rPr>
        <w:t xml:space="preserve"> </w:t>
      </w:r>
      <w:r w:rsidRPr="00F41E78">
        <w:rPr>
          <w:rFonts w:cs="FrankRuehl" w:hint="eastAsia"/>
          <w:sz w:val="18"/>
          <w:szCs w:val="22"/>
          <w:rtl/>
          <w:lang w:eastAsia="he-IL"/>
        </w:rPr>
        <w:t>הסטטוטוריות</w:t>
      </w:r>
      <w:r w:rsidRPr="00F41E78">
        <w:rPr>
          <w:rFonts w:cs="FrankRuehl"/>
          <w:sz w:val="18"/>
          <w:szCs w:val="22"/>
          <w:rtl/>
          <w:lang w:eastAsia="he-IL"/>
        </w:rPr>
        <w:t xml:space="preserve"> </w:t>
      </w:r>
      <w:r w:rsidRPr="00F41E78">
        <w:rPr>
          <w:rFonts w:cs="FrankRuehl" w:hint="eastAsia"/>
          <w:sz w:val="18"/>
          <w:szCs w:val="22"/>
          <w:rtl/>
          <w:lang w:eastAsia="he-IL"/>
        </w:rPr>
        <w:t>העוסקות</w:t>
      </w:r>
      <w:r w:rsidRPr="00F41E78">
        <w:rPr>
          <w:rFonts w:cs="FrankRuehl" w:hint="cs"/>
          <w:sz w:val="18"/>
          <w:szCs w:val="22"/>
          <w:rtl/>
          <w:lang w:eastAsia="he-IL"/>
        </w:rPr>
        <w:t xml:space="preserve"> על פי מטרותיהן</w:t>
      </w:r>
      <w:r w:rsidRPr="00F41E78">
        <w:rPr>
          <w:rFonts w:cs="FrankRuehl"/>
          <w:sz w:val="18"/>
          <w:szCs w:val="22"/>
          <w:rtl/>
          <w:lang w:eastAsia="he-IL"/>
        </w:rPr>
        <w:t xml:space="preserve"> </w:t>
      </w:r>
      <w:r w:rsidRPr="00F41E78">
        <w:rPr>
          <w:rFonts w:cs="FrankRuehl" w:hint="eastAsia"/>
          <w:sz w:val="18"/>
          <w:szCs w:val="22"/>
          <w:rtl/>
          <w:lang w:eastAsia="he-IL"/>
        </w:rPr>
        <w:t>בפיתוח</w:t>
      </w:r>
      <w:r w:rsidRPr="00F41E78">
        <w:rPr>
          <w:rFonts w:cs="FrankRuehl" w:hint="cs"/>
          <w:sz w:val="18"/>
          <w:szCs w:val="22"/>
          <w:rtl/>
          <w:lang w:eastAsia="he-IL"/>
        </w:rPr>
        <w:t xml:space="preserve">. </w:t>
      </w:r>
      <w:r w:rsidRPr="00F41E78">
        <w:rPr>
          <w:rFonts w:cs="FrankRuehl" w:hint="eastAsia"/>
          <w:sz w:val="18"/>
          <w:szCs w:val="22"/>
          <w:rtl/>
          <w:lang w:eastAsia="he-IL"/>
        </w:rPr>
        <w:t>עוד</w:t>
      </w:r>
      <w:r w:rsidRPr="00F41E78">
        <w:rPr>
          <w:rFonts w:cs="FrankRuehl"/>
          <w:sz w:val="18"/>
          <w:szCs w:val="22"/>
          <w:rtl/>
          <w:lang w:eastAsia="he-IL"/>
        </w:rPr>
        <w:t xml:space="preserve"> ציין כי החלטה זו תורגמה</w:t>
      </w:r>
      <w:r w:rsidRPr="00F41E78">
        <w:rPr>
          <w:rFonts w:cs="FrankRuehl" w:hint="cs"/>
          <w:sz w:val="18"/>
          <w:szCs w:val="22"/>
          <w:rtl/>
          <w:lang w:eastAsia="he-IL"/>
        </w:rPr>
        <w:t xml:space="preserve"> לתיקון חוק רשות מקרקעי ישראל שייכנס לתוקף רק לאחר חתימה על הסכם קיבוצי שיסדיר את זכויותיהם של עובדי רמ"י. ההסכם האמור נחתם רק במאי 2011.</w:t>
      </w:r>
    </w:p>
    <w:p w:rsidR="00E97EDA" w:rsidRPr="00F41E78" w:rsidP="001B5632">
      <w:pPr>
        <w:spacing w:after="240" w:line="230" w:lineRule="exact"/>
        <w:jc w:val="both"/>
        <w:rPr>
          <w:rFonts w:cs="FrankRuehl"/>
          <w:sz w:val="18"/>
          <w:szCs w:val="22"/>
          <w:rtl/>
          <w:lang w:eastAsia="he-IL"/>
        </w:rPr>
      </w:pPr>
      <w:r w:rsidRPr="00F41E78">
        <w:rPr>
          <w:rFonts w:cs="FrankRuehl" w:hint="cs"/>
          <w:sz w:val="18"/>
          <w:szCs w:val="22"/>
          <w:rtl/>
          <w:lang w:eastAsia="he-IL"/>
        </w:rPr>
        <w:t>אי לכך, סיכם מנהל רמ"י, לא ניתן לכוון את חיצי הביקורת לרמ"י משום שבשנים 2012-2009 ייזום התכנון כבר לא היה באחריותה.</w:t>
      </w:r>
    </w:p>
    <w:p w:rsidR="00D22B16" w:rsidRPr="00F41E78" w:rsidP="00D22B16">
      <w:pPr>
        <w:pStyle w:val="RESHET"/>
        <w:keepLines/>
        <w:rPr>
          <w:rtl/>
        </w:rPr>
      </w:pPr>
      <w:r w:rsidRPr="00F41E78">
        <w:rPr>
          <w:rFonts w:hint="cs"/>
          <w:rtl/>
        </w:rPr>
        <w:t>משרד מבקר המדינה מעיר כי העברת האחריות לייזום התכנון הייתה אמורה להתחיל במאי 2011, דהיינו לאחר שנחתם ההסכם עם העובדים. לכן, עד מועד זה עדיין נשאה רמ"י על פי החוק באחריות לייזום התכנון, והיא אף לא פעלה להעברת האחריות לייזום התכנון לגופים האחרים הרלוונטיים. זאת ועוד, בספטמבר 2011, לאחר כניסתו של מנהל רמ"י הנוכחי לתפקידו, הוא החליט לעצור את העברת האחריות לגופים אלו. הוא אף דרש תוספת תקנים ומשאבים לצורך השגת יעדי הממשלה</w:t>
      </w:r>
      <w:r w:rsidR="009D7C67">
        <w:rPr>
          <w:rFonts w:hint="cs"/>
          <w:rtl/>
        </w:rPr>
        <w:t xml:space="preserve"> בנושא התכנון</w:t>
      </w:r>
      <w:r w:rsidRPr="00F41E78">
        <w:rPr>
          <w:rFonts w:hint="cs"/>
          <w:rtl/>
        </w:rPr>
        <w:t xml:space="preserve">. </w:t>
      </w:r>
    </w:p>
    <w:p w:rsidR="00E97EDA" w:rsidRPr="00F41E78" w:rsidP="00A7557B">
      <w:pPr>
        <w:spacing w:after="120" w:line="230" w:lineRule="exact"/>
        <w:jc w:val="both"/>
        <w:rPr>
          <w:rFonts w:cs="FrankRuehl"/>
          <w:sz w:val="18"/>
          <w:szCs w:val="22"/>
          <w:u w:val="single"/>
          <w:rtl/>
          <w:lang w:eastAsia="he-IL"/>
        </w:rPr>
      </w:pPr>
    </w:p>
    <w:p w:rsidR="00E97EDA" w:rsidRPr="00CB33CD" w:rsidP="00A7557B">
      <w:pPr>
        <w:pStyle w:val="KOT5"/>
        <w:rPr>
          <w:rtl/>
          <w:lang w:eastAsia="he-IL"/>
        </w:rPr>
      </w:pPr>
      <w:bookmarkStart w:id="47" w:name="_Toc368499951"/>
      <w:r w:rsidRPr="00CB33CD">
        <w:rPr>
          <w:rFonts w:hint="cs"/>
          <w:rtl/>
          <w:lang w:eastAsia="he-IL"/>
        </w:rPr>
        <w:t>חלוקת התכנון על פי מחוזות ולפי אזורי ביקוש</w:t>
      </w:r>
      <w:bookmarkEnd w:id="47"/>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יכולתה של המדינה בכלל ושל רמ"י בפרט להשפיע על היקף הבנייה למגורים מוגבלת לאזורים שבהם היקף הקרקעות בבעלות המדינה רחב. יכולת ההשפעה שלהן במחוזות תל אביב וחיפה מצומצמת יותר משום שהיקף הקרקע בניהולה של רמ"י נמוך (53% ו-68% בהתאמה). לעומת זאת, בשאר המחוזות היקף הקרקעות המצוי בניהולה של רמ"י נע בין 82% ל-100%. </w:t>
      </w:r>
    </w:p>
    <w:p w:rsidR="00E97EDA" w:rsidRPr="00F41E78" w:rsidP="001B5632">
      <w:pPr>
        <w:spacing w:after="240" w:line="230" w:lineRule="exact"/>
        <w:jc w:val="both"/>
        <w:rPr>
          <w:rFonts w:cs="FrankRuehl"/>
          <w:sz w:val="18"/>
          <w:szCs w:val="22"/>
          <w:rtl/>
          <w:lang w:eastAsia="he-IL"/>
        </w:rPr>
      </w:pPr>
      <w:r w:rsidRPr="00F41E78">
        <w:rPr>
          <w:rFonts w:cs="FrankRuehl" w:hint="cs"/>
          <w:sz w:val="18"/>
          <w:szCs w:val="22"/>
          <w:rtl/>
          <w:lang w:eastAsia="he-IL"/>
        </w:rPr>
        <w:t>כבר בדוחות קודמים</w:t>
      </w:r>
      <w:r>
        <w:rPr>
          <w:rFonts w:cs="FrankRuehl"/>
          <w:sz w:val="18"/>
          <w:szCs w:val="22"/>
          <w:vertAlign w:val="superscript"/>
          <w:rtl/>
          <w:lang w:eastAsia="he-IL"/>
        </w:rPr>
        <w:footnoteReference w:id="198"/>
      </w:r>
      <w:r w:rsidRPr="00F41E78">
        <w:rPr>
          <w:rFonts w:cs="FrankRuehl" w:hint="cs"/>
          <w:sz w:val="18"/>
          <w:szCs w:val="22"/>
          <w:rtl/>
          <w:lang w:eastAsia="he-IL"/>
        </w:rPr>
        <w:t xml:space="preserve"> עלה כי מינהל התכנון, רמ"י ומשרד הבינוי אינם מחזיקים בנתונים על גודלו של המלאי התכנוני הזמין בקרקע פרטית, וממילא לא נמצא כי נתון זה מובא בחשבון בתכניות העבודה של משרד הבינוי ושל רמ"י. יצוין כי חלק מהקרקעות במרכז הארץ הן פרטיות, ולמידת זמינותן חשיבות מכרעת לתכנון פעולותיהם של מינהל התכנון ושל משרד הבינוי לצורך השגת יעדי הממשלה. </w:t>
      </w:r>
    </w:p>
    <w:p w:rsidR="00D22B16" w:rsidRPr="00F41E78" w:rsidP="00D22B16">
      <w:pPr>
        <w:pStyle w:val="RESHET"/>
        <w:keepLines/>
        <w:rPr>
          <w:rtl/>
        </w:rPr>
      </w:pPr>
      <w:r w:rsidRPr="00F41E78">
        <w:rPr>
          <w:rFonts w:hint="cs"/>
          <w:rtl/>
        </w:rPr>
        <w:t>משרד מבקר המדינה חוזר על עמדתו, כפי שהוצגה בדוח משנת 2005, ומעיר כי לנתונים בדבר מספר יחידות הדיור בקרקע פרטית זמינה עשויה להיות חשיבות רבה, ובין היתר לתכנון פעולותיהם של משרדי הממשלה ברמה הלאומית. על רמ"י ועל משרד הבינוי להשתמש במסד נתונים זה, כשהם באים לקבוע את יעדי התכנון והשיווק בתכניות העבודה שלהם. הערה זו מקבלת משנה תוקף במחוזות ששטח גדול של קרקעות מצוי בבעלות פרטית.</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bookmarkStart w:id="48" w:name="_Toc368499952"/>
      <w:r w:rsidRPr="00CB33CD">
        <w:rPr>
          <w:rFonts w:hint="cs"/>
          <w:rtl/>
          <w:lang w:eastAsia="he-IL"/>
        </w:rPr>
        <w:t>אזורי ביקוש</w:t>
      </w:r>
      <w:bookmarkEnd w:id="48"/>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במאי 1994 החליטה הממשלה (החלטה מס' 3205) "לאשר תכנית לבניית יחידות דיור באזורי הביקוש, אשר במסגרתה יבוצעו הפעולות שיפורטו בהמשך, וזאת לנוכח הנתונים שהוצגו בפני הממשלה ואשר מצביעים על פער בין היצע יחידות הדיור באזורים שמעכו - כרמיאל בצפון ועד אשקלון בדרום לבין הביקוש הגובר אשר גורם לעליית מחירי הדירות בהווה ולמחסור בדירות בעתיד הלא רחוק. מפת אזורי הביקוש לעניין זה תסוכם בין שר הבינוי והשיכון לשר האוצר".</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עד 2013</w:t>
      </w:r>
      <w:r>
        <w:rPr>
          <w:rFonts w:cs="FrankRuehl"/>
          <w:sz w:val="18"/>
          <w:szCs w:val="22"/>
          <w:vertAlign w:val="superscript"/>
          <w:rtl/>
          <w:lang w:eastAsia="he-IL"/>
        </w:rPr>
        <w:footnoteReference w:id="199"/>
      </w:r>
      <w:r w:rsidRPr="00F41E78">
        <w:rPr>
          <w:rFonts w:cs="FrankRuehl" w:hint="cs"/>
          <w:sz w:val="18"/>
          <w:szCs w:val="22"/>
          <w:rtl/>
          <w:lang w:eastAsia="he-IL"/>
        </w:rPr>
        <w:t xml:space="preserve"> לא אוזכרו אזורי הביקוש בהחלטות הנוגעות להתוויית התכנון על ידי הממשלה או על ידי רמ"י, אף שברור היה כי אזורי הביקוש לא נותרו כפי שהיו בשנת 1994.</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כבר בדוח משנת 2005 עלה כי השלמת תהליך התכנון לכדי שיווק, בנייה ואכלוס תלויה גם בצד הביקוש המושפע מתחומים שאינם בתחום עיסוקם הישיר של רמ"י ושל משרד הבינוי. מדובר בפעולות לפיתוח מקומות תעסוקה, תשתיות דרכים, מערכות הולכה וטיהור שפכים ופעולות להקמת תשתיות לחינוך.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משרד מבקר המדינה </w:t>
      </w:r>
      <w:r w:rsidRPr="00F41E78">
        <w:rPr>
          <w:rFonts w:cs="FrankRuehl" w:hint="eastAsia"/>
          <w:sz w:val="18"/>
          <w:szCs w:val="22"/>
          <w:rtl/>
          <w:lang w:eastAsia="he-IL"/>
        </w:rPr>
        <w:t>קבע</w:t>
      </w:r>
      <w:r w:rsidRPr="00F41E78">
        <w:rPr>
          <w:rFonts w:cs="FrankRuehl" w:hint="cs"/>
          <w:sz w:val="18"/>
          <w:szCs w:val="22"/>
          <w:rtl/>
          <w:lang w:eastAsia="he-IL"/>
        </w:rPr>
        <w:t xml:space="preserve"> בדוח משנת 2005 כי על רמ"י ועל משרד הבינוי לתאם את פעולותיהם ליצירת היצע קרקעות למגורים עם פעולותיהם של משרדי הממשלה האחרים המעודדות את הביקושים או המביאות להסבת הביקוש מאזור המרכז לפריפריה. כל עוד לא נעשו פעולות להגברת הביקוש ביישובים שבהם הביקוש לדירות דל, על מינהל התכנון ועל משרד הבינוי להימנע מיצירת מלאי תכנוני גדול מדי שאין לו כל דורש.</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על ייסוד הנתונים של משרד הפנים </w:t>
      </w:r>
      <w:r w:rsidRPr="00F41E78">
        <w:rPr>
          <w:rFonts w:cs="FrankRuehl" w:hint="eastAsia"/>
          <w:sz w:val="18"/>
          <w:szCs w:val="22"/>
          <w:rtl/>
          <w:lang w:eastAsia="he-IL"/>
        </w:rPr>
        <w:t>בדק</w:t>
      </w:r>
      <w:r w:rsidRPr="00F41E78">
        <w:rPr>
          <w:rFonts w:cs="FrankRuehl" w:hint="cs"/>
          <w:sz w:val="18"/>
          <w:szCs w:val="22"/>
          <w:rtl/>
          <w:lang w:eastAsia="he-IL"/>
        </w:rPr>
        <w:t xml:space="preserve"> </w:t>
      </w:r>
      <w:r w:rsidRPr="00F41E78">
        <w:rPr>
          <w:rFonts w:cs="FrankRuehl"/>
          <w:sz w:val="18"/>
          <w:szCs w:val="22"/>
          <w:rtl/>
          <w:lang w:eastAsia="he-IL"/>
        </w:rPr>
        <w:t xml:space="preserve">(בביקורת </w:t>
      </w:r>
      <w:r w:rsidRPr="00F41E78">
        <w:rPr>
          <w:rFonts w:cs="FrankRuehl" w:hint="cs"/>
          <w:sz w:val="18"/>
          <w:szCs w:val="22"/>
          <w:rtl/>
          <w:lang w:eastAsia="he-IL"/>
        </w:rPr>
        <w:t>זו) משרד מבקר המדינה את מספר יחידות הדיור החדשות שהוגשו למוסדות התכנון, על קרקע שאינה פרטית, בשנים 2012-2007</w:t>
      </w:r>
      <w:r>
        <w:rPr>
          <w:rFonts w:cs="FrankRuehl"/>
          <w:sz w:val="18"/>
          <w:szCs w:val="22"/>
          <w:vertAlign w:val="superscript"/>
          <w:rtl/>
          <w:lang w:eastAsia="he-IL"/>
        </w:rPr>
        <w:footnoteReference w:id="200"/>
      </w:r>
      <w:r w:rsidRPr="00F41E78">
        <w:rPr>
          <w:rFonts w:cs="FrankRuehl" w:hint="cs"/>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מהנתונים עולה כי בשנים 2012-2007 מספר יחידות הדיור שהוגשו לאישורם של מוסדות התכנון בחלוקה למחוזות היה כמפורט להלן: </w:t>
      </w:r>
    </w:p>
    <w:p w:rsidR="00E97EDA" w:rsidRPr="006A0657" w:rsidP="001B5632">
      <w:pPr>
        <w:pStyle w:val="tab-name"/>
        <w:rPr>
          <w:rtl/>
          <w:lang w:eastAsia="he-IL"/>
        </w:rPr>
      </w:pPr>
      <w:r w:rsidRPr="001B5632">
        <w:rPr>
          <w:rFonts w:hint="cs"/>
          <w:b w:val="0"/>
          <w:bCs w:val="0"/>
          <w:sz w:val="20"/>
          <w:szCs w:val="20"/>
          <w:rtl/>
          <w:lang w:eastAsia="he-IL"/>
        </w:rPr>
        <w:t xml:space="preserve">לוח </w:t>
      </w:r>
      <w:r w:rsidRPr="001B5632">
        <w:rPr>
          <w:rFonts w:hint="cs"/>
          <w:b w:val="0"/>
          <w:bCs w:val="0"/>
          <w:sz w:val="20"/>
          <w:szCs w:val="20"/>
          <w:rtl/>
          <w:lang w:eastAsia="he-IL"/>
        </w:rPr>
        <w:t>1</w:t>
      </w:r>
      <w:r w:rsidRPr="001B5632" w:rsidR="001B5632">
        <w:rPr>
          <w:b w:val="0"/>
          <w:bCs w:val="0"/>
          <w:sz w:val="20"/>
          <w:szCs w:val="20"/>
          <w:lang w:eastAsia="he-IL"/>
        </w:rPr>
        <w:br/>
      </w:r>
      <w:r w:rsidRPr="006A0657">
        <w:rPr>
          <w:rFonts w:hint="cs"/>
          <w:rtl/>
          <w:lang w:eastAsia="he-IL"/>
        </w:rPr>
        <w:t>מספר יחידות הדיור שהוגשו למוסדות התכנון, לפי מחוזות, 2012-2007</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CellMar>
          <w:left w:w="57" w:type="dxa"/>
          <w:right w:w="57" w:type="dxa"/>
        </w:tblCellMar>
        <w:tblLook w:val="04A0"/>
      </w:tblPr>
      <w:tblGrid>
        <w:gridCol w:w="846"/>
        <w:gridCol w:w="722"/>
        <w:gridCol w:w="619"/>
        <w:gridCol w:w="723"/>
        <w:gridCol w:w="723"/>
        <w:gridCol w:w="723"/>
        <w:gridCol w:w="723"/>
        <w:gridCol w:w="826"/>
        <w:gridCol w:w="786"/>
      </w:tblGrid>
      <w:tr w:rsidTr="001511A6">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CellMar>
            <w:left w:w="57" w:type="dxa"/>
            <w:right w:w="57" w:type="dxa"/>
          </w:tblCellMar>
          <w:tblLook w:val="04A0"/>
        </w:tblPrEx>
        <w:trPr>
          <w:jc w:val="center"/>
        </w:trPr>
        <w:tc>
          <w:tcPr>
            <w:tcW w:w="0" w:type="auto"/>
            <w:tcBorders>
              <w:top w:val="single" w:sz="12" w:space="0" w:color="auto"/>
              <w:bottom w:val="single" w:sz="12" w:space="0" w:color="auto"/>
            </w:tcBorders>
            <w:shd w:val="pct10" w:color="auto" w:fill="auto"/>
            <w:noWrap/>
            <w:hideMark/>
          </w:tcPr>
          <w:p w:rsidR="001B5632" w:rsidRPr="001B5632" w:rsidP="001B5632">
            <w:pPr>
              <w:spacing w:before="40" w:after="40" w:line="200" w:lineRule="exact"/>
              <w:jc w:val="center"/>
              <w:rPr>
                <w:rFonts w:ascii="FrankRuehl" w:hAnsi="FrankRuehl" w:cs="FrankRuehl"/>
                <w:b/>
                <w:bCs/>
                <w:sz w:val="20"/>
                <w:szCs w:val="20"/>
                <w:rtl/>
                <w:lang w:eastAsia="he-IL"/>
              </w:rPr>
            </w:pPr>
            <w:r w:rsidRPr="001B5632">
              <w:rPr>
                <w:rFonts w:ascii="FrankRuehl" w:hAnsi="FrankRuehl" w:cs="FrankRuehl" w:hint="cs"/>
                <w:b/>
                <w:bCs/>
                <w:sz w:val="20"/>
                <w:szCs w:val="20"/>
                <w:rtl/>
                <w:lang w:eastAsia="he-IL"/>
              </w:rPr>
              <w:t>מחוז</w:t>
            </w:r>
          </w:p>
        </w:tc>
        <w:tc>
          <w:tcPr>
            <w:tcW w:w="0" w:type="auto"/>
            <w:tcBorders>
              <w:top w:val="single" w:sz="12" w:space="0" w:color="auto"/>
              <w:bottom w:val="single" w:sz="12" w:space="0" w:color="auto"/>
            </w:tcBorders>
            <w:shd w:val="pct10" w:color="auto" w:fill="auto"/>
            <w:noWrap/>
            <w:hideMark/>
          </w:tcPr>
          <w:p w:rsidR="001B5632" w:rsidRPr="001B5632" w:rsidP="001B5632">
            <w:pPr>
              <w:spacing w:before="40" w:after="40" w:line="200" w:lineRule="exact"/>
              <w:jc w:val="center"/>
              <w:rPr>
                <w:rFonts w:ascii="FrankRuehl" w:hAnsi="FrankRuehl" w:cs="FrankRuehl"/>
                <w:b/>
                <w:bCs/>
                <w:sz w:val="20"/>
                <w:szCs w:val="20"/>
                <w:lang w:eastAsia="he-IL"/>
              </w:rPr>
            </w:pPr>
            <w:r w:rsidRPr="001B5632">
              <w:rPr>
                <w:rFonts w:ascii="FrankRuehl" w:hAnsi="FrankRuehl" w:cs="FrankRuehl" w:hint="cs"/>
                <w:b/>
                <w:bCs/>
                <w:sz w:val="20"/>
                <w:szCs w:val="20"/>
                <w:lang w:eastAsia="he-IL"/>
              </w:rPr>
              <w:t>2007</w:t>
            </w:r>
          </w:p>
        </w:tc>
        <w:tc>
          <w:tcPr>
            <w:tcW w:w="0" w:type="auto"/>
            <w:tcBorders>
              <w:top w:val="single" w:sz="12" w:space="0" w:color="auto"/>
              <w:bottom w:val="single" w:sz="12" w:space="0" w:color="auto"/>
            </w:tcBorders>
            <w:shd w:val="pct10" w:color="auto" w:fill="auto"/>
            <w:noWrap/>
            <w:hideMark/>
          </w:tcPr>
          <w:p w:rsidR="001B5632" w:rsidRPr="001B5632" w:rsidP="001B5632">
            <w:pPr>
              <w:spacing w:before="40" w:after="40" w:line="200" w:lineRule="exact"/>
              <w:jc w:val="center"/>
              <w:rPr>
                <w:rFonts w:ascii="FrankRuehl" w:hAnsi="FrankRuehl" w:cs="FrankRuehl"/>
                <w:b/>
                <w:bCs/>
                <w:sz w:val="20"/>
                <w:szCs w:val="20"/>
                <w:lang w:eastAsia="he-IL"/>
              </w:rPr>
            </w:pPr>
            <w:r w:rsidRPr="001B5632">
              <w:rPr>
                <w:rFonts w:ascii="FrankRuehl" w:hAnsi="FrankRuehl" w:cs="FrankRuehl" w:hint="cs"/>
                <w:b/>
                <w:bCs/>
                <w:sz w:val="20"/>
                <w:szCs w:val="20"/>
                <w:lang w:eastAsia="he-IL"/>
              </w:rPr>
              <w:t>2008</w:t>
            </w:r>
          </w:p>
        </w:tc>
        <w:tc>
          <w:tcPr>
            <w:tcW w:w="0" w:type="auto"/>
            <w:tcBorders>
              <w:top w:val="single" w:sz="12" w:space="0" w:color="auto"/>
              <w:bottom w:val="single" w:sz="12" w:space="0" w:color="auto"/>
            </w:tcBorders>
            <w:shd w:val="pct10" w:color="auto" w:fill="auto"/>
            <w:noWrap/>
            <w:hideMark/>
          </w:tcPr>
          <w:p w:rsidR="001B5632" w:rsidRPr="001B5632" w:rsidP="001B5632">
            <w:pPr>
              <w:spacing w:before="40" w:after="40" w:line="200" w:lineRule="exact"/>
              <w:jc w:val="center"/>
              <w:rPr>
                <w:rFonts w:ascii="FrankRuehl" w:hAnsi="FrankRuehl" w:cs="FrankRuehl"/>
                <w:b/>
                <w:bCs/>
                <w:sz w:val="20"/>
                <w:szCs w:val="20"/>
                <w:lang w:eastAsia="he-IL"/>
              </w:rPr>
            </w:pPr>
            <w:r w:rsidRPr="001B5632">
              <w:rPr>
                <w:rFonts w:ascii="FrankRuehl" w:hAnsi="FrankRuehl" w:cs="FrankRuehl" w:hint="cs"/>
                <w:b/>
                <w:bCs/>
                <w:sz w:val="20"/>
                <w:szCs w:val="20"/>
                <w:lang w:eastAsia="he-IL"/>
              </w:rPr>
              <w:t>2009</w:t>
            </w:r>
          </w:p>
        </w:tc>
        <w:tc>
          <w:tcPr>
            <w:tcW w:w="0" w:type="auto"/>
            <w:tcBorders>
              <w:top w:val="single" w:sz="12" w:space="0" w:color="auto"/>
              <w:bottom w:val="single" w:sz="12" w:space="0" w:color="auto"/>
            </w:tcBorders>
            <w:shd w:val="pct10" w:color="auto" w:fill="auto"/>
            <w:noWrap/>
            <w:hideMark/>
          </w:tcPr>
          <w:p w:rsidR="001B5632" w:rsidRPr="001B5632" w:rsidP="001B5632">
            <w:pPr>
              <w:spacing w:before="40" w:after="40" w:line="200" w:lineRule="exact"/>
              <w:jc w:val="center"/>
              <w:rPr>
                <w:rFonts w:ascii="FrankRuehl" w:hAnsi="FrankRuehl" w:cs="FrankRuehl"/>
                <w:b/>
                <w:bCs/>
                <w:sz w:val="20"/>
                <w:szCs w:val="20"/>
                <w:lang w:eastAsia="he-IL"/>
              </w:rPr>
            </w:pPr>
            <w:r w:rsidRPr="001B5632">
              <w:rPr>
                <w:rFonts w:ascii="FrankRuehl" w:hAnsi="FrankRuehl" w:cs="FrankRuehl" w:hint="cs"/>
                <w:b/>
                <w:bCs/>
                <w:sz w:val="20"/>
                <w:szCs w:val="20"/>
                <w:lang w:eastAsia="he-IL"/>
              </w:rPr>
              <w:t>2010</w:t>
            </w:r>
          </w:p>
        </w:tc>
        <w:tc>
          <w:tcPr>
            <w:tcW w:w="0" w:type="auto"/>
            <w:tcBorders>
              <w:top w:val="single" w:sz="12" w:space="0" w:color="auto"/>
              <w:bottom w:val="single" w:sz="12" w:space="0" w:color="auto"/>
            </w:tcBorders>
            <w:shd w:val="pct10" w:color="auto" w:fill="auto"/>
            <w:noWrap/>
            <w:hideMark/>
          </w:tcPr>
          <w:p w:rsidR="001B5632" w:rsidRPr="001B5632" w:rsidP="001B5632">
            <w:pPr>
              <w:spacing w:before="40" w:after="40" w:line="200" w:lineRule="exact"/>
              <w:jc w:val="center"/>
              <w:rPr>
                <w:rFonts w:ascii="FrankRuehl" w:hAnsi="FrankRuehl" w:cs="FrankRuehl"/>
                <w:b/>
                <w:bCs/>
                <w:sz w:val="20"/>
                <w:szCs w:val="20"/>
                <w:lang w:eastAsia="he-IL"/>
              </w:rPr>
            </w:pPr>
            <w:r w:rsidRPr="001B5632">
              <w:rPr>
                <w:rFonts w:ascii="FrankRuehl" w:hAnsi="FrankRuehl" w:cs="FrankRuehl" w:hint="cs"/>
                <w:b/>
                <w:bCs/>
                <w:sz w:val="20"/>
                <w:szCs w:val="20"/>
                <w:lang w:eastAsia="he-IL"/>
              </w:rPr>
              <w:t>2011</w:t>
            </w:r>
          </w:p>
        </w:tc>
        <w:tc>
          <w:tcPr>
            <w:tcW w:w="0" w:type="auto"/>
            <w:tcBorders>
              <w:top w:val="single" w:sz="12" w:space="0" w:color="auto"/>
              <w:bottom w:val="single" w:sz="12" w:space="0" w:color="auto"/>
            </w:tcBorders>
            <w:shd w:val="pct10" w:color="auto" w:fill="auto"/>
            <w:noWrap/>
            <w:hideMark/>
          </w:tcPr>
          <w:p w:rsidR="001B5632" w:rsidRPr="001B5632" w:rsidP="001B5632">
            <w:pPr>
              <w:spacing w:before="40" w:after="40" w:line="200" w:lineRule="exact"/>
              <w:jc w:val="center"/>
              <w:rPr>
                <w:rFonts w:ascii="FrankRuehl" w:hAnsi="FrankRuehl" w:cs="FrankRuehl"/>
                <w:b/>
                <w:bCs/>
                <w:sz w:val="20"/>
                <w:szCs w:val="20"/>
                <w:lang w:eastAsia="he-IL"/>
              </w:rPr>
            </w:pPr>
            <w:r w:rsidRPr="001B5632">
              <w:rPr>
                <w:rFonts w:ascii="FrankRuehl" w:hAnsi="FrankRuehl" w:cs="FrankRuehl" w:hint="cs"/>
                <w:b/>
                <w:bCs/>
                <w:sz w:val="20"/>
                <w:szCs w:val="20"/>
                <w:lang w:eastAsia="he-IL"/>
              </w:rPr>
              <w:t>2012</w:t>
            </w:r>
          </w:p>
        </w:tc>
        <w:tc>
          <w:tcPr>
            <w:tcW w:w="0" w:type="auto"/>
            <w:gridSpan w:val="2"/>
            <w:tcBorders>
              <w:top w:val="single" w:sz="12" w:space="0" w:color="auto"/>
              <w:bottom w:val="single" w:sz="12" w:space="0" w:color="auto"/>
            </w:tcBorders>
            <w:shd w:val="pct10" w:color="auto" w:fill="auto"/>
            <w:noWrap/>
            <w:hideMark/>
          </w:tcPr>
          <w:p w:rsidR="001B5632" w:rsidRPr="001B5632" w:rsidP="001B5632">
            <w:pPr>
              <w:spacing w:before="40" w:after="40" w:line="200" w:lineRule="exact"/>
              <w:jc w:val="center"/>
              <w:rPr>
                <w:rFonts w:ascii="FrankRuehl" w:hAnsi="FrankRuehl" w:cs="FrankRuehl"/>
                <w:sz w:val="20"/>
                <w:szCs w:val="20"/>
                <w:lang w:eastAsia="he-IL"/>
              </w:rPr>
            </w:pPr>
            <w:r w:rsidRPr="001B5632">
              <w:rPr>
                <w:rFonts w:ascii="FrankRuehl" w:hAnsi="FrankRuehl" w:cs="FrankRuehl"/>
                <w:b/>
                <w:bCs/>
                <w:sz w:val="20"/>
                <w:szCs w:val="20"/>
                <w:rtl/>
                <w:lang w:eastAsia="he-IL"/>
              </w:rPr>
              <w:t>סך הכול</w:t>
            </w:r>
          </w:p>
        </w:tc>
      </w:tr>
      <w:tr w:rsidTr="001511A6">
        <w:tblPrEx>
          <w:tblW w:w="6691" w:type="dxa"/>
          <w:jc w:val="center"/>
          <w:tblCellMar>
            <w:left w:w="57" w:type="dxa"/>
            <w:right w:w="57" w:type="dxa"/>
          </w:tblCellMar>
          <w:tblLook w:val="04A0"/>
        </w:tblPrEx>
        <w:trPr>
          <w:jc w:val="center"/>
        </w:trPr>
        <w:tc>
          <w:tcPr>
            <w:tcW w:w="0" w:type="auto"/>
            <w:tcBorders>
              <w:top w:val="single" w:sz="12" w:space="0" w:color="auto"/>
            </w:tcBorders>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hint="cs"/>
                <w:sz w:val="20"/>
                <w:szCs w:val="20"/>
                <w:rtl/>
                <w:lang w:eastAsia="he-IL"/>
              </w:rPr>
              <w:t>דרום</w:t>
            </w:r>
          </w:p>
        </w:tc>
        <w:tc>
          <w:tcPr>
            <w:tcW w:w="0" w:type="auto"/>
            <w:tcBorders>
              <w:top w:val="single" w:sz="12" w:space="0" w:color="auto"/>
            </w:tcBorders>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2,339</w:t>
            </w:r>
          </w:p>
        </w:tc>
        <w:tc>
          <w:tcPr>
            <w:tcW w:w="0" w:type="auto"/>
            <w:tcBorders>
              <w:top w:val="single" w:sz="12" w:space="0" w:color="auto"/>
            </w:tcBorders>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2,650</w:t>
            </w:r>
          </w:p>
        </w:tc>
        <w:tc>
          <w:tcPr>
            <w:tcW w:w="0" w:type="auto"/>
            <w:tcBorders>
              <w:top w:val="single" w:sz="12" w:space="0" w:color="auto"/>
            </w:tcBorders>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1,472</w:t>
            </w:r>
          </w:p>
        </w:tc>
        <w:tc>
          <w:tcPr>
            <w:tcW w:w="0" w:type="auto"/>
            <w:tcBorders>
              <w:top w:val="single" w:sz="12" w:space="0" w:color="auto"/>
            </w:tcBorders>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3,882</w:t>
            </w:r>
          </w:p>
        </w:tc>
        <w:tc>
          <w:tcPr>
            <w:tcW w:w="0" w:type="auto"/>
            <w:tcBorders>
              <w:top w:val="single" w:sz="12" w:space="0" w:color="auto"/>
            </w:tcBorders>
            <w:shd w:val="clear" w:color="auto" w:fill="auto"/>
            <w:noWrap/>
            <w:hideMark/>
          </w:tcPr>
          <w:p w:rsidR="00BF1313" w:rsidRPr="00BF1313" w:rsidP="008E4F38">
            <w:pPr>
              <w:spacing w:before="40" w:after="40" w:line="200" w:lineRule="exact"/>
              <w:rPr>
                <w:rFonts w:ascii="FrankRuehl" w:hAnsi="FrankRuehl" w:cs="FrankRuehl"/>
                <w:sz w:val="20"/>
                <w:szCs w:val="20"/>
                <w:lang w:eastAsia="he-IL"/>
              </w:rPr>
            </w:pPr>
            <w:r w:rsidRPr="00BF1313">
              <w:rPr>
                <w:rFonts w:ascii="FrankRuehl" w:hAnsi="FrankRuehl" w:cs="FrankRuehl" w:hint="cs"/>
                <w:sz w:val="20"/>
                <w:szCs w:val="20"/>
                <w:rtl/>
                <w:lang w:eastAsia="he-IL"/>
              </w:rPr>
              <w:t>17,713</w:t>
            </w:r>
          </w:p>
        </w:tc>
        <w:tc>
          <w:tcPr>
            <w:tcW w:w="0" w:type="auto"/>
            <w:tcBorders>
              <w:top w:val="single" w:sz="12" w:space="0" w:color="auto"/>
            </w:tcBorders>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10,189</w:t>
            </w:r>
          </w:p>
        </w:tc>
        <w:tc>
          <w:tcPr>
            <w:tcW w:w="0" w:type="auto"/>
            <w:tcBorders>
              <w:top w:val="single" w:sz="12" w:space="0" w:color="auto"/>
              <w:right w:val="nil"/>
            </w:tcBorders>
            <w:shd w:val="clear" w:color="auto" w:fill="auto"/>
            <w:noWrap/>
            <w:hideMark/>
          </w:tcPr>
          <w:p w:rsidR="00BF1313" w:rsidRPr="00BF1313" w:rsidP="008E4F38">
            <w:pPr>
              <w:spacing w:before="40" w:after="40" w:line="200" w:lineRule="exact"/>
              <w:rPr>
                <w:rFonts w:ascii="FrankRuehl" w:hAnsi="FrankRuehl" w:cs="FrankRuehl"/>
                <w:sz w:val="20"/>
                <w:szCs w:val="20"/>
                <w:lang w:eastAsia="he-IL"/>
              </w:rPr>
            </w:pPr>
            <w:r w:rsidRPr="00BF1313">
              <w:rPr>
                <w:rFonts w:ascii="FrankRuehl" w:hAnsi="FrankRuehl" w:cs="FrankRuehl" w:hint="cs"/>
                <w:sz w:val="20"/>
                <w:szCs w:val="20"/>
                <w:rtl/>
                <w:lang w:eastAsia="he-IL"/>
              </w:rPr>
              <w:t>38,245</w:t>
            </w:r>
          </w:p>
        </w:tc>
        <w:tc>
          <w:tcPr>
            <w:tcW w:w="0" w:type="auto"/>
            <w:tcBorders>
              <w:top w:val="single" w:sz="12" w:space="0" w:color="auto"/>
              <w:left w:val="nil"/>
            </w:tcBorders>
            <w:shd w:val="clear" w:color="auto" w:fill="auto"/>
            <w:noWrap/>
            <w:hideMark/>
          </w:tcPr>
          <w:p w:rsidR="00BF1313" w:rsidRPr="00BF1313" w:rsidP="008E4F38">
            <w:pPr>
              <w:spacing w:before="40" w:after="40" w:line="200" w:lineRule="exact"/>
              <w:rPr>
                <w:rFonts w:ascii="FrankRuehl" w:hAnsi="FrankRuehl" w:cs="FrankRuehl"/>
                <w:sz w:val="20"/>
                <w:szCs w:val="20"/>
                <w:lang w:eastAsia="he-IL"/>
              </w:rPr>
            </w:pPr>
            <w:r w:rsidRPr="00BF1313">
              <w:rPr>
                <w:rFonts w:ascii="FrankRuehl" w:hAnsi="FrankRuehl" w:cs="FrankRuehl" w:hint="cs"/>
                <w:sz w:val="20"/>
                <w:szCs w:val="20"/>
                <w:rtl/>
                <w:lang w:eastAsia="he-IL"/>
              </w:rPr>
              <w:t>(</w:t>
            </w:r>
            <w:r w:rsidRPr="00BF1313">
              <w:rPr>
                <w:rFonts w:ascii="FrankRuehl" w:hAnsi="FrankRuehl" w:cs="FrankRuehl"/>
                <w:sz w:val="20"/>
                <w:szCs w:val="20"/>
                <w:lang w:eastAsia="he-IL"/>
              </w:rPr>
              <w:t>25%</w:t>
            </w:r>
            <w:r w:rsidRPr="00BF1313">
              <w:rPr>
                <w:rFonts w:ascii="FrankRuehl" w:hAnsi="FrankRuehl" w:cs="FrankRuehl" w:hint="cs"/>
                <w:sz w:val="20"/>
                <w:szCs w:val="20"/>
                <w:rtl/>
                <w:lang w:eastAsia="he-IL"/>
              </w:rPr>
              <w:t>)</w:t>
            </w:r>
          </w:p>
        </w:tc>
      </w:tr>
      <w:tr w:rsidTr="001511A6">
        <w:tblPrEx>
          <w:tblW w:w="6691" w:type="dxa"/>
          <w:jc w:val="center"/>
          <w:tblCellMar>
            <w:left w:w="57" w:type="dxa"/>
            <w:right w:w="57" w:type="dxa"/>
          </w:tblCellMar>
          <w:tblLook w:val="04A0"/>
        </w:tblPrEx>
        <w:trPr>
          <w:jc w:val="center"/>
        </w:trPr>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hint="cs"/>
                <w:sz w:val="20"/>
                <w:szCs w:val="20"/>
                <w:rtl/>
                <w:lang w:eastAsia="he-IL"/>
              </w:rPr>
              <w:t>צפון</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5,001</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1,434</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5,347</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5,215</w:t>
            </w:r>
          </w:p>
        </w:tc>
        <w:tc>
          <w:tcPr>
            <w:tcW w:w="0" w:type="auto"/>
            <w:shd w:val="clear" w:color="auto" w:fill="auto"/>
            <w:noWrap/>
            <w:hideMark/>
          </w:tcPr>
          <w:p w:rsidR="00BF1313" w:rsidRPr="00BF1313" w:rsidP="008E4F38">
            <w:pPr>
              <w:spacing w:before="40" w:after="40" w:line="200" w:lineRule="exact"/>
              <w:rPr>
                <w:rFonts w:ascii="FrankRuehl" w:hAnsi="FrankRuehl" w:cs="FrankRuehl"/>
                <w:sz w:val="20"/>
                <w:szCs w:val="20"/>
                <w:lang w:eastAsia="he-IL"/>
              </w:rPr>
            </w:pPr>
            <w:r w:rsidRPr="00BF1313">
              <w:rPr>
                <w:rFonts w:ascii="FrankRuehl" w:hAnsi="FrankRuehl" w:cs="FrankRuehl"/>
                <w:sz w:val="20"/>
                <w:szCs w:val="20"/>
                <w:lang w:eastAsia="he-IL"/>
              </w:rPr>
              <w:t>15,321</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15,091</w:t>
            </w:r>
          </w:p>
        </w:tc>
        <w:tc>
          <w:tcPr>
            <w:tcW w:w="0" w:type="auto"/>
            <w:tcBorders>
              <w:right w:val="nil"/>
            </w:tcBorders>
            <w:shd w:val="clear" w:color="auto" w:fill="auto"/>
            <w:noWrap/>
            <w:hideMark/>
          </w:tcPr>
          <w:p w:rsidR="00BF1313" w:rsidRPr="00BF1313" w:rsidP="008E4F38">
            <w:pPr>
              <w:spacing w:before="40" w:after="40" w:line="200" w:lineRule="exact"/>
              <w:rPr>
                <w:rFonts w:ascii="FrankRuehl" w:hAnsi="FrankRuehl" w:cs="FrankRuehl"/>
                <w:sz w:val="20"/>
                <w:szCs w:val="20"/>
                <w:lang w:eastAsia="he-IL"/>
              </w:rPr>
            </w:pPr>
            <w:r w:rsidRPr="00BF1313">
              <w:rPr>
                <w:rFonts w:ascii="FrankRuehl" w:hAnsi="FrankRuehl" w:cs="FrankRuehl" w:hint="cs"/>
                <w:sz w:val="20"/>
                <w:szCs w:val="20"/>
                <w:lang w:eastAsia="he-IL"/>
              </w:rPr>
              <w:t>47,408</w:t>
            </w:r>
          </w:p>
        </w:tc>
        <w:tc>
          <w:tcPr>
            <w:tcW w:w="0" w:type="auto"/>
            <w:tcBorders>
              <w:left w:val="nil"/>
            </w:tcBorders>
            <w:shd w:val="clear" w:color="auto" w:fill="auto"/>
            <w:noWrap/>
            <w:hideMark/>
          </w:tcPr>
          <w:p w:rsidR="00BF1313" w:rsidRPr="00BF1313" w:rsidP="008E4F38">
            <w:pPr>
              <w:spacing w:before="40" w:after="40" w:line="200" w:lineRule="exact"/>
              <w:rPr>
                <w:rFonts w:ascii="FrankRuehl" w:hAnsi="FrankRuehl" w:cs="FrankRuehl"/>
                <w:sz w:val="20"/>
                <w:szCs w:val="20"/>
                <w:rtl/>
                <w:lang w:eastAsia="he-IL"/>
              </w:rPr>
            </w:pPr>
            <w:r w:rsidRPr="00BF1313">
              <w:rPr>
                <w:rFonts w:ascii="FrankRuehl" w:hAnsi="FrankRuehl" w:cs="FrankRuehl"/>
                <w:sz w:val="20"/>
                <w:szCs w:val="20"/>
                <w:lang w:eastAsia="he-IL"/>
              </w:rPr>
              <w:t>31%)</w:t>
            </w:r>
            <w:r w:rsidRPr="00BF1313">
              <w:rPr>
                <w:rFonts w:ascii="FrankRuehl" w:hAnsi="FrankRuehl" w:cs="FrankRuehl" w:hint="cs"/>
                <w:sz w:val="20"/>
                <w:szCs w:val="20"/>
                <w:rtl/>
                <w:lang w:eastAsia="he-IL"/>
              </w:rPr>
              <w:t>)</w:t>
            </w:r>
          </w:p>
        </w:tc>
      </w:tr>
      <w:tr w:rsidTr="001511A6">
        <w:tblPrEx>
          <w:tblW w:w="6691" w:type="dxa"/>
          <w:jc w:val="center"/>
          <w:tblCellMar>
            <w:left w:w="57" w:type="dxa"/>
            <w:right w:w="57" w:type="dxa"/>
          </w:tblCellMar>
          <w:tblLook w:val="04A0"/>
        </w:tblPrEx>
        <w:trPr>
          <w:jc w:val="center"/>
        </w:trPr>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hint="cs"/>
                <w:sz w:val="20"/>
                <w:szCs w:val="20"/>
                <w:rtl/>
                <w:lang w:eastAsia="he-IL"/>
              </w:rPr>
              <w:t>חיפה</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4,155</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962</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1,743</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1,582</w:t>
            </w:r>
          </w:p>
        </w:tc>
        <w:tc>
          <w:tcPr>
            <w:tcW w:w="0" w:type="auto"/>
            <w:shd w:val="clear" w:color="auto" w:fill="auto"/>
            <w:noWrap/>
            <w:hideMark/>
          </w:tcPr>
          <w:p w:rsidR="00BF1313" w:rsidRPr="00BF1313" w:rsidP="008E4F38">
            <w:pPr>
              <w:spacing w:before="40" w:after="40" w:line="200" w:lineRule="exact"/>
              <w:rPr>
                <w:rFonts w:ascii="FrankRuehl" w:hAnsi="FrankRuehl" w:cs="FrankRuehl"/>
                <w:sz w:val="20"/>
                <w:szCs w:val="20"/>
                <w:lang w:eastAsia="he-IL"/>
              </w:rPr>
            </w:pPr>
            <w:r w:rsidRPr="00BF1313">
              <w:rPr>
                <w:rFonts w:ascii="FrankRuehl" w:hAnsi="FrankRuehl" w:cs="FrankRuehl"/>
                <w:sz w:val="20"/>
                <w:szCs w:val="20"/>
                <w:lang w:eastAsia="he-IL"/>
              </w:rPr>
              <w:t>2,671</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7,125</w:t>
            </w:r>
          </w:p>
        </w:tc>
        <w:tc>
          <w:tcPr>
            <w:tcW w:w="0" w:type="auto"/>
            <w:tcBorders>
              <w:right w:val="nil"/>
            </w:tcBorders>
            <w:shd w:val="clear" w:color="auto" w:fill="auto"/>
            <w:noWrap/>
            <w:hideMark/>
          </w:tcPr>
          <w:p w:rsidR="00BF1313" w:rsidRPr="00BF1313" w:rsidP="008E4F38">
            <w:pPr>
              <w:spacing w:before="40" w:after="40" w:line="200" w:lineRule="exact"/>
              <w:rPr>
                <w:rFonts w:ascii="FrankRuehl" w:hAnsi="FrankRuehl" w:cs="FrankRuehl"/>
                <w:sz w:val="20"/>
                <w:szCs w:val="20"/>
                <w:lang w:eastAsia="he-IL"/>
              </w:rPr>
            </w:pPr>
            <w:r w:rsidRPr="00BF1313">
              <w:rPr>
                <w:rFonts w:ascii="FrankRuehl" w:hAnsi="FrankRuehl" w:cs="FrankRuehl" w:hint="cs"/>
                <w:sz w:val="20"/>
                <w:szCs w:val="20"/>
                <w:lang w:eastAsia="he-IL"/>
              </w:rPr>
              <w:t>18,238</w:t>
            </w:r>
          </w:p>
        </w:tc>
        <w:tc>
          <w:tcPr>
            <w:tcW w:w="0" w:type="auto"/>
            <w:tcBorders>
              <w:left w:val="nil"/>
            </w:tcBorders>
            <w:shd w:val="clear" w:color="auto" w:fill="auto"/>
            <w:noWrap/>
            <w:hideMark/>
          </w:tcPr>
          <w:p w:rsidR="00BF1313" w:rsidRPr="00BF1313" w:rsidP="008E4F38">
            <w:pPr>
              <w:spacing w:before="40" w:after="40" w:line="200" w:lineRule="exact"/>
              <w:rPr>
                <w:rFonts w:ascii="FrankRuehl" w:hAnsi="FrankRuehl" w:cs="FrankRuehl"/>
                <w:sz w:val="20"/>
                <w:szCs w:val="20"/>
                <w:rtl/>
                <w:lang w:eastAsia="he-IL"/>
              </w:rPr>
            </w:pPr>
            <w:r w:rsidRPr="00BF1313">
              <w:rPr>
                <w:rFonts w:ascii="FrankRuehl" w:hAnsi="FrankRuehl" w:cs="FrankRuehl"/>
                <w:sz w:val="20"/>
                <w:szCs w:val="20"/>
                <w:lang w:eastAsia="he-IL"/>
              </w:rPr>
              <w:t>(12%)</w:t>
            </w:r>
          </w:p>
        </w:tc>
      </w:tr>
      <w:tr w:rsidTr="001511A6">
        <w:tblPrEx>
          <w:tblW w:w="6691" w:type="dxa"/>
          <w:jc w:val="center"/>
          <w:tblCellMar>
            <w:left w:w="57" w:type="dxa"/>
            <w:right w:w="57" w:type="dxa"/>
          </w:tblCellMar>
          <w:tblLook w:val="04A0"/>
        </w:tblPrEx>
        <w:trPr>
          <w:jc w:val="center"/>
        </w:trPr>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hint="cs"/>
                <w:sz w:val="20"/>
                <w:szCs w:val="20"/>
                <w:rtl/>
                <w:lang w:eastAsia="he-IL"/>
              </w:rPr>
              <w:t>מרכז</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5,054</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3,011</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4,250</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6,246</w:t>
            </w:r>
          </w:p>
        </w:tc>
        <w:tc>
          <w:tcPr>
            <w:tcW w:w="0" w:type="auto"/>
            <w:shd w:val="clear" w:color="auto" w:fill="auto"/>
            <w:noWrap/>
            <w:hideMark/>
          </w:tcPr>
          <w:p w:rsidR="00BF1313" w:rsidRPr="00BF1313" w:rsidP="008E4F38">
            <w:pPr>
              <w:spacing w:before="40" w:after="40" w:line="200" w:lineRule="exact"/>
              <w:rPr>
                <w:rFonts w:ascii="FrankRuehl" w:hAnsi="FrankRuehl" w:cs="FrankRuehl"/>
                <w:sz w:val="20"/>
                <w:szCs w:val="20"/>
                <w:lang w:eastAsia="he-IL"/>
              </w:rPr>
            </w:pPr>
            <w:r w:rsidRPr="00BF1313">
              <w:rPr>
                <w:rFonts w:ascii="FrankRuehl" w:hAnsi="FrankRuehl" w:cs="FrankRuehl"/>
                <w:sz w:val="20"/>
                <w:szCs w:val="20"/>
                <w:lang w:eastAsia="he-IL"/>
              </w:rPr>
              <w:t>8,798</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13,034</w:t>
            </w:r>
          </w:p>
        </w:tc>
        <w:tc>
          <w:tcPr>
            <w:tcW w:w="0" w:type="auto"/>
            <w:tcBorders>
              <w:right w:val="nil"/>
            </w:tcBorders>
            <w:shd w:val="clear" w:color="auto" w:fill="auto"/>
            <w:noWrap/>
            <w:hideMark/>
          </w:tcPr>
          <w:p w:rsidR="00BF1313" w:rsidRPr="00BF1313" w:rsidP="008E4F38">
            <w:pPr>
              <w:spacing w:before="40" w:after="40" w:line="200" w:lineRule="exact"/>
              <w:rPr>
                <w:rFonts w:ascii="FrankRuehl" w:hAnsi="FrankRuehl" w:cs="FrankRuehl"/>
                <w:sz w:val="20"/>
                <w:szCs w:val="20"/>
                <w:lang w:eastAsia="he-IL"/>
              </w:rPr>
            </w:pPr>
            <w:r w:rsidRPr="00BF1313">
              <w:rPr>
                <w:rFonts w:ascii="FrankRuehl" w:hAnsi="FrankRuehl" w:cs="FrankRuehl" w:hint="cs"/>
                <w:sz w:val="20"/>
                <w:szCs w:val="20"/>
                <w:lang w:eastAsia="he-IL"/>
              </w:rPr>
              <w:t>40,393</w:t>
            </w:r>
          </w:p>
        </w:tc>
        <w:tc>
          <w:tcPr>
            <w:tcW w:w="0" w:type="auto"/>
            <w:tcBorders>
              <w:left w:val="nil"/>
            </w:tcBorders>
            <w:shd w:val="clear" w:color="auto" w:fill="auto"/>
            <w:noWrap/>
            <w:hideMark/>
          </w:tcPr>
          <w:p w:rsidR="00BF1313" w:rsidRPr="00BF1313" w:rsidP="008E4F38">
            <w:pPr>
              <w:spacing w:before="40" w:after="40" w:line="200" w:lineRule="exact"/>
              <w:rPr>
                <w:rFonts w:ascii="FrankRuehl" w:hAnsi="FrankRuehl" w:cs="FrankRuehl"/>
                <w:sz w:val="20"/>
                <w:szCs w:val="20"/>
                <w:rtl/>
                <w:lang w:eastAsia="he-IL"/>
              </w:rPr>
            </w:pPr>
            <w:r w:rsidRPr="00BF1313">
              <w:rPr>
                <w:rFonts w:ascii="FrankRuehl" w:hAnsi="FrankRuehl" w:cs="FrankRuehl"/>
                <w:sz w:val="20"/>
                <w:szCs w:val="20"/>
                <w:lang w:eastAsia="he-IL"/>
              </w:rPr>
              <w:t>27%)</w:t>
            </w:r>
            <w:r w:rsidRPr="00BF1313">
              <w:rPr>
                <w:rFonts w:ascii="FrankRuehl" w:hAnsi="FrankRuehl" w:cs="FrankRuehl" w:hint="cs"/>
                <w:sz w:val="20"/>
                <w:szCs w:val="20"/>
                <w:rtl/>
                <w:lang w:eastAsia="he-IL"/>
              </w:rPr>
              <w:t>)</w:t>
            </w:r>
          </w:p>
        </w:tc>
      </w:tr>
      <w:tr w:rsidTr="001511A6">
        <w:tblPrEx>
          <w:tblW w:w="6691" w:type="dxa"/>
          <w:jc w:val="center"/>
          <w:tblCellMar>
            <w:left w:w="57" w:type="dxa"/>
            <w:right w:w="57" w:type="dxa"/>
          </w:tblCellMar>
          <w:tblLook w:val="04A0"/>
        </w:tblPrEx>
        <w:trPr>
          <w:jc w:val="center"/>
        </w:trPr>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hint="cs"/>
                <w:sz w:val="20"/>
                <w:szCs w:val="20"/>
                <w:rtl/>
                <w:lang w:eastAsia="he-IL"/>
              </w:rPr>
              <w:t>תל-אביב</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975</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320</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859</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1,259</w:t>
            </w:r>
          </w:p>
        </w:tc>
        <w:tc>
          <w:tcPr>
            <w:tcW w:w="0" w:type="auto"/>
            <w:shd w:val="clear" w:color="auto" w:fill="auto"/>
            <w:noWrap/>
            <w:hideMark/>
          </w:tcPr>
          <w:p w:rsidR="00BF1313" w:rsidRPr="00BF1313" w:rsidP="008E4F38">
            <w:pPr>
              <w:spacing w:before="40" w:after="40" w:line="200" w:lineRule="exact"/>
              <w:rPr>
                <w:rFonts w:ascii="FrankRuehl" w:hAnsi="FrankRuehl" w:cs="FrankRuehl"/>
                <w:sz w:val="20"/>
                <w:szCs w:val="20"/>
                <w:lang w:eastAsia="he-IL"/>
              </w:rPr>
            </w:pPr>
            <w:r w:rsidRPr="00BF1313">
              <w:rPr>
                <w:rFonts w:ascii="FrankRuehl" w:hAnsi="FrankRuehl" w:cs="FrankRuehl"/>
                <w:sz w:val="20"/>
                <w:szCs w:val="20"/>
                <w:lang w:eastAsia="he-IL"/>
              </w:rPr>
              <w:t>712</w:t>
            </w:r>
          </w:p>
        </w:tc>
        <w:tc>
          <w:tcPr>
            <w:tcW w:w="0" w:type="auto"/>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0</w:t>
            </w:r>
          </w:p>
        </w:tc>
        <w:tc>
          <w:tcPr>
            <w:tcW w:w="0" w:type="auto"/>
            <w:tcBorders>
              <w:right w:val="nil"/>
            </w:tcBorders>
            <w:shd w:val="clear" w:color="auto" w:fill="auto"/>
            <w:noWrap/>
            <w:hideMark/>
          </w:tcPr>
          <w:p w:rsidR="00BF1313" w:rsidRPr="00BF1313" w:rsidP="008E4F38">
            <w:pPr>
              <w:spacing w:before="40" w:after="40" w:line="200" w:lineRule="exact"/>
              <w:rPr>
                <w:rFonts w:ascii="FrankRuehl" w:hAnsi="FrankRuehl" w:cs="FrankRuehl"/>
                <w:sz w:val="20"/>
                <w:szCs w:val="20"/>
                <w:lang w:eastAsia="he-IL"/>
              </w:rPr>
            </w:pPr>
            <w:r w:rsidRPr="00BF1313">
              <w:rPr>
                <w:rFonts w:ascii="FrankRuehl" w:hAnsi="FrankRuehl" w:cs="FrankRuehl" w:hint="cs"/>
                <w:sz w:val="20"/>
                <w:szCs w:val="20"/>
                <w:lang w:eastAsia="he-IL"/>
              </w:rPr>
              <w:t>4,125</w:t>
            </w:r>
          </w:p>
        </w:tc>
        <w:tc>
          <w:tcPr>
            <w:tcW w:w="0" w:type="auto"/>
            <w:tcBorders>
              <w:left w:val="nil"/>
            </w:tcBorders>
            <w:shd w:val="clear" w:color="auto" w:fill="auto"/>
            <w:noWrap/>
            <w:hideMark/>
          </w:tcPr>
          <w:p w:rsidR="00BF1313" w:rsidRPr="00BF1313" w:rsidP="008E4F38">
            <w:pPr>
              <w:spacing w:before="40" w:after="40" w:line="200" w:lineRule="exact"/>
              <w:rPr>
                <w:rFonts w:ascii="FrankRuehl" w:hAnsi="FrankRuehl" w:cs="FrankRuehl"/>
                <w:sz w:val="20"/>
                <w:szCs w:val="20"/>
                <w:rtl/>
                <w:lang w:eastAsia="he-IL"/>
              </w:rPr>
            </w:pPr>
            <w:r w:rsidRPr="00BF1313">
              <w:rPr>
                <w:rFonts w:ascii="FrankRuehl" w:hAnsi="FrankRuehl" w:cs="FrankRuehl"/>
                <w:sz w:val="20"/>
                <w:szCs w:val="20"/>
                <w:lang w:eastAsia="he-IL"/>
              </w:rPr>
              <w:t>3%)</w:t>
            </w:r>
            <w:r w:rsidRPr="00BF1313">
              <w:rPr>
                <w:rFonts w:ascii="FrankRuehl" w:hAnsi="FrankRuehl" w:cs="FrankRuehl" w:hint="cs"/>
                <w:sz w:val="20"/>
                <w:szCs w:val="20"/>
                <w:rtl/>
                <w:lang w:eastAsia="he-IL"/>
              </w:rPr>
              <w:t>)</w:t>
            </w:r>
          </w:p>
        </w:tc>
      </w:tr>
      <w:tr w:rsidTr="001511A6">
        <w:tblPrEx>
          <w:tblW w:w="6691" w:type="dxa"/>
          <w:jc w:val="center"/>
          <w:tblCellMar>
            <w:left w:w="57" w:type="dxa"/>
            <w:right w:w="57" w:type="dxa"/>
          </w:tblCellMar>
          <w:tblLook w:val="04A0"/>
        </w:tblPrEx>
        <w:trPr>
          <w:jc w:val="center"/>
        </w:trPr>
        <w:tc>
          <w:tcPr>
            <w:tcW w:w="0" w:type="auto"/>
            <w:tcBorders>
              <w:bottom w:val="single" w:sz="12" w:space="0" w:color="auto"/>
            </w:tcBorders>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hint="cs"/>
                <w:sz w:val="20"/>
                <w:szCs w:val="20"/>
                <w:rtl/>
                <w:lang w:eastAsia="he-IL"/>
              </w:rPr>
              <w:t>ירושלים</w:t>
            </w:r>
          </w:p>
        </w:tc>
        <w:tc>
          <w:tcPr>
            <w:tcW w:w="0" w:type="auto"/>
            <w:tcBorders>
              <w:bottom w:val="single" w:sz="12" w:space="0" w:color="auto"/>
            </w:tcBorders>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1,739</w:t>
            </w:r>
          </w:p>
        </w:tc>
        <w:tc>
          <w:tcPr>
            <w:tcW w:w="0" w:type="auto"/>
            <w:tcBorders>
              <w:bottom w:val="single" w:sz="12" w:space="0" w:color="auto"/>
            </w:tcBorders>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743</w:t>
            </w:r>
          </w:p>
        </w:tc>
        <w:tc>
          <w:tcPr>
            <w:tcW w:w="0" w:type="auto"/>
            <w:tcBorders>
              <w:bottom w:val="single" w:sz="12" w:space="0" w:color="auto"/>
            </w:tcBorders>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0</w:t>
            </w:r>
          </w:p>
        </w:tc>
        <w:tc>
          <w:tcPr>
            <w:tcW w:w="0" w:type="auto"/>
            <w:tcBorders>
              <w:bottom w:val="single" w:sz="12" w:space="0" w:color="auto"/>
            </w:tcBorders>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7</w:t>
            </w:r>
          </w:p>
        </w:tc>
        <w:tc>
          <w:tcPr>
            <w:tcW w:w="0" w:type="auto"/>
            <w:tcBorders>
              <w:bottom w:val="single" w:sz="12" w:space="0" w:color="auto"/>
            </w:tcBorders>
            <w:shd w:val="clear" w:color="auto" w:fill="auto"/>
            <w:noWrap/>
            <w:hideMark/>
          </w:tcPr>
          <w:p w:rsidR="00BF1313" w:rsidRPr="00BF1313" w:rsidP="008E4F38">
            <w:pPr>
              <w:spacing w:before="40" w:after="40" w:line="200" w:lineRule="exact"/>
              <w:rPr>
                <w:rFonts w:ascii="FrankRuehl" w:hAnsi="FrankRuehl" w:cs="FrankRuehl"/>
                <w:sz w:val="20"/>
                <w:szCs w:val="20"/>
                <w:lang w:eastAsia="he-IL"/>
              </w:rPr>
            </w:pPr>
            <w:r w:rsidRPr="00BF1313">
              <w:rPr>
                <w:rFonts w:ascii="FrankRuehl" w:hAnsi="FrankRuehl" w:cs="FrankRuehl"/>
                <w:sz w:val="20"/>
                <w:szCs w:val="20"/>
                <w:lang w:eastAsia="he-IL"/>
              </w:rPr>
              <w:t>0</w:t>
            </w:r>
          </w:p>
        </w:tc>
        <w:tc>
          <w:tcPr>
            <w:tcW w:w="0" w:type="auto"/>
            <w:tcBorders>
              <w:bottom w:val="single" w:sz="12" w:space="0" w:color="auto"/>
            </w:tcBorders>
            <w:shd w:val="clear" w:color="auto" w:fill="auto"/>
            <w:noWrap/>
            <w:hideMark/>
          </w:tcPr>
          <w:p w:rsidR="00BF1313" w:rsidRPr="001B5632" w:rsidP="001B5632">
            <w:pPr>
              <w:spacing w:before="40" w:after="40" w:line="200" w:lineRule="exact"/>
              <w:jc w:val="both"/>
              <w:rPr>
                <w:rFonts w:ascii="FrankRuehl" w:hAnsi="FrankRuehl" w:cs="FrankRuehl"/>
                <w:sz w:val="20"/>
                <w:szCs w:val="20"/>
                <w:lang w:eastAsia="he-IL"/>
              </w:rPr>
            </w:pPr>
            <w:r w:rsidRPr="001B5632">
              <w:rPr>
                <w:rFonts w:ascii="FrankRuehl" w:hAnsi="FrankRuehl" w:cs="FrankRuehl"/>
                <w:sz w:val="20"/>
                <w:szCs w:val="20"/>
                <w:lang w:eastAsia="he-IL"/>
              </w:rPr>
              <w:t>0</w:t>
            </w:r>
          </w:p>
        </w:tc>
        <w:tc>
          <w:tcPr>
            <w:tcW w:w="0" w:type="auto"/>
            <w:tcBorders>
              <w:bottom w:val="single" w:sz="12" w:space="0" w:color="auto"/>
              <w:right w:val="nil"/>
            </w:tcBorders>
            <w:shd w:val="clear" w:color="auto" w:fill="auto"/>
            <w:noWrap/>
            <w:hideMark/>
          </w:tcPr>
          <w:p w:rsidR="00BF1313" w:rsidRPr="00BF1313" w:rsidP="008E4F38">
            <w:pPr>
              <w:spacing w:before="40" w:after="40" w:line="200" w:lineRule="exact"/>
              <w:rPr>
                <w:rFonts w:ascii="FrankRuehl" w:hAnsi="FrankRuehl" w:cs="FrankRuehl"/>
                <w:sz w:val="20"/>
                <w:szCs w:val="20"/>
                <w:lang w:eastAsia="he-IL"/>
              </w:rPr>
            </w:pPr>
            <w:r w:rsidRPr="00BF1313">
              <w:rPr>
                <w:rFonts w:ascii="FrankRuehl" w:hAnsi="FrankRuehl" w:cs="FrankRuehl" w:hint="cs"/>
                <w:sz w:val="20"/>
                <w:szCs w:val="20"/>
                <w:lang w:eastAsia="he-IL"/>
              </w:rPr>
              <w:t>2,489</w:t>
            </w:r>
          </w:p>
        </w:tc>
        <w:tc>
          <w:tcPr>
            <w:tcW w:w="0" w:type="auto"/>
            <w:tcBorders>
              <w:left w:val="nil"/>
              <w:bottom w:val="single" w:sz="12" w:space="0" w:color="auto"/>
            </w:tcBorders>
            <w:shd w:val="clear" w:color="auto" w:fill="auto"/>
            <w:noWrap/>
            <w:hideMark/>
          </w:tcPr>
          <w:p w:rsidR="00BF1313" w:rsidRPr="00BF1313" w:rsidP="008E4F38">
            <w:pPr>
              <w:spacing w:before="40" w:after="40" w:line="200" w:lineRule="exact"/>
              <w:rPr>
                <w:rFonts w:ascii="FrankRuehl" w:hAnsi="FrankRuehl" w:cs="FrankRuehl"/>
                <w:sz w:val="20"/>
                <w:szCs w:val="20"/>
                <w:rtl/>
                <w:lang w:eastAsia="he-IL"/>
              </w:rPr>
            </w:pPr>
            <w:r w:rsidRPr="00BF1313">
              <w:rPr>
                <w:rFonts w:ascii="FrankRuehl" w:hAnsi="FrankRuehl" w:cs="FrankRuehl"/>
                <w:sz w:val="20"/>
                <w:szCs w:val="20"/>
                <w:lang w:eastAsia="he-IL"/>
              </w:rPr>
              <w:t>2%)</w:t>
            </w:r>
            <w:r w:rsidRPr="00BF1313">
              <w:rPr>
                <w:rFonts w:ascii="FrankRuehl" w:hAnsi="FrankRuehl" w:cs="FrankRuehl" w:hint="cs"/>
                <w:sz w:val="20"/>
                <w:szCs w:val="20"/>
                <w:rtl/>
                <w:lang w:eastAsia="he-IL"/>
              </w:rPr>
              <w:t>)</w:t>
            </w:r>
          </w:p>
        </w:tc>
      </w:tr>
      <w:tr w:rsidTr="001511A6">
        <w:tblPrEx>
          <w:tblW w:w="6691" w:type="dxa"/>
          <w:jc w:val="center"/>
          <w:tblCellMar>
            <w:left w:w="57" w:type="dxa"/>
            <w:right w:w="57" w:type="dxa"/>
          </w:tblCellMar>
          <w:tblLook w:val="04A0"/>
        </w:tblPrEx>
        <w:trPr>
          <w:jc w:val="center"/>
        </w:trPr>
        <w:tc>
          <w:tcPr>
            <w:tcW w:w="0" w:type="auto"/>
            <w:tcBorders>
              <w:top w:val="single" w:sz="12" w:space="0" w:color="auto"/>
              <w:bottom w:val="single" w:sz="12" w:space="0" w:color="auto"/>
            </w:tcBorders>
            <w:shd w:val="pct10" w:color="auto" w:fill="auto"/>
            <w:noWrap/>
            <w:hideMark/>
          </w:tcPr>
          <w:p w:rsidR="00BF1313" w:rsidRPr="001B5632" w:rsidP="001B5632">
            <w:pPr>
              <w:spacing w:before="40" w:after="40" w:line="200" w:lineRule="exact"/>
              <w:jc w:val="right"/>
              <w:rPr>
                <w:rFonts w:ascii="FrankRuehl" w:hAnsi="FrankRuehl" w:cs="FrankRuehl"/>
                <w:b/>
                <w:bCs/>
                <w:sz w:val="20"/>
                <w:szCs w:val="20"/>
                <w:rtl/>
                <w:lang w:eastAsia="he-IL"/>
              </w:rPr>
            </w:pPr>
            <w:r w:rsidRPr="001B5632">
              <w:rPr>
                <w:rFonts w:ascii="FrankRuehl" w:hAnsi="FrankRuehl" w:cs="FrankRuehl" w:hint="cs"/>
                <w:b/>
                <w:bCs/>
                <w:sz w:val="20"/>
                <w:szCs w:val="20"/>
                <w:rtl/>
                <w:lang w:eastAsia="he-IL"/>
              </w:rPr>
              <w:t>סך הכול</w:t>
            </w:r>
          </w:p>
        </w:tc>
        <w:tc>
          <w:tcPr>
            <w:tcW w:w="0" w:type="auto"/>
            <w:tcBorders>
              <w:top w:val="single" w:sz="12" w:space="0" w:color="auto"/>
              <w:bottom w:val="single" w:sz="12" w:space="0" w:color="auto"/>
            </w:tcBorders>
            <w:shd w:val="pct10" w:color="auto" w:fill="auto"/>
            <w:noWrap/>
            <w:hideMark/>
          </w:tcPr>
          <w:p w:rsidR="00BF1313" w:rsidRPr="001B5632" w:rsidP="001B5632">
            <w:pPr>
              <w:spacing w:before="40" w:after="40" w:line="200" w:lineRule="exact"/>
              <w:jc w:val="both"/>
              <w:rPr>
                <w:rFonts w:ascii="FrankRuehl" w:hAnsi="FrankRuehl" w:cs="FrankRuehl"/>
                <w:b/>
                <w:bCs/>
                <w:sz w:val="20"/>
                <w:szCs w:val="20"/>
                <w:lang w:eastAsia="he-IL"/>
              </w:rPr>
            </w:pPr>
            <w:r w:rsidRPr="001B5632">
              <w:rPr>
                <w:rFonts w:ascii="FrankRuehl" w:hAnsi="FrankRuehl" w:cs="FrankRuehl" w:hint="cs"/>
                <w:b/>
                <w:bCs/>
                <w:sz w:val="20"/>
                <w:szCs w:val="20"/>
                <w:lang w:eastAsia="he-IL"/>
              </w:rPr>
              <w:t>19,263</w:t>
            </w:r>
          </w:p>
        </w:tc>
        <w:tc>
          <w:tcPr>
            <w:tcW w:w="0" w:type="auto"/>
            <w:tcBorders>
              <w:top w:val="single" w:sz="12" w:space="0" w:color="auto"/>
              <w:bottom w:val="single" w:sz="12" w:space="0" w:color="auto"/>
            </w:tcBorders>
            <w:shd w:val="pct10" w:color="auto" w:fill="auto"/>
            <w:noWrap/>
            <w:hideMark/>
          </w:tcPr>
          <w:p w:rsidR="00BF1313" w:rsidRPr="001B5632" w:rsidP="001B5632">
            <w:pPr>
              <w:spacing w:before="40" w:after="40" w:line="200" w:lineRule="exact"/>
              <w:jc w:val="both"/>
              <w:rPr>
                <w:rFonts w:ascii="FrankRuehl" w:hAnsi="FrankRuehl" w:cs="FrankRuehl"/>
                <w:b/>
                <w:bCs/>
                <w:sz w:val="20"/>
                <w:szCs w:val="20"/>
                <w:lang w:eastAsia="he-IL"/>
              </w:rPr>
            </w:pPr>
            <w:r w:rsidRPr="001B5632">
              <w:rPr>
                <w:rFonts w:ascii="FrankRuehl" w:hAnsi="FrankRuehl" w:cs="FrankRuehl" w:hint="cs"/>
                <w:b/>
                <w:bCs/>
                <w:sz w:val="20"/>
                <w:szCs w:val="20"/>
                <w:lang w:eastAsia="he-IL"/>
              </w:rPr>
              <w:t>9,120</w:t>
            </w:r>
          </w:p>
        </w:tc>
        <w:tc>
          <w:tcPr>
            <w:tcW w:w="0" w:type="auto"/>
            <w:tcBorders>
              <w:top w:val="single" w:sz="12" w:space="0" w:color="auto"/>
              <w:bottom w:val="single" w:sz="12" w:space="0" w:color="auto"/>
            </w:tcBorders>
            <w:shd w:val="pct10" w:color="auto" w:fill="auto"/>
            <w:noWrap/>
            <w:hideMark/>
          </w:tcPr>
          <w:p w:rsidR="00BF1313" w:rsidRPr="001B5632" w:rsidP="001B5632">
            <w:pPr>
              <w:spacing w:before="40" w:after="40" w:line="200" w:lineRule="exact"/>
              <w:jc w:val="both"/>
              <w:rPr>
                <w:rFonts w:ascii="FrankRuehl" w:hAnsi="FrankRuehl" w:cs="FrankRuehl"/>
                <w:b/>
                <w:bCs/>
                <w:sz w:val="20"/>
                <w:szCs w:val="20"/>
                <w:lang w:eastAsia="he-IL"/>
              </w:rPr>
            </w:pPr>
            <w:r w:rsidRPr="001B5632">
              <w:rPr>
                <w:rFonts w:ascii="FrankRuehl" w:hAnsi="FrankRuehl" w:cs="FrankRuehl" w:hint="cs"/>
                <w:b/>
                <w:bCs/>
                <w:sz w:val="20"/>
                <w:szCs w:val="20"/>
                <w:lang w:eastAsia="he-IL"/>
              </w:rPr>
              <w:t>13,671</w:t>
            </w:r>
          </w:p>
        </w:tc>
        <w:tc>
          <w:tcPr>
            <w:tcW w:w="0" w:type="auto"/>
            <w:tcBorders>
              <w:top w:val="single" w:sz="12" w:space="0" w:color="auto"/>
              <w:bottom w:val="single" w:sz="12" w:space="0" w:color="auto"/>
            </w:tcBorders>
            <w:shd w:val="pct10" w:color="auto" w:fill="auto"/>
            <w:noWrap/>
            <w:hideMark/>
          </w:tcPr>
          <w:p w:rsidR="00BF1313" w:rsidRPr="001B5632" w:rsidP="001B5632">
            <w:pPr>
              <w:spacing w:before="40" w:after="40" w:line="200" w:lineRule="exact"/>
              <w:jc w:val="both"/>
              <w:rPr>
                <w:rFonts w:ascii="FrankRuehl" w:hAnsi="FrankRuehl" w:cs="FrankRuehl"/>
                <w:b/>
                <w:bCs/>
                <w:sz w:val="20"/>
                <w:szCs w:val="20"/>
                <w:lang w:eastAsia="he-IL"/>
              </w:rPr>
            </w:pPr>
            <w:r w:rsidRPr="001B5632">
              <w:rPr>
                <w:rFonts w:ascii="FrankRuehl" w:hAnsi="FrankRuehl" w:cs="FrankRuehl" w:hint="cs"/>
                <w:b/>
                <w:bCs/>
                <w:sz w:val="20"/>
                <w:szCs w:val="20"/>
                <w:lang w:eastAsia="he-IL"/>
              </w:rPr>
              <w:t>18,191</w:t>
            </w:r>
          </w:p>
        </w:tc>
        <w:tc>
          <w:tcPr>
            <w:tcW w:w="0" w:type="auto"/>
            <w:tcBorders>
              <w:top w:val="single" w:sz="12" w:space="0" w:color="auto"/>
              <w:bottom w:val="single" w:sz="12" w:space="0" w:color="auto"/>
            </w:tcBorders>
            <w:shd w:val="pct10" w:color="auto" w:fill="auto"/>
            <w:noWrap/>
            <w:hideMark/>
          </w:tcPr>
          <w:p w:rsidR="00BF1313" w:rsidRPr="00BF1313" w:rsidP="008E4F38">
            <w:pPr>
              <w:spacing w:before="40" w:after="40" w:line="200" w:lineRule="exact"/>
              <w:rPr>
                <w:rFonts w:ascii="FrankRuehl" w:hAnsi="FrankRuehl" w:cs="FrankRuehl"/>
                <w:b/>
                <w:bCs/>
                <w:sz w:val="20"/>
                <w:szCs w:val="20"/>
                <w:lang w:eastAsia="he-IL"/>
              </w:rPr>
            </w:pPr>
            <w:r w:rsidRPr="00BF1313">
              <w:rPr>
                <w:rFonts w:ascii="FrankRuehl" w:hAnsi="FrankRuehl" w:cs="FrankRuehl" w:hint="cs"/>
                <w:b/>
                <w:bCs/>
                <w:sz w:val="20"/>
                <w:szCs w:val="20"/>
                <w:rtl/>
                <w:lang w:eastAsia="he-IL"/>
              </w:rPr>
              <w:t>45,215</w:t>
            </w:r>
          </w:p>
        </w:tc>
        <w:tc>
          <w:tcPr>
            <w:tcW w:w="0" w:type="auto"/>
            <w:tcBorders>
              <w:top w:val="single" w:sz="12" w:space="0" w:color="auto"/>
              <w:bottom w:val="single" w:sz="12" w:space="0" w:color="auto"/>
            </w:tcBorders>
            <w:shd w:val="pct10" w:color="auto" w:fill="auto"/>
            <w:noWrap/>
            <w:hideMark/>
          </w:tcPr>
          <w:p w:rsidR="00BF1313" w:rsidRPr="001B5632" w:rsidP="001B5632">
            <w:pPr>
              <w:spacing w:before="40" w:after="40" w:line="200" w:lineRule="exact"/>
              <w:jc w:val="both"/>
              <w:rPr>
                <w:rFonts w:ascii="FrankRuehl" w:hAnsi="FrankRuehl" w:cs="FrankRuehl"/>
                <w:b/>
                <w:bCs/>
                <w:sz w:val="20"/>
                <w:szCs w:val="20"/>
                <w:lang w:eastAsia="he-IL"/>
              </w:rPr>
            </w:pPr>
            <w:r w:rsidRPr="001B5632">
              <w:rPr>
                <w:rFonts w:ascii="FrankRuehl" w:hAnsi="FrankRuehl" w:cs="FrankRuehl" w:hint="cs"/>
                <w:b/>
                <w:bCs/>
                <w:sz w:val="20"/>
                <w:szCs w:val="20"/>
                <w:lang w:eastAsia="he-IL"/>
              </w:rPr>
              <w:t>45,439</w:t>
            </w:r>
          </w:p>
        </w:tc>
        <w:tc>
          <w:tcPr>
            <w:tcW w:w="0" w:type="auto"/>
            <w:tcBorders>
              <w:top w:val="single" w:sz="12" w:space="0" w:color="auto"/>
              <w:bottom w:val="single" w:sz="12" w:space="0" w:color="auto"/>
              <w:right w:val="nil"/>
            </w:tcBorders>
            <w:shd w:val="pct10" w:color="auto" w:fill="auto"/>
            <w:noWrap/>
            <w:hideMark/>
          </w:tcPr>
          <w:p w:rsidR="00BF1313" w:rsidRPr="00BF1313" w:rsidP="008E4F38">
            <w:pPr>
              <w:spacing w:before="40" w:after="40" w:line="200" w:lineRule="exact"/>
              <w:rPr>
                <w:rFonts w:ascii="FrankRuehl" w:hAnsi="FrankRuehl" w:cs="FrankRuehl"/>
                <w:b/>
                <w:bCs/>
                <w:sz w:val="20"/>
                <w:szCs w:val="20"/>
                <w:rtl/>
                <w:lang w:eastAsia="he-IL"/>
              </w:rPr>
            </w:pPr>
            <w:r w:rsidRPr="00BF1313">
              <w:rPr>
                <w:rFonts w:ascii="FrankRuehl" w:hAnsi="FrankRuehl" w:cs="FrankRuehl" w:hint="cs"/>
                <w:b/>
                <w:bCs/>
                <w:sz w:val="20"/>
                <w:szCs w:val="20"/>
                <w:rtl/>
                <w:lang w:eastAsia="he-IL"/>
              </w:rPr>
              <w:t>150,899</w:t>
            </w:r>
          </w:p>
        </w:tc>
        <w:tc>
          <w:tcPr>
            <w:tcW w:w="0" w:type="auto"/>
            <w:tcBorders>
              <w:top w:val="single" w:sz="12" w:space="0" w:color="auto"/>
              <w:left w:val="nil"/>
              <w:bottom w:val="single" w:sz="12" w:space="0" w:color="auto"/>
            </w:tcBorders>
            <w:shd w:val="pct10" w:color="auto" w:fill="auto"/>
            <w:noWrap/>
            <w:hideMark/>
          </w:tcPr>
          <w:p w:rsidR="00BF1313" w:rsidRPr="00BF1313" w:rsidP="008E4F38">
            <w:pPr>
              <w:spacing w:before="40" w:after="40" w:line="200" w:lineRule="exact"/>
              <w:rPr>
                <w:rFonts w:ascii="FrankRuehl" w:hAnsi="FrankRuehl" w:cs="FrankRuehl"/>
                <w:b/>
                <w:bCs/>
                <w:sz w:val="20"/>
                <w:szCs w:val="20"/>
                <w:rtl/>
                <w:lang w:eastAsia="he-IL"/>
              </w:rPr>
            </w:pPr>
            <w:r w:rsidRPr="00BF1313">
              <w:rPr>
                <w:rFonts w:ascii="FrankRuehl" w:hAnsi="FrankRuehl" w:cs="FrankRuehl"/>
                <w:b/>
                <w:bCs/>
                <w:sz w:val="20"/>
                <w:szCs w:val="20"/>
                <w:lang w:eastAsia="he-IL"/>
              </w:rPr>
              <w:t>100%)</w:t>
            </w:r>
            <w:r w:rsidRPr="00BF1313">
              <w:rPr>
                <w:rFonts w:ascii="FrankRuehl" w:hAnsi="FrankRuehl" w:cs="FrankRuehl" w:hint="cs"/>
                <w:b/>
                <w:bCs/>
                <w:sz w:val="20"/>
                <w:szCs w:val="20"/>
                <w:rtl/>
                <w:lang w:eastAsia="he-IL"/>
              </w:rPr>
              <w:t>)</w:t>
            </w:r>
          </w:p>
        </w:tc>
      </w:tr>
    </w:tbl>
    <w:p w:rsidR="00BF1313" w:rsidP="004125A3">
      <w:pPr>
        <w:jc w:val="both"/>
        <w:rPr>
          <w:rFonts w:cs="FrankRuehl"/>
          <w:b/>
          <w:bCs/>
          <w:sz w:val="18"/>
          <w:szCs w:val="22"/>
          <w:lang w:eastAsia="he-IL"/>
        </w:rPr>
      </w:pPr>
    </w:p>
    <w:p w:rsidR="00D22B16" w:rsidRPr="00F41E78" w:rsidP="00D22B16">
      <w:pPr>
        <w:pStyle w:val="RESHET"/>
        <w:keepLines/>
        <w:rPr>
          <w:rtl/>
        </w:rPr>
      </w:pPr>
      <w:r w:rsidRPr="00F41E78">
        <w:rPr>
          <w:rFonts w:hint="cs"/>
          <w:rtl/>
        </w:rPr>
        <w:t>מהנתונים עולה כי למעלה מ-</w:t>
      </w:r>
      <w:r>
        <w:rPr>
          <w:rFonts w:hint="cs"/>
          <w:rtl/>
        </w:rPr>
        <w:t>56</w:t>
      </w:r>
      <w:r w:rsidRPr="00F41E78">
        <w:rPr>
          <w:rFonts w:hint="cs"/>
          <w:rtl/>
        </w:rPr>
        <w:t>% מיחידות הדיור שהוגשו לאישור מוסדות התכנון היו במחוזות הדרום והצפון ואילו במחוזות תל אביב וירושלים מספר יחידות הדיור שהוגשו היה דל (</w:t>
      </w:r>
      <w:r>
        <w:rPr>
          <w:rFonts w:hint="cs"/>
          <w:rtl/>
        </w:rPr>
        <w:t>5</w:t>
      </w:r>
      <w:r w:rsidRPr="00F41E78">
        <w:rPr>
          <w:rFonts w:hint="cs"/>
          <w:rtl/>
        </w:rPr>
        <w:t>%). על כן מתעורר חשש, שבמחוזות אלה יהיה בשנים הקרובות קושי לעמוד ביעדי התכנון.</w:t>
      </w:r>
    </w:p>
    <w:p w:rsidR="00D22B16" w:rsidRPr="00F41E78" w:rsidP="00D22B16">
      <w:pPr>
        <w:pStyle w:val="RESHET"/>
        <w:keepLines/>
        <w:rPr>
          <w:rtl/>
        </w:rPr>
      </w:pPr>
      <w:r w:rsidRPr="00F41E78">
        <w:rPr>
          <w:rFonts w:hint="cs"/>
          <w:rtl/>
        </w:rPr>
        <w:t>משרד מבקר המדינה מעיר כי ראוי היה שגורמי התכנון (רמ"י ומשרד הבינוי) יתאימו את התכנון לאזורי הביקוש וליעדי התכנון הלאומי. על כל פנים ניתן לראות בבירור כי במחוזות ירושלים, המרכז ותל אביב תכנון יחידות הדיור היה נמוך מאוד.</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bookmarkStart w:id="49" w:name="_Toc368499953"/>
      <w:r w:rsidRPr="00CB33CD">
        <w:rPr>
          <w:rFonts w:hint="cs"/>
          <w:rtl/>
          <w:lang w:eastAsia="he-IL"/>
        </w:rPr>
        <w:t>התאמת התכנון לגידול היחסי במשקי הבית (בחלוקה למחוזות)</w:t>
      </w:r>
      <w:bookmarkEnd w:id="49"/>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אחת מהדרכים הנפוצות ביותר לבחון את אזורי הביקוש ואת מספר יחידות הדיור הנדרשות בכל מחוז ומחוז היא על פי הגידול במשקי הבית במחוזות השונים כמדד מתאים לצורך הדמוגרפי.</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חלק מהקרקעות במחוזות השונים הן בבעלות פרטית וחלקן בבעלות שאינה פרטית. על רמ"י ליזום תכנון יח"ד חדשות כמענה לגידול במשקי הבית, לכל הפחות לפי האחוז היחסי של הקרקע בבעלות שאינה פרטית, אם השוק הפרטי מספק מענה על הקרקע הפרטית לגידול במשקי הבית. </w:t>
      </w:r>
    </w:p>
    <w:p w:rsidR="00E97EDA" w:rsidRPr="00CB33CD" w:rsidP="00A7557B">
      <w:pPr>
        <w:spacing w:after="120" w:line="230" w:lineRule="exact"/>
        <w:jc w:val="both"/>
        <w:rPr>
          <w:szCs w:val="20"/>
          <w:rtl/>
          <w:lang w:eastAsia="he-IL"/>
        </w:rPr>
      </w:pPr>
      <w:r w:rsidRPr="00F41E78">
        <w:rPr>
          <w:rFonts w:cs="FrankRuehl" w:hint="cs"/>
          <w:sz w:val="18"/>
          <w:szCs w:val="22"/>
          <w:rtl/>
          <w:lang w:eastAsia="he-IL"/>
        </w:rPr>
        <w:t>אם השוק הפרטי אינו מספק מענה הולם התואם את חלקו היחסי בקרקע, על רמ"י להיות מסוגלת לשווק כמות גדולה יותר של קרקעות ולהשלים את הפער מחוסר יזמה זו, או לחלופין על הממשלה לנקוט צעדים שיתמרצו בנייה על קרקע פרטית.</w:t>
      </w:r>
    </w:p>
    <w:p w:rsidR="00E97EDA" w:rsidRPr="00F41E78" w:rsidP="00252FE5">
      <w:pPr>
        <w:spacing w:after="240" w:line="230" w:lineRule="exact"/>
        <w:jc w:val="both"/>
        <w:rPr>
          <w:rFonts w:cs="FrankRuehl"/>
          <w:sz w:val="18"/>
          <w:szCs w:val="22"/>
          <w:rtl/>
          <w:lang w:eastAsia="he-IL"/>
        </w:rPr>
      </w:pPr>
      <w:r w:rsidRPr="00F41E78">
        <w:rPr>
          <w:rFonts w:cs="FrankRuehl" w:hint="cs"/>
          <w:sz w:val="18"/>
          <w:szCs w:val="22"/>
          <w:rtl/>
          <w:lang w:eastAsia="he-IL"/>
        </w:rPr>
        <w:t xml:space="preserve">משרד מבקר המדינה השווה את הגידול היחסי במשקי הבית לתוספת יח"ד חדשות (שהוגשו למוסדות התכנון) בקרקעות שאינן פרטיות בשנים 2012-2007. בבדיקה נמצא כי במחוז המרכז </w:t>
      </w:r>
      <w:r w:rsidRPr="00F41E78">
        <w:rPr>
          <w:rFonts w:cs="FrankRuehl" w:hint="cs"/>
          <w:sz w:val="18"/>
          <w:szCs w:val="22"/>
          <w:rtl/>
          <w:lang w:eastAsia="he-IL"/>
        </w:rPr>
        <w:t xml:space="preserve">קיים מחסור בשיעור של </w:t>
      </w:r>
      <w:r w:rsidR="00595058">
        <w:rPr>
          <w:rFonts w:cs="FrankRuehl" w:hint="cs"/>
          <w:sz w:val="18"/>
          <w:szCs w:val="22"/>
          <w:rtl/>
          <w:lang w:eastAsia="he-IL"/>
        </w:rPr>
        <w:t>39</w:t>
      </w:r>
      <w:r w:rsidRPr="00F41E78">
        <w:rPr>
          <w:rFonts w:cs="FrankRuehl" w:hint="cs"/>
          <w:sz w:val="18"/>
          <w:szCs w:val="22"/>
          <w:rtl/>
          <w:lang w:eastAsia="he-IL"/>
        </w:rPr>
        <w:t xml:space="preserve">% בתוספת יחידות הדיור שהוגשו למוסדות התכנון, </w:t>
      </w:r>
      <w:r w:rsidRPr="00F41E78">
        <w:rPr>
          <w:rFonts w:cs="FrankRuehl" w:hint="eastAsia"/>
          <w:sz w:val="18"/>
          <w:szCs w:val="22"/>
          <w:rtl/>
          <w:lang w:eastAsia="he-IL"/>
        </w:rPr>
        <w:t>במחוז</w:t>
      </w:r>
      <w:r w:rsidRPr="00F41E78">
        <w:rPr>
          <w:rFonts w:cs="FrankRuehl"/>
          <w:sz w:val="18"/>
          <w:szCs w:val="22"/>
          <w:rtl/>
          <w:lang w:eastAsia="he-IL"/>
        </w:rPr>
        <w:t xml:space="preserve"> </w:t>
      </w:r>
      <w:r w:rsidRPr="00F41E78">
        <w:rPr>
          <w:rFonts w:cs="FrankRuehl" w:hint="eastAsia"/>
          <w:sz w:val="18"/>
          <w:szCs w:val="22"/>
          <w:rtl/>
          <w:lang w:eastAsia="he-IL"/>
        </w:rPr>
        <w:t>תל</w:t>
      </w:r>
      <w:r w:rsidRPr="00F41E78">
        <w:rPr>
          <w:rFonts w:cs="FrankRuehl"/>
          <w:sz w:val="18"/>
          <w:szCs w:val="22"/>
          <w:rtl/>
          <w:lang w:eastAsia="he-IL"/>
        </w:rPr>
        <w:t xml:space="preserve"> </w:t>
      </w:r>
      <w:r w:rsidRPr="00F41E78">
        <w:rPr>
          <w:rFonts w:cs="FrankRuehl" w:hint="eastAsia"/>
          <w:sz w:val="18"/>
          <w:szCs w:val="22"/>
          <w:rtl/>
          <w:lang w:eastAsia="he-IL"/>
        </w:rPr>
        <w:t>אביב</w:t>
      </w:r>
      <w:r w:rsidRPr="00F41E78">
        <w:rPr>
          <w:rFonts w:cs="FrankRuehl"/>
          <w:sz w:val="18"/>
          <w:szCs w:val="22"/>
          <w:rtl/>
          <w:lang w:eastAsia="he-IL"/>
        </w:rPr>
        <w:t xml:space="preserve"> </w:t>
      </w:r>
      <w:r w:rsidRPr="00F41E78">
        <w:rPr>
          <w:rFonts w:cs="FrankRuehl" w:hint="cs"/>
          <w:sz w:val="18"/>
          <w:szCs w:val="22"/>
          <w:rtl/>
          <w:lang w:eastAsia="he-IL"/>
        </w:rPr>
        <w:t xml:space="preserve">מחסור בשיעור של </w:t>
      </w:r>
      <w:r w:rsidR="00595058">
        <w:rPr>
          <w:rFonts w:cs="FrankRuehl" w:hint="cs"/>
          <w:sz w:val="18"/>
          <w:szCs w:val="22"/>
          <w:rtl/>
          <w:lang w:eastAsia="he-IL"/>
        </w:rPr>
        <w:t>81</w:t>
      </w:r>
      <w:r w:rsidRPr="00F41E78">
        <w:rPr>
          <w:rFonts w:cs="FrankRuehl"/>
          <w:sz w:val="18"/>
          <w:szCs w:val="22"/>
          <w:rtl/>
          <w:lang w:eastAsia="he-IL"/>
        </w:rPr>
        <w:t xml:space="preserve">% </w:t>
      </w:r>
      <w:r w:rsidRPr="00F41E78">
        <w:rPr>
          <w:rFonts w:cs="FrankRuehl" w:hint="eastAsia"/>
          <w:sz w:val="18"/>
          <w:szCs w:val="22"/>
          <w:rtl/>
          <w:lang w:eastAsia="he-IL"/>
        </w:rPr>
        <w:t>ובמחוז</w:t>
      </w:r>
      <w:r w:rsidRPr="00F41E78">
        <w:rPr>
          <w:rFonts w:cs="FrankRuehl"/>
          <w:sz w:val="18"/>
          <w:szCs w:val="22"/>
          <w:rtl/>
          <w:lang w:eastAsia="he-IL"/>
        </w:rPr>
        <w:t xml:space="preserve"> </w:t>
      </w:r>
      <w:r w:rsidRPr="00F41E78">
        <w:rPr>
          <w:rFonts w:cs="FrankRuehl" w:hint="eastAsia"/>
          <w:sz w:val="18"/>
          <w:szCs w:val="22"/>
          <w:rtl/>
          <w:lang w:eastAsia="he-IL"/>
        </w:rPr>
        <w:t>ירושלים</w:t>
      </w:r>
      <w:r w:rsidRPr="00F41E78">
        <w:rPr>
          <w:rFonts w:cs="FrankRuehl" w:hint="cs"/>
          <w:sz w:val="18"/>
          <w:szCs w:val="22"/>
          <w:rtl/>
          <w:lang w:eastAsia="he-IL"/>
        </w:rPr>
        <w:t xml:space="preserve"> מחסור בשיעור של</w:t>
      </w:r>
      <w:r w:rsidRPr="00F41E78">
        <w:rPr>
          <w:rFonts w:cs="FrankRuehl"/>
          <w:sz w:val="18"/>
          <w:szCs w:val="22"/>
          <w:rtl/>
          <w:lang w:eastAsia="he-IL"/>
        </w:rPr>
        <w:t xml:space="preserve"> </w:t>
      </w:r>
      <w:r w:rsidR="00595058">
        <w:rPr>
          <w:rFonts w:cs="FrankRuehl" w:hint="cs"/>
          <w:sz w:val="18"/>
          <w:szCs w:val="22"/>
          <w:rtl/>
          <w:lang w:eastAsia="he-IL"/>
        </w:rPr>
        <w:t>89</w:t>
      </w:r>
      <w:r w:rsidRPr="00F41E78">
        <w:rPr>
          <w:rFonts w:cs="FrankRuehl"/>
          <w:sz w:val="18"/>
          <w:szCs w:val="22"/>
          <w:rtl/>
          <w:lang w:eastAsia="he-IL"/>
        </w:rPr>
        <w:t xml:space="preserve">%. לעומת זאת, ניתן לראות כי במחוזות </w:t>
      </w:r>
      <w:r w:rsidRPr="00F41E78">
        <w:rPr>
          <w:rFonts w:cs="FrankRuehl" w:hint="eastAsia"/>
          <w:sz w:val="18"/>
          <w:szCs w:val="22"/>
          <w:rtl/>
          <w:lang w:eastAsia="he-IL"/>
        </w:rPr>
        <w:t>הדרום</w:t>
      </w:r>
      <w:r w:rsidRPr="00F41E78">
        <w:rPr>
          <w:rFonts w:cs="FrankRuehl"/>
          <w:sz w:val="18"/>
          <w:szCs w:val="22"/>
          <w:rtl/>
          <w:lang w:eastAsia="he-IL"/>
        </w:rPr>
        <w:t xml:space="preserve">, </w:t>
      </w:r>
      <w:r w:rsidRPr="00F41E78">
        <w:rPr>
          <w:rFonts w:cs="FrankRuehl" w:hint="eastAsia"/>
          <w:sz w:val="18"/>
          <w:szCs w:val="22"/>
          <w:rtl/>
          <w:lang w:eastAsia="he-IL"/>
        </w:rPr>
        <w:t>הצפון</w:t>
      </w:r>
      <w:r w:rsidRPr="00F41E78">
        <w:rPr>
          <w:rFonts w:cs="FrankRuehl"/>
          <w:sz w:val="18"/>
          <w:szCs w:val="22"/>
          <w:rtl/>
          <w:lang w:eastAsia="he-IL"/>
        </w:rPr>
        <w:t xml:space="preserve"> וחיפה קיים תכנון עודף של יח"ד </w:t>
      </w:r>
      <w:r w:rsidRPr="00F41E78">
        <w:rPr>
          <w:rFonts w:cs="FrankRuehl" w:hint="eastAsia"/>
          <w:sz w:val="18"/>
          <w:szCs w:val="22"/>
          <w:rtl/>
          <w:lang w:eastAsia="he-IL"/>
        </w:rPr>
        <w:t>ביחס</w:t>
      </w:r>
      <w:r w:rsidRPr="00F41E78">
        <w:rPr>
          <w:rFonts w:cs="FrankRuehl"/>
          <w:sz w:val="18"/>
          <w:szCs w:val="22"/>
          <w:rtl/>
          <w:lang w:eastAsia="he-IL"/>
        </w:rPr>
        <w:t xml:space="preserve"> לגידול </w:t>
      </w:r>
      <w:r w:rsidRPr="00F41E78">
        <w:rPr>
          <w:rFonts w:cs="FrankRuehl" w:hint="eastAsia"/>
          <w:sz w:val="18"/>
          <w:szCs w:val="22"/>
          <w:rtl/>
          <w:lang w:eastAsia="he-IL"/>
        </w:rPr>
        <w:t>במשקי</w:t>
      </w:r>
      <w:r w:rsidRPr="00F41E78">
        <w:rPr>
          <w:rFonts w:cs="FrankRuehl"/>
          <w:sz w:val="18"/>
          <w:szCs w:val="22"/>
          <w:rtl/>
          <w:lang w:eastAsia="he-IL"/>
        </w:rPr>
        <w:t xml:space="preserve"> </w:t>
      </w:r>
      <w:r w:rsidRPr="00F41E78">
        <w:rPr>
          <w:rFonts w:cs="FrankRuehl" w:hint="eastAsia"/>
          <w:sz w:val="18"/>
          <w:szCs w:val="22"/>
          <w:rtl/>
          <w:lang w:eastAsia="he-IL"/>
        </w:rPr>
        <w:t>הבית</w:t>
      </w:r>
      <w:r w:rsidRPr="00F41E78">
        <w:rPr>
          <w:rFonts w:cs="FrankRuehl"/>
          <w:sz w:val="18"/>
          <w:szCs w:val="22"/>
          <w:rtl/>
          <w:lang w:eastAsia="he-IL"/>
        </w:rPr>
        <w:t xml:space="preserve"> (</w:t>
      </w:r>
      <w:r w:rsidR="008C4A30">
        <w:rPr>
          <w:rFonts w:cs="FrankRuehl" w:hint="cs"/>
          <w:sz w:val="18"/>
          <w:szCs w:val="22"/>
          <w:rtl/>
          <w:lang w:eastAsia="he-IL"/>
        </w:rPr>
        <w:t>139%</w:t>
      </w:r>
      <w:r w:rsidRPr="00F41E78">
        <w:rPr>
          <w:rFonts w:cs="FrankRuehl"/>
          <w:sz w:val="18"/>
          <w:szCs w:val="22"/>
          <w:rtl/>
          <w:lang w:eastAsia="he-IL"/>
        </w:rPr>
        <w:t xml:space="preserve">, 145% </w:t>
      </w:r>
      <w:r w:rsidRPr="00F41E78">
        <w:rPr>
          <w:rFonts w:cs="FrankRuehl" w:hint="eastAsia"/>
          <w:sz w:val="18"/>
          <w:szCs w:val="22"/>
          <w:rtl/>
          <w:lang w:eastAsia="he-IL"/>
        </w:rPr>
        <w:t>ו</w:t>
      </w:r>
      <w:r w:rsidRPr="00F41E78">
        <w:rPr>
          <w:rFonts w:cs="FrankRuehl"/>
          <w:sz w:val="18"/>
          <w:szCs w:val="22"/>
          <w:rtl/>
          <w:lang w:eastAsia="he-IL"/>
        </w:rPr>
        <w:t>-105%, בהתאמה).</w:t>
      </w:r>
    </w:p>
    <w:p w:rsidR="00D22B16" w:rsidRPr="00F41E78" w:rsidP="00D22B16">
      <w:pPr>
        <w:pStyle w:val="RESHET"/>
        <w:keepLines/>
        <w:rPr>
          <w:rtl/>
        </w:rPr>
      </w:pPr>
      <w:r w:rsidRPr="00F41E78">
        <w:rPr>
          <w:rFonts w:hint="cs"/>
          <w:rtl/>
        </w:rPr>
        <w:t>יוצא אפוא כי היקף התכנון שנעשה על קרקעות בבעלות שאינה פרטית, בחלוקה למחוזות, נמוך מאוד ביחס לגידול היחסי במשקי בית במחוזות ירושלים, תל אביב והמרכז. לכן, לא נוצר מלאי קרקעות המתאים לביקושים הצפויים באותם המחוזות, ובמהלך השנים מלאי כזה יביא לידי גירעון מצטבר של יח"ד ביחס לגידול במשקי בית.</w:t>
      </w:r>
    </w:p>
    <w:p w:rsidR="00E97EDA" w:rsidRPr="00F41E78" w:rsidP="004125A3">
      <w:pPr>
        <w:spacing w:before="180" w:after="240" w:line="230" w:lineRule="exact"/>
        <w:jc w:val="both"/>
        <w:rPr>
          <w:rFonts w:cs="FrankRuehl"/>
          <w:sz w:val="18"/>
          <w:szCs w:val="22"/>
          <w:rtl/>
          <w:lang w:eastAsia="he-IL"/>
        </w:rPr>
      </w:pPr>
      <w:r w:rsidRPr="00F41E78">
        <w:rPr>
          <w:rFonts w:cs="FrankRuehl" w:hint="cs"/>
          <w:sz w:val="18"/>
          <w:szCs w:val="22"/>
          <w:rtl/>
          <w:lang w:eastAsia="he-IL"/>
        </w:rPr>
        <w:t>בתשובתו מסר מנהל רמ"י כי התכנון המועט יחסית במחוז המרכז בשנים 2012-2007 מקורו בהחלטה שקיבלה הממשלה באוגוסט 2008 (ובוטלה ביולי 2010) שעניינה הפסקת ייזום התכנון באזור המרכז והתמקדות בייזום תכנון בפריפריה. משכך, בתקופה הזאת לא יכלה רמ"י ליזום תכנון של תכניות למגורים באזורי הביקוש, והיקפי התכנון הצטמצמו בכלל ובאזור המרכז בפרט.</w:t>
      </w:r>
    </w:p>
    <w:p w:rsidR="00D22B16" w:rsidRPr="00F41E78" w:rsidP="00D22B16">
      <w:pPr>
        <w:pStyle w:val="RESHET"/>
        <w:keepLines/>
        <w:rPr>
          <w:rtl/>
        </w:rPr>
      </w:pPr>
      <w:r w:rsidRPr="00F41E78">
        <w:rPr>
          <w:rFonts w:hint="cs"/>
          <w:rtl/>
        </w:rPr>
        <w:t>משרד מבקר המדינה מעיר כי במחוז תל אביב הוגשו בשנים 2010-2008 (שבמהלכן ההחלטה האמורה הייתה בתוקף) תכניות הכוללות יח"ד בהיקף ממוצע של 812 יח"ד לשנה, בעוד שבשנים 2007, 2011 ו-2012 (שבמהלכן ההחלטה כבר לא הייתה בתוקף) הוגשו תכניות בהיקף נמוך יותר - 562 יח"ד בממוצע לשנה. אם כך, נראה שהחלטת הממשלה אינה הסיבה לאי-עמידתה של רמ"י ביעדי הממשלה, וגם לא להיעדר תכנון בכמות שתבטיח בניית יח"ד לפי אזורי הביקוש ועל פי הגידול היחסי במשקי הבית במחוזות השונים.</w:t>
      </w:r>
    </w:p>
    <w:p w:rsidR="004125A3" w:rsidP="004125A3">
      <w:pPr>
        <w:spacing w:after="120" w:line="230" w:lineRule="exact"/>
        <w:jc w:val="both"/>
        <w:rPr>
          <w:rFonts w:cs="FrankRuehl"/>
          <w:sz w:val="22"/>
          <w:szCs w:val="22"/>
          <w:rtl/>
        </w:rPr>
      </w:pPr>
    </w:p>
    <w:p w:rsidR="004125A3" w:rsidP="004125A3">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4125A3" w:rsidP="004125A3">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הגוף האמון על קביעת המדיניות של רמ"י</w:t>
      </w:r>
      <w:r w:rsidRPr="00F41E78">
        <w:rPr>
          <w:rFonts w:hint="cs"/>
          <w:rtl/>
        </w:rPr>
        <w:t xml:space="preserve"> </w:t>
      </w:r>
      <w:r w:rsidRPr="00F41E78">
        <w:rPr>
          <w:rFonts w:hint="cs"/>
          <w:rtl/>
        </w:rPr>
        <w:t>בתחום התכנון הוא מועצת מקרקעי ישראל. משרד מבקר המדינה העיר בחומרה למועצת מקרקעי ישראל על כך שלאורך שנים רבות היא לא קבעה מדיניות ברורה בנושאי התכנון ולא החליטה החלטות מפורשות הנוגעות לתכנון קרקע למגורים, שמכוחן ייגזרו המדיניות, המטרות והיעדים הספציפיים של רמ"י. ראוי היה שמועצת מקרקעי ישראל תקבע את המדיניות שעל פיה רמ"י אמורה לפעול בנוגע לתכנון קרקע למגורים, וזאת על פי החלטות הממשלה שהתקבלו בנושא.</w:t>
      </w:r>
    </w:p>
    <w:p w:rsidR="00D22B16" w:rsidRPr="00F41E78" w:rsidP="00D22B16">
      <w:pPr>
        <w:pStyle w:val="RESHET"/>
        <w:keepLines/>
        <w:rPr>
          <w:rtl/>
        </w:rPr>
      </w:pPr>
      <w:r w:rsidRPr="00F41E78">
        <w:rPr>
          <w:rFonts w:hint="cs"/>
          <w:rtl/>
        </w:rPr>
        <w:t>במשך יותר מעשור התקבלו החלטות ממשלה שנקבעו בהן יעדים כמותיים המופנים למוסדות התכנון, לרמ"י ולמשרד הבינוי. ראוי היה שרמ"י ומשרד הבינוי יבחנו את היעדים האמורים וידונו בהם. ככל שיעדים אלו אינם נוגעים באופן ספציפי לעבודתם, יקבעו הם יעדים הרלוונטיים להם ויעמדו בהם. אם הם לא עמדו ביעדי הממשלה, עליהם לדווח על כך לממשלה כדי שתשוב ותבחן את יעדיה. רמ"י ומשרד הבינוי לא עשו זאת.</w:t>
      </w:r>
    </w:p>
    <w:p w:rsidR="00D22B16" w:rsidRPr="00F41E78" w:rsidP="00D22B16">
      <w:pPr>
        <w:pStyle w:val="RESHET"/>
        <w:keepLines/>
        <w:rPr>
          <w:rtl/>
        </w:rPr>
      </w:pPr>
      <w:r w:rsidRPr="00F41E78">
        <w:rPr>
          <w:rFonts w:hint="cs"/>
          <w:rtl/>
        </w:rPr>
        <w:t>ממצאי הביקורת מלמדים על ליקויים בעבודתה של רמ"י בכל הקשור לאיתור קרקעות לתכנון ולריכוזן. נמצא שמסד הנתונים הקיים אינו מאפשר להציג תמונת מצב מהימנה של שוק הנדל"ן בישראל ועבודה בלתי סדורה בתכנון מלאי הקרקעות נעשית לעתים שלא לפי הצורך, ומביאה לידי ייזום תכנון חלקי באזורי ביקוש גבוה, או לחלופין לעודף ייזום תכנון באזורי ביקוש נמוך.</w:t>
      </w:r>
    </w:p>
    <w:p w:rsidR="00D22B16" w:rsidRPr="00F41E78" w:rsidP="00D22B16">
      <w:pPr>
        <w:pStyle w:val="RESHET"/>
        <w:keepLines/>
        <w:rPr>
          <w:rtl/>
        </w:rPr>
      </w:pPr>
      <w:r w:rsidRPr="00F41E78">
        <w:rPr>
          <w:rFonts w:hint="eastAsia"/>
          <w:rtl/>
        </w:rPr>
        <w:t>משרד הבינוי</w:t>
      </w:r>
      <w:r w:rsidRPr="00F41E78">
        <w:rPr>
          <w:rtl/>
        </w:rPr>
        <w:t xml:space="preserve"> ורמ"י לא פעלו בשיתוף פעולה תוך כדי ניצול יעיל של יכולותיהם בתחום תכנון </w:t>
      </w:r>
      <w:r w:rsidRPr="00F41E78">
        <w:rPr>
          <w:rFonts w:hint="eastAsia"/>
          <w:rtl/>
        </w:rPr>
        <w:t>קרקע</w:t>
      </w:r>
      <w:r w:rsidRPr="00F41E78">
        <w:rPr>
          <w:rtl/>
        </w:rPr>
        <w:t xml:space="preserve"> </w:t>
      </w:r>
      <w:r w:rsidRPr="00F41E78">
        <w:rPr>
          <w:rFonts w:hint="eastAsia"/>
          <w:rtl/>
        </w:rPr>
        <w:t>למגורים</w:t>
      </w:r>
      <w:r w:rsidRPr="00F41E78">
        <w:rPr>
          <w:rtl/>
        </w:rPr>
        <w:t xml:space="preserve">. </w:t>
      </w:r>
      <w:r w:rsidRPr="00F41E78">
        <w:rPr>
          <w:rFonts w:hint="eastAsia"/>
          <w:rtl/>
        </w:rPr>
        <w:t>היעדר</w:t>
      </w:r>
      <w:r w:rsidRPr="00F41E78">
        <w:rPr>
          <w:rtl/>
        </w:rPr>
        <w:t xml:space="preserve"> </w:t>
      </w:r>
      <w:r w:rsidRPr="00F41E78">
        <w:rPr>
          <w:rFonts w:hint="eastAsia"/>
          <w:rtl/>
        </w:rPr>
        <w:t>שיתוף</w:t>
      </w:r>
      <w:r w:rsidRPr="00F41E78">
        <w:rPr>
          <w:rtl/>
        </w:rPr>
        <w:t xml:space="preserve"> </w:t>
      </w:r>
      <w:r w:rsidRPr="00F41E78">
        <w:rPr>
          <w:rFonts w:hint="eastAsia"/>
          <w:rtl/>
        </w:rPr>
        <w:t>פעול</w:t>
      </w:r>
      <w:r w:rsidRPr="00F41E78">
        <w:rPr>
          <w:rFonts w:hint="cs"/>
          <w:rtl/>
        </w:rPr>
        <w:t>ה ואי-מתן הרשאות לתכנון</w:t>
      </w:r>
      <w:r w:rsidRPr="00F41E78">
        <w:rPr>
          <w:rtl/>
        </w:rPr>
        <w:t xml:space="preserve"> </w:t>
      </w:r>
      <w:r w:rsidRPr="00F41E78">
        <w:rPr>
          <w:rFonts w:hint="cs"/>
          <w:rtl/>
        </w:rPr>
        <w:t>גרמו</w:t>
      </w:r>
      <w:r w:rsidRPr="00F41E78">
        <w:rPr>
          <w:rtl/>
        </w:rPr>
        <w:t xml:space="preserve"> </w:t>
      </w:r>
      <w:r w:rsidRPr="00F41E78">
        <w:rPr>
          <w:rFonts w:hint="eastAsia"/>
          <w:rtl/>
        </w:rPr>
        <w:t>למחסור</w:t>
      </w:r>
      <w:r w:rsidRPr="00F41E78">
        <w:rPr>
          <w:rtl/>
        </w:rPr>
        <w:t xml:space="preserve"> </w:t>
      </w:r>
      <w:r w:rsidRPr="00F41E78">
        <w:rPr>
          <w:rFonts w:hint="eastAsia"/>
          <w:rtl/>
        </w:rPr>
        <w:t>ב</w:t>
      </w:r>
      <w:r w:rsidRPr="00F41E78">
        <w:rPr>
          <w:rFonts w:hint="cs"/>
          <w:rtl/>
        </w:rPr>
        <w:t xml:space="preserve">יח"ד </w:t>
      </w:r>
      <w:r w:rsidRPr="00F41E78">
        <w:rPr>
          <w:rFonts w:hint="eastAsia"/>
          <w:rtl/>
        </w:rPr>
        <w:t>לשיווק</w:t>
      </w:r>
      <w:r w:rsidRPr="00F41E78">
        <w:rPr>
          <w:rtl/>
        </w:rPr>
        <w:t xml:space="preserve"> </w:t>
      </w:r>
      <w:r w:rsidRPr="00F41E78">
        <w:rPr>
          <w:rFonts w:hint="eastAsia"/>
          <w:rtl/>
        </w:rPr>
        <w:t>ולבני</w:t>
      </w:r>
      <w:r w:rsidRPr="00F41E78">
        <w:rPr>
          <w:rFonts w:hint="cs"/>
          <w:rtl/>
        </w:rPr>
        <w:t>י</w:t>
      </w:r>
      <w:r w:rsidRPr="00F41E78">
        <w:rPr>
          <w:rFonts w:hint="eastAsia"/>
          <w:rtl/>
        </w:rPr>
        <w:t>ה</w:t>
      </w:r>
      <w:r w:rsidRPr="00F41E78">
        <w:rPr>
          <w:rtl/>
        </w:rPr>
        <w:t xml:space="preserve"> </w:t>
      </w:r>
      <w:r w:rsidRPr="00F41E78">
        <w:rPr>
          <w:rFonts w:hint="eastAsia"/>
          <w:rtl/>
        </w:rPr>
        <w:t>ו</w:t>
      </w:r>
      <w:r w:rsidRPr="00F41E78">
        <w:rPr>
          <w:rFonts w:hint="cs"/>
          <w:rtl/>
        </w:rPr>
        <w:t>ל</w:t>
      </w:r>
      <w:r w:rsidRPr="00F41E78">
        <w:rPr>
          <w:rFonts w:hint="eastAsia"/>
          <w:rtl/>
        </w:rPr>
        <w:t>מחסור</w:t>
      </w:r>
      <w:r w:rsidRPr="00F41E78">
        <w:rPr>
          <w:rtl/>
        </w:rPr>
        <w:t xml:space="preserve"> </w:t>
      </w:r>
      <w:r w:rsidRPr="00F41E78">
        <w:rPr>
          <w:rFonts w:hint="eastAsia"/>
          <w:rtl/>
        </w:rPr>
        <w:t>ב</w:t>
      </w:r>
      <w:r w:rsidRPr="00F41E78">
        <w:rPr>
          <w:rFonts w:hint="cs"/>
          <w:rtl/>
        </w:rPr>
        <w:t xml:space="preserve">היצע </w:t>
      </w:r>
      <w:r w:rsidRPr="00F41E78">
        <w:rPr>
          <w:rFonts w:hint="eastAsia"/>
          <w:rtl/>
        </w:rPr>
        <w:t>דירות</w:t>
      </w:r>
      <w:r w:rsidRPr="00F41E78">
        <w:rPr>
          <w:rtl/>
        </w:rPr>
        <w:t xml:space="preserve"> </w:t>
      </w:r>
      <w:r w:rsidRPr="00F41E78">
        <w:rPr>
          <w:rFonts w:hint="eastAsia"/>
          <w:rtl/>
        </w:rPr>
        <w:t>למגורים</w:t>
      </w:r>
      <w:r w:rsidRPr="00F41E78">
        <w:rPr>
          <w:rtl/>
        </w:rPr>
        <w:t>.</w:t>
      </w:r>
    </w:p>
    <w:p w:rsidR="00D22B16" w:rsidRPr="00F41E78" w:rsidP="00D22B16">
      <w:pPr>
        <w:pStyle w:val="RESHET"/>
        <w:keepLines/>
        <w:rPr>
          <w:rtl/>
        </w:rPr>
      </w:pPr>
      <w:r w:rsidRPr="00F41E78">
        <w:rPr>
          <w:rFonts w:hint="cs"/>
          <w:rtl/>
        </w:rPr>
        <w:t>על רמ"י, בשיתוף משרד הבינוי, למסד דפוסי עבודה סדורים בכל הקשור לתכנון קרקע למגורים באופן שיינתן מענה טוב יותר לאזורי הביקוש. נוסף לכך, כגוף המנהל את קרקעות המדינה, עליה לבנות מסד נתונים כולל, מקיף ומהימן שיאפשר למקבלי ההחלטות לקיים תהליך קבלת החלטות מבוסס ומושכל.</w:t>
      </w:r>
    </w:p>
    <w:p w:rsidR="00E97EDA" w:rsidRPr="00F41E78" w:rsidP="00A7557B">
      <w:pPr>
        <w:spacing w:after="120" w:line="230" w:lineRule="exact"/>
        <w:jc w:val="both"/>
        <w:rPr>
          <w:rFonts w:cs="FrankRuehl"/>
          <w:sz w:val="18"/>
          <w:szCs w:val="22"/>
          <w:rtl/>
          <w:lang w:eastAsia="he-IL"/>
        </w:rPr>
      </w:pPr>
    </w:p>
    <w:p w:rsidR="00252FE5" w:rsidP="00A7557B">
      <w:pPr>
        <w:spacing w:after="120" w:line="230" w:lineRule="exact"/>
        <w:jc w:val="both"/>
        <w:rPr>
          <w:rFonts w:cs="FrankRuehl"/>
          <w:sz w:val="18"/>
          <w:szCs w:val="22"/>
          <w:rtl/>
          <w:lang w:eastAsia="he-IL"/>
        </w:rPr>
        <w:sectPr w:rsidSect="004A767A">
          <w:footnotePr>
            <w:numRestart w:val="eachSect"/>
          </w:footnotePr>
          <w:pgSz w:w="11906" w:h="16838" w:code="9"/>
          <w:pgMar w:top="1758" w:right="2552" w:bottom="4253" w:left="2552" w:header="1247" w:footer="1134" w:gutter="0"/>
          <w:cols w:space="720"/>
          <w:rtlGutter/>
        </w:sectPr>
      </w:pPr>
    </w:p>
    <w:p w:rsidR="00E97EDA" w:rsidRPr="00F41E78" w:rsidP="00A7557B">
      <w:pPr>
        <w:spacing w:after="120" w:line="230" w:lineRule="exact"/>
        <w:jc w:val="both"/>
        <w:rPr>
          <w:rFonts w:cs="FrankRuehl"/>
          <w:sz w:val="18"/>
          <w:szCs w:val="22"/>
          <w:rtl/>
          <w:lang w:eastAsia="he-IL"/>
        </w:rPr>
      </w:pPr>
    </w:p>
    <w:p w:rsidR="00252FE5" w:rsidP="008C4A30">
      <w:pPr>
        <w:pStyle w:val="KOT2"/>
        <w:outlineLvl w:val="0"/>
        <w:rPr>
          <w:b w:val="0"/>
          <w:bCs w:val="0"/>
          <w:sz w:val="28"/>
          <w:szCs w:val="28"/>
          <w:rtl/>
        </w:rPr>
        <w:sectPr w:rsidSect="00252FE5">
          <w:footnotePr>
            <w:numRestart w:val="eachSect"/>
          </w:footnotePr>
          <w:pgSz w:w="11906" w:h="16838" w:code="9"/>
          <w:pgMar w:top="1758" w:right="2552" w:bottom="4253" w:left="2552" w:header="1247" w:footer="1134" w:gutter="0"/>
          <w:cols w:space="720"/>
          <w:titlePg/>
          <w:rtlGutter/>
        </w:sectPr>
      </w:pPr>
    </w:p>
    <w:p w:rsidR="00E97EDA" w:rsidRPr="00CB33CD" w:rsidP="008C4A30">
      <w:pPr>
        <w:pStyle w:val="KOT2"/>
        <w:outlineLvl w:val="0"/>
        <w:rPr>
          <w:rtl/>
        </w:rPr>
      </w:pPr>
      <w:r w:rsidRPr="008C4A30">
        <w:rPr>
          <w:rFonts w:hint="cs"/>
          <w:b w:val="0"/>
          <w:bCs w:val="0"/>
          <w:sz w:val="28"/>
          <w:szCs w:val="28"/>
          <w:rtl/>
        </w:rPr>
        <w:t>פרק רביעי</w:t>
      </w:r>
      <w:r w:rsidRPr="008C4A30">
        <w:rPr>
          <w:b w:val="0"/>
          <w:bCs w:val="0"/>
          <w:sz w:val="28"/>
          <w:szCs w:val="28"/>
          <w:rtl/>
        </w:rPr>
        <w:br/>
      </w:r>
      <w:r w:rsidRPr="00CB33CD">
        <w:rPr>
          <w:rFonts w:hint="eastAsia"/>
          <w:rtl/>
        </w:rPr>
        <w:t>מש</w:t>
      </w:r>
      <w:r w:rsidRPr="00CB33CD">
        <w:rPr>
          <w:rFonts w:hint="cs"/>
          <w:rtl/>
        </w:rPr>
        <w:t xml:space="preserve">ך </w:t>
      </w:r>
      <w:r w:rsidRPr="00CB33CD">
        <w:rPr>
          <w:rtl/>
        </w:rPr>
        <w:t>הליכי התכנון המפורט</w:t>
      </w:r>
      <w:r w:rsidRPr="00CB33CD">
        <w:rPr>
          <w:rFonts w:hint="cs"/>
          <w:rtl/>
        </w:rPr>
        <w:t xml:space="preserve"> </w:t>
      </w:r>
      <w:r>
        <w:rPr>
          <w:rFonts w:hint="cs"/>
          <w:rtl/>
        </w:rPr>
        <w:t xml:space="preserve">למגורים </w:t>
      </w:r>
      <w:r w:rsidRPr="00CB33CD">
        <w:rPr>
          <w:rFonts w:hint="cs"/>
          <w:rtl/>
        </w:rPr>
        <w:t>(בכל הקרקעות)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חוק התכנון והבנייה ונוהלי משרד הפנים הגדירו את השלבים העיקריים בתהליכי האישור של תכניות מפורטות למגורים. המעברים משלב לשלב כרוכים בביצוע פעולות שונות שחלקן באחריות יוזמי התכנית וחלקן באחריותן של הוועדות המחוזיות ושל לשכות התכנון המחוזיות.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כאמור, באוגוסט 2011 אישרה הכנסת את חוק הווד"לים הקובע הסדרים מיוחדים לאישור תכניות בנייה מפורטות למגורים באמצעות הקמתן של ועדות לדיור לאומי. בחוק הוגדרו שלבים לקידום התכניות ונקצבו לוחות זמנים להשלמתם (ראו להלן בפרק "מסלולים מיוחדים לקידום תכניות מפורטות למגורים").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להלן פירוט השלבים העיקריים בתהליך אישורן של התכניות המפורטות המצויות בסמכות הוועדות המחוזיות, בשני המסלולים (הרגיל והווד"לים), על פי הקבוע בחוק התכנון והבנייה ובחוק הווד"לים. </w:t>
      </w:r>
    </w:p>
    <w:p w:rsidR="00E97EDA" w:rsidRPr="00A72050" w:rsidP="004125A3">
      <w:pPr>
        <w:pStyle w:val="tab-name"/>
        <w:rPr>
          <w:rtl/>
          <w:lang w:eastAsia="he-IL"/>
        </w:rPr>
      </w:pPr>
      <w:r w:rsidRPr="004125A3">
        <w:rPr>
          <w:rFonts w:hint="cs"/>
          <w:b w:val="0"/>
          <w:bCs w:val="0"/>
          <w:sz w:val="20"/>
          <w:szCs w:val="20"/>
          <w:rtl/>
          <w:lang w:eastAsia="he-IL"/>
        </w:rPr>
        <w:t xml:space="preserve">לוח </w:t>
      </w:r>
      <w:r w:rsidRPr="004125A3" w:rsidR="004125A3">
        <w:rPr>
          <w:rFonts w:hint="cs"/>
          <w:b w:val="0"/>
          <w:bCs w:val="0"/>
          <w:sz w:val="20"/>
          <w:szCs w:val="20"/>
          <w:rtl/>
          <w:lang w:eastAsia="he-IL"/>
        </w:rPr>
        <w:t>1</w:t>
      </w:r>
      <w:r w:rsidRPr="004125A3" w:rsidR="004125A3">
        <w:rPr>
          <w:b w:val="0"/>
          <w:bCs w:val="0"/>
          <w:sz w:val="20"/>
          <w:szCs w:val="20"/>
          <w:lang w:eastAsia="he-IL"/>
        </w:rPr>
        <w:br/>
      </w:r>
      <w:r w:rsidRPr="00A72050">
        <w:rPr>
          <w:rFonts w:hint="cs"/>
          <w:rtl/>
          <w:lang w:eastAsia="he-IL"/>
        </w:rPr>
        <w:t xml:space="preserve">שלבים עיקריים בקידום תכניות מפורטות על פי חוק התכנון וחוק הווד"לים </w:t>
      </w: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1461"/>
        <w:gridCol w:w="1879"/>
        <w:gridCol w:w="1551"/>
      </w:tblGrid>
      <w:tr w:rsidTr="004C420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blHeader/>
          <w:jc w:val="center"/>
        </w:trPr>
        <w:tc>
          <w:tcPr>
            <w:tcW w:w="2232" w:type="dxa"/>
            <w:tcBorders>
              <w:top w:val="single" w:sz="12" w:space="0" w:color="auto"/>
              <w:left w:val="single" w:sz="12" w:space="0" w:color="auto"/>
              <w:bottom w:val="single" w:sz="12" w:space="0" w:color="auto"/>
              <w:right w:val="single" w:sz="12" w:space="0" w:color="auto"/>
            </w:tcBorders>
            <w:shd w:val="pct10" w:color="auto" w:fill="auto"/>
            <w:vAlign w:val="bottom"/>
          </w:tcPr>
          <w:p w:rsidR="00E97EDA" w:rsidRPr="004125A3" w:rsidP="004C4208">
            <w:pPr>
              <w:spacing w:before="40" w:after="40" w:line="200" w:lineRule="exact"/>
              <w:jc w:val="center"/>
              <w:rPr>
                <w:rFonts w:ascii="FrankRuehl" w:hAnsi="FrankRuehl" w:cs="FrankRuehl"/>
                <w:b/>
                <w:bCs/>
                <w:sz w:val="20"/>
                <w:szCs w:val="20"/>
                <w:rtl/>
                <w:lang w:eastAsia="he-IL"/>
              </w:rPr>
            </w:pPr>
            <w:r w:rsidRPr="004125A3">
              <w:rPr>
                <w:rFonts w:ascii="FrankRuehl" w:hAnsi="FrankRuehl" w:cs="FrankRuehl" w:hint="cs"/>
                <w:b/>
                <w:bCs/>
                <w:sz w:val="20"/>
                <w:szCs w:val="20"/>
                <w:rtl/>
                <w:lang w:eastAsia="he-IL"/>
              </w:rPr>
              <w:t>שלב /</w:t>
            </w:r>
            <w:r w:rsidRPr="004125A3">
              <w:rPr>
                <w:rFonts w:ascii="FrankRuehl" w:hAnsi="FrankRuehl" w:cs="FrankRuehl"/>
                <w:b/>
                <w:bCs/>
                <w:sz w:val="20"/>
                <w:szCs w:val="20"/>
                <w:rtl/>
                <w:lang w:eastAsia="he-IL"/>
              </w:rPr>
              <w:br/>
            </w:r>
            <w:r w:rsidRPr="004125A3">
              <w:rPr>
                <w:rFonts w:ascii="FrankRuehl" w:hAnsi="FrankRuehl" w:cs="FrankRuehl" w:hint="cs"/>
                <w:b/>
                <w:bCs/>
                <w:sz w:val="20"/>
                <w:szCs w:val="20"/>
                <w:rtl/>
                <w:lang w:eastAsia="he-IL"/>
              </w:rPr>
              <w:t>פעולות להשלמת השלב</w:t>
            </w:r>
          </w:p>
        </w:tc>
        <w:tc>
          <w:tcPr>
            <w:tcW w:w="1800" w:type="dxa"/>
            <w:tcBorders>
              <w:top w:val="single" w:sz="12" w:space="0" w:color="auto"/>
              <w:left w:val="single" w:sz="12" w:space="0" w:color="auto"/>
              <w:bottom w:val="single" w:sz="12" w:space="0" w:color="auto"/>
              <w:right w:val="single" w:sz="12" w:space="0" w:color="auto"/>
            </w:tcBorders>
            <w:shd w:val="pct10" w:color="auto" w:fill="auto"/>
            <w:vAlign w:val="bottom"/>
          </w:tcPr>
          <w:p w:rsidR="00E97EDA" w:rsidRPr="004125A3" w:rsidP="004C4208">
            <w:pPr>
              <w:spacing w:before="40" w:after="40" w:line="200" w:lineRule="exact"/>
              <w:jc w:val="center"/>
              <w:rPr>
                <w:rFonts w:ascii="FrankRuehl" w:hAnsi="FrankRuehl" w:cs="FrankRuehl"/>
                <w:b/>
                <w:bCs/>
                <w:sz w:val="20"/>
                <w:szCs w:val="20"/>
                <w:rtl/>
                <w:lang w:eastAsia="he-IL"/>
              </w:rPr>
            </w:pPr>
            <w:r w:rsidRPr="004125A3">
              <w:rPr>
                <w:rFonts w:ascii="FrankRuehl" w:hAnsi="FrankRuehl" w:cs="FrankRuehl" w:hint="cs"/>
                <w:b/>
                <w:bCs/>
                <w:sz w:val="20"/>
                <w:szCs w:val="20"/>
                <w:rtl/>
                <w:lang w:eastAsia="he-IL"/>
              </w:rPr>
              <w:t>גורם אחראי/</w:t>
            </w:r>
            <w:r w:rsidR="004125A3">
              <w:rPr>
                <w:rFonts w:ascii="FrankRuehl" w:hAnsi="FrankRuehl" w:cs="FrankRuehl"/>
                <w:b/>
                <w:bCs/>
                <w:sz w:val="20"/>
                <w:szCs w:val="20"/>
                <w:lang w:eastAsia="he-IL"/>
              </w:rPr>
              <w:br/>
            </w:r>
            <w:r w:rsidRPr="004125A3">
              <w:rPr>
                <w:rFonts w:ascii="FrankRuehl" w:hAnsi="FrankRuehl" w:cs="FrankRuehl" w:hint="cs"/>
                <w:b/>
                <w:bCs/>
                <w:sz w:val="20"/>
                <w:szCs w:val="20"/>
                <w:rtl/>
                <w:lang w:eastAsia="he-IL"/>
              </w:rPr>
              <w:t>מעורב</w:t>
            </w:r>
          </w:p>
        </w:tc>
        <w:tc>
          <w:tcPr>
            <w:tcW w:w="2376" w:type="dxa"/>
            <w:tcBorders>
              <w:top w:val="single" w:sz="12" w:space="0" w:color="auto"/>
              <w:left w:val="single" w:sz="12" w:space="0" w:color="auto"/>
              <w:bottom w:val="single" w:sz="12" w:space="0" w:color="auto"/>
              <w:right w:val="single" w:sz="12" w:space="0" w:color="auto"/>
            </w:tcBorders>
            <w:shd w:val="pct10" w:color="auto" w:fill="auto"/>
            <w:vAlign w:val="bottom"/>
          </w:tcPr>
          <w:p w:rsidR="00E97EDA" w:rsidRPr="004125A3" w:rsidP="004C4208">
            <w:pPr>
              <w:spacing w:before="40" w:after="40" w:line="200" w:lineRule="exact"/>
              <w:jc w:val="center"/>
              <w:rPr>
                <w:rFonts w:ascii="FrankRuehl" w:hAnsi="FrankRuehl" w:cs="FrankRuehl"/>
                <w:b/>
                <w:bCs/>
                <w:sz w:val="20"/>
                <w:szCs w:val="20"/>
                <w:rtl/>
                <w:lang w:eastAsia="he-IL"/>
              </w:rPr>
            </w:pPr>
            <w:r w:rsidRPr="004125A3">
              <w:rPr>
                <w:rFonts w:ascii="FrankRuehl" w:hAnsi="FrankRuehl" w:cs="FrankRuehl" w:hint="cs"/>
                <w:b/>
                <w:bCs/>
                <w:sz w:val="20"/>
                <w:szCs w:val="20"/>
                <w:rtl/>
                <w:lang w:eastAsia="he-IL"/>
              </w:rPr>
              <w:t xml:space="preserve">משך הזמן המרבי** </w:t>
            </w:r>
            <w:r w:rsidRPr="004125A3">
              <w:rPr>
                <w:rFonts w:ascii="FrankRuehl" w:hAnsi="FrankRuehl" w:cs="FrankRuehl"/>
                <w:b/>
                <w:bCs/>
                <w:sz w:val="20"/>
                <w:szCs w:val="20"/>
                <w:rtl/>
                <w:lang w:eastAsia="he-IL"/>
              </w:rPr>
              <w:br/>
            </w:r>
            <w:r w:rsidRPr="004125A3">
              <w:rPr>
                <w:rFonts w:ascii="FrankRuehl" w:hAnsi="FrankRuehl" w:cs="FrankRuehl" w:hint="cs"/>
                <w:b/>
                <w:bCs/>
                <w:sz w:val="20"/>
                <w:szCs w:val="20"/>
                <w:rtl/>
                <w:lang w:eastAsia="he-IL"/>
              </w:rPr>
              <w:t>שנקבע בחוק התכנון</w:t>
            </w:r>
            <w:r w:rsidR="002E41A2">
              <w:rPr>
                <w:rFonts w:ascii="FrankRuehl" w:hAnsi="FrankRuehl" w:cs="FrankRuehl" w:hint="cs"/>
                <w:b/>
                <w:bCs/>
                <w:sz w:val="20"/>
                <w:szCs w:val="20"/>
                <w:rtl/>
                <w:lang w:eastAsia="he-IL"/>
              </w:rPr>
              <w:t xml:space="preserve"> והבנייה</w:t>
            </w:r>
            <w:r w:rsidRPr="004125A3">
              <w:rPr>
                <w:rFonts w:ascii="FrankRuehl" w:hAnsi="FrankRuehl" w:cs="FrankRuehl" w:hint="cs"/>
                <w:b/>
                <w:bCs/>
                <w:sz w:val="20"/>
                <w:szCs w:val="20"/>
                <w:rtl/>
                <w:lang w:eastAsia="he-IL"/>
              </w:rPr>
              <w:t xml:space="preserve"> להשלמת הפעולה</w:t>
            </w:r>
          </w:p>
        </w:tc>
        <w:tc>
          <w:tcPr>
            <w:tcW w:w="1944" w:type="dxa"/>
            <w:tcBorders>
              <w:top w:val="single" w:sz="12" w:space="0" w:color="auto"/>
              <w:left w:val="single" w:sz="12" w:space="0" w:color="auto"/>
              <w:bottom w:val="single" w:sz="12" w:space="0" w:color="auto"/>
              <w:right w:val="single" w:sz="12" w:space="0" w:color="auto"/>
            </w:tcBorders>
            <w:shd w:val="pct10" w:color="auto" w:fill="auto"/>
            <w:vAlign w:val="bottom"/>
          </w:tcPr>
          <w:p w:rsidR="00E97EDA" w:rsidRPr="004125A3" w:rsidP="004C4208">
            <w:pPr>
              <w:spacing w:before="40" w:after="40" w:line="200" w:lineRule="exact"/>
              <w:jc w:val="center"/>
              <w:rPr>
                <w:rFonts w:ascii="FrankRuehl" w:hAnsi="FrankRuehl" w:cs="FrankRuehl"/>
                <w:b/>
                <w:bCs/>
                <w:sz w:val="20"/>
                <w:szCs w:val="20"/>
                <w:rtl/>
                <w:lang w:eastAsia="he-IL"/>
              </w:rPr>
            </w:pPr>
            <w:r w:rsidRPr="004125A3">
              <w:rPr>
                <w:rFonts w:ascii="FrankRuehl" w:hAnsi="FrankRuehl" w:cs="FrankRuehl" w:hint="cs"/>
                <w:b/>
                <w:bCs/>
                <w:sz w:val="20"/>
                <w:szCs w:val="20"/>
                <w:rtl/>
                <w:lang w:eastAsia="he-IL"/>
              </w:rPr>
              <w:t xml:space="preserve">משך הזמן המרבי** </w:t>
            </w:r>
            <w:r w:rsidRPr="004125A3">
              <w:rPr>
                <w:rFonts w:ascii="FrankRuehl" w:hAnsi="FrankRuehl" w:cs="FrankRuehl"/>
                <w:b/>
                <w:bCs/>
                <w:sz w:val="20"/>
                <w:szCs w:val="20"/>
                <w:rtl/>
                <w:lang w:eastAsia="he-IL"/>
              </w:rPr>
              <w:br/>
            </w:r>
            <w:r w:rsidRPr="004125A3">
              <w:rPr>
                <w:rFonts w:ascii="FrankRuehl" w:hAnsi="FrankRuehl" w:cs="FrankRuehl" w:hint="cs"/>
                <w:b/>
                <w:bCs/>
                <w:sz w:val="20"/>
                <w:szCs w:val="20"/>
                <w:rtl/>
                <w:lang w:eastAsia="he-IL"/>
              </w:rPr>
              <w:t>שנקבע בחוק הווד"לים להשלמת הפעולה</w:t>
            </w:r>
          </w:p>
        </w:tc>
      </w:tr>
      <w:tr w:rsidTr="004C4208">
        <w:tblPrEx>
          <w:tblW w:w="6691" w:type="dxa"/>
          <w:jc w:val="center"/>
          <w:tblLook w:val="01E0"/>
        </w:tblPrEx>
        <w:trPr>
          <w:jc w:val="center"/>
        </w:trPr>
        <w:tc>
          <w:tcPr>
            <w:tcW w:w="8352" w:type="dxa"/>
            <w:gridSpan w:val="4"/>
            <w:tcBorders>
              <w:top w:val="single" w:sz="12" w:space="0" w:color="auto"/>
              <w:left w:val="single" w:sz="12" w:space="0" w:color="auto"/>
              <w:bottom w:val="nil"/>
              <w:right w:val="single" w:sz="12" w:space="0" w:color="auto"/>
            </w:tcBorders>
            <w:shd w:val="clear" w:color="auto" w:fill="auto"/>
          </w:tcPr>
          <w:p w:rsidR="004C4208" w:rsidRPr="004125A3" w:rsidP="004C4208">
            <w:pPr>
              <w:spacing w:before="40" w:after="40" w:line="200" w:lineRule="exact"/>
              <w:rPr>
                <w:rFonts w:ascii="FrankRuehl" w:hAnsi="FrankRuehl" w:cs="FrankRuehl"/>
                <w:b/>
                <w:bCs/>
                <w:sz w:val="20"/>
                <w:szCs w:val="20"/>
                <w:rtl/>
                <w:lang w:eastAsia="he-IL"/>
              </w:rPr>
            </w:pPr>
          </w:p>
        </w:tc>
      </w:tr>
      <w:tr w:rsidTr="004C4208">
        <w:tblPrEx>
          <w:tblW w:w="6691" w:type="dxa"/>
          <w:jc w:val="center"/>
          <w:tblLook w:val="01E0"/>
        </w:tblPrEx>
        <w:trPr>
          <w:jc w:val="center"/>
        </w:trPr>
        <w:tc>
          <w:tcPr>
            <w:tcW w:w="8352" w:type="dxa"/>
            <w:gridSpan w:val="4"/>
            <w:tcBorders>
              <w:top w:val="nil"/>
              <w:left w:val="single" w:sz="12" w:space="0" w:color="auto"/>
              <w:bottom w:val="nil"/>
              <w:right w:val="single" w:sz="12" w:space="0" w:color="auto"/>
            </w:tcBorders>
            <w:shd w:val="pct10"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b/>
                <w:bCs/>
                <w:sz w:val="20"/>
                <w:szCs w:val="20"/>
                <w:rtl/>
                <w:lang w:eastAsia="he-IL"/>
              </w:rPr>
              <w:t>הליכי קליטת התכנית*</w:t>
            </w:r>
          </w:p>
        </w:tc>
      </w:tr>
      <w:tr w:rsidTr="004125A3">
        <w:tblPrEx>
          <w:tblW w:w="6691" w:type="dxa"/>
          <w:jc w:val="center"/>
          <w:tblLook w:val="01E0"/>
        </w:tblPrEx>
        <w:trPr>
          <w:jc w:val="center"/>
        </w:trPr>
        <w:tc>
          <w:tcPr>
            <w:tcW w:w="2232" w:type="dxa"/>
            <w:tcBorders>
              <w:top w:val="nil"/>
              <w:left w:val="single" w:sz="12" w:space="0" w:color="auto"/>
              <w:bottom w:val="nil"/>
              <w:right w:val="single" w:sz="4" w:space="0" w:color="auto"/>
            </w:tcBorders>
            <w:shd w:val="clear" w:color="auto" w:fill="auto"/>
          </w:tcPr>
          <w:p w:rsidR="00E97EDA" w:rsidRPr="004125A3" w:rsidP="004C4208">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בדיקה אם התכנית עומדת בתנאי סף</w:t>
            </w:r>
          </w:p>
        </w:tc>
        <w:tc>
          <w:tcPr>
            <w:tcW w:w="1800" w:type="dxa"/>
            <w:tcBorders>
              <w:top w:val="nil"/>
              <w:left w:val="single" w:sz="4" w:space="0" w:color="auto"/>
              <w:bottom w:val="nil"/>
              <w:right w:val="single" w:sz="4" w:space="0" w:color="auto"/>
            </w:tcBorders>
            <w:shd w:val="clear" w:color="auto" w:fill="auto"/>
          </w:tcPr>
          <w:p w:rsidR="00E97EDA" w:rsidRPr="004125A3" w:rsidP="004C4208">
            <w:pPr>
              <w:pStyle w:val="a20"/>
              <w:bidi/>
              <w:spacing w:before="40" w:after="40" w:line="200" w:lineRule="exact"/>
              <w:rPr>
                <w:rFonts w:ascii="FrankRuehl" w:eastAsia="Times New Roman" w:hAnsi="FrankRuehl" w:cs="FrankRuehl"/>
                <w:rtl/>
                <w:lang w:eastAsia="he-IL" w:bidi="he-IL"/>
              </w:rPr>
            </w:pPr>
            <w:r w:rsidRPr="004125A3">
              <w:rPr>
                <w:rFonts w:ascii="FrankRuehl" w:eastAsia="Times New Roman" w:hAnsi="FrankRuehl" w:cs="FrankRuehl" w:hint="cs"/>
                <w:rtl/>
                <w:lang w:eastAsia="he-IL" w:bidi="he-IL"/>
              </w:rPr>
              <w:t>לשכת התכנון המחוזית</w:t>
            </w:r>
          </w:p>
        </w:tc>
        <w:tc>
          <w:tcPr>
            <w:tcW w:w="2376"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לא נקבע</w:t>
            </w:r>
          </w:p>
        </w:tc>
        <w:tc>
          <w:tcPr>
            <w:tcW w:w="1944" w:type="dxa"/>
            <w:tcBorders>
              <w:top w:val="nil"/>
              <w:left w:val="single" w:sz="4" w:space="0" w:color="auto"/>
              <w:bottom w:val="nil"/>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14 ימים (סעיף 10(א))</w:t>
            </w:r>
          </w:p>
        </w:tc>
      </w:tr>
      <w:tr w:rsidTr="004125A3">
        <w:tblPrEx>
          <w:tblW w:w="6691" w:type="dxa"/>
          <w:jc w:val="center"/>
          <w:tblLook w:val="01E0"/>
        </w:tblPrEx>
        <w:trPr>
          <w:jc w:val="center"/>
        </w:trPr>
        <w:tc>
          <w:tcPr>
            <w:tcW w:w="2232" w:type="dxa"/>
            <w:tcBorders>
              <w:top w:val="nil"/>
              <w:left w:val="single" w:sz="12" w:space="0" w:color="auto"/>
              <w:bottom w:val="nil"/>
              <w:right w:val="single" w:sz="4" w:space="0" w:color="auto"/>
            </w:tcBorders>
            <w:shd w:val="clear" w:color="auto" w:fill="auto"/>
          </w:tcPr>
          <w:p w:rsidR="00E97EDA" w:rsidRPr="004125A3" w:rsidP="004C4208">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תיקון התכנית והשלמת מסמכים עד לעמידה בתנאי סף</w:t>
            </w:r>
          </w:p>
        </w:tc>
        <w:tc>
          <w:tcPr>
            <w:tcW w:w="1800"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יוזם התכנית</w:t>
            </w:r>
          </w:p>
        </w:tc>
        <w:tc>
          <w:tcPr>
            <w:tcW w:w="2376"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לא נקבע</w:t>
            </w:r>
          </w:p>
        </w:tc>
        <w:tc>
          <w:tcPr>
            <w:tcW w:w="1944" w:type="dxa"/>
            <w:tcBorders>
              <w:top w:val="nil"/>
              <w:left w:val="single" w:sz="4" w:space="0" w:color="auto"/>
              <w:bottom w:val="nil"/>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לא נקבע</w:t>
            </w:r>
          </w:p>
        </w:tc>
      </w:tr>
      <w:tr w:rsidTr="004C4208">
        <w:tblPrEx>
          <w:tblW w:w="6691" w:type="dxa"/>
          <w:jc w:val="center"/>
          <w:tblLook w:val="01E0"/>
        </w:tblPrEx>
        <w:trPr>
          <w:jc w:val="center"/>
        </w:trPr>
        <w:tc>
          <w:tcPr>
            <w:tcW w:w="8352" w:type="dxa"/>
            <w:gridSpan w:val="4"/>
            <w:tcBorders>
              <w:top w:val="nil"/>
              <w:left w:val="single" w:sz="12" w:space="0" w:color="auto"/>
              <w:bottom w:val="nil"/>
              <w:right w:val="single" w:sz="12" w:space="0" w:color="auto"/>
            </w:tcBorders>
            <w:shd w:val="clear" w:color="auto" w:fill="auto"/>
          </w:tcPr>
          <w:p w:rsidR="004C4208" w:rsidRPr="004125A3" w:rsidP="004C4208">
            <w:pPr>
              <w:spacing w:before="40" w:after="40" w:line="200" w:lineRule="exact"/>
              <w:rPr>
                <w:rFonts w:ascii="FrankRuehl" w:hAnsi="FrankRuehl" w:cs="FrankRuehl"/>
                <w:b/>
                <w:bCs/>
                <w:sz w:val="20"/>
                <w:szCs w:val="20"/>
                <w:rtl/>
                <w:lang w:eastAsia="he-IL"/>
              </w:rPr>
            </w:pPr>
          </w:p>
        </w:tc>
      </w:tr>
      <w:tr w:rsidTr="004C4208">
        <w:tblPrEx>
          <w:tblW w:w="6691" w:type="dxa"/>
          <w:jc w:val="center"/>
          <w:tblLook w:val="01E0"/>
        </w:tblPrEx>
        <w:trPr>
          <w:jc w:val="center"/>
        </w:trPr>
        <w:tc>
          <w:tcPr>
            <w:tcW w:w="8352" w:type="dxa"/>
            <w:gridSpan w:val="4"/>
            <w:tcBorders>
              <w:top w:val="nil"/>
              <w:left w:val="single" w:sz="12" w:space="0" w:color="auto"/>
              <w:bottom w:val="nil"/>
              <w:right w:val="single" w:sz="12" w:space="0" w:color="auto"/>
            </w:tcBorders>
            <w:shd w:val="pct10"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b/>
                <w:bCs/>
                <w:sz w:val="20"/>
                <w:szCs w:val="20"/>
                <w:rtl/>
                <w:lang w:eastAsia="he-IL"/>
              </w:rPr>
              <w:t>בדיקה מוקדמת</w:t>
            </w:r>
          </w:p>
        </w:tc>
      </w:tr>
      <w:tr w:rsidTr="004125A3">
        <w:tblPrEx>
          <w:tblW w:w="6691" w:type="dxa"/>
          <w:jc w:val="center"/>
          <w:tblLook w:val="01E0"/>
        </w:tblPrEx>
        <w:trPr>
          <w:jc w:val="center"/>
        </w:trPr>
        <w:tc>
          <w:tcPr>
            <w:tcW w:w="2232" w:type="dxa"/>
            <w:tcBorders>
              <w:top w:val="nil"/>
              <w:left w:val="single" w:sz="12" w:space="0" w:color="auto"/>
              <w:bottom w:val="nil"/>
              <w:right w:val="single" w:sz="4" w:space="0" w:color="auto"/>
            </w:tcBorders>
            <w:shd w:val="clear" w:color="auto" w:fill="auto"/>
          </w:tcPr>
          <w:p w:rsidR="00E97EDA" w:rsidRPr="004125A3" w:rsidP="004C4208">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בדיקה תכנונית מוקדמת</w:t>
            </w:r>
          </w:p>
        </w:tc>
        <w:tc>
          <w:tcPr>
            <w:tcW w:w="1800" w:type="dxa"/>
            <w:tcBorders>
              <w:top w:val="nil"/>
              <w:left w:val="single" w:sz="4" w:space="0" w:color="auto"/>
              <w:bottom w:val="nil"/>
              <w:right w:val="single" w:sz="4" w:space="0" w:color="auto"/>
            </w:tcBorders>
            <w:shd w:val="clear" w:color="auto" w:fill="auto"/>
          </w:tcPr>
          <w:p w:rsidR="00E97EDA" w:rsidRPr="004125A3" w:rsidP="004C4208">
            <w:pPr>
              <w:pStyle w:val="a20"/>
              <w:bidi/>
              <w:spacing w:before="40" w:after="40" w:line="200" w:lineRule="exact"/>
              <w:rPr>
                <w:rFonts w:ascii="FrankRuehl" w:eastAsia="Times New Roman" w:hAnsi="FrankRuehl" w:cs="FrankRuehl"/>
                <w:rtl/>
                <w:lang w:eastAsia="he-IL" w:bidi="he-IL"/>
              </w:rPr>
            </w:pPr>
            <w:r w:rsidRPr="004125A3">
              <w:rPr>
                <w:rFonts w:ascii="FrankRuehl" w:eastAsia="Times New Roman" w:hAnsi="FrankRuehl" w:cs="FrankRuehl" w:hint="cs"/>
                <w:rtl/>
                <w:lang w:eastAsia="he-IL" w:bidi="he-IL"/>
              </w:rPr>
              <w:t>לשכת התכנון המחוזית</w:t>
            </w:r>
          </w:p>
        </w:tc>
        <w:tc>
          <w:tcPr>
            <w:tcW w:w="2376"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30+30+30 ימים (סעיף 62ב)</w:t>
            </w:r>
          </w:p>
        </w:tc>
        <w:tc>
          <w:tcPr>
            <w:tcW w:w="1944" w:type="dxa"/>
            <w:tcBorders>
              <w:top w:val="nil"/>
              <w:left w:val="single" w:sz="4" w:space="0" w:color="auto"/>
              <w:bottom w:val="nil"/>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כחודש (21 ימים+14) מקליטת התכנית</w:t>
            </w:r>
            <w:r w:rsidR="004125A3">
              <w:rPr>
                <w:rFonts w:ascii="FrankRuehl" w:hAnsi="FrankRuehl" w:cs="FrankRuehl"/>
                <w:sz w:val="20"/>
                <w:szCs w:val="20"/>
                <w:lang w:eastAsia="he-IL"/>
              </w:rPr>
              <w:br/>
            </w:r>
            <w:r w:rsidRPr="004125A3">
              <w:rPr>
                <w:rFonts w:ascii="FrankRuehl" w:hAnsi="FrankRuehl" w:cs="FrankRuehl" w:hint="cs"/>
                <w:sz w:val="20"/>
                <w:szCs w:val="20"/>
                <w:rtl/>
                <w:lang w:eastAsia="he-IL"/>
              </w:rPr>
              <w:t>(סעיף 11)</w:t>
            </w:r>
          </w:p>
        </w:tc>
      </w:tr>
      <w:tr w:rsidTr="004125A3">
        <w:tblPrEx>
          <w:tblW w:w="6691" w:type="dxa"/>
          <w:jc w:val="center"/>
          <w:tblLook w:val="01E0"/>
        </w:tblPrEx>
        <w:trPr>
          <w:jc w:val="center"/>
        </w:trPr>
        <w:tc>
          <w:tcPr>
            <w:tcW w:w="2232" w:type="dxa"/>
            <w:tcBorders>
              <w:top w:val="nil"/>
              <w:left w:val="single" w:sz="12" w:space="0" w:color="auto"/>
              <w:bottom w:val="nil"/>
              <w:right w:val="single" w:sz="4" w:space="0" w:color="auto"/>
            </w:tcBorders>
            <w:shd w:val="clear" w:color="auto" w:fill="auto"/>
          </w:tcPr>
          <w:p w:rsidR="00E97EDA" w:rsidRPr="004125A3" w:rsidP="004C4208">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תיקון התכנית (אם נדרש)</w:t>
            </w:r>
          </w:p>
        </w:tc>
        <w:tc>
          <w:tcPr>
            <w:tcW w:w="1800"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יוזם התכנית</w:t>
            </w:r>
          </w:p>
        </w:tc>
        <w:tc>
          <w:tcPr>
            <w:tcW w:w="2376"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לא נקבע</w:t>
            </w:r>
          </w:p>
        </w:tc>
        <w:tc>
          <w:tcPr>
            <w:tcW w:w="1944" w:type="dxa"/>
            <w:tcBorders>
              <w:top w:val="nil"/>
              <w:left w:val="single" w:sz="4" w:space="0" w:color="auto"/>
              <w:bottom w:val="nil"/>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לא נקבע</w:t>
            </w:r>
          </w:p>
        </w:tc>
      </w:tr>
      <w:tr w:rsidTr="004C4208">
        <w:tblPrEx>
          <w:tblW w:w="6691" w:type="dxa"/>
          <w:jc w:val="center"/>
          <w:tblLook w:val="01E0"/>
        </w:tblPrEx>
        <w:trPr>
          <w:jc w:val="center"/>
        </w:trPr>
        <w:tc>
          <w:tcPr>
            <w:tcW w:w="8352" w:type="dxa"/>
            <w:gridSpan w:val="4"/>
            <w:tcBorders>
              <w:top w:val="nil"/>
              <w:left w:val="single" w:sz="12" w:space="0" w:color="auto"/>
              <w:bottom w:val="nil"/>
              <w:right w:val="single" w:sz="12" w:space="0" w:color="auto"/>
            </w:tcBorders>
            <w:shd w:val="clear" w:color="auto" w:fill="auto"/>
          </w:tcPr>
          <w:p w:rsidR="004C4208" w:rsidRPr="004125A3" w:rsidP="004C4208">
            <w:pPr>
              <w:spacing w:before="40" w:after="40" w:line="200" w:lineRule="exact"/>
              <w:rPr>
                <w:rFonts w:ascii="FrankRuehl" w:hAnsi="FrankRuehl" w:cs="FrankRuehl"/>
                <w:b/>
                <w:bCs/>
                <w:sz w:val="20"/>
                <w:szCs w:val="20"/>
                <w:rtl/>
                <w:lang w:eastAsia="he-IL"/>
              </w:rPr>
            </w:pPr>
          </w:p>
        </w:tc>
      </w:tr>
      <w:tr w:rsidTr="004C4208">
        <w:tblPrEx>
          <w:tblW w:w="6691" w:type="dxa"/>
          <w:jc w:val="center"/>
          <w:tblLook w:val="01E0"/>
        </w:tblPrEx>
        <w:trPr>
          <w:jc w:val="center"/>
        </w:trPr>
        <w:tc>
          <w:tcPr>
            <w:tcW w:w="8352" w:type="dxa"/>
            <w:gridSpan w:val="4"/>
            <w:tcBorders>
              <w:top w:val="nil"/>
              <w:left w:val="single" w:sz="12" w:space="0" w:color="auto"/>
              <w:bottom w:val="nil"/>
              <w:right w:val="single" w:sz="12" w:space="0" w:color="auto"/>
            </w:tcBorders>
            <w:shd w:val="pct10"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b/>
                <w:bCs/>
                <w:sz w:val="20"/>
                <w:szCs w:val="20"/>
                <w:rtl/>
                <w:lang w:eastAsia="he-IL"/>
              </w:rPr>
              <w:t>הליכי הפקדת התכנית</w:t>
            </w:r>
          </w:p>
        </w:tc>
      </w:tr>
      <w:tr w:rsidTr="004125A3">
        <w:tblPrEx>
          <w:tblW w:w="6691" w:type="dxa"/>
          <w:jc w:val="center"/>
          <w:tblLook w:val="01E0"/>
        </w:tblPrEx>
        <w:trPr>
          <w:jc w:val="center"/>
        </w:trPr>
        <w:tc>
          <w:tcPr>
            <w:tcW w:w="2232" w:type="dxa"/>
            <w:tcBorders>
              <w:top w:val="nil"/>
              <w:left w:val="single" w:sz="12" w:space="0" w:color="auto"/>
              <w:bottom w:val="nil"/>
              <w:right w:val="single" w:sz="4" w:space="0" w:color="auto"/>
            </w:tcBorders>
            <w:shd w:val="clear" w:color="auto" w:fill="auto"/>
          </w:tcPr>
          <w:p w:rsidR="00E97EDA" w:rsidRPr="004125A3" w:rsidP="004C4208">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קבלת החלטה בנוגע להפקדת התכנית</w:t>
            </w:r>
          </w:p>
        </w:tc>
        <w:tc>
          <w:tcPr>
            <w:tcW w:w="1800" w:type="dxa"/>
            <w:tcBorders>
              <w:top w:val="nil"/>
              <w:left w:val="single" w:sz="4" w:space="0" w:color="auto"/>
              <w:bottom w:val="nil"/>
              <w:right w:val="single" w:sz="4" w:space="0" w:color="auto"/>
            </w:tcBorders>
            <w:shd w:val="clear" w:color="auto" w:fill="auto"/>
          </w:tcPr>
          <w:p w:rsidR="00E97EDA" w:rsidRPr="004125A3" w:rsidP="004C4208">
            <w:pPr>
              <w:pStyle w:val="a20"/>
              <w:bidi/>
              <w:spacing w:before="40" w:after="40" w:line="200" w:lineRule="exact"/>
              <w:rPr>
                <w:rFonts w:ascii="FrankRuehl" w:eastAsia="Times New Roman" w:hAnsi="FrankRuehl" w:cs="FrankRuehl"/>
                <w:rtl/>
                <w:lang w:eastAsia="he-IL" w:bidi="he-IL"/>
              </w:rPr>
            </w:pPr>
            <w:r w:rsidRPr="004125A3">
              <w:rPr>
                <w:rFonts w:ascii="FrankRuehl" w:eastAsia="Times New Roman" w:hAnsi="FrankRuehl" w:cs="FrankRuehl" w:hint="cs"/>
                <w:rtl/>
                <w:lang w:eastAsia="he-IL" w:bidi="he-IL"/>
              </w:rPr>
              <w:t>הוועדה המחוזית</w:t>
            </w:r>
          </w:p>
        </w:tc>
        <w:tc>
          <w:tcPr>
            <w:tcW w:w="2376" w:type="dxa"/>
            <w:tcBorders>
              <w:top w:val="nil"/>
              <w:left w:val="single" w:sz="4" w:space="0" w:color="auto"/>
              <w:bottom w:val="nil"/>
              <w:right w:val="single" w:sz="4" w:space="0" w:color="auto"/>
            </w:tcBorders>
            <w:shd w:val="clear" w:color="auto" w:fill="auto"/>
          </w:tcPr>
          <w:p w:rsidR="00E97EDA" w:rsidRPr="004125A3" w:rsidP="002E41A2">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שלושה חודשים*** (מיום קליטת התכנית או התכנית המתוקנת</w:t>
            </w:r>
            <w:r w:rsidR="002E41A2">
              <w:rPr>
                <w:rFonts w:ascii="FrankRuehl" w:hAnsi="FrankRuehl" w:cs="FrankRuehl"/>
                <w:sz w:val="20"/>
                <w:szCs w:val="20"/>
                <w:lang w:eastAsia="he-IL"/>
              </w:rPr>
              <w:t xml:space="preserve">- </w:t>
            </w:r>
            <w:r w:rsidR="002E41A2">
              <w:rPr>
                <w:rFonts w:ascii="FrankRuehl" w:hAnsi="FrankRuehl" w:cs="FrankRuehl" w:hint="cs"/>
                <w:sz w:val="20"/>
                <w:szCs w:val="20"/>
                <w:rtl/>
                <w:lang w:eastAsia="he-IL"/>
              </w:rPr>
              <w:t xml:space="preserve"> </w:t>
            </w:r>
            <w:r w:rsidRPr="004125A3">
              <w:rPr>
                <w:rFonts w:ascii="FrankRuehl" w:hAnsi="FrankRuehl" w:cs="FrankRuehl" w:hint="cs"/>
                <w:sz w:val="20"/>
                <w:szCs w:val="20"/>
                <w:rtl/>
                <w:lang w:eastAsia="he-IL"/>
              </w:rPr>
              <w:t>סעיף 85)</w:t>
            </w:r>
          </w:p>
        </w:tc>
        <w:tc>
          <w:tcPr>
            <w:tcW w:w="1944" w:type="dxa"/>
            <w:tcBorders>
              <w:top w:val="nil"/>
              <w:left w:val="single" w:sz="4" w:space="0" w:color="auto"/>
              <w:bottom w:val="nil"/>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כחודשיים</w:t>
            </w:r>
          </w:p>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(45+14 ימים)</w:t>
            </w:r>
          </w:p>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מקליטת התכנית</w:t>
            </w:r>
          </w:p>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(סעיף 13)</w:t>
            </w:r>
          </w:p>
        </w:tc>
      </w:tr>
      <w:tr w:rsidTr="004C4208">
        <w:tblPrEx>
          <w:tblW w:w="6691" w:type="dxa"/>
          <w:jc w:val="center"/>
          <w:tblLook w:val="01E0"/>
        </w:tblPrEx>
        <w:trPr>
          <w:cantSplit/>
          <w:jc w:val="center"/>
        </w:trPr>
        <w:tc>
          <w:tcPr>
            <w:tcW w:w="2232" w:type="dxa"/>
            <w:tcBorders>
              <w:top w:val="nil"/>
              <w:left w:val="single" w:sz="12" w:space="0" w:color="auto"/>
              <w:bottom w:val="nil"/>
              <w:right w:val="single" w:sz="4" w:space="0" w:color="auto"/>
            </w:tcBorders>
            <w:shd w:val="clear" w:color="auto" w:fill="auto"/>
          </w:tcPr>
          <w:p w:rsidR="00E97EDA" w:rsidRPr="004125A3" w:rsidP="004C4208">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הכנסת שינויים ומילוי תנאים להפקדה (אם נדרש)</w:t>
            </w:r>
          </w:p>
        </w:tc>
        <w:tc>
          <w:tcPr>
            <w:tcW w:w="1800"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יוזם התכנית</w:t>
            </w:r>
          </w:p>
        </w:tc>
        <w:tc>
          <w:tcPr>
            <w:tcW w:w="2376"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שישה חודשים (סעיף 86); יו"ר מוסד תכנון רשאי להאריך מועד זה</w:t>
            </w:r>
          </w:p>
        </w:tc>
        <w:tc>
          <w:tcPr>
            <w:tcW w:w="1944" w:type="dxa"/>
            <w:vMerge w:val="restart"/>
            <w:tcBorders>
              <w:top w:val="nil"/>
              <w:left w:val="single" w:sz="4" w:space="0" w:color="auto"/>
              <w:bottom w:val="nil"/>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חודשיים (סעיף 15)</w:t>
            </w:r>
          </w:p>
        </w:tc>
      </w:tr>
      <w:tr w:rsidTr="004C4208">
        <w:tblPrEx>
          <w:tblW w:w="6691" w:type="dxa"/>
          <w:jc w:val="center"/>
          <w:tblLook w:val="01E0"/>
        </w:tblPrEx>
        <w:trPr>
          <w:jc w:val="center"/>
        </w:trPr>
        <w:tc>
          <w:tcPr>
            <w:tcW w:w="2232" w:type="dxa"/>
            <w:tcBorders>
              <w:top w:val="nil"/>
              <w:left w:val="single" w:sz="12" w:space="0" w:color="auto"/>
              <w:bottom w:val="nil"/>
              <w:right w:val="single" w:sz="4" w:space="0" w:color="auto"/>
            </w:tcBorders>
            <w:shd w:val="clear" w:color="auto" w:fill="auto"/>
          </w:tcPr>
          <w:p w:rsidR="00E97EDA" w:rsidRPr="004125A3" w:rsidP="004C4208">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הכנסת שינויים ומילוי תנאים להפקדה (במקום מגיש התכנית)</w:t>
            </w:r>
          </w:p>
        </w:tc>
        <w:tc>
          <w:tcPr>
            <w:tcW w:w="1800"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הוועדה המחוזית</w:t>
            </w:r>
          </w:p>
        </w:tc>
        <w:tc>
          <w:tcPr>
            <w:tcW w:w="2376"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חודשיים (30 ימים+30) (סעיף 86)</w:t>
            </w:r>
          </w:p>
        </w:tc>
        <w:tc>
          <w:tcPr>
            <w:tcW w:w="1944" w:type="dxa"/>
            <w:vMerge/>
            <w:tcBorders>
              <w:top w:val="nil"/>
              <w:left w:val="single" w:sz="4" w:space="0" w:color="auto"/>
              <w:bottom w:val="single" w:sz="12" w:space="0" w:color="auto"/>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p>
        </w:tc>
      </w:tr>
      <w:tr w:rsidTr="004C4208">
        <w:tblPrEx>
          <w:tblW w:w="6691" w:type="dxa"/>
          <w:jc w:val="center"/>
          <w:tblLook w:val="01E0"/>
        </w:tblPrEx>
        <w:trPr>
          <w:jc w:val="center"/>
        </w:trPr>
        <w:tc>
          <w:tcPr>
            <w:tcW w:w="2232" w:type="dxa"/>
            <w:tcBorders>
              <w:top w:val="nil"/>
              <w:left w:val="single" w:sz="12" w:space="0" w:color="auto"/>
              <w:bottom w:val="nil"/>
              <w:right w:val="single" w:sz="4" w:space="0" w:color="auto"/>
            </w:tcBorders>
            <w:shd w:val="clear" w:color="auto" w:fill="auto"/>
          </w:tcPr>
          <w:p w:rsidR="00E97EDA" w:rsidRPr="004125A3" w:rsidP="004C4208">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פרסום דבר ההפקדה בעיתון וברשומות</w:t>
            </w:r>
          </w:p>
        </w:tc>
        <w:tc>
          <w:tcPr>
            <w:tcW w:w="1800"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הוועדה המחוזית</w:t>
            </w:r>
          </w:p>
        </w:tc>
        <w:tc>
          <w:tcPr>
            <w:tcW w:w="2376"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15 ימים (סעיף 89)</w:t>
            </w:r>
          </w:p>
        </w:tc>
        <w:tc>
          <w:tcPr>
            <w:tcW w:w="1944" w:type="dxa"/>
            <w:vMerge/>
            <w:tcBorders>
              <w:top w:val="single" w:sz="12" w:space="0" w:color="auto"/>
              <w:left w:val="single" w:sz="4" w:space="0" w:color="auto"/>
              <w:bottom w:val="nil"/>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p>
        </w:tc>
      </w:tr>
      <w:tr w:rsidTr="004125A3">
        <w:tblPrEx>
          <w:tblW w:w="6691" w:type="dxa"/>
          <w:jc w:val="center"/>
          <w:tblLook w:val="01E0"/>
        </w:tblPrEx>
        <w:trPr>
          <w:jc w:val="center"/>
        </w:trPr>
        <w:tc>
          <w:tcPr>
            <w:tcW w:w="2232" w:type="dxa"/>
            <w:tcBorders>
              <w:top w:val="nil"/>
              <w:left w:val="single" w:sz="12" w:space="0" w:color="auto"/>
              <w:bottom w:val="nil"/>
              <w:right w:val="single" w:sz="4" w:space="0" w:color="auto"/>
            </w:tcBorders>
            <w:shd w:val="clear" w:color="auto" w:fill="auto"/>
          </w:tcPr>
          <w:p w:rsidR="00E97EDA" w:rsidRPr="004125A3" w:rsidP="004C4208">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הגשת התנגדויות לתכנית</w:t>
            </w:r>
          </w:p>
        </w:tc>
        <w:tc>
          <w:tcPr>
            <w:tcW w:w="1800"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רשויות שונות והציבור</w:t>
            </w:r>
          </w:p>
        </w:tc>
        <w:tc>
          <w:tcPr>
            <w:tcW w:w="2376"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שלושה חודשים (סעיף 102)</w:t>
            </w:r>
          </w:p>
        </w:tc>
        <w:tc>
          <w:tcPr>
            <w:tcW w:w="1944" w:type="dxa"/>
            <w:tcBorders>
              <w:top w:val="nil"/>
              <w:left w:val="single" w:sz="4" w:space="0" w:color="auto"/>
              <w:bottom w:val="nil"/>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חודשיים (סעיף 20)</w:t>
            </w:r>
          </w:p>
        </w:tc>
      </w:tr>
      <w:tr w:rsidTr="004C4208">
        <w:tblPrEx>
          <w:tblW w:w="6691" w:type="dxa"/>
          <w:jc w:val="center"/>
          <w:tblLook w:val="01E0"/>
        </w:tblPrEx>
        <w:trPr>
          <w:jc w:val="center"/>
        </w:trPr>
        <w:tc>
          <w:tcPr>
            <w:tcW w:w="8352" w:type="dxa"/>
            <w:gridSpan w:val="4"/>
            <w:tcBorders>
              <w:top w:val="nil"/>
              <w:left w:val="single" w:sz="12" w:space="0" w:color="auto"/>
              <w:bottom w:val="nil"/>
              <w:right w:val="single" w:sz="12" w:space="0" w:color="auto"/>
            </w:tcBorders>
            <w:shd w:val="clear" w:color="auto" w:fill="auto"/>
          </w:tcPr>
          <w:p w:rsidR="004C4208" w:rsidRPr="004125A3" w:rsidP="004C4208">
            <w:pPr>
              <w:spacing w:before="40" w:after="40" w:line="200" w:lineRule="exact"/>
              <w:rPr>
                <w:rFonts w:ascii="FrankRuehl" w:hAnsi="FrankRuehl" w:cs="FrankRuehl"/>
                <w:b/>
                <w:bCs/>
                <w:sz w:val="20"/>
                <w:szCs w:val="20"/>
                <w:rtl/>
                <w:lang w:eastAsia="he-IL"/>
              </w:rPr>
            </w:pPr>
          </w:p>
        </w:tc>
      </w:tr>
      <w:tr w:rsidTr="004C4208">
        <w:tblPrEx>
          <w:tblW w:w="6691" w:type="dxa"/>
          <w:jc w:val="center"/>
          <w:tblLook w:val="01E0"/>
        </w:tblPrEx>
        <w:trPr>
          <w:jc w:val="center"/>
        </w:trPr>
        <w:tc>
          <w:tcPr>
            <w:tcW w:w="8352" w:type="dxa"/>
            <w:gridSpan w:val="4"/>
            <w:tcBorders>
              <w:top w:val="nil"/>
              <w:left w:val="single" w:sz="12" w:space="0" w:color="auto"/>
              <w:bottom w:val="nil"/>
              <w:right w:val="single" w:sz="12" w:space="0" w:color="auto"/>
            </w:tcBorders>
            <w:shd w:val="pct10"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b/>
                <w:bCs/>
                <w:sz w:val="20"/>
                <w:szCs w:val="20"/>
                <w:rtl/>
                <w:lang w:eastAsia="he-IL"/>
              </w:rPr>
              <w:t>תהליך אישור לאחר ההפקדה או סיום הטיפול</w:t>
            </w:r>
          </w:p>
        </w:tc>
      </w:tr>
      <w:tr w:rsidTr="004125A3">
        <w:tblPrEx>
          <w:tblW w:w="6691" w:type="dxa"/>
          <w:jc w:val="center"/>
          <w:tblLook w:val="01E0"/>
        </w:tblPrEx>
        <w:trPr>
          <w:jc w:val="center"/>
        </w:trPr>
        <w:tc>
          <w:tcPr>
            <w:tcW w:w="2232" w:type="dxa"/>
            <w:tcBorders>
              <w:top w:val="nil"/>
              <w:left w:val="single" w:sz="12" w:space="0" w:color="auto"/>
              <w:bottom w:val="nil"/>
              <w:right w:val="single" w:sz="4" w:space="0" w:color="auto"/>
            </w:tcBorders>
            <w:shd w:val="clear" w:color="auto" w:fill="auto"/>
          </w:tcPr>
          <w:p w:rsidR="00E97EDA" w:rsidRPr="004125A3" w:rsidP="004C4208">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קבלת החלטה בנוגע לאישור התכנית (לאחר תום תקופת ההפקדה)</w:t>
            </w:r>
          </w:p>
        </w:tc>
        <w:tc>
          <w:tcPr>
            <w:tcW w:w="1800" w:type="dxa"/>
            <w:tcBorders>
              <w:top w:val="nil"/>
              <w:left w:val="single" w:sz="4" w:space="0" w:color="auto"/>
              <w:bottom w:val="nil"/>
              <w:right w:val="single" w:sz="4" w:space="0" w:color="auto"/>
            </w:tcBorders>
            <w:shd w:val="clear" w:color="auto" w:fill="auto"/>
          </w:tcPr>
          <w:p w:rsidR="00E97EDA" w:rsidRPr="004125A3" w:rsidP="004C4208">
            <w:pPr>
              <w:pStyle w:val="a20"/>
              <w:bidi/>
              <w:spacing w:before="40" w:after="40" w:line="200" w:lineRule="exact"/>
              <w:rPr>
                <w:rFonts w:ascii="FrankRuehl" w:eastAsia="Times New Roman" w:hAnsi="FrankRuehl" w:cs="FrankRuehl"/>
                <w:rtl/>
                <w:lang w:eastAsia="he-IL" w:bidi="he-IL"/>
              </w:rPr>
            </w:pPr>
            <w:r w:rsidRPr="004125A3">
              <w:rPr>
                <w:rFonts w:ascii="FrankRuehl" w:eastAsia="Times New Roman" w:hAnsi="FrankRuehl" w:cs="FrankRuehl" w:hint="cs"/>
                <w:rtl/>
                <w:lang w:eastAsia="he-IL" w:bidi="he-IL"/>
              </w:rPr>
              <w:t>הוועדה המחוזית</w:t>
            </w:r>
          </w:p>
        </w:tc>
        <w:tc>
          <w:tcPr>
            <w:tcW w:w="2376"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שישה חודשים (סעיף 109א)</w:t>
            </w:r>
          </w:p>
        </w:tc>
        <w:tc>
          <w:tcPr>
            <w:tcW w:w="1944" w:type="dxa"/>
            <w:tcBorders>
              <w:top w:val="nil"/>
              <w:left w:val="single" w:sz="4" w:space="0" w:color="auto"/>
              <w:bottom w:val="nil"/>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כחודשיים</w:t>
            </w:r>
          </w:p>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(סעיף 21)</w:t>
            </w:r>
          </w:p>
        </w:tc>
      </w:tr>
      <w:tr w:rsidTr="004125A3">
        <w:tblPrEx>
          <w:tblW w:w="6691" w:type="dxa"/>
          <w:jc w:val="center"/>
          <w:tblLook w:val="01E0"/>
        </w:tblPrEx>
        <w:trPr>
          <w:jc w:val="center"/>
        </w:trPr>
        <w:tc>
          <w:tcPr>
            <w:tcW w:w="2232" w:type="dxa"/>
            <w:tcBorders>
              <w:top w:val="nil"/>
              <w:left w:val="single" w:sz="12" w:space="0" w:color="auto"/>
              <w:bottom w:val="nil"/>
              <w:right w:val="single" w:sz="4" w:space="0" w:color="auto"/>
            </w:tcBorders>
            <w:shd w:val="clear" w:color="auto" w:fill="auto"/>
          </w:tcPr>
          <w:p w:rsidR="00E97EDA" w:rsidRPr="004125A3" w:rsidP="008C4A30">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מילוי תנאים לאישור</w:t>
            </w:r>
            <w:r w:rsidR="008C4A30">
              <w:rPr>
                <w:rFonts w:ascii="FrankRuehl" w:hAnsi="FrankRuehl" w:cs="FrankRuehl"/>
                <w:sz w:val="20"/>
                <w:szCs w:val="20"/>
                <w:rtl/>
                <w:lang w:eastAsia="he-IL"/>
              </w:rPr>
              <w:br/>
            </w:r>
            <w:r w:rsidRPr="004125A3">
              <w:rPr>
                <w:rFonts w:ascii="FrankRuehl" w:hAnsi="FrankRuehl" w:cs="FrankRuehl" w:hint="cs"/>
                <w:sz w:val="20"/>
                <w:szCs w:val="20"/>
                <w:rtl/>
                <w:lang w:eastAsia="he-IL"/>
              </w:rPr>
              <w:t>(אם נדרש)</w:t>
            </w:r>
          </w:p>
        </w:tc>
        <w:tc>
          <w:tcPr>
            <w:tcW w:w="1800"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יוזם התכנית</w:t>
            </w:r>
          </w:p>
        </w:tc>
        <w:tc>
          <w:tcPr>
            <w:tcW w:w="2376"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לא נקבע</w:t>
            </w:r>
          </w:p>
        </w:tc>
        <w:tc>
          <w:tcPr>
            <w:tcW w:w="1944" w:type="dxa"/>
            <w:tcBorders>
              <w:top w:val="nil"/>
              <w:left w:val="single" w:sz="4" w:space="0" w:color="auto"/>
              <w:bottom w:val="nil"/>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חודשיים</w:t>
            </w:r>
          </w:p>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(סעיף 22)</w:t>
            </w:r>
          </w:p>
        </w:tc>
      </w:tr>
      <w:tr w:rsidTr="004125A3">
        <w:tblPrEx>
          <w:tblW w:w="6691" w:type="dxa"/>
          <w:jc w:val="center"/>
          <w:tblLook w:val="01E0"/>
        </w:tblPrEx>
        <w:trPr>
          <w:jc w:val="center"/>
        </w:trPr>
        <w:tc>
          <w:tcPr>
            <w:tcW w:w="2232" w:type="dxa"/>
            <w:tcBorders>
              <w:top w:val="nil"/>
              <w:left w:val="single" w:sz="12" w:space="0" w:color="auto"/>
              <w:bottom w:val="nil"/>
              <w:right w:val="single" w:sz="4" w:space="0" w:color="auto"/>
            </w:tcBorders>
            <w:shd w:val="clear" w:color="auto" w:fill="auto"/>
          </w:tcPr>
          <w:p w:rsidR="00E97EDA" w:rsidRPr="004125A3" w:rsidP="004C4208">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אישור השר</w:t>
            </w:r>
          </w:p>
        </w:tc>
        <w:tc>
          <w:tcPr>
            <w:tcW w:w="1800"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מינהל התכנון</w:t>
            </w:r>
          </w:p>
        </w:tc>
        <w:tc>
          <w:tcPr>
            <w:tcW w:w="2376"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חודש (סעיף 109)</w:t>
            </w:r>
          </w:p>
        </w:tc>
        <w:tc>
          <w:tcPr>
            <w:tcW w:w="1944" w:type="dxa"/>
            <w:tcBorders>
              <w:top w:val="nil"/>
              <w:left w:val="single" w:sz="4" w:space="0" w:color="auto"/>
              <w:bottom w:val="nil"/>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לא נדרש</w:t>
            </w:r>
          </w:p>
        </w:tc>
      </w:tr>
      <w:tr w:rsidTr="004125A3">
        <w:tblPrEx>
          <w:tblW w:w="6691" w:type="dxa"/>
          <w:jc w:val="center"/>
          <w:tblLook w:val="01E0"/>
        </w:tblPrEx>
        <w:trPr>
          <w:jc w:val="center"/>
        </w:trPr>
        <w:tc>
          <w:tcPr>
            <w:tcW w:w="2232" w:type="dxa"/>
            <w:tcBorders>
              <w:top w:val="nil"/>
              <w:left w:val="single" w:sz="12" w:space="0" w:color="auto"/>
              <w:bottom w:val="nil"/>
              <w:right w:val="single" w:sz="4" w:space="0" w:color="auto"/>
            </w:tcBorders>
            <w:shd w:val="clear" w:color="auto" w:fill="auto"/>
          </w:tcPr>
          <w:p w:rsidR="00E97EDA" w:rsidRPr="004125A3" w:rsidP="008C4A30">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הנפקת נוסח לפרסום ברשומות</w:t>
            </w:r>
            <w:r w:rsidR="00A76475">
              <w:rPr>
                <w:rFonts w:ascii="FrankRuehl" w:hAnsi="FrankRuehl" w:cs="FrankRuehl" w:hint="cs"/>
                <w:sz w:val="20"/>
                <w:szCs w:val="20"/>
                <w:rtl/>
                <w:lang w:eastAsia="he-IL"/>
              </w:rPr>
              <w:t xml:space="preserve"> </w:t>
            </w:r>
            <w:r w:rsidRPr="004125A3">
              <w:rPr>
                <w:rFonts w:ascii="FrankRuehl" w:hAnsi="FrankRuehl" w:cs="FrankRuehl" w:hint="cs"/>
                <w:sz w:val="20"/>
                <w:szCs w:val="20"/>
                <w:rtl/>
                <w:lang w:eastAsia="he-IL"/>
              </w:rPr>
              <w:t>(בדבר אישור או דחייה)</w:t>
            </w:r>
          </w:p>
        </w:tc>
        <w:tc>
          <w:tcPr>
            <w:tcW w:w="1800"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הוועדה המחוזית</w:t>
            </w:r>
          </w:p>
        </w:tc>
        <w:tc>
          <w:tcPr>
            <w:tcW w:w="2376"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לא נקבע</w:t>
            </w:r>
          </w:p>
        </w:tc>
        <w:tc>
          <w:tcPr>
            <w:tcW w:w="1944" w:type="dxa"/>
            <w:tcBorders>
              <w:top w:val="nil"/>
              <w:left w:val="single" w:sz="4" w:space="0" w:color="auto"/>
              <w:bottom w:val="nil"/>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לא נקבע</w:t>
            </w:r>
          </w:p>
        </w:tc>
      </w:tr>
      <w:tr w:rsidTr="004C4208">
        <w:tblPrEx>
          <w:tblW w:w="6691" w:type="dxa"/>
          <w:jc w:val="center"/>
          <w:tblLook w:val="01E0"/>
        </w:tblPrEx>
        <w:trPr>
          <w:jc w:val="center"/>
        </w:trPr>
        <w:tc>
          <w:tcPr>
            <w:tcW w:w="2232" w:type="dxa"/>
            <w:tcBorders>
              <w:top w:val="nil"/>
              <w:left w:val="single" w:sz="12" w:space="0" w:color="auto"/>
              <w:bottom w:val="nil"/>
              <w:right w:val="single" w:sz="4" w:space="0" w:color="auto"/>
            </w:tcBorders>
            <w:shd w:val="clear" w:color="auto" w:fill="auto"/>
          </w:tcPr>
          <w:p w:rsidR="00E97EDA" w:rsidRPr="004125A3" w:rsidP="004C4208">
            <w:pPr>
              <w:spacing w:before="40" w:after="40" w:line="200" w:lineRule="exact"/>
              <w:ind w:left="170"/>
              <w:rPr>
                <w:rFonts w:ascii="FrankRuehl" w:hAnsi="FrankRuehl" w:cs="FrankRuehl"/>
                <w:sz w:val="20"/>
                <w:szCs w:val="20"/>
                <w:rtl/>
                <w:lang w:eastAsia="he-IL"/>
              </w:rPr>
            </w:pPr>
            <w:r w:rsidRPr="004125A3">
              <w:rPr>
                <w:rFonts w:ascii="FrankRuehl" w:hAnsi="FrankRuehl" w:cs="FrankRuehl" w:hint="cs"/>
                <w:sz w:val="20"/>
                <w:szCs w:val="20"/>
                <w:rtl/>
                <w:lang w:eastAsia="he-IL"/>
              </w:rPr>
              <w:t>פרסום ברשומות</w:t>
            </w:r>
          </w:p>
        </w:tc>
        <w:tc>
          <w:tcPr>
            <w:tcW w:w="1800"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משרד המשפטים</w:t>
            </w:r>
          </w:p>
        </w:tc>
        <w:tc>
          <w:tcPr>
            <w:tcW w:w="2376" w:type="dxa"/>
            <w:tcBorders>
              <w:top w:val="nil"/>
              <w:left w:val="single" w:sz="4" w:space="0" w:color="auto"/>
              <w:bottom w:val="nil"/>
              <w:right w:val="single" w:sz="4"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לא נקבע</w:t>
            </w:r>
          </w:p>
        </w:tc>
        <w:tc>
          <w:tcPr>
            <w:tcW w:w="1944" w:type="dxa"/>
            <w:tcBorders>
              <w:top w:val="nil"/>
              <w:left w:val="single" w:sz="4" w:space="0" w:color="auto"/>
              <w:bottom w:val="nil"/>
              <w:right w:val="single" w:sz="12" w:space="0" w:color="auto"/>
            </w:tcBorders>
            <w:shd w:val="clear" w:color="auto" w:fill="auto"/>
          </w:tcPr>
          <w:p w:rsidR="00E97EDA" w:rsidRPr="004125A3" w:rsidP="004C4208">
            <w:pPr>
              <w:spacing w:before="40" w:after="40" w:line="200" w:lineRule="exact"/>
              <w:rPr>
                <w:rFonts w:ascii="FrankRuehl" w:hAnsi="FrankRuehl" w:cs="FrankRuehl"/>
                <w:sz w:val="20"/>
                <w:szCs w:val="20"/>
                <w:rtl/>
                <w:lang w:eastAsia="he-IL"/>
              </w:rPr>
            </w:pPr>
            <w:r w:rsidRPr="004125A3">
              <w:rPr>
                <w:rFonts w:ascii="FrankRuehl" w:hAnsi="FrankRuehl" w:cs="FrankRuehl" w:hint="cs"/>
                <w:sz w:val="20"/>
                <w:szCs w:val="20"/>
                <w:rtl/>
                <w:lang w:eastAsia="he-IL"/>
              </w:rPr>
              <w:t>לא נקבע</w:t>
            </w:r>
          </w:p>
        </w:tc>
      </w:tr>
      <w:tr w:rsidTr="004C4208">
        <w:tblPrEx>
          <w:tblW w:w="6691" w:type="dxa"/>
          <w:jc w:val="center"/>
          <w:tblLook w:val="01E0"/>
        </w:tblPrEx>
        <w:trPr>
          <w:jc w:val="center"/>
        </w:trPr>
        <w:tc>
          <w:tcPr>
            <w:tcW w:w="4032" w:type="dxa"/>
            <w:gridSpan w:val="2"/>
            <w:tcBorders>
              <w:top w:val="nil"/>
              <w:left w:val="single" w:sz="12" w:space="0" w:color="auto"/>
              <w:bottom w:val="single" w:sz="12" w:space="0" w:color="auto"/>
              <w:right w:val="nil"/>
            </w:tcBorders>
            <w:shd w:val="clear" w:color="auto" w:fill="auto"/>
          </w:tcPr>
          <w:p w:rsidR="004C4208" w:rsidRPr="004125A3" w:rsidP="004C4208">
            <w:pPr>
              <w:spacing w:before="40" w:after="40" w:line="200" w:lineRule="exact"/>
              <w:jc w:val="right"/>
              <w:rPr>
                <w:rFonts w:ascii="FrankRuehl" w:hAnsi="FrankRuehl" w:cs="FrankRuehl"/>
                <w:b/>
                <w:bCs/>
                <w:sz w:val="20"/>
                <w:szCs w:val="20"/>
                <w:rtl/>
                <w:lang w:eastAsia="he-IL"/>
              </w:rPr>
            </w:pPr>
          </w:p>
        </w:tc>
        <w:tc>
          <w:tcPr>
            <w:tcW w:w="2376" w:type="dxa"/>
            <w:tcBorders>
              <w:top w:val="nil"/>
              <w:left w:val="nil"/>
              <w:bottom w:val="single" w:sz="12" w:space="0" w:color="auto"/>
              <w:right w:val="nil"/>
            </w:tcBorders>
            <w:shd w:val="clear" w:color="auto" w:fill="auto"/>
          </w:tcPr>
          <w:p w:rsidR="004C4208" w:rsidRPr="004125A3" w:rsidP="004C4208">
            <w:pPr>
              <w:spacing w:before="40" w:after="40" w:line="200" w:lineRule="exact"/>
              <w:rPr>
                <w:rFonts w:ascii="FrankRuehl" w:hAnsi="FrankRuehl" w:cs="FrankRuehl"/>
                <w:b/>
                <w:bCs/>
                <w:sz w:val="20"/>
                <w:szCs w:val="20"/>
                <w:rtl/>
                <w:lang w:eastAsia="he-IL"/>
              </w:rPr>
            </w:pPr>
          </w:p>
        </w:tc>
        <w:tc>
          <w:tcPr>
            <w:tcW w:w="1944" w:type="dxa"/>
            <w:tcBorders>
              <w:top w:val="nil"/>
              <w:left w:val="nil"/>
              <w:bottom w:val="single" w:sz="12" w:space="0" w:color="auto"/>
              <w:right w:val="single" w:sz="12" w:space="0" w:color="auto"/>
            </w:tcBorders>
            <w:shd w:val="clear" w:color="auto" w:fill="auto"/>
          </w:tcPr>
          <w:p w:rsidR="004C4208" w:rsidRPr="004125A3" w:rsidP="004C4208">
            <w:pPr>
              <w:spacing w:before="40" w:after="40" w:line="200" w:lineRule="exact"/>
              <w:rPr>
                <w:rFonts w:ascii="FrankRuehl" w:hAnsi="FrankRuehl" w:cs="FrankRuehl"/>
                <w:b/>
                <w:bCs/>
                <w:sz w:val="20"/>
                <w:szCs w:val="20"/>
                <w:rtl/>
                <w:lang w:eastAsia="he-IL"/>
              </w:rPr>
            </w:pPr>
          </w:p>
        </w:tc>
      </w:tr>
      <w:tr w:rsidTr="004125A3">
        <w:tblPrEx>
          <w:tblW w:w="6691" w:type="dxa"/>
          <w:jc w:val="center"/>
          <w:tblLook w:val="01E0"/>
        </w:tblPrEx>
        <w:trPr>
          <w:jc w:val="center"/>
        </w:trPr>
        <w:tc>
          <w:tcPr>
            <w:tcW w:w="4032" w:type="dxa"/>
            <w:gridSpan w:val="2"/>
            <w:tcBorders>
              <w:top w:val="single" w:sz="12" w:space="0" w:color="auto"/>
              <w:left w:val="single" w:sz="12" w:space="0" w:color="auto"/>
              <w:bottom w:val="single" w:sz="12" w:space="0" w:color="auto"/>
              <w:right w:val="single" w:sz="4" w:space="0" w:color="auto"/>
            </w:tcBorders>
            <w:shd w:val="pct10" w:color="auto" w:fill="auto"/>
          </w:tcPr>
          <w:p w:rsidR="00E97EDA" w:rsidRPr="004125A3" w:rsidP="004C4208">
            <w:pPr>
              <w:spacing w:before="40" w:after="40" w:line="200" w:lineRule="exact"/>
              <w:jc w:val="right"/>
              <w:rPr>
                <w:rFonts w:ascii="FrankRuehl" w:hAnsi="FrankRuehl" w:cs="FrankRuehl"/>
                <w:b/>
                <w:bCs/>
                <w:sz w:val="20"/>
                <w:szCs w:val="20"/>
                <w:rtl/>
                <w:lang w:eastAsia="he-IL"/>
              </w:rPr>
            </w:pPr>
            <w:r w:rsidRPr="004125A3">
              <w:rPr>
                <w:rFonts w:ascii="FrankRuehl" w:hAnsi="FrankRuehl" w:cs="FrankRuehl" w:hint="cs"/>
                <w:b/>
                <w:bCs/>
                <w:sz w:val="20"/>
                <w:szCs w:val="20"/>
                <w:rtl/>
                <w:lang w:eastAsia="he-IL"/>
              </w:rPr>
              <w:t xml:space="preserve">סך הכול מצטבר </w:t>
            </w:r>
            <w:r w:rsidR="004125A3">
              <w:rPr>
                <w:rFonts w:ascii="FrankRuehl" w:hAnsi="FrankRuehl" w:cs="FrankRuehl"/>
                <w:b/>
                <w:bCs/>
                <w:sz w:val="20"/>
                <w:szCs w:val="20"/>
                <w:lang w:eastAsia="he-IL"/>
              </w:rPr>
              <w:br/>
            </w:r>
            <w:r w:rsidRPr="004125A3">
              <w:rPr>
                <w:rFonts w:ascii="FrankRuehl" w:hAnsi="FrankRuehl" w:cs="FrankRuehl" w:hint="cs"/>
                <w:b/>
                <w:bCs/>
                <w:sz w:val="20"/>
                <w:szCs w:val="20"/>
                <w:rtl/>
                <w:lang w:eastAsia="he-IL"/>
              </w:rPr>
              <w:t>(להליכים שהוקצב להם פרק זמן)</w:t>
            </w:r>
          </w:p>
        </w:tc>
        <w:tc>
          <w:tcPr>
            <w:tcW w:w="2376" w:type="dxa"/>
            <w:tcBorders>
              <w:top w:val="single" w:sz="12" w:space="0" w:color="auto"/>
              <w:left w:val="single" w:sz="4" w:space="0" w:color="auto"/>
              <w:bottom w:val="single" w:sz="12" w:space="0" w:color="auto"/>
              <w:right w:val="single" w:sz="4" w:space="0" w:color="auto"/>
            </w:tcBorders>
            <w:shd w:val="pct10" w:color="auto" w:fill="auto"/>
          </w:tcPr>
          <w:p w:rsidR="00E97EDA" w:rsidRPr="004125A3" w:rsidP="004C4208">
            <w:pPr>
              <w:spacing w:before="40" w:after="40" w:line="200" w:lineRule="exact"/>
              <w:rPr>
                <w:rFonts w:ascii="FrankRuehl" w:hAnsi="FrankRuehl" w:cs="FrankRuehl"/>
                <w:b/>
                <w:bCs/>
                <w:sz w:val="20"/>
                <w:szCs w:val="20"/>
                <w:rtl/>
                <w:lang w:eastAsia="he-IL"/>
              </w:rPr>
            </w:pPr>
            <w:r w:rsidRPr="004125A3">
              <w:rPr>
                <w:rFonts w:ascii="FrankRuehl" w:hAnsi="FrankRuehl" w:cs="FrankRuehl" w:hint="cs"/>
                <w:b/>
                <w:bCs/>
                <w:sz w:val="20"/>
                <w:szCs w:val="20"/>
                <w:rtl/>
                <w:lang w:eastAsia="he-IL"/>
              </w:rPr>
              <w:t>21.5 חודשים</w:t>
            </w:r>
          </w:p>
        </w:tc>
        <w:tc>
          <w:tcPr>
            <w:tcW w:w="1944" w:type="dxa"/>
            <w:tcBorders>
              <w:top w:val="single" w:sz="12" w:space="0" w:color="auto"/>
              <w:left w:val="single" w:sz="4" w:space="0" w:color="auto"/>
              <w:bottom w:val="single" w:sz="12" w:space="0" w:color="auto"/>
              <w:right w:val="single" w:sz="12" w:space="0" w:color="auto"/>
            </w:tcBorders>
            <w:shd w:val="pct10" w:color="auto" w:fill="auto"/>
          </w:tcPr>
          <w:p w:rsidR="00E97EDA" w:rsidRPr="004125A3" w:rsidP="004C4208">
            <w:pPr>
              <w:spacing w:before="40" w:after="40" w:line="200" w:lineRule="exact"/>
              <w:rPr>
                <w:rFonts w:ascii="FrankRuehl" w:hAnsi="FrankRuehl" w:cs="FrankRuehl"/>
                <w:b/>
                <w:bCs/>
                <w:sz w:val="20"/>
                <w:szCs w:val="20"/>
                <w:rtl/>
                <w:lang w:eastAsia="he-IL"/>
              </w:rPr>
            </w:pPr>
            <w:r w:rsidRPr="004125A3">
              <w:rPr>
                <w:rFonts w:ascii="FrankRuehl" w:hAnsi="FrankRuehl" w:cs="FrankRuehl" w:hint="cs"/>
                <w:b/>
                <w:bCs/>
                <w:sz w:val="20"/>
                <w:szCs w:val="20"/>
                <w:rtl/>
                <w:lang w:eastAsia="he-IL"/>
              </w:rPr>
              <w:t>כ-10 חודשים</w:t>
            </w:r>
          </w:p>
        </w:tc>
      </w:tr>
    </w:tbl>
    <w:p w:rsidR="00E97EDA" w:rsidRPr="004C4208" w:rsidP="004C4208">
      <w:pPr>
        <w:spacing w:before="120" w:line="200" w:lineRule="exact"/>
        <w:ind w:left="397" w:hanging="397"/>
        <w:jc w:val="both"/>
        <w:rPr>
          <w:rFonts w:cs="FrankRuehl"/>
          <w:sz w:val="20"/>
          <w:szCs w:val="20"/>
          <w:rtl/>
        </w:rPr>
      </w:pPr>
      <w:r w:rsidRPr="004C4208">
        <w:rPr>
          <w:rFonts w:cs="FrankRuehl" w:hint="cs"/>
          <w:sz w:val="20"/>
          <w:szCs w:val="20"/>
          <w:rtl/>
        </w:rPr>
        <w:t xml:space="preserve">* </w:t>
      </w:r>
      <w:r w:rsidR="004C4208">
        <w:rPr>
          <w:rFonts w:cs="FrankRuehl"/>
          <w:sz w:val="20"/>
          <w:szCs w:val="20"/>
        </w:rPr>
        <w:tab/>
      </w:r>
      <w:r w:rsidRPr="004C4208">
        <w:rPr>
          <w:rFonts w:cs="FrankRuehl" w:hint="cs"/>
          <w:sz w:val="20"/>
          <w:szCs w:val="20"/>
          <w:rtl/>
        </w:rPr>
        <w:t>יצוין כי על פי חוק התכנון והבנייה, בטרם הדיון בוועדה המחוזית דנה הוועדה המקומית בתכנית המפורטת ומעבירה את המלצותיה לוועדה המחוזית.</w:t>
      </w:r>
    </w:p>
    <w:p w:rsidR="00E97EDA" w:rsidRPr="004C4208" w:rsidP="004C4208">
      <w:pPr>
        <w:spacing w:line="200" w:lineRule="exact"/>
        <w:ind w:left="397" w:hanging="397"/>
        <w:jc w:val="both"/>
        <w:rPr>
          <w:rFonts w:cs="FrankRuehl"/>
          <w:sz w:val="20"/>
          <w:szCs w:val="20"/>
          <w:rtl/>
        </w:rPr>
      </w:pPr>
      <w:r w:rsidRPr="004C4208">
        <w:rPr>
          <w:rFonts w:cs="FrankRuehl" w:hint="cs"/>
          <w:sz w:val="20"/>
          <w:szCs w:val="20"/>
          <w:rtl/>
        </w:rPr>
        <w:t xml:space="preserve">** </w:t>
      </w:r>
      <w:r w:rsidR="004C4208">
        <w:rPr>
          <w:rFonts w:cs="FrankRuehl"/>
          <w:sz w:val="20"/>
          <w:szCs w:val="20"/>
        </w:rPr>
        <w:tab/>
      </w:r>
      <w:r w:rsidRPr="004C4208">
        <w:rPr>
          <w:rFonts w:cs="FrankRuehl" w:hint="cs"/>
          <w:sz w:val="20"/>
          <w:szCs w:val="20"/>
          <w:rtl/>
        </w:rPr>
        <w:t>כולל הארכות שנקבעו בחוקים להשלמת חלק מהשלבים.</w:t>
      </w:r>
    </w:p>
    <w:p w:rsidR="00E97EDA" w:rsidRPr="004C4208" w:rsidP="004C4208">
      <w:pPr>
        <w:spacing w:after="240" w:line="200" w:lineRule="exact"/>
        <w:ind w:left="397" w:hanging="397"/>
        <w:jc w:val="both"/>
        <w:rPr>
          <w:rFonts w:cs="FrankRuehl"/>
          <w:sz w:val="20"/>
          <w:szCs w:val="20"/>
          <w:rtl/>
        </w:rPr>
      </w:pPr>
      <w:r w:rsidRPr="004C4208">
        <w:rPr>
          <w:rFonts w:cs="FrankRuehl" w:hint="cs"/>
          <w:sz w:val="20"/>
          <w:szCs w:val="20"/>
          <w:rtl/>
        </w:rPr>
        <w:t xml:space="preserve">*** </w:t>
      </w:r>
      <w:r w:rsidR="004C4208">
        <w:rPr>
          <w:rFonts w:cs="FrankRuehl"/>
          <w:sz w:val="20"/>
          <w:szCs w:val="20"/>
        </w:rPr>
        <w:tab/>
      </w:r>
      <w:r w:rsidRPr="004C4208">
        <w:rPr>
          <w:rFonts w:cs="FrankRuehl" w:hint="cs"/>
          <w:sz w:val="20"/>
          <w:szCs w:val="20"/>
          <w:rtl/>
        </w:rPr>
        <w:t>זמנים אלו נוגעים לבדיקתו של מתכננן המחוז, ואין הם כוללים את פרקי הזמן הנדרש ליזמי התכנית לתקן את התכנית, אם נדרשו לכך.</w:t>
      </w:r>
    </w:p>
    <w:p w:rsidR="008C4A30" w:rsidP="008C4A30">
      <w:pPr>
        <w:pStyle w:val="KOT4"/>
        <w:rPr>
          <w:rtl/>
          <w:lang w:eastAsia="he-IL"/>
        </w:rPr>
      </w:pPr>
      <w:r>
        <w:rPr>
          <w:rFonts w:hint="cs"/>
          <w:rtl/>
          <w:lang w:eastAsia="he-IL"/>
        </w:rPr>
        <w:t>משך הליכי התכנון של תכניות מפורטות למגורים</w:t>
      </w:r>
    </w:p>
    <w:p w:rsidR="00E97EDA" w:rsidRPr="00F41E78" w:rsidP="00360C9E">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 xml:space="preserve">1. </w:t>
      </w:r>
      <w:r w:rsidRPr="00F41E78">
        <w:rPr>
          <w:rFonts w:cs="FrankRuehl" w:hint="cs"/>
          <w:sz w:val="18"/>
          <w:szCs w:val="22"/>
          <w:rtl/>
          <w:lang w:eastAsia="he-IL"/>
        </w:rPr>
        <w:tab/>
        <w:t xml:space="preserve">על בסיס נתוני משרד הפנים מאפריל 2013 ניתח משרד מבקר המדינה את התמשכות הליכי התכנון של תכניות מפורטות למגורים שאושרו בשנים 2012-2011. בתקופה זו אישרו מוסדות התכנון 1,390 תכניות שהוסיפו למלאי התכנוני כ-108,000 יח"ד; רוב המלאי התכנוני (כ-80% מיחידות הדיור) נוצר מאישור תכניות הכוללות יותר מ-200 יח"ד (117 תכניות בלבד שהן </w:t>
      </w:r>
      <w:r w:rsidR="00360C9E">
        <w:rPr>
          <w:rFonts w:cs="FrankRuehl"/>
          <w:sz w:val="18"/>
          <w:szCs w:val="22"/>
          <w:lang w:eastAsia="he-IL"/>
        </w:rPr>
        <w:br/>
      </w:r>
      <w:r w:rsidRPr="00F41E78">
        <w:rPr>
          <w:rFonts w:cs="FrankRuehl" w:hint="cs"/>
          <w:sz w:val="18"/>
          <w:szCs w:val="22"/>
          <w:rtl/>
          <w:lang w:eastAsia="he-IL"/>
        </w:rPr>
        <w:t xml:space="preserve">כ-9% מכלל התכניות המפורטות שאושרו בתקופה זו). לכן, הוועדות המחוזיות מטפלות </w:t>
      </w:r>
      <w:r w:rsidRPr="00F41E78">
        <w:rPr>
          <w:rFonts w:cs="FrankRuehl" w:hint="cs"/>
          <w:sz w:val="18"/>
          <w:szCs w:val="22"/>
          <w:rtl/>
          <w:lang w:eastAsia="he-IL"/>
        </w:rPr>
        <w:t xml:space="preserve">במאות תכניות מפורטות שתרומתן למלאי התכנוני שולית (כשליש מהתכניות שנדונו בוועדות המחוזיות לא הוסיפו אף לא יח"ד אחת וכ-40% תרמו כ-3% מיחידות הדיור שנוספו למלאי). </w:t>
      </w:r>
    </w:p>
    <w:p w:rsidR="00E97EDA" w:rsidRPr="00F41E78" w:rsidP="00360C9E">
      <w:pPr>
        <w:spacing w:after="120" w:line="230" w:lineRule="exact"/>
        <w:ind w:left="340"/>
        <w:jc w:val="both"/>
        <w:rPr>
          <w:rFonts w:cs="FrankRuehl"/>
          <w:sz w:val="18"/>
          <w:szCs w:val="22"/>
          <w:rtl/>
          <w:lang w:eastAsia="he-IL"/>
        </w:rPr>
      </w:pPr>
      <w:r w:rsidRPr="00F41E78">
        <w:rPr>
          <w:rFonts w:cs="FrankRuehl" w:hint="cs"/>
          <w:sz w:val="18"/>
          <w:szCs w:val="22"/>
          <w:rtl/>
          <w:lang w:eastAsia="he-IL"/>
        </w:rPr>
        <w:t>להלן נתונים שעיבד משרד מבקר המדינה בנוגע להתמשכות תהליך אישור התכניות המפורטות, מקליטת התכנית ועד פרסום ההחלטה ברשומות, לפי מחוזות משרד הפנים ולפי גודל השינוי במלאי התכנוני.</w:t>
      </w:r>
    </w:p>
    <w:p w:rsidR="00E97EDA" w:rsidRPr="00757918" w:rsidP="00360C9E">
      <w:pPr>
        <w:pStyle w:val="tab-name"/>
        <w:rPr>
          <w:rtl/>
          <w:lang w:eastAsia="he-IL"/>
        </w:rPr>
      </w:pPr>
      <w:r w:rsidRPr="00360C9E">
        <w:rPr>
          <w:rFonts w:hint="cs"/>
          <w:b w:val="0"/>
          <w:bCs w:val="0"/>
          <w:sz w:val="20"/>
          <w:szCs w:val="20"/>
          <w:rtl/>
          <w:lang w:eastAsia="he-IL"/>
        </w:rPr>
        <w:t xml:space="preserve">לוח </w:t>
      </w:r>
      <w:r w:rsidRPr="00360C9E" w:rsidR="00360C9E">
        <w:rPr>
          <w:rFonts w:hint="cs"/>
          <w:b w:val="0"/>
          <w:bCs w:val="0"/>
          <w:sz w:val="20"/>
          <w:szCs w:val="20"/>
          <w:rtl/>
          <w:lang w:eastAsia="he-IL"/>
        </w:rPr>
        <w:t>2</w:t>
      </w:r>
      <w:r w:rsidRPr="00360C9E" w:rsidR="00360C9E">
        <w:rPr>
          <w:b w:val="0"/>
          <w:bCs w:val="0"/>
          <w:sz w:val="20"/>
          <w:szCs w:val="20"/>
          <w:lang w:eastAsia="he-IL"/>
        </w:rPr>
        <w:br/>
      </w:r>
      <w:r w:rsidRPr="00757918">
        <w:rPr>
          <w:rFonts w:hint="cs"/>
          <w:rtl/>
          <w:lang w:eastAsia="he-IL"/>
        </w:rPr>
        <w:t>משך הזמן הממוצע של תהליכי אישור תכניות מפורטות*, לפי מחוזות (בשנים)</w:t>
      </w:r>
    </w:p>
    <w:tbl>
      <w:tblPr>
        <w:bidiVisual/>
        <w:tblW w:w="6691" w:type="dxa"/>
        <w:jc w:val="center"/>
        <w:tblLook w:val="0000"/>
      </w:tblPr>
      <w:tblGrid>
        <w:gridCol w:w="2111"/>
        <w:gridCol w:w="644"/>
        <w:gridCol w:w="569"/>
        <w:gridCol w:w="770"/>
        <w:gridCol w:w="649"/>
        <w:gridCol w:w="621"/>
        <w:gridCol w:w="781"/>
        <w:gridCol w:w="546"/>
      </w:tblGrid>
      <w:tr w:rsidTr="00360C9E">
        <w:tblPrEx>
          <w:tblW w:w="6691" w:type="dxa"/>
          <w:jc w:val="center"/>
          <w:tblLook w:val="0000"/>
        </w:tblPrEx>
        <w:trPr>
          <w:jc w:val="center"/>
        </w:trPr>
        <w:tc>
          <w:tcPr>
            <w:tcW w:w="0" w:type="auto"/>
            <w:tcBorders>
              <w:top w:val="single" w:sz="12" w:space="0" w:color="auto"/>
              <w:left w:val="single" w:sz="12" w:space="0" w:color="auto"/>
              <w:bottom w:val="single" w:sz="12" w:space="0" w:color="auto"/>
              <w:right w:val="single" w:sz="4" w:space="0" w:color="auto"/>
            </w:tcBorders>
            <w:shd w:val="pct10" w:color="auto" w:fill="auto"/>
            <w:noWrap/>
            <w:vAlign w:val="bottom"/>
          </w:tcPr>
          <w:p w:rsidR="00E97EDA" w:rsidRPr="00360C9E" w:rsidP="0040014E">
            <w:pPr>
              <w:spacing w:before="20" w:after="20" w:line="200" w:lineRule="atLeast"/>
              <w:jc w:val="center"/>
              <w:rPr>
                <w:rFonts w:ascii="FrankRuehl" w:hAnsi="FrankRuehl" w:cs="FrankRuehl"/>
                <w:sz w:val="20"/>
                <w:szCs w:val="20"/>
              </w:rPr>
            </w:pPr>
            <w:r w:rsidRPr="00360C9E">
              <w:rPr>
                <w:rFonts w:ascii="FrankRuehl" w:hAnsi="FrankRuehl" w:cs="FrankRuehl" w:hint="cs"/>
                <w:b/>
                <w:bCs/>
                <w:sz w:val="20"/>
                <w:szCs w:val="20"/>
                <w:rtl/>
              </w:rPr>
              <w:t>סוגי תכניות</w:t>
            </w:r>
            <w:r w:rsidR="00360C9E">
              <w:rPr>
                <w:rFonts w:ascii="FrankRuehl" w:hAnsi="FrankRuehl" w:cs="FrankRuehl"/>
                <w:b/>
                <w:bCs/>
                <w:sz w:val="20"/>
                <w:szCs w:val="20"/>
              </w:rPr>
              <w:br/>
            </w:r>
            <w:r w:rsidRPr="00360C9E">
              <w:rPr>
                <w:rFonts w:ascii="FrankRuehl" w:hAnsi="FrankRuehl" w:cs="FrankRuehl" w:hint="cs"/>
                <w:sz w:val="20"/>
                <w:szCs w:val="20"/>
                <w:rtl/>
              </w:rPr>
              <w:t xml:space="preserve">(לפי מספר יחידות </w:t>
            </w:r>
            <w:r w:rsidR="00360C9E">
              <w:rPr>
                <w:rFonts w:ascii="FrankRuehl" w:hAnsi="FrankRuehl" w:cs="FrankRuehl"/>
                <w:sz w:val="20"/>
                <w:szCs w:val="20"/>
              </w:rPr>
              <w:br/>
            </w:r>
            <w:r w:rsidRPr="00360C9E">
              <w:rPr>
                <w:rFonts w:ascii="FrankRuehl" w:hAnsi="FrankRuehl" w:cs="FrankRuehl" w:hint="cs"/>
                <w:sz w:val="20"/>
                <w:szCs w:val="20"/>
                <w:rtl/>
              </w:rPr>
              <w:t>הדיור שהוסיפו התכניות)</w:t>
            </w:r>
          </w:p>
        </w:tc>
        <w:tc>
          <w:tcPr>
            <w:tcW w:w="0" w:type="auto"/>
            <w:tcBorders>
              <w:top w:val="single" w:sz="12" w:space="0" w:color="auto"/>
              <w:left w:val="single" w:sz="4" w:space="0" w:color="auto"/>
              <w:bottom w:val="single" w:sz="12" w:space="0" w:color="auto"/>
              <w:right w:val="single" w:sz="4" w:space="0" w:color="auto"/>
            </w:tcBorders>
            <w:shd w:val="pct10" w:color="auto" w:fill="auto"/>
            <w:noWrap/>
            <w:vAlign w:val="bottom"/>
          </w:tcPr>
          <w:p w:rsidR="00E97EDA" w:rsidRPr="00360C9E" w:rsidP="0040014E">
            <w:pPr>
              <w:spacing w:before="20" w:after="20" w:line="200" w:lineRule="atLeast"/>
              <w:jc w:val="center"/>
              <w:rPr>
                <w:rFonts w:ascii="FrankRuehl" w:hAnsi="FrankRuehl" w:cs="FrankRuehl"/>
                <w:b/>
                <w:bCs/>
                <w:sz w:val="20"/>
                <w:szCs w:val="20"/>
              </w:rPr>
            </w:pPr>
            <w:r w:rsidRPr="00360C9E">
              <w:rPr>
                <w:rFonts w:ascii="FrankRuehl" w:hAnsi="FrankRuehl" w:cs="FrankRuehl" w:hint="cs"/>
                <w:b/>
                <w:bCs/>
                <w:sz w:val="20"/>
                <w:szCs w:val="20"/>
                <w:rtl/>
              </w:rPr>
              <w:t>הדרום</w:t>
            </w:r>
          </w:p>
        </w:tc>
        <w:tc>
          <w:tcPr>
            <w:tcW w:w="0" w:type="auto"/>
            <w:tcBorders>
              <w:top w:val="single" w:sz="12" w:space="0" w:color="auto"/>
              <w:left w:val="single" w:sz="4" w:space="0" w:color="auto"/>
              <w:bottom w:val="single" w:sz="12" w:space="0" w:color="auto"/>
              <w:right w:val="single" w:sz="4" w:space="0" w:color="auto"/>
            </w:tcBorders>
            <w:shd w:val="pct10" w:color="auto" w:fill="auto"/>
            <w:noWrap/>
            <w:vAlign w:val="bottom"/>
          </w:tcPr>
          <w:p w:rsidR="00E97EDA" w:rsidRPr="00360C9E" w:rsidP="0040014E">
            <w:pPr>
              <w:spacing w:before="20" w:after="20" w:line="200" w:lineRule="atLeast"/>
              <w:jc w:val="center"/>
              <w:rPr>
                <w:rFonts w:ascii="FrankRuehl" w:hAnsi="FrankRuehl" w:cs="FrankRuehl"/>
                <w:b/>
                <w:bCs/>
                <w:sz w:val="20"/>
                <w:szCs w:val="20"/>
              </w:rPr>
            </w:pPr>
            <w:r w:rsidRPr="00360C9E">
              <w:rPr>
                <w:rFonts w:ascii="FrankRuehl" w:hAnsi="FrankRuehl" w:cs="FrankRuehl" w:hint="cs"/>
                <w:b/>
                <w:bCs/>
                <w:sz w:val="20"/>
                <w:szCs w:val="20"/>
                <w:rtl/>
              </w:rPr>
              <w:t>חיפה</w:t>
            </w:r>
          </w:p>
        </w:tc>
        <w:tc>
          <w:tcPr>
            <w:tcW w:w="0" w:type="auto"/>
            <w:tcBorders>
              <w:top w:val="single" w:sz="12" w:space="0" w:color="auto"/>
              <w:left w:val="single" w:sz="4" w:space="0" w:color="auto"/>
              <w:bottom w:val="single" w:sz="12" w:space="0" w:color="auto"/>
              <w:right w:val="single" w:sz="4" w:space="0" w:color="auto"/>
            </w:tcBorders>
            <w:shd w:val="pct10" w:color="auto" w:fill="auto"/>
            <w:noWrap/>
            <w:vAlign w:val="bottom"/>
          </w:tcPr>
          <w:p w:rsidR="00E97EDA" w:rsidRPr="00360C9E" w:rsidP="0040014E">
            <w:pPr>
              <w:spacing w:before="20" w:after="20" w:line="200" w:lineRule="atLeast"/>
              <w:jc w:val="center"/>
              <w:rPr>
                <w:rFonts w:ascii="FrankRuehl" w:hAnsi="FrankRuehl" w:cs="FrankRuehl"/>
                <w:b/>
                <w:bCs/>
                <w:sz w:val="20"/>
                <w:szCs w:val="20"/>
              </w:rPr>
            </w:pPr>
            <w:r w:rsidRPr="00360C9E">
              <w:rPr>
                <w:rFonts w:ascii="FrankRuehl" w:hAnsi="FrankRuehl" w:cs="FrankRuehl" w:hint="cs"/>
                <w:b/>
                <w:bCs/>
                <w:sz w:val="20"/>
                <w:szCs w:val="20"/>
                <w:rtl/>
              </w:rPr>
              <w:t>ירושלים</w:t>
            </w:r>
          </w:p>
        </w:tc>
        <w:tc>
          <w:tcPr>
            <w:tcW w:w="0" w:type="auto"/>
            <w:tcBorders>
              <w:top w:val="single" w:sz="12" w:space="0" w:color="auto"/>
              <w:left w:val="single" w:sz="4" w:space="0" w:color="auto"/>
              <w:bottom w:val="single" w:sz="12" w:space="0" w:color="auto"/>
              <w:right w:val="single" w:sz="4" w:space="0" w:color="auto"/>
            </w:tcBorders>
            <w:shd w:val="pct10" w:color="auto" w:fill="auto"/>
            <w:noWrap/>
            <w:vAlign w:val="bottom"/>
          </w:tcPr>
          <w:p w:rsidR="00E97EDA" w:rsidRPr="00360C9E" w:rsidP="0040014E">
            <w:pPr>
              <w:spacing w:before="20" w:after="20" w:line="200" w:lineRule="atLeast"/>
              <w:jc w:val="center"/>
              <w:rPr>
                <w:rFonts w:ascii="FrankRuehl" w:hAnsi="FrankRuehl" w:cs="FrankRuehl"/>
                <w:b/>
                <w:bCs/>
                <w:sz w:val="20"/>
                <w:szCs w:val="20"/>
              </w:rPr>
            </w:pPr>
            <w:r w:rsidRPr="00360C9E">
              <w:rPr>
                <w:rFonts w:ascii="FrankRuehl" w:hAnsi="FrankRuehl" w:cs="FrankRuehl" w:hint="cs"/>
                <w:b/>
                <w:bCs/>
                <w:sz w:val="20"/>
                <w:szCs w:val="20"/>
                <w:rtl/>
              </w:rPr>
              <w:t>המרכז</w:t>
            </w:r>
          </w:p>
        </w:tc>
        <w:tc>
          <w:tcPr>
            <w:tcW w:w="0" w:type="auto"/>
            <w:tcBorders>
              <w:top w:val="single" w:sz="12" w:space="0" w:color="auto"/>
              <w:left w:val="single" w:sz="4" w:space="0" w:color="auto"/>
              <w:bottom w:val="single" w:sz="12" w:space="0" w:color="auto"/>
              <w:right w:val="single" w:sz="4" w:space="0" w:color="auto"/>
            </w:tcBorders>
            <w:shd w:val="pct10" w:color="auto" w:fill="auto"/>
            <w:noWrap/>
            <w:vAlign w:val="bottom"/>
          </w:tcPr>
          <w:p w:rsidR="00E97EDA" w:rsidRPr="00360C9E" w:rsidP="0040014E">
            <w:pPr>
              <w:spacing w:before="20" w:after="20" w:line="200" w:lineRule="atLeast"/>
              <w:jc w:val="center"/>
              <w:rPr>
                <w:rFonts w:ascii="FrankRuehl" w:hAnsi="FrankRuehl" w:cs="FrankRuehl"/>
                <w:b/>
                <w:bCs/>
                <w:sz w:val="20"/>
                <w:szCs w:val="20"/>
              </w:rPr>
            </w:pPr>
            <w:r w:rsidRPr="00360C9E">
              <w:rPr>
                <w:rFonts w:ascii="FrankRuehl" w:hAnsi="FrankRuehl" w:cs="FrankRuehl" w:hint="cs"/>
                <w:b/>
                <w:bCs/>
                <w:sz w:val="20"/>
                <w:szCs w:val="20"/>
                <w:rtl/>
              </w:rPr>
              <w:t>הצפון</w:t>
            </w:r>
          </w:p>
        </w:tc>
        <w:tc>
          <w:tcPr>
            <w:tcW w:w="0" w:type="auto"/>
            <w:tcBorders>
              <w:top w:val="single" w:sz="12" w:space="0" w:color="auto"/>
              <w:left w:val="single" w:sz="4" w:space="0" w:color="auto"/>
              <w:bottom w:val="single" w:sz="12" w:space="0" w:color="auto"/>
              <w:right w:val="single" w:sz="4" w:space="0" w:color="auto"/>
            </w:tcBorders>
            <w:shd w:val="pct10" w:color="auto" w:fill="auto"/>
            <w:noWrap/>
            <w:vAlign w:val="bottom"/>
          </w:tcPr>
          <w:p w:rsidR="00E97EDA" w:rsidRPr="00360C9E" w:rsidP="0040014E">
            <w:pPr>
              <w:spacing w:before="20" w:after="20" w:line="200" w:lineRule="atLeast"/>
              <w:jc w:val="center"/>
              <w:rPr>
                <w:rFonts w:ascii="FrankRuehl" w:hAnsi="FrankRuehl" w:cs="FrankRuehl"/>
                <w:b/>
                <w:bCs/>
                <w:sz w:val="20"/>
                <w:szCs w:val="20"/>
              </w:rPr>
            </w:pPr>
            <w:r w:rsidRPr="00360C9E">
              <w:rPr>
                <w:rFonts w:ascii="FrankRuehl" w:hAnsi="FrankRuehl" w:cs="FrankRuehl" w:hint="cs"/>
                <w:b/>
                <w:bCs/>
                <w:sz w:val="20"/>
                <w:szCs w:val="20"/>
                <w:rtl/>
              </w:rPr>
              <w:t>תל אביב</w:t>
            </w:r>
          </w:p>
        </w:tc>
        <w:tc>
          <w:tcPr>
            <w:tcW w:w="0" w:type="auto"/>
            <w:tcBorders>
              <w:top w:val="single" w:sz="12" w:space="0" w:color="auto"/>
              <w:left w:val="single" w:sz="4" w:space="0" w:color="auto"/>
              <w:bottom w:val="single" w:sz="12" w:space="0" w:color="auto"/>
              <w:right w:val="single" w:sz="12" w:space="0" w:color="auto"/>
            </w:tcBorders>
            <w:shd w:val="pct10" w:color="auto" w:fill="auto"/>
            <w:vAlign w:val="bottom"/>
          </w:tcPr>
          <w:p w:rsidR="00E97EDA" w:rsidRPr="00360C9E" w:rsidP="0040014E">
            <w:pPr>
              <w:spacing w:before="20" w:after="20" w:line="200" w:lineRule="atLeast"/>
              <w:jc w:val="center"/>
              <w:rPr>
                <w:rFonts w:ascii="FrankRuehl" w:hAnsi="FrankRuehl" w:cs="FrankRuehl"/>
                <w:b/>
                <w:bCs/>
                <w:sz w:val="20"/>
                <w:szCs w:val="20"/>
              </w:rPr>
            </w:pPr>
            <w:r w:rsidRPr="00360C9E">
              <w:rPr>
                <w:rFonts w:ascii="FrankRuehl" w:hAnsi="FrankRuehl" w:cs="FrankRuehl" w:hint="cs"/>
                <w:b/>
                <w:bCs/>
                <w:sz w:val="20"/>
                <w:szCs w:val="20"/>
                <w:rtl/>
              </w:rPr>
              <w:t>ארצי</w:t>
            </w:r>
          </w:p>
        </w:tc>
      </w:tr>
      <w:tr w:rsidTr="005F4575">
        <w:tblPrEx>
          <w:tblW w:w="6691" w:type="dxa"/>
          <w:jc w:val="center"/>
          <w:tblLook w:val="0000"/>
        </w:tblPrEx>
        <w:trPr>
          <w:jc w:val="center"/>
        </w:trPr>
        <w:tc>
          <w:tcPr>
            <w:tcW w:w="0" w:type="auto"/>
            <w:tcBorders>
              <w:top w:val="single" w:sz="8" w:space="0" w:color="auto"/>
              <w:left w:val="single" w:sz="12" w:space="0" w:color="auto"/>
              <w:bottom w:val="single" w:sz="4" w:space="0" w:color="auto"/>
              <w:right w:val="single" w:sz="4" w:space="0" w:color="auto"/>
            </w:tcBorders>
            <w:shd w:val="clear" w:color="auto" w:fill="auto"/>
            <w:noWrap/>
            <w:vAlign w:val="center"/>
          </w:tcPr>
          <w:p w:rsidR="005F4575" w:rsidRPr="00360C9E" w:rsidP="0040014E">
            <w:pPr>
              <w:spacing w:before="20" w:after="20" w:line="200" w:lineRule="atLeast"/>
              <w:rPr>
                <w:rFonts w:ascii="FrankRuehl" w:hAnsi="FrankRuehl" w:cs="FrankRuehl"/>
                <w:b/>
                <w:bCs/>
                <w:sz w:val="20"/>
                <w:szCs w:val="20"/>
                <w:rtl/>
              </w:rPr>
            </w:pPr>
            <w:r w:rsidRPr="00360C9E">
              <w:rPr>
                <w:rFonts w:ascii="FrankRuehl" w:hAnsi="FrankRuehl" w:cs="FrankRuehl" w:hint="cs"/>
                <w:b/>
                <w:bCs/>
                <w:sz w:val="20"/>
                <w:szCs w:val="20"/>
                <w:rtl/>
              </w:rPr>
              <w:t xml:space="preserve">תכניות שהוסיפו יותר מ-200 </w:t>
            </w:r>
            <w:r>
              <w:rPr>
                <w:rFonts w:ascii="FrankRuehl" w:hAnsi="FrankRuehl" w:cs="FrankRuehl"/>
                <w:b/>
                <w:bCs/>
                <w:sz w:val="20"/>
                <w:szCs w:val="20"/>
                <w:rtl/>
              </w:rPr>
              <w:br/>
            </w:r>
            <w:r w:rsidRPr="00360C9E">
              <w:rPr>
                <w:rFonts w:ascii="FrankRuehl" w:hAnsi="FrankRuehl" w:cs="FrankRuehl" w:hint="cs"/>
                <w:b/>
                <w:bCs/>
                <w:sz w:val="20"/>
                <w:szCs w:val="20"/>
                <w:rtl/>
              </w:rPr>
              <w:t>יח"ד (ממוצע משוקלל)</w:t>
            </w:r>
          </w:p>
        </w:tc>
        <w:tc>
          <w:tcPr>
            <w:tcW w:w="0" w:type="auto"/>
            <w:tcBorders>
              <w:top w:val="single" w:sz="8" w:space="0" w:color="auto"/>
              <w:left w:val="single" w:sz="4" w:space="0" w:color="auto"/>
              <w:bottom w:val="single" w:sz="4" w:space="0" w:color="auto"/>
              <w:right w:val="single" w:sz="4" w:space="0" w:color="auto"/>
            </w:tcBorders>
            <w:shd w:val="clear" w:color="auto" w:fill="auto"/>
            <w:noWrap/>
          </w:tcPr>
          <w:p w:rsidR="005F4575" w:rsidRPr="00360C9E" w:rsidP="005F4575">
            <w:pPr>
              <w:spacing w:before="20" w:after="20" w:line="200" w:lineRule="atLeast"/>
              <w:rPr>
                <w:rFonts w:ascii="FrankRuehl" w:hAnsi="FrankRuehl" w:cs="FrankRuehl"/>
                <w:b/>
                <w:bCs/>
                <w:sz w:val="20"/>
                <w:szCs w:val="20"/>
                <w:rtl/>
              </w:rPr>
            </w:pPr>
            <w:r w:rsidRPr="00360C9E">
              <w:rPr>
                <w:rFonts w:ascii="FrankRuehl" w:hAnsi="FrankRuehl" w:cs="FrankRuehl" w:hint="cs"/>
                <w:b/>
                <w:bCs/>
                <w:sz w:val="20"/>
                <w:szCs w:val="20"/>
              </w:rPr>
              <w:t>3.</w:t>
            </w:r>
            <w:r>
              <w:rPr>
                <w:rFonts w:ascii="FrankRuehl" w:hAnsi="FrankRuehl" w:cs="FrankRuehl"/>
                <w:b/>
                <w:bCs/>
                <w:sz w:val="20"/>
                <w:szCs w:val="20"/>
              </w:rPr>
              <w:t>2</w:t>
            </w:r>
          </w:p>
        </w:tc>
        <w:tc>
          <w:tcPr>
            <w:tcW w:w="0" w:type="auto"/>
            <w:tcBorders>
              <w:top w:val="single" w:sz="8" w:space="0" w:color="auto"/>
              <w:left w:val="single" w:sz="4" w:space="0" w:color="auto"/>
              <w:bottom w:val="single" w:sz="4" w:space="0" w:color="auto"/>
              <w:right w:val="single" w:sz="4" w:space="0" w:color="auto"/>
            </w:tcBorders>
            <w:shd w:val="clear" w:color="auto" w:fill="auto"/>
            <w:noWrap/>
          </w:tcPr>
          <w:p w:rsidR="005F4575" w:rsidRPr="00360C9E" w:rsidP="0040014E">
            <w:pPr>
              <w:spacing w:before="20" w:after="20" w:line="200" w:lineRule="atLeast"/>
              <w:rPr>
                <w:rFonts w:ascii="FrankRuehl" w:hAnsi="FrankRuehl" w:cs="FrankRuehl"/>
                <w:b/>
                <w:bCs/>
                <w:sz w:val="20"/>
                <w:szCs w:val="20"/>
              </w:rPr>
            </w:pPr>
            <w:r w:rsidRPr="00360C9E">
              <w:rPr>
                <w:rFonts w:ascii="FrankRuehl" w:hAnsi="FrankRuehl" w:cs="FrankRuehl" w:hint="cs"/>
                <w:b/>
                <w:bCs/>
                <w:sz w:val="20"/>
                <w:szCs w:val="20"/>
              </w:rPr>
              <w:t>6.4</w:t>
            </w:r>
          </w:p>
        </w:tc>
        <w:tc>
          <w:tcPr>
            <w:tcW w:w="0" w:type="auto"/>
            <w:tcBorders>
              <w:top w:val="single" w:sz="8" w:space="0" w:color="auto"/>
              <w:left w:val="single" w:sz="4" w:space="0" w:color="auto"/>
              <w:bottom w:val="single" w:sz="4" w:space="0" w:color="auto"/>
              <w:right w:val="single" w:sz="4" w:space="0" w:color="auto"/>
            </w:tcBorders>
            <w:shd w:val="clear" w:color="auto" w:fill="auto"/>
            <w:noWrap/>
          </w:tcPr>
          <w:p w:rsidR="005F4575" w:rsidRPr="00360C9E" w:rsidP="0040014E">
            <w:pPr>
              <w:spacing w:before="20" w:after="20" w:line="200" w:lineRule="atLeast"/>
              <w:rPr>
                <w:rFonts w:ascii="FrankRuehl" w:hAnsi="FrankRuehl" w:cs="FrankRuehl"/>
                <w:b/>
                <w:bCs/>
                <w:sz w:val="20"/>
                <w:szCs w:val="20"/>
              </w:rPr>
            </w:pPr>
            <w:r w:rsidRPr="00360C9E">
              <w:rPr>
                <w:rFonts w:ascii="FrankRuehl" w:hAnsi="FrankRuehl" w:cs="FrankRuehl" w:hint="cs"/>
                <w:b/>
                <w:bCs/>
                <w:sz w:val="20"/>
                <w:szCs w:val="20"/>
              </w:rPr>
              <w:t>5.0</w:t>
            </w:r>
          </w:p>
        </w:tc>
        <w:tc>
          <w:tcPr>
            <w:tcW w:w="0" w:type="auto"/>
            <w:tcBorders>
              <w:top w:val="single" w:sz="8" w:space="0" w:color="auto"/>
              <w:left w:val="single" w:sz="4" w:space="0" w:color="auto"/>
              <w:bottom w:val="single" w:sz="4" w:space="0" w:color="auto"/>
              <w:right w:val="single" w:sz="4" w:space="0" w:color="auto"/>
            </w:tcBorders>
            <w:shd w:val="clear" w:color="auto" w:fill="auto"/>
            <w:noWrap/>
          </w:tcPr>
          <w:p w:rsidR="005F4575" w:rsidRPr="00360C9E" w:rsidP="005F4575">
            <w:pPr>
              <w:spacing w:before="20" w:after="20" w:line="200" w:lineRule="atLeast"/>
              <w:rPr>
                <w:rFonts w:ascii="FrankRuehl" w:hAnsi="FrankRuehl" w:cs="FrankRuehl"/>
                <w:b/>
                <w:bCs/>
                <w:sz w:val="20"/>
                <w:szCs w:val="20"/>
                <w:rtl/>
              </w:rPr>
            </w:pPr>
            <w:r>
              <w:rPr>
                <w:rFonts w:ascii="FrankRuehl" w:hAnsi="FrankRuehl" w:cs="FrankRuehl"/>
                <w:b/>
                <w:bCs/>
                <w:sz w:val="20"/>
                <w:szCs w:val="20"/>
              </w:rPr>
              <w:t>8</w:t>
            </w:r>
            <w:r w:rsidRPr="00360C9E">
              <w:rPr>
                <w:rFonts w:ascii="FrankRuehl" w:hAnsi="FrankRuehl" w:cs="FrankRuehl" w:hint="cs"/>
                <w:b/>
                <w:bCs/>
                <w:sz w:val="20"/>
                <w:szCs w:val="20"/>
              </w:rPr>
              <w:t>.</w:t>
            </w:r>
            <w:r>
              <w:rPr>
                <w:rFonts w:ascii="FrankRuehl" w:hAnsi="FrankRuehl" w:cs="FrankRuehl"/>
                <w:b/>
                <w:bCs/>
                <w:sz w:val="20"/>
                <w:szCs w:val="20"/>
              </w:rPr>
              <w:t>0</w:t>
            </w:r>
          </w:p>
        </w:tc>
        <w:tc>
          <w:tcPr>
            <w:tcW w:w="0" w:type="auto"/>
            <w:tcBorders>
              <w:top w:val="single" w:sz="8" w:space="0" w:color="auto"/>
              <w:left w:val="single" w:sz="4" w:space="0" w:color="auto"/>
              <w:bottom w:val="single" w:sz="4" w:space="0" w:color="auto"/>
              <w:right w:val="single" w:sz="4" w:space="0" w:color="auto"/>
            </w:tcBorders>
            <w:shd w:val="clear" w:color="auto" w:fill="auto"/>
            <w:noWrap/>
          </w:tcPr>
          <w:p w:rsidR="005F4575" w:rsidRPr="00360C9E" w:rsidP="005F4575">
            <w:pPr>
              <w:spacing w:before="20" w:after="20" w:line="200" w:lineRule="atLeast"/>
              <w:rPr>
                <w:rFonts w:ascii="FrankRuehl" w:hAnsi="FrankRuehl" w:cs="FrankRuehl"/>
                <w:b/>
                <w:bCs/>
                <w:sz w:val="20"/>
                <w:szCs w:val="20"/>
              </w:rPr>
            </w:pPr>
            <w:r>
              <w:rPr>
                <w:rFonts w:ascii="FrankRuehl" w:hAnsi="FrankRuehl" w:cs="FrankRuehl"/>
                <w:b/>
                <w:bCs/>
                <w:sz w:val="20"/>
                <w:szCs w:val="20"/>
              </w:rPr>
              <w:t>6</w:t>
            </w:r>
            <w:r w:rsidRPr="00360C9E">
              <w:rPr>
                <w:rFonts w:ascii="FrankRuehl" w:hAnsi="FrankRuehl" w:cs="FrankRuehl" w:hint="cs"/>
                <w:b/>
                <w:bCs/>
                <w:sz w:val="20"/>
                <w:szCs w:val="20"/>
              </w:rPr>
              <w:t>.</w:t>
            </w:r>
            <w:r>
              <w:rPr>
                <w:rFonts w:ascii="FrankRuehl" w:hAnsi="FrankRuehl" w:cs="FrankRuehl"/>
                <w:b/>
                <w:bCs/>
                <w:sz w:val="20"/>
                <w:szCs w:val="20"/>
              </w:rPr>
              <w:t>5</w:t>
            </w:r>
          </w:p>
        </w:tc>
        <w:tc>
          <w:tcPr>
            <w:tcW w:w="0" w:type="auto"/>
            <w:tcBorders>
              <w:top w:val="single" w:sz="8" w:space="0" w:color="auto"/>
              <w:left w:val="single" w:sz="4" w:space="0" w:color="auto"/>
              <w:bottom w:val="single" w:sz="4" w:space="0" w:color="auto"/>
              <w:right w:val="single" w:sz="4" w:space="0" w:color="auto"/>
            </w:tcBorders>
            <w:shd w:val="clear" w:color="auto" w:fill="auto"/>
            <w:noWrap/>
          </w:tcPr>
          <w:p w:rsidR="005F4575" w:rsidRPr="00360C9E" w:rsidP="0040014E">
            <w:pPr>
              <w:spacing w:before="20" w:after="20" w:line="200" w:lineRule="atLeast"/>
              <w:rPr>
                <w:rFonts w:ascii="FrankRuehl" w:hAnsi="FrankRuehl" w:cs="FrankRuehl"/>
                <w:b/>
                <w:bCs/>
                <w:sz w:val="20"/>
                <w:szCs w:val="20"/>
                <w:rtl/>
              </w:rPr>
            </w:pPr>
            <w:r w:rsidRPr="00360C9E">
              <w:rPr>
                <w:rFonts w:ascii="FrankRuehl" w:hAnsi="FrankRuehl" w:cs="FrankRuehl" w:hint="cs"/>
                <w:b/>
                <w:bCs/>
                <w:sz w:val="20"/>
                <w:szCs w:val="20"/>
              </w:rPr>
              <w:t>3.6</w:t>
            </w:r>
          </w:p>
        </w:tc>
        <w:tc>
          <w:tcPr>
            <w:tcW w:w="0" w:type="auto"/>
            <w:tcBorders>
              <w:top w:val="single" w:sz="8" w:space="0" w:color="auto"/>
              <w:left w:val="single" w:sz="4" w:space="0" w:color="auto"/>
              <w:bottom w:val="single" w:sz="4" w:space="0" w:color="auto"/>
              <w:right w:val="single" w:sz="12" w:space="0" w:color="auto"/>
            </w:tcBorders>
            <w:shd w:val="clear" w:color="auto" w:fill="auto"/>
            <w:noWrap/>
          </w:tcPr>
          <w:p w:rsidR="005F4575" w:rsidRPr="00360C9E" w:rsidP="005F4575">
            <w:pPr>
              <w:spacing w:before="20" w:after="20" w:line="200" w:lineRule="atLeast"/>
              <w:rPr>
                <w:rFonts w:ascii="FrankRuehl" w:hAnsi="FrankRuehl" w:cs="FrankRuehl"/>
                <w:b/>
                <w:bCs/>
                <w:sz w:val="20"/>
                <w:szCs w:val="20"/>
              </w:rPr>
            </w:pPr>
            <w:r w:rsidRPr="00360C9E">
              <w:rPr>
                <w:rFonts w:ascii="FrankRuehl" w:hAnsi="FrankRuehl" w:cs="FrankRuehl" w:hint="cs"/>
                <w:b/>
                <w:bCs/>
                <w:sz w:val="20"/>
                <w:szCs w:val="20"/>
              </w:rPr>
              <w:t>5.</w:t>
            </w:r>
            <w:r>
              <w:rPr>
                <w:rFonts w:ascii="FrankRuehl" w:hAnsi="FrankRuehl" w:cs="FrankRuehl"/>
                <w:b/>
                <w:bCs/>
                <w:sz w:val="20"/>
                <w:szCs w:val="20"/>
              </w:rPr>
              <w:t>8</w:t>
            </w:r>
          </w:p>
        </w:tc>
      </w:tr>
      <w:tr w:rsidTr="005F4575">
        <w:tblPrEx>
          <w:tblW w:w="6691" w:type="dxa"/>
          <w:jc w:val="center"/>
          <w:tblLook w:val="0000"/>
        </w:tblPrEx>
        <w:trPr>
          <w:jc w:val="center"/>
        </w:trPr>
        <w:tc>
          <w:tcPr>
            <w:tcW w:w="0" w:type="auto"/>
            <w:tcBorders>
              <w:top w:val="single" w:sz="4" w:space="0" w:color="auto"/>
              <w:left w:val="single" w:sz="12" w:space="0" w:color="auto"/>
              <w:bottom w:val="single" w:sz="12" w:space="0" w:color="auto"/>
              <w:right w:val="single" w:sz="4" w:space="0" w:color="auto"/>
            </w:tcBorders>
            <w:shd w:val="clear" w:color="auto" w:fill="auto"/>
            <w:noWrap/>
            <w:vAlign w:val="center"/>
          </w:tcPr>
          <w:p w:rsidR="00E97EDA" w:rsidRPr="008C4A30" w:rsidP="0040014E">
            <w:pPr>
              <w:spacing w:before="20" w:after="20" w:line="200" w:lineRule="atLeast"/>
              <w:rPr>
                <w:rFonts w:ascii="FrankRuehl" w:hAnsi="FrankRuehl" w:cs="FrankRuehl"/>
                <w:b/>
                <w:bCs/>
                <w:sz w:val="20"/>
                <w:szCs w:val="20"/>
              </w:rPr>
            </w:pPr>
            <w:r w:rsidRPr="008C4A30">
              <w:rPr>
                <w:rFonts w:ascii="FrankRuehl" w:hAnsi="FrankRuehl" w:cs="FrankRuehl" w:hint="cs"/>
                <w:b/>
                <w:bCs/>
                <w:sz w:val="20"/>
                <w:szCs w:val="20"/>
                <w:rtl/>
              </w:rPr>
              <w:t>כל התכניות</w:t>
            </w:r>
            <w:r w:rsidRPr="008C4A30" w:rsidR="00360C9E">
              <w:rPr>
                <w:rFonts w:ascii="FrankRuehl" w:hAnsi="FrankRuehl" w:cs="FrankRuehl"/>
                <w:b/>
                <w:bCs/>
                <w:sz w:val="20"/>
                <w:szCs w:val="20"/>
              </w:rPr>
              <w:br/>
            </w:r>
            <w:r w:rsidRPr="008C4A30">
              <w:rPr>
                <w:rFonts w:ascii="FrankRuehl" w:hAnsi="FrankRuehl" w:cs="FrankRuehl" w:hint="cs"/>
                <w:b/>
                <w:bCs/>
                <w:sz w:val="20"/>
                <w:szCs w:val="20"/>
                <w:rtl/>
              </w:rPr>
              <w:t>(ללא תכניות שגרעו יח"ד)</w:t>
            </w:r>
          </w:p>
        </w:tc>
        <w:tc>
          <w:tcPr>
            <w:tcW w:w="0" w:type="auto"/>
            <w:tcBorders>
              <w:top w:val="single" w:sz="4" w:space="0" w:color="auto"/>
              <w:left w:val="single" w:sz="4" w:space="0" w:color="auto"/>
              <w:bottom w:val="single" w:sz="12" w:space="0" w:color="auto"/>
              <w:right w:val="single" w:sz="4" w:space="0" w:color="auto"/>
            </w:tcBorders>
            <w:shd w:val="clear" w:color="auto" w:fill="auto"/>
            <w:noWrap/>
          </w:tcPr>
          <w:p w:rsidR="00E97EDA" w:rsidRPr="008C4A30" w:rsidP="0040014E">
            <w:pPr>
              <w:spacing w:before="20" w:after="20" w:line="200" w:lineRule="atLeast"/>
              <w:rPr>
                <w:rFonts w:ascii="FrankRuehl" w:hAnsi="FrankRuehl" w:cs="FrankRuehl"/>
                <w:b/>
                <w:bCs/>
                <w:sz w:val="20"/>
                <w:szCs w:val="20"/>
              </w:rPr>
            </w:pPr>
            <w:r w:rsidRPr="008C4A30">
              <w:rPr>
                <w:rFonts w:ascii="FrankRuehl" w:hAnsi="FrankRuehl" w:cs="FrankRuehl" w:hint="cs"/>
                <w:b/>
                <w:bCs/>
                <w:sz w:val="20"/>
                <w:szCs w:val="20"/>
              </w:rPr>
              <w:t>2.5</w:t>
            </w:r>
          </w:p>
        </w:tc>
        <w:tc>
          <w:tcPr>
            <w:tcW w:w="0" w:type="auto"/>
            <w:tcBorders>
              <w:top w:val="single" w:sz="4" w:space="0" w:color="auto"/>
              <w:left w:val="single" w:sz="4" w:space="0" w:color="auto"/>
              <w:bottom w:val="single" w:sz="12" w:space="0" w:color="auto"/>
              <w:right w:val="single" w:sz="4" w:space="0" w:color="auto"/>
            </w:tcBorders>
            <w:shd w:val="clear" w:color="auto" w:fill="auto"/>
            <w:noWrap/>
          </w:tcPr>
          <w:p w:rsidR="00E97EDA" w:rsidRPr="008C4A30" w:rsidP="0040014E">
            <w:pPr>
              <w:spacing w:before="20" w:after="20" w:line="200" w:lineRule="atLeast"/>
              <w:rPr>
                <w:rFonts w:ascii="FrankRuehl" w:hAnsi="FrankRuehl" w:cs="FrankRuehl"/>
                <w:b/>
                <w:bCs/>
                <w:sz w:val="20"/>
                <w:szCs w:val="20"/>
              </w:rPr>
            </w:pPr>
            <w:r w:rsidRPr="008C4A30">
              <w:rPr>
                <w:rFonts w:ascii="FrankRuehl" w:hAnsi="FrankRuehl" w:cs="FrankRuehl" w:hint="cs"/>
                <w:b/>
                <w:bCs/>
                <w:sz w:val="20"/>
                <w:szCs w:val="20"/>
              </w:rPr>
              <w:t>4.3</w:t>
            </w:r>
          </w:p>
        </w:tc>
        <w:tc>
          <w:tcPr>
            <w:tcW w:w="0" w:type="auto"/>
            <w:tcBorders>
              <w:top w:val="single" w:sz="4" w:space="0" w:color="auto"/>
              <w:left w:val="single" w:sz="4" w:space="0" w:color="auto"/>
              <w:bottom w:val="single" w:sz="12" w:space="0" w:color="auto"/>
              <w:right w:val="single" w:sz="4" w:space="0" w:color="auto"/>
            </w:tcBorders>
            <w:shd w:val="clear" w:color="auto" w:fill="auto"/>
            <w:noWrap/>
          </w:tcPr>
          <w:p w:rsidR="00E97EDA" w:rsidRPr="008C4A30" w:rsidP="0040014E">
            <w:pPr>
              <w:spacing w:before="20" w:after="20" w:line="200" w:lineRule="atLeast"/>
              <w:rPr>
                <w:rFonts w:ascii="FrankRuehl" w:hAnsi="FrankRuehl" w:cs="FrankRuehl"/>
                <w:b/>
                <w:bCs/>
                <w:sz w:val="20"/>
                <w:szCs w:val="20"/>
              </w:rPr>
            </w:pPr>
            <w:r w:rsidRPr="008C4A30">
              <w:rPr>
                <w:rFonts w:ascii="FrankRuehl" w:hAnsi="FrankRuehl" w:cs="FrankRuehl" w:hint="cs"/>
                <w:b/>
                <w:bCs/>
                <w:sz w:val="20"/>
                <w:szCs w:val="20"/>
                <w:rtl/>
              </w:rPr>
              <w:t>3.4</w:t>
            </w:r>
          </w:p>
        </w:tc>
        <w:tc>
          <w:tcPr>
            <w:tcW w:w="0" w:type="auto"/>
            <w:tcBorders>
              <w:top w:val="single" w:sz="4" w:space="0" w:color="auto"/>
              <w:left w:val="single" w:sz="4" w:space="0" w:color="auto"/>
              <w:bottom w:val="single" w:sz="12" w:space="0" w:color="auto"/>
              <w:right w:val="single" w:sz="4" w:space="0" w:color="auto"/>
            </w:tcBorders>
            <w:shd w:val="clear" w:color="auto" w:fill="auto"/>
            <w:noWrap/>
          </w:tcPr>
          <w:p w:rsidR="00E97EDA" w:rsidRPr="008C4A30" w:rsidP="0040014E">
            <w:pPr>
              <w:spacing w:before="20" w:after="20" w:line="200" w:lineRule="atLeast"/>
              <w:rPr>
                <w:rFonts w:ascii="FrankRuehl" w:hAnsi="FrankRuehl" w:cs="FrankRuehl"/>
                <w:b/>
                <w:bCs/>
                <w:sz w:val="20"/>
                <w:szCs w:val="20"/>
              </w:rPr>
            </w:pPr>
            <w:r w:rsidRPr="008C4A30">
              <w:rPr>
                <w:rFonts w:ascii="FrankRuehl" w:hAnsi="FrankRuehl" w:cs="FrankRuehl" w:hint="cs"/>
                <w:b/>
                <w:bCs/>
                <w:sz w:val="20"/>
                <w:szCs w:val="20"/>
              </w:rPr>
              <w:t>3.9</w:t>
            </w:r>
          </w:p>
        </w:tc>
        <w:tc>
          <w:tcPr>
            <w:tcW w:w="0" w:type="auto"/>
            <w:tcBorders>
              <w:top w:val="single" w:sz="4" w:space="0" w:color="auto"/>
              <w:left w:val="single" w:sz="4" w:space="0" w:color="auto"/>
              <w:bottom w:val="single" w:sz="12" w:space="0" w:color="auto"/>
              <w:right w:val="single" w:sz="4" w:space="0" w:color="auto"/>
            </w:tcBorders>
            <w:shd w:val="clear" w:color="auto" w:fill="auto"/>
            <w:noWrap/>
          </w:tcPr>
          <w:p w:rsidR="00E97EDA" w:rsidRPr="008C4A30" w:rsidP="0040014E">
            <w:pPr>
              <w:spacing w:before="20" w:after="20" w:line="200" w:lineRule="atLeast"/>
              <w:rPr>
                <w:rFonts w:ascii="FrankRuehl" w:hAnsi="FrankRuehl" w:cs="FrankRuehl"/>
                <w:b/>
                <w:bCs/>
                <w:sz w:val="20"/>
                <w:szCs w:val="20"/>
              </w:rPr>
            </w:pPr>
            <w:r w:rsidRPr="008C4A30">
              <w:rPr>
                <w:rFonts w:ascii="FrankRuehl" w:hAnsi="FrankRuehl" w:cs="FrankRuehl" w:hint="cs"/>
                <w:b/>
                <w:bCs/>
                <w:sz w:val="20"/>
                <w:szCs w:val="20"/>
              </w:rPr>
              <w:t>3.3</w:t>
            </w:r>
          </w:p>
        </w:tc>
        <w:tc>
          <w:tcPr>
            <w:tcW w:w="0" w:type="auto"/>
            <w:tcBorders>
              <w:top w:val="single" w:sz="4" w:space="0" w:color="auto"/>
              <w:left w:val="single" w:sz="4" w:space="0" w:color="auto"/>
              <w:bottom w:val="single" w:sz="12" w:space="0" w:color="auto"/>
              <w:right w:val="single" w:sz="4" w:space="0" w:color="auto"/>
            </w:tcBorders>
            <w:shd w:val="clear" w:color="auto" w:fill="auto"/>
            <w:noWrap/>
          </w:tcPr>
          <w:p w:rsidR="00E97EDA" w:rsidRPr="008C4A30" w:rsidP="0040014E">
            <w:pPr>
              <w:spacing w:before="20" w:after="20" w:line="200" w:lineRule="atLeast"/>
              <w:rPr>
                <w:rFonts w:ascii="FrankRuehl" w:hAnsi="FrankRuehl" w:cs="FrankRuehl"/>
                <w:b/>
                <w:bCs/>
                <w:sz w:val="20"/>
                <w:szCs w:val="20"/>
              </w:rPr>
            </w:pPr>
            <w:r w:rsidRPr="008C4A30">
              <w:rPr>
                <w:rFonts w:ascii="FrankRuehl" w:hAnsi="FrankRuehl" w:cs="FrankRuehl" w:hint="cs"/>
                <w:b/>
                <w:bCs/>
                <w:sz w:val="20"/>
                <w:szCs w:val="20"/>
              </w:rPr>
              <w:t>2.7</w:t>
            </w:r>
          </w:p>
        </w:tc>
        <w:tc>
          <w:tcPr>
            <w:tcW w:w="0" w:type="auto"/>
            <w:tcBorders>
              <w:top w:val="single" w:sz="4" w:space="0" w:color="auto"/>
              <w:left w:val="single" w:sz="4" w:space="0" w:color="auto"/>
              <w:bottom w:val="single" w:sz="12" w:space="0" w:color="auto"/>
              <w:right w:val="single" w:sz="12" w:space="0" w:color="auto"/>
            </w:tcBorders>
            <w:shd w:val="clear" w:color="auto" w:fill="auto"/>
            <w:noWrap/>
          </w:tcPr>
          <w:p w:rsidR="00E97EDA" w:rsidRPr="008C4A30" w:rsidP="0040014E">
            <w:pPr>
              <w:spacing w:before="20" w:after="20" w:line="200" w:lineRule="atLeast"/>
              <w:rPr>
                <w:rFonts w:ascii="FrankRuehl" w:hAnsi="FrankRuehl" w:cs="FrankRuehl"/>
                <w:b/>
                <w:bCs/>
                <w:sz w:val="20"/>
                <w:szCs w:val="20"/>
              </w:rPr>
            </w:pPr>
            <w:r w:rsidRPr="008C4A30">
              <w:rPr>
                <w:rFonts w:ascii="FrankRuehl" w:hAnsi="FrankRuehl" w:cs="FrankRuehl" w:hint="cs"/>
                <w:b/>
                <w:bCs/>
                <w:sz w:val="20"/>
                <w:szCs w:val="20"/>
                <w:rtl/>
              </w:rPr>
              <w:t>3.4</w:t>
            </w:r>
          </w:p>
        </w:tc>
      </w:tr>
    </w:tbl>
    <w:p w:rsidR="00E97EDA" w:rsidRPr="00360C9E" w:rsidP="00360C9E">
      <w:pPr>
        <w:spacing w:before="120" w:after="240" w:line="200" w:lineRule="exact"/>
        <w:ind w:left="397" w:hanging="397"/>
        <w:jc w:val="both"/>
        <w:rPr>
          <w:rFonts w:cs="FrankRuehl"/>
          <w:sz w:val="20"/>
          <w:szCs w:val="20"/>
          <w:rtl/>
        </w:rPr>
      </w:pPr>
      <w:r w:rsidRPr="00360C9E">
        <w:rPr>
          <w:rFonts w:cs="FrankRuehl" w:hint="cs"/>
          <w:sz w:val="20"/>
          <w:szCs w:val="20"/>
          <w:rtl/>
        </w:rPr>
        <w:t xml:space="preserve">* </w:t>
      </w:r>
      <w:r w:rsidR="00360C9E">
        <w:rPr>
          <w:rFonts w:cs="FrankRuehl"/>
          <w:sz w:val="20"/>
          <w:szCs w:val="20"/>
        </w:rPr>
        <w:tab/>
      </w:r>
      <w:r w:rsidRPr="00360C9E">
        <w:rPr>
          <w:rFonts w:cs="FrankRuehl" w:hint="cs"/>
          <w:sz w:val="20"/>
          <w:szCs w:val="20"/>
          <w:rtl/>
        </w:rPr>
        <w:t>תכניות שאושרו בשנים 2012-2011</w:t>
      </w:r>
    </w:p>
    <w:p w:rsidR="004556E4" w:rsidP="004556E4">
      <w:pPr>
        <w:spacing w:after="120" w:line="230" w:lineRule="exact"/>
        <w:ind w:left="340"/>
        <w:jc w:val="both"/>
        <w:rPr>
          <w:rFonts w:cs="FrankRuehl"/>
          <w:sz w:val="18"/>
          <w:szCs w:val="22"/>
          <w:rtl/>
          <w:lang w:eastAsia="he-IL"/>
        </w:rPr>
      </w:pPr>
      <w:r w:rsidRPr="00F41E78">
        <w:rPr>
          <w:rFonts w:cs="FrankRuehl" w:hint="cs"/>
          <w:sz w:val="18"/>
          <w:szCs w:val="22"/>
          <w:rtl/>
          <w:lang w:eastAsia="he-IL"/>
        </w:rPr>
        <w:t>מלוח 2</w:t>
      </w:r>
      <w:r w:rsidRPr="00F41E78">
        <w:rPr>
          <w:rFonts w:cs="FrankRuehl"/>
          <w:sz w:val="18"/>
          <w:szCs w:val="22"/>
          <w:rtl/>
          <w:lang w:eastAsia="he-IL"/>
        </w:rPr>
        <w:t xml:space="preserve"> </w:t>
      </w:r>
      <w:r w:rsidRPr="00F41E78">
        <w:rPr>
          <w:rFonts w:cs="FrankRuehl" w:hint="cs"/>
          <w:sz w:val="18"/>
          <w:szCs w:val="22"/>
          <w:rtl/>
          <w:lang w:eastAsia="he-IL"/>
        </w:rPr>
        <w:t xml:space="preserve">עולה כי אישור תכנית מפורטת אורך כשלוש שנים וחצי בממוצע (בהתייחס לכל התכניות המפורטות למגורים). עוד עולה כי בחישוב כלל ארצי הזמן הממוצע הנדרש לאישור תכניות מפורטות שהוסיפו יותר מ-200 יח"ד (להלן - תכניות גדולות) הוא חמש שנים וחצי, כמעט פי שניים מהזמן הנדרש לאישורן של תכניות שלא הוסיפו יח"ד או שהוסיפו כמות קטנה של יח"ד. יודגש כי אין פרקי זמן אלו כוללים את התקופה שבמהלכה הוועדה המקומית מעבירה את המלצותיה לוועדה המחוזית (אין משרד הפנים מחזיק בנתונים על משך השלב הזה), לכן בפועל הליך התכנון הסטטוטורי כולו אורך אף יותר זמן. נוסף לכך, </w:t>
      </w:r>
      <w:r w:rsidR="00A76475">
        <w:rPr>
          <w:rFonts w:cs="FrankRuehl" w:hint="cs"/>
          <w:sz w:val="18"/>
          <w:szCs w:val="22"/>
          <w:rtl/>
          <w:lang w:eastAsia="he-IL"/>
        </w:rPr>
        <w:t xml:space="preserve">החישוב אינו כולל את </w:t>
      </w:r>
      <w:r w:rsidRPr="00F41E78">
        <w:rPr>
          <w:rFonts w:cs="FrankRuehl" w:hint="cs"/>
          <w:sz w:val="18"/>
          <w:szCs w:val="22"/>
          <w:rtl/>
          <w:lang w:eastAsia="he-IL"/>
        </w:rPr>
        <w:t>זמן גיבושה של התכנית המפורטת לפני הגשתה למוסדות התכנון.</w:t>
      </w:r>
    </w:p>
    <w:p w:rsidR="004556E4" w:rsidP="004556E4">
      <w:pPr>
        <w:spacing w:after="120" w:line="230" w:lineRule="exact"/>
        <w:ind w:left="340"/>
        <w:jc w:val="both"/>
        <w:rPr>
          <w:rFonts w:cs="FrankRuehl"/>
          <w:sz w:val="18"/>
          <w:szCs w:val="22"/>
          <w:rtl/>
          <w:lang w:eastAsia="he-IL"/>
        </w:rPr>
      </w:pPr>
      <w:r w:rsidRPr="00F41E78">
        <w:rPr>
          <w:rFonts w:cs="FrankRuehl" w:hint="cs"/>
          <w:sz w:val="18"/>
          <w:szCs w:val="22"/>
          <w:rtl/>
          <w:lang w:eastAsia="he-IL"/>
        </w:rPr>
        <w:t>במחוז המרכז הליכי התכנון ממושכים במיוחד. אישור תכניות גדולות</w:t>
      </w:r>
      <w:r w:rsidRPr="00F41E78">
        <w:rPr>
          <w:rFonts w:cs="FrankRuehl"/>
          <w:sz w:val="18"/>
          <w:szCs w:val="22"/>
          <w:rtl/>
          <w:lang w:eastAsia="he-IL"/>
        </w:rPr>
        <w:t xml:space="preserve"> </w:t>
      </w:r>
      <w:r w:rsidRPr="00F41E78">
        <w:rPr>
          <w:rFonts w:cs="FrankRuehl" w:hint="cs"/>
          <w:sz w:val="18"/>
          <w:szCs w:val="22"/>
          <w:rtl/>
          <w:lang w:eastAsia="he-IL"/>
        </w:rPr>
        <w:t>אורך 8-6 שנים ואישורן של תכניות שהוסיפו פחות מ-20 יח"ד כ-3 שנים.</w:t>
      </w:r>
    </w:p>
    <w:p w:rsidR="00E97EDA" w:rsidRPr="00F41E78" w:rsidP="004556E4">
      <w:pPr>
        <w:spacing w:after="240" w:line="230" w:lineRule="exact"/>
        <w:ind w:left="340"/>
        <w:jc w:val="both"/>
        <w:rPr>
          <w:rFonts w:cs="FrankRuehl"/>
          <w:sz w:val="18"/>
          <w:szCs w:val="22"/>
          <w:rtl/>
          <w:lang w:eastAsia="he-IL"/>
        </w:rPr>
      </w:pPr>
      <w:r w:rsidRPr="00F41E78">
        <w:rPr>
          <w:rFonts w:cs="FrankRuehl" w:hint="cs"/>
          <w:sz w:val="18"/>
          <w:szCs w:val="22"/>
          <w:rtl/>
          <w:lang w:eastAsia="he-IL"/>
        </w:rPr>
        <w:t>כשמדובר בכמות יח"ד גדולה התכנון מתפרס בדרך כלל על פני חטיבות קרקע גדולות, והוא כרוך בתיאומים רבים ובבדיקת ההשפעות הצפויות על הסביבה ועל התשתיות (ראו להלן בפרק "היבטים של תכנון למגורים בדרג המחוזי").</w:t>
      </w:r>
    </w:p>
    <w:p w:rsidR="00D22B16" w:rsidRPr="0040014E" w:rsidP="008B3CE3">
      <w:pPr>
        <w:pStyle w:val="RESHET"/>
        <w:keepLines/>
        <w:ind w:left="567"/>
        <w:rPr>
          <w:spacing w:val="-2"/>
          <w:rtl/>
        </w:rPr>
      </w:pPr>
      <w:r w:rsidRPr="0040014E">
        <w:rPr>
          <w:rFonts w:hint="cs"/>
          <w:spacing w:val="-2"/>
          <w:rtl/>
        </w:rPr>
        <w:t>כ-80% מהמלאי התכנוני מקורם כאמור בתכניות גדולות, לכן הזמן הממושך הנדרש לאישורן, כחמש שנים וחצי, מקשה על הגמשת ההיצע לפי הצורך ופוגע ביכולתה של הממשלה להתמודד עם משבר הדיור. התמשכות ההליכים גם פוגעת בוודאות הדרושה למוסדות התכנון לצורך קבלת החלטות מיטביות וכן בהיערכות הכלכלית המתאימה של יוזמי התכניות. כמו כן, תכניות מפורטות הממתינות זמן רב לאישור עלולות בסופו של תהליך לא להתאים למציאות המשתנה, ואז יתעורר הצורך לבחון אותן מחדש ולעדכנן. מצב דברים זה פוגע ביעילותם של הליכי התכנון וגורם לבזבוז משאבים. זאת ועוד, על פי טיוטת מחקר שהזמין מינהל התכנון, התמשכותם של הליכי התכנון מעכבת את פיתוחו של המשק כולו ועלולה לגרום לנזקים כלכליים עקיפים של עשרות מיליוני ש</w:t>
      </w:r>
      <w:r w:rsidR="008B3CE3">
        <w:rPr>
          <w:rFonts w:hint="cs"/>
          <w:spacing w:val="-2"/>
          <w:rtl/>
        </w:rPr>
        <w:t>"ח</w:t>
      </w:r>
      <w:r w:rsidRPr="0040014E">
        <w:rPr>
          <w:rFonts w:hint="cs"/>
          <w:spacing w:val="-2"/>
          <w:rtl/>
        </w:rPr>
        <w:t xml:space="preserve">. </w:t>
      </w:r>
    </w:p>
    <w:p w:rsidR="00E97EDA" w:rsidRPr="00F41E78" w:rsidP="0040014E">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 xml:space="preserve">2. </w:t>
      </w:r>
      <w:r w:rsidRPr="00F41E78">
        <w:rPr>
          <w:rFonts w:cs="FrankRuehl" w:hint="cs"/>
          <w:sz w:val="18"/>
          <w:szCs w:val="22"/>
          <w:rtl/>
          <w:lang w:eastAsia="he-IL"/>
        </w:rPr>
        <w:tab/>
        <w:t>משרד מבקר המדינה ניתח את הסיבות להתמשכותם של הליכי התכנון, באמצעות בדיקת פרקי הזמן הממוצעים של השלבים השונים בתהליך אישורן של תכניות גדולות שהוגשו בשנים 2012-2011. להלן הנתונים לפי מחוזות (בחודשים):</w:t>
      </w:r>
    </w:p>
    <w:p w:rsidR="00E97EDA" w:rsidRPr="00757918" w:rsidP="0040014E">
      <w:pPr>
        <w:pStyle w:val="tab-name"/>
        <w:rPr>
          <w:rtl/>
          <w:lang w:eastAsia="he-IL"/>
        </w:rPr>
      </w:pPr>
      <w:r w:rsidRPr="0040014E">
        <w:rPr>
          <w:rFonts w:hint="cs"/>
          <w:b w:val="0"/>
          <w:bCs w:val="0"/>
          <w:sz w:val="20"/>
          <w:szCs w:val="20"/>
          <w:rtl/>
          <w:lang w:eastAsia="he-IL"/>
        </w:rPr>
        <w:t xml:space="preserve">לוח </w:t>
      </w:r>
      <w:r w:rsidRPr="0040014E">
        <w:rPr>
          <w:rFonts w:hint="cs"/>
          <w:b w:val="0"/>
          <w:bCs w:val="0"/>
          <w:sz w:val="20"/>
          <w:szCs w:val="20"/>
          <w:rtl/>
          <w:lang w:eastAsia="he-IL"/>
        </w:rPr>
        <w:t>3</w:t>
      </w:r>
      <w:r w:rsidRPr="0040014E" w:rsidR="0040014E">
        <w:rPr>
          <w:b w:val="0"/>
          <w:bCs w:val="0"/>
          <w:sz w:val="20"/>
          <w:szCs w:val="20"/>
          <w:lang w:eastAsia="he-IL"/>
        </w:rPr>
        <w:br/>
      </w:r>
      <w:r w:rsidRPr="00757918">
        <w:rPr>
          <w:rFonts w:hint="cs"/>
          <w:rtl/>
          <w:lang w:eastAsia="he-IL"/>
        </w:rPr>
        <w:t xml:space="preserve">משך הזמן הממוצע של השלבים השונים בתהליך אישור תכניות גדולות* </w:t>
      </w:r>
      <w:r w:rsidR="0040014E">
        <w:rPr>
          <w:lang w:eastAsia="he-IL"/>
        </w:rPr>
        <w:br/>
      </w:r>
      <w:r w:rsidRPr="00757918">
        <w:rPr>
          <w:rFonts w:hint="cs"/>
          <w:rtl/>
          <w:lang w:eastAsia="he-IL"/>
        </w:rPr>
        <w:t>שאושרו בשנים 2012-2011, לפי מחוזות (בחודשים)</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CellMar>
          <w:left w:w="57" w:type="dxa"/>
          <w:right w:w="57" w:type="dxa"/>
        </w:tblCellMar>
        <w:tblLook w:val="0000"/>
      </w:tblPr>
      <w:tblGrid>
        <w:gridCol w:w="1569"/>
        <w:gridCol w:w="725"/>
        <w:gridCol w:w="765"/>
        <w:gridCol w:w="765"/>
        <w:gridCol w:w="730"/>
        <w:gridCol w:w="673"/>
        <w:gridCol w:w="825"/>
        <w:gridCol w:w="639"/>
      </w:tblGrid>
      <w:tr w:rsidTr="0040014E">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CellMar>
            <w:left w:w="57" w:type="dxa"/>
            <w:right w:w="57" w:type="dxa"/>
          </w:tblCellMar>
          <w:tblLook w:val="0000"/>
        </w:tblPrEx>
        <w:trPr>
          <w:tblHeader/>
          <w:jc w:val="center"/>
        </w:trPr>
        <w:tc>
          <w:tcPr>
            <w:tcW w:w="1510" w:type="dxa"/>
            <w:tcBorders>
              <w:top w:val="single" w:sz="12" w:space="0" w:color="auto"/>
              <w:bottom w:val="single" w:sz="12" w:space="0" w:color="auto"/>
            </w:tcBorders>
            <w:shd w:val="pct10" w:color="auto" w:fill="auto"/>
            <w:vAlign w:val="bottom"/>
          </w:tcPr>
          <w:p w:rsidR="00E97EDA" w:rsidRPr="0040014E" w:rsidP="0040014E">
            <w:pPr>
              <w:spacing w:before="40" w:after="40" w:line="200" w:lineRule="exact"/>
              <w:jc w:val="center"/>
              <w:rPr>
                <w:rFonts w:ascii="FrankRuehl" w:hAnsi="FrankRuehl" w:cs="FrankRuehl"/>
                <w:b/>
                <w:bCs/>
                <w:sz w:val="20"/>
                <w:szCs w:val="20"/>
                <w:rtl/>
              </w:rPr>
            </w:pPr>
            <w:r w:rsidRPr="0040014E">
              <w:rPr>
                <w:rFonts w:ascii="FrankRuehl" w:hAnsi="FrankRuehl" w:cs="FrankRuehl" w:hint="cs"/>
                <w:b/>
                <w:bCs/>
                <w:sz w:val="20"/>
                <w:szCs w:val="20"/>
                <w:rtl/>
              </w:rPr>
              <w:t xml:space="preserve">השלב בתהליך </w:t>
            </w:r>
            <w:r w:rsidR="0040014E">
              <w:rPr>
                <w:rFonts w:ascii="FrankRuehl" w:hAnsi="FrankRuehl" w:cs="FrankRuehl"/>
                <w:b/>
                <w:bCs/>
                <w:sz w:val="20"/>
                <w:szCs w:val="20"/>
              </w:rPr>
              <w:br/>
            </w:r>
            <w:r w:rsidRPr="0040014E">
              <w:rPr>
                <w:rFonts w:ascii="FrankRuehl" w:hAnsi="FrankRuehl" w:cs="FrankRuehl" w:hint="cs"/>
                <w:b/>
                <w:bCs/>
                <w:sz w:val="20"/>
                <w:szCs w:val="20"/>
                <w:rtl/>
              </w:rPr>
              <w:t>אישור התכנית</w:t>
            </w:r>
          </w:p>
        </w:tc>
        <w:tc>
          <w:tcPr>
            <w:tcW w:w="698" w:type="dxa"/>
            <w:tcBorders>
              <w:top w:val="single" w:sz="12" w:space="0" w:color="auto"/>
              <w:bottom w:val="single" w:sz="12" w:space="0" w:color="auto"/>
            </w:tcBorders>
            <w:shd w:val="pct10" w:color="auto" w:fill="auto"/>
            <w:noWrap/>
            <w:vAlign w:val="bottom"/>
          </w:tcPr>
          <w:p w:rsidR="00E97EDA" w:rsidRPr="0040014E" w:rsidP="0040014E">
            <w:pPr>
              <w:spacing w:before="40" w:after="40" w:line="200" w:lineRule="exact"/>
              <w:jc w:val="center"/>
              <w:rPr>
                <w:rFonts w:ascii="FrankRuehl" w:hAnsi="FrankRuehl" w:cs="FrankRuehl"/>
                <w:b/>
                <w:bCs/>
                <w:sz w:val="20"/>
                <w:szCs w:val="20"/>
              </w:rPr>
            </w:pPr>
            <w:r w:rsidRPr="0040014E">
              <w:rPr>
                <w:rFonts w:ascii="FrankRuehl" w:hAnsi="FrankRuehl" w:cs="FrankRuehl" w:hint="cs"/>
                <w:b/>
                <w:bCs/>
                <w:sz w:val="20"/>
                <w:szCs w:val="20"/>
                <w:rtl/>
              </w:rPr>
              <w:t>הדרום</w:t>
            </w:r>
          </w:p>
        </w:tc>
        <w:tc>
          <w:tcPr>
            <w:tcW w:w="737" w:type="dxa"/>
            <w:tcBorders>
              <w:top w:val="single" w:sz="12" w:space="0" w:color="auto"/>
              <w:bottom w:val="single" w:sz="12" w:space="0" w:color="auto"/>
            </w:tcBorders>
            <w:shd w:val="pct10" w:color="auto" w:fill="auto"/>
            <w:noWrap/>
            <w:vAlign w:val="bottom"/>
          </w:tcPr>
          <w:p w:rsidR="00E97EDA" w:rsidRPr="0040014E" w:rsidP="0040014E">
            <w:pPr>
              <w:spacing w:before="40" w:after="40" w:line="200" w:lineRule="exact"/>
              <w:jc w:val="center"/>
              <w:rPr>
                <w:rFonts w:ascii="FrankRuehl" w:hAnsi="FrankRuehl" w:cs="FrankRuehl"/>
                <w:b/>
                <w:bCs/>
                <w:sz w:val="20"/>
                <w:szCs w:val="20"/>
              </w:rPr>
            </w:pPr>
            <w:r w:rsidRPr="0040014E">
              <w:rPr>
                <w:rFonts w:ascii="FrankRuehl" w:hAnsi="FrankRuehl" w:cs="FrankRuehl" w:hint="cs"/>
                <w:b/>
                <w:bCs/>
                <w:sz w:val="20"/>
                <w:szCs w:val="20"/>
                <w:rtl/>
              </w:rPr>
              <w:t>חיפה</w:t>
            </w:r>
          </w:p>
        </w:tc>
        <w:tc>
          <w:tcPr>
            <w:tcW w:w="737" w:type="dxa"/>
            <w:tcBorders>
              <w:top w:val="single" w:sz="12" w:space="0" w:color="auto"/>
              <w:bottom w:val="single" w:sz="12" w:space="0" w:color="auto"/>
            </w:tcBorders>
            <w:shd w:val="pct10" w:color="auto" w:fill="auto"/>
            <w:noWrap/>
            <w:vAlign w:val="bottom"/>
          </w:tcPr>
          <w:p w:rsidR="00E97EDA" w:rsidRPr="0040014E" w:rsidP="0040014E">
            <w:pPr>
              <w:spacing w:before="40" w:after="40" w:line="200" w:lineRule="exact"/>
              <w:jc w:val="center"/>
              <w:rPr>
                <w:rFonts w:ascii="FrankRuehl" w:hAnsi="FrankRuehl" w:cs="FrankRuehl"/>
                <w:b/>
                <w:bCs/>
                <w:sz w:val="20"/>
                <w:szCs w:val="20"/>
              </w:rPr>
            </w:pPr>
            <w:r w:rsidRPr="0040014E">
              <w:rPr>
                <w:rFonts w:ascii="FrankRuehl" w:hAnsi="FrankRuehl" w:cs="FrankRuehl" w:hint="cs"/>
                <w:b/>
                <w:bCs/>
                <w:sz w:val="20"/>
                <w:szCs w:val="20"/>
                <w:rtl/>
              </w:rPr>
              <w:t>ירושלים</w:t>
            </w:r>
          </w:p>
        </w:tc>
        <w:tc>
          <w:tcPr>
            <w:tcW w:w="703" w:type="dxa"/>
            <w:tcBorders>
              <w:top w:val="single" w:sz="12" w:space="0" w:color="auto"/>
              <w:bottom w:val="single" w:sz="12" w:space="0" w:color="auto"/>
            </w:tcBorders>
            <w:shd w:val="pct10" w:color="auto" w:fill="auto"/>
            <w:noWrap/>
            <w:vAlign w:val="bottom"/>
          </w:tcPr>
          <w:p w:rsidR="00E97EDA" w:rsidRPr="0040014E" w:rsidP="0040014E">
            <w:pPr>
              <w:spacing w:before="40" w:after="40" w:line="200" w:lineRule="exact"/>
              <w:jc w:val="center"/>
              <w:rPr>
                <w:rFonts w:ascii="FrankRuehl" w:hAnsi="FrankRuehl" w:cs="FrankRuehl"/>
                <w:b/>
                <w:bCs/>
                <w:sz w:val="20"/>
                <w:szCs w:val="20"/>
              </w:rPr>
            </w:pPr>
            <w:r w:rsidRPr="0040014E">
              <w:rPr>
                <w:rFonts w:ascii="FrankRuehl" w:hAnsi="FrankRuehl" w:cs="FrankRuehl" w:hint="cs"/>
                <w:b/>
                <w:bCs/>
                <w:sz w:val="20"/>
                <w:szCs w:val="20"/>
                <w:rtl/>
              </w:rPr>
              <w:t>המרכז</w:t>
            </w:r>
          </w:p>
        </w:tc>
        <w:tc>
          <w:tcPr>
            <w:tcW w:w="648" w:type="dxa"/>
            <w:tcBorders>
              <w:top w:val="single" w:sz="12" w:space="0" w:color="auto"/>
              <w:bottom w:val="single" w:sz="12" w:space="0" w:color="auto"/>
            </w:tcBorders>
            <w:shd w:val="pct10" w:color="auto" w:fill="auto"/>
            <w:noWrap/>
            <w:vAlign w:val="bottom"/>
          </w:tcPr>
          <w:p w:rsidR="00E97EDA" w:rsidRPr="0040014E" w:rsidP="0040014E">
            <w:pPr>
              <w:spacing w:before="40" w:after="40" w:line="200" w:lineRule="exact"/>
              <w:jc w:val="center"/>
              <w:rPr>
                <w:rFonts w:ascii="FrankRuehl" w:hAnsi="FrankRuehl" w:cs="FrankRuehl"/>
                <w:b/>
                <w:bCs/>
                <w:sz w:val="20"/>
                <w:szCs w:val="20"/>
              </w:rPr>
            </w:pPr>
            <w:r w:rsidRPr="0040014E">
              <w:rPr>
                <w:rFonts w:ascii="FrankRuehl" w:hAnsi="FrankRuehl" w:cs="FrankRuehl" w:hint="cs"/>
                <w:b/>
                <w:bCs/>
                <w:sz w:val="20"/>
                <w:szCs w:val="20"/>
                <w:rtl/>
              </w:rPr>
              <w:t>הצפון</w:t>
            </w:r>
          </w:p>
        </w:tc>
        <w:tc>
          <w:tcPr>
            <w:tcW w:w="794" w:type="dxa"/>
            <w:tcBorders>
              <w:top w:val="single" w:sz="12" w:space="0" w:color="auto"/>
              <w:bottom w:val="single" w:sz="12" w:space="0" w:color="auto"/>
              <w:right w:val="single" w:sz="12" w:space="0" w:color="auto"/>
            </w:tcBorders>
            <w:shd w:val="pct10" w:color="auto" w:fill="auto"/>
            <w:noWrap/>
            <w:vAlign w:val="bottom"/>
          </w:tcPr>
          <w:p w:rsidR="00E97EDA" w:rsidRPr="0040014E" w:rsidP="0040014E">
            <w:pPr>
              <w:spacing w:before="40" w:after="40" w:line="200" w:lineRule="exact"/>
              <w:jc w:val="center"/>
              <w:rPr>
                <w:rFonts w:ascii="FrankRuehl" w:hAnsi="FrankRuehl" w:cs="FrankRuehl"/>
                <w:b/>
                <w:bCs/>
                <w:sz w:val="20"/>
                <w:szCs w:val="20"/>
              </w:rPr>
            </w:pPr>
            <w:r w:rsidRPr="0040014E">
              <w:rPr>
                <w:rFonts w:ascii="FrankRuehl" w:hAnsi="FrankRuehl" w:cs="FrankRuehl" w:hint="cs"/>
                <w:b/>
                <w:bCs/>
                <w:sz w:val="20"/>
                <w:szCs w:val="20"/>
                <w:rtl/>
              </w:rPr>
              <w:t>תל אביב</w:t>
            </w:r>
          </w:p>
        </w:tc>
        <w:tc>
          <w:tcPr>
            <w:tcW w:w="615" w:type="dxa"/>
            <w:tcBorders>
              <w:top w:val="single" w:sz="12" w:space="0" w:color="auto"/>
              <w:left w:val="single" w:sz="12" w:space="0" w:color="auto"/>
              <w:bottom w:val="single" w:sz="12" w:space="0" w:color="auto"/>
            </w:tcBorders>
            <w:shd w:val="pct10" w:color="auto" w:fill="auto"/>
            <w:noWrap/>
            <w:vAlign w:val="bottom"/>
          </w:tcPr>
          <w:p w:rsidR="00E97EDA" w:rsidRPr="0040014E" w:rsidP="0040014E">
            <w:pPr>
              <w:spacing w:before="40" w:after="40" w:line="200" w:lineRule="exact"/>
              <w:jc w:val="center"/>
              <w:rPr>
                <w:rFonts w:ascii="FrankRuehl" w:hAnsi="FrankRuehl" w:cs="FrankRuehl"/>
                <w:b/>
                <w:bCs/>
                <w:sz w:val="20"/>
                <w:szCs w:val="20"/>
              </w:rPr>
            </w:pPr>
            <w:r w:rsidRPr="0040014E">
              <w:rPr>
                <w:rFonts w:ascii="FrankRuehl" w:hAnsi="FrankRuehl" w:cs="FrankRuehl" w:hint="cs"/>
                <w:b/>
                <w:bCs/>
                <w:sz w:val="20"/>
                <w:szCs w:val="20"/>
                <w:rtl/>
              </w:rPr>
              <w:t>ארצי</w:t>
            </w:r>
          </w:p>
        </w:tc>
      </w:tr>
      <w:tr w:rsidTr="0040014E">
        <w:tblPrEx>
          <w:tblW w:w="6691" w:type="dxa"/>
          <w:jc w:val="center"/>
          <w:tblCellMar>
            <w:left w:w="57" w:type="dxa"/>
            <w:right w:w="57" w:type="dxa"/>
          </w:tblCellMar>
          <w:tblLook w:val="0000"/>
        </w:tblPrEx>
        <w:trPr>
          <w:jc w:val="center"/>
        </w:trPr>
        <w:tc>
          <w:tcPr>
            <w:tcW w:w="1510" w:type="dxa"/>
            <w:tcBorders>
              <w:top w:val="single" w:sz="12" w:space="0" w:color="auto"/>
            </w:tcBorders>
            <w:shd w:val="clear" w:color="auto" w:fill="auto"/>
            <w:vAlign w:val="center"/>
          </w:tcPr>
          <w:p w:rsidR="00E97EDA" w:rsidRPr="0040014E" w:rsidP="0040014E">
            <w:pPr>
              <w:tabs>
                <w:tab w:val="left" w:pos="170"/>
              </w:tabs>
              <w:spacing w:before="40" w:after="40" w:line="200" w:lineRule="exact"/>
              <w:ind w:left="170" w:hanging="170"/>
              <w:rPr>
                <w:rFonts w:ascii="FrankRuehl" w:hAnsi="FrankRuehl" w:cs="FrankRuehl"/>
                <w:sz w:val="20"/>
                <w:szCs w:val="20"/>
              </w:rPr>
            </w:pPr>
            <w:r w:rsidRPr="0040014E">
              <w:rPr>
                <w:rFonts w:ascii="FrankRuehl" w:hAnsi="FrankRuehl" w:cs="FrankRuehl" w:hint="cs"/>
                <w:sz w:val="20"/>
                <w:szCs w:val="20"/>
                <w:rtl/>
              </w:rPr>
              <w:t>1.</w:t>
            </w:r>
            <w:r w:rsidRPr="0040014E">
              <w:rPr>
                <w:rFonts w:ascii="FrankRuehl" w:hAnsi="FrankRuehl" w:cs="FrankRuehl"/>
                <w:sz w:val="20"/>
                <w:szCs w:val="20"/>
                <w:rtl/>
              </w:rPr>
              <w:tab/>
            </w:r>
            <w:r w:rsidRPr="0040014E">
              <w:rPr>
                <w:rFonts w:ascii="FrankRuehl" w:hAnsi="FrankRuehl" w:cs="FrankRuehl" w:hint="cs"/>
                <w:sz w:val="20"/>
                <w:szCs w:val="20"/>
                <w:rtl/>
              </w:rPr>
              <w:t>ממועד קליטת התכנית (הגשת התכנית) עד בדיקת תנאי הסף</w:t>
            </w:r>
          </w:p>
        </w:tc>
        <w:tc>
          <w:tcPr>
            <w:tcW w:w="698" w:type="dxa"/>
            <w:tcBorders>
              <w:top w:val="single" w:sz="12" w:space="0" w:color="auto"/>
            </w:tcBorders>
            <w:shd w:val="clear" w:color="auto" w:fill="auto"/>
            <w:noWrap/>
          </w:tcPr>
          <w:p w:rsidR="00E97EDA" w:rsidRPr="0040014E" w:rsidP="0040014E">
            <w:pPr>
              <w:spacing w:before="40" w:after="40" w:line="200" w:lineRule="exact"/>
              <w:rPr>
                <w:rFonts w:ascii="FrankRuehl" w:hAnsi="FrankRuehl" w:cs="FrankRuehl"/>
                <w:sz w:val="20"/>
                <w:szCs w:val="20"/>
              </w:rPr>
            </w:pPr>
            <w:r w:rsidRPr="0040014E">
              <w:rPr>
                <w:rFonts w:ascii="FrankRuehl" w:hAnsi="FrankRuehl" w:cs="FrankRuehl"/>
                <w:sz w:val="20"/>
                <w:szCs w:val="20"/>
              </w:rPr>
              <w:t>4.4</w:t>
            </w:r>
          </w:p>
        </w:tc>
        <w:tc>
          <w:tcPr>
            <w:tcW w:w="737" w:type="dxa"/>
            <w:tcBorders>
              <w:top w:val="single" w:sz="12" w:space="0" w:color="auto"/>
            </w:tcBorders>
            <w:shd w:val="clear" w:color="auto" w:fill="auto"/>
            <w:noWrap/>
          </w:tcPr>
          <w:p w:rsidR="00E97EDA" w:rsidRPr="0040014E" w:rsidP="0040014E">
            <w:pPr>
              <w:spacing w:before="40" w:after="40" w:line="200" w:lineRule="exact"/>
              <w:rPr>
                <w:rFonts w:ascii="FrankRuehl" w:hAnsi="FrankRuehl" w:cs="FrankRuehl"/>
                <w:sz w:val="20"/>
                <w:szCs w:val="20"/>
              </w:rPr>
            </w:pPr>
            <w:r w:rsidRPr="0040014E">
              <w:rPr>
                <w:rFonts w:ascii="FrankRuehl" w:hAnsi="FrankRuehl" w:cs="FrankRuehl" w:hint="cs"/>
                <w:sz w:val="20"/>
                <w:szCs w:val="20"/>
              </w:rPr>
              <w:t>4.5</w:t>
            </w:r>
          </w:p>
        </w:tc>
        <w:tc>
          <w:tcPr>
            <w:tcW w:w="737" w:type="dxa"/>
            <w:tcBorders>
              <w:top w:val="single" w:sz="12" w:space="0" w:color="auto"/>
            </w:tcBorders>
            <w:shd w:val="clear" w:color="auto" w:fill="auto"/>
            <w:noWrap/>
          </w:tcPr>
          <w:p w:rsidR="00E97EDA" w:rsidRPr="0040014E" w:rsidP="0040014E">
            <w:pPr>
              <w:spacing w:before="40" w:after="40" w:line="200" w:lineRule="exact"/>
              <w:rPr>
                <w:rFonts w:ascii="FrankRuehl" w:hAnsi="FrankRuehl" w:cs="FrankRuehl"/>
                <w:sz w:val="20"/>
                <w:szCs w:val="20"/>
              </w:rPr>
            </w:pPr>
            <w:r w:rsidRPr="0040014E">
              <w:rPr>
                <w:rFonts w:ascii="FrankRuehl" w:hAnsi="FrankRuehl" w:cs="FrankRuehl" w:hint="cs"/>
                <w:sz w:val="20"/>
                <w:szCs w:val="20"/>
              </w:rPr>
              <w:t>13.5</w:t>
            </w:r>
          </w:p>
        </w:tc>
        <w:tc>
          <w:tcPr>
            <w:tcW w:w="703" w:type="dxa"/>
            <w:tcBorders>
              <w:top w:val="single" w:sz="12" w:space="0" w:color="auto"/>
            </w:tcBorders>
            <w:shd w:val="clear" w:color="auto" w:fill="auto"/>
            <w:noWrap/>
          </w:tcPr>
          <w:p w:rsidR="00E97EDA" w:rsidRPr="0040014E" w:rsidP="0040014E">
            <w:pPr>
              <w:spacing w:before="40" w:after="40" w:line="200" w:lineRule="exact"/>
              <w:rPr>
                <w:rFonts w:ascii="FrankRuehl" w:hAnsi="FrankRuehl" w:cs="FrankRuehl"/>
                <w:sz w:val="20"/>
                <w:szCs w:val="20"/>
              </w:rPr>
            </w:pPr>
            <w:r w:rsidRPr="0040014E">
              <w:rPr>
                <w:rFonts w:ascii="FrankRuehl" w:hAnsi="FrankRuehl" w:cs="FrankRuehl" w:hint="cs"/>
                <w:sz w:val="20"/>
                <w:szCs w:val="20"/>
              </w:rPr>
              <w:t>10.3</w:t>
            </w:r>
          </w:p>
        </w:tc>
        <w:tc>
          <w:tcPr>
            <w:tcW w:w="648" w:type="dxa"/>
            <w:tcBorders>
              <w:top w:val="single" w:sz="12" w:space="0" w:color="auto"/>
            </w:tcBorders>
            <w:shd w:val="clear" w:color="auto" w:fill="auto"/>
            <w:noWrap/>
          </w:tcPr>
          <w:p w:rsidR="00E97EDA" w:rsidRPr="0040014E" w:rsidP="0040014E">
            <w:pPr>
              <w:spacing w:before="40" w:after="40" w:line="200" w:lineRule="exact"/>
              <w:rPr>
                <w:rFonts w:ascii="FrankRuehl" w:hAnsi="FrankRuehl" w:cs="FrankRuehl"/>
                <w:sz w:val="20"/>
                <w:szCs w:val="20"/>
              </w:rPr>
            </w:pPr>
            <w:r w:rsidRPr="0040014E">
              <w:rPr>
                <w:rFonts w:ascii="FrankRuehl" w:hAnsi="FrankRuehl" w:cs="FrankRuehl" w:hint="cs"/>
                <w:sz w:val="20"/>
                <w:szCs w:val="20"/>
              </w:rPr>
              <w:t>2.3</w:t>
            </w:r>
          </w:p>
        </w:tc>
        <w:tc>
          <w:tcPr>
            <w:tcW w:w="794" w:type="dxa"/>
            <w:tcBorders>
              <w:top w:val="single" w:sz="12" w:space="0" w:color="auto"/>
              <w:right w:val="single" w:sz="12" w:space="0" w:color="auto"/>
            </w:tcBorders>
            <w:shd w:val="clear" w:color="auto" w:fill="auto"/>
            <w:noWrap/>
          </w:tcPr>
          <w:p w:rsidR="00E97EDA" w:rsidRPr="0040014E" w:rsidP="0040014E">
            <w:pPr>
              <w:spacing w:before="40" w:after="40" w:line="200" w:lineRule="exact"/>
              <w:rPr>
                <w:rFonts w:ascii="FrankRuehl" w:hAnsi="FrankRuehl" w:cs="FrankRuehl"/>
                <w:sz w:val="20"/>
                <w:szCs w:val="20"/>
              </w:rPr>
            </w:pPr>
            <w:r w:rsidRPr="0040014E">
              <w:rPr>
                <w:rFonts w:ascii="FrankRuehl" w:hAnsi="FrankRuehl" w:cs="FrankRuehl" w:hint="cs"/>
                <w:sz w:val="20"/>
                <w:szCs w:val="20"/>
              </w:rPr>
              <w:t>7.1</w:t>
            </w:r>
          </w:p>
        </w:tc>
        <w:tc>
          <w:tcPr>
            <w:tcW w:w="615" w:type="dxa"/>
            <w:tcBorders>
              <w:top w:val="single" w:sz="12" w:space="0" w:color="auto"/>
              <w:left w:val="single" w:sz="12" w:space="0" w:color="auto"/>
            </w:tcBorders>
            <w:shd w:val="clear" w:color="auto" w:fill="auto"/>
            <w:noWrap/>
          </w:tcPr>
          <w:p w:rsidR="00E97EDA" w:rsidRPr="0040014E" w:rsidP="0040014E">
            <w:pPr>
              <w:spacing w:before="40" w:after="40" w:line="200" w:lineRule="exact"/>
              <w:rPr>
                <w:rFonts w:ascii="FrankRuehl" w:hAnsi="FrankRuehl" w:cs="FrankRuehl"/>
                <w:b/>
                <w:bCs/>
                <w:sz w:val="20"/>
                <w:szCs w:val="20"/>
              </w:rPr>
            </w:pPr>
            <w:r w:rsidRPr="0040014E">
              <w:rPr>
                <w:rFonts w:ascii="FrankRuehl" w:hAnsi="FrankRuehl" w:cs="FrankRuehl"/>
                <w:b/>
                <w:bCs/>
                <w:sz w:val="20"/>
                <w:szCs w:val="20"/>
              </w:rPr>
              <w:t>7.3</w:t>
            </w:r>
          </w:p>
        </w:tc>
      </w:tr>
      <w:tr w:rsidTr="008C4A30">
        <w:tblPrEx>
          <w:tblW w:w="6691" w:type="dxa"/>
          <w:jc w:val="center"/>
          <w:tblCellMar>
            <w:left w:w="57" w:type="dxa"/>
            <w:right w:w="57" w:type="dxa"/>
          </w:tblCellMar>
          <w:tblLook w:val="0000"/>
        </w:tblPrEx>
        <w:trPr>
          <w:jc w:val="center"/>
        </w:trPr>
        <w:tc>
          <w:tcPr>
            <w:tcW w:w="1510" w:type="dxa"/>
            <w:tcBorders>
              <w:bottom w:val="nil"/>
            </w:tcBorders>
            <w:shd w:val="clear" w:color="auto" w:fill="auto"/>
            <w:vAlign w:val="center"/>
          </w:tcPr>
          <w:p w:rsidR="00E97EDA" w:rsidRPr="0040014E" w:rsidP="0040014E">
            <w:pPr>
              <w:tabs>
                <w:tab w:val="left" w:pos="170"/>
              </w:tabs>
              <w:spacing w:before="40" w:after="40" w:line="200" w:lineRule="exact"/>
              <w:ind w:left="170" w:hanging="170"/>
              <w:rPr>
                <w:rFonts w:ascii="FrankRuehl" w:hAnsi="FrankRuehl" w:cs="FrankRuehl"/>
                <w:sz w:val="20"/>
                <w:szCs w:val="20"/>
                <w:rtl/>
              </w:rPr>
            </w:pPr>
            <w:r w:rsidRPr="0040014E">
              <w:rPr>
                <w:rFonts w:ascii="FrankRuehl" w:hAnsi="FrankRuehl" w:cs="FrankRuehl" w:hint="cs"/>
                <w:sz w:val="20"/>
                <w:szCs w:val="20"/>
                <w:rtl/>
              </w:rPr>
              <w:t>2.</w:t>
            </w:r>
            <w:r w:rsidRPr="0040014E">
              <w:rPr>
                <w:rFonts w:ascii="FrankRuehl" w:hAnsi="FrankRuehl" w:cs="FrankRuehl"/>
                <w:sz w:val="20"/>
                <w:szCs w:val="20"/>
                <w:rtl/>
              </w:rPr>
              <w:tab/>
            </w:r>
            <w:r w:rsidRPr="0040014E">
              <w:rPr>
                <w:rFonts w:ascii="FrankRuehl" w:hAnsi="FrankRuehl" w:cs="FrankRuehl" w:hint="cs"/>
                <w:sz w:val="20"/>
                <w:szCs w:val="20"/>
                <w:rtl/>
              </w:rPr>
              <w:t>מבדיקת תנאי הסף עד הדיון בהפקדה</w:t>
            </w:r>
          </w:p>
        </w:tc>
        <w:tc>
          <w:tcPr>
            <w:tcW w:w="698" w:type="dxa"/>
            <w:tcBorders>
              <w:bottom w:val="nil"/>
            </w:tcBorders>
            <w:shd w:val="clear" w:color="auto" w:fill="auto"/>
            <w:noWrap/>
          </w:tcPr>
          <w:p w:rsidR="00E97EDA" w:rsidRPr="0040014E" w:rsidP="0040014E">
            <w:pPr>
              <w:spacing w:before="40" w:after="40" w:line="200" w:lineRule="exact"/>
              <w:rPr>
                <w:rFonts w:ascii="FrankRuehl" w:hAnsi="FrankRuehl" w:cs="FrankRuehl"/>
                <w:sz w:val="20"/>
                <w:szCs w:val="20"/>
              </w:rPr>
            </w:pPr>
            <w:r w:rsidRPr="0040014E">
              <w:rPr>
                <w:rFonts w:ascii="FrankRuehl" w:hAnsi="FrankRuehl" w:cs="FrankRuehl"/>
                <w:sz w:val="20"/>
                <w:szCs w:val="20"/>
              </w:rPr>
              <w:t>5.2</w:t>
            </w:r>
          </w:p>
        </w:tc>
        <w:tc>
          <w:tcPr>
            <w:tcW w:w="737" w:type="dxa"/>
            <w:tcBorders>
              <w:bottom w:val="nil"/>
            </w:tcBorders>
            <w:shd w:val="clear" w:color="auto" w:fill="auto"/>
            <w:noWrap/>
          </w:tcPr>
          <w:p w:rsidR="00E97EDA" w:rsidRPr="0040014E" w:rsidP="0040014E">
            <w:pPr>
              <w:spacing w:before="40" w:after="40" w:line="200" w:lineRule="exact"/>
              <w:rPr>
                <w:rFonts w:ascii="FrankRuehl" w:hAnsi="FrankRuehl" w:cs="FrankRuehl"/>
                <w:sz w:val="20"/>
                <w:szCs w:val="20"/>
              </w:rPr>
            </w:pPr>
            <w:r w:rsidRPr="0040014E">
              <w:rPr>
                <w:rFonts w:ascii="FrankRuehl" w:hAnsi="FrankRuehl" w:cs="FrankRuehl" w:hint="cs"/>
                <w:sz w:val="20"/>
                <w:szCs w:val="20"/>
              </w:rPr>
              <w:t>15.0</w:t>
            </w:r>
          </w:p>
        </w:tc>
        <w:tc>
          <w:tcPr>
            <w:tcW w:w="737" w:type="dxa"/>
            <w:tcBorders>
              <w:bottom w:val="nil"/>
            </w:tcBorders>
            <w:shd w:val="clear" w:color="auto" w:fill="auto"/>
            <w:noWrap/>
          </w:tcPr>
          <w:p w:rsidR="00E97EDA" w:rsidRPr="0040014E" w:rsidP="0040014E">
            <w:pPr>
              <w:spacing w:before="40" w:after="40" w:line="200" w:lineRule="exact"/>
              <w:rPr>
                <w:rFonts w:ascii="FrankRuehl" w:hAnsi="FrankRuehl" w:cs="FrankRuehl"/>
                <w:sz w:val="20"/>
                <w:szCs w:val="20"/>
              </w:rPr>
            </w:pPr>
            <w:r w:rsidRPr="0040014E">
              <w:rPr>
                <w:rFonts w:ascii="FrankRuehl" w:hAnsi="FrankRuehl" w:cs="FrankRuehl" w:hint="cs"/>
                <w:sz w:val="20"/>
                <w:szCs w:val="20"/>
              </w:rPr>
              <w:t>3.5</w:t>
            </w:r>
          </w:p>
        </w:tc>
        <w:tc>
          <w:tcPr>
            <w:tcW w:w="703" w:type="dxa"/>
            <w:tcBorders>
              <w:bottom w:val="nil"/>
            </w:tcBorders>
            <w:shd w:val="clear" w:color="auto" w:fill="auto"/>
            <w:noWrap/>
          </w:tcPr>
          <w:p w:rsidR="00E97EDA" w:rsidRPr="0040014E" w:rsidP="0040014E">
            <w:pPr>
              <w:spacing w:before="40" w:after="40" w:line="200" w:lineRule="exact"/>
              <w:rPr>
                <w:rFonts w:ascii="FrankRuehl" w:hAnsi="FrankRuehl" w:cs="FrankRuehl"/>
                <w:sz w:val="20"/>
                <w:szCs w:val="20"/>
              </w:rPr>
            </w:pPr>
            <w:r w:rsidRPr="0040014E">
              <w:rPr>
                <w:rFonts w:ascii="FrankRuehl" w:hAnsi="FrankRuehl" w:cs="FrankRuehl" w:hint="cs"/>
                <w:sz w:val="20"/>
                <w:szCs w:val="20"/>
              </w:rPr>
              <w:t>15.4</w:t>
            </w:r>
          </w:p>
        </w:tc>
        <w:tc>
          <w:tcPr>
            <w:tcW w:w="648" w:type="dxa"/>
            <w:tcBorders>
              <w:bottom w:val="nil"/>
            </w:tcBorders>
            <w:shd w:val="clear" w:color="auto" w:fill="auto"/>
            <w:noWrap/>
          </w:tcPr>
          <w:p w:rsidR="00E97EDA" w:rsidRPr="0040014E" w:rsidP="0040014E">
            <w:pPr>
              <w:spacing w:before="40" w:after="40" w:line="200" w:lineRule="exact"/>
              <w:rPr>
                <w:rFonts w:ascii="FrankRuehl" w:hAnsi="FrankRuehl" w:cs="FrankRuehl"/>
                <w:sz w:val="20"/>
                <w:szCs w:val="20"/>
              </w:rPr>
            </w:pPr>
            <w:r w:rsidRPr="0040014E">
              <w:rPr>
                <w:rFonts w:ascii="FrankRuehl" w:hAnsi="FrankRuehl" w:cs="FrankRuehl" w:hint="cs"/>
                <w:sz w:val="20"/>
                <w:szCs w:val="20"/>
              </w:rPr>
              <w:t>9.4</w:t>
            </w:r>
          </w:p>
        </w:tc>
        <w:tc>
          <w:tcPr>
            <w:tcW w:w="794" w:type="dxa"/>
            <w:tcBorders>
              <w:bottom w:val="nil"/>
              <w:right w:val="single" w:sz="12" w:space="0" w:color="auto"/>
            </w:tcBorders>
            <w:shd w:val="clear" w:color="auto" w:fill="auto"/>
            <w:noWrap/>
          </w:tcPr>
          <w:p w:rsidR="00E97EDA" w:rsidRPr="0040014E" w:rsidP="0040014E">
            <w:pPr>
              <w:spacing w:before="40" w:after="40" w:line="200" w:lineRule="exact"/>
              <w:rPr>
                <w:rFonts w:ascii="FrankRuehl" w:hAnsi="FrankRuehl" w:cs="FrankRuehl"/>
                <w:sz w:val="20"/>
                <w:szCs w:val="20"/>
              </w:rPr>
            </w:pPr>
            <w:r w:rsidRPr="0040014E">
              <w:rPr>
                <w:rFonts w:ascii="FrankRuehl" w:hAnsi="FrankRuehl" w:cs="FrankRuehl" w:hint="cs"/>
                <w:sz w:val="20"/>
                <w:szCs w:val="20"/>
              </w:rPr>
              <w:t>6.2</w:t>
            </w:r>
          </w:p>
        </w:tc>
        <w:tc>
          <w:tcPr>
            <w:tcW w:w="615" w:type="dxa"/>
            <w:tcBorders>
              <w:left w:val="single" w:sz="12" w:space="0" w:color="auto"/>
              <w:bottom w:val="nil"/>
            </w:tcBorders>
            <w:shd w:val="clear" w:color="auto" w:fill="auto"/>
            <w:noWrap/>
          </w:tcPr>
          <w:p w:rsidR="00E97EDA" w:rsidRPr="0040014E" w:rsidP="0040014E">
            <w:pPr>
              <w:spacing w:before="40" w:after="40" w:line="200" w:lineRule="exact"/>
              <w:rPr>
                <w:rFonts w:ascii="FrankRuehl" w:hAnsi="FrankRuehl" w:cs="FrankRuehl"/>
                <w:b/>
                <w:bCs/>
                <w:sz w:val="20"/>
                <w:szCs w:val="20"/>
              </w:rPr>
            </w:pPr>
            <w:r w:rsidRPr="0040014E">
              <w:rPr>
                <w:rFonts w:ascii="FrankRuehl" w:hAnsi="FrankRuehl" w:cs="FrankRuehl" w:hint="cs"/>
                <w:b/>
                <w:bCs/>
                <w:sz w:val="20"/>
                <w:szCs w:val="20"/>
              </w:rPr>
              <w:t>9.</w:t>
            </w:r>
            <w:r w:rsidRPr="0040014E">
              <w:rPr>
                <w:rFonts w:ascii="FrankRuehl" w:hAnsi="FrankRuehl" w:cs="FrankRuehl"/>
                <w:b/>
                <w:bCs/>
                <w:sz w:val="20"/>
                <w:szCs w:val="20"/>
              </w:rPr>
              <w:t>7</w:t>
            </w:r>
          </w:p>
        </w:tc>
      </w:tr>
      <w:tr w:rsidTr="00D85062">
        <w:tblPrEx>
          <w:tblW w:w="6691" w:type="dxa"/>
          <w:jc w:val="center"/>
          <w:tblCellMar>
            <w:left w:w="57" w:type="dxa"/>
            <w:right w:w="57" w:type="dxa"/>
          </w:tblCellMar>
          <w:tblLook w:val="0000"/>
        </w:tblPrEx>
        <w:trPr>
          <w:jc w:val="center"/>
        </w:trPr>
        <w:tc>
          <w:tcPr>
            <w:tcW w:w="1510" w:type="dxa"/>
            <w:tcBorders>
              <w:top w:val="nil"/>
              <w:bottom w:val="nil"/>
            </w:tcBorders>
            <w:shd w:val="clear" w:color="auto" w:fill="FFFFFF"/>
            <w:vAlign w:val="center"/>
          </w:tcPr>
          <w:p w:rsidR="00E97EDA" w:rsidRPr="0040014E" w:rsidP="0040014E">
            <w:pPr>
              <w:tabs>
                <w:tab w:val="left" w:pos="170"/>
              </w:tabs>
              <w:spacing w:before="40" w:after="40" w:line="200" w:lineRule="exact"/>
              <w:ind w:left="170" w:hanging="170"/>
              <w:rPr>
                <w:rFonts w:ascii="FrankRuehl" w:hAnsi="FrankRuehl" w:cs="FrankRuehl"/>
                <w:sz w:val="20"/>
                <w:szCs w:val="20"/>
              </w:rPr>
            </w:pPr>
            <w:r w:rsidRPr="0040014E">
              <w:rPr>
                <w:rFonts w:ascii="FrankRuehl" w:hAnsi="FrankRuehl" w:cs="FrankRuehl" w:hint="cs"/>
                <w:sz w:val="20"/>
                <w:szCs w:val="20"/>
                <w:rtl/>
              </w:rPr>
              <w:t>3.</w:t>
            </w:r>
            <w:r w:rsidRPr="0040014E">
              <w:rPr>
                <w:rFonts w:ascii="FrankRuehl" w:hAnsi="FrankRuehl" w:cs="FrankRuehl"/>
                <w:sz w:val="20"/>
                <w:szCs w:val="20"/>
                <w:rtl/>
              </w:rPr>
              <w:tab/>
            </w:r>
            <w:r w:rsidRPr="0040014E">
              <w:rPr>
                <w:rFonts w:ascii="FrankRuehl" w:hAnsi="FrankRuehl" w:cs="FrankRuehl" w:hint="cs"/>
                <w:sz w:val="20"/>
                <w:szCs w:val="20"/>
                <w:rtl/>
              </w:rPr>
              <w:t>מהדיון בהפקדה עד פרסום דבר ההפקדה בעיתון</w:t>
            </w:r>
          </w:p>
        </w:tc>
        <w:tc>
          <w:tcPr>
            <w:tcW w:w="698" w:type="dxa"/>
            <w:tcBorders>
              <w:top w:val="nil"/>
              <w:bottom w:val="nil"/>
            </w:tcBorders>
            <w:shd w:val="clear" w:color="auto" w:fill="FFFFFF"/>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sz w:val="20"/>
                <w:szCs w:val="20"/>
              </w:rPr>
              <w:t>13.9</w:t>
            </w:r>
          </w:p>
        </w:tc>
        <w:tc>
          <w:tcPr>
            <w:tcW w:w="737" w:type="dxa"/>
            <w:tcBorders>
              <w:top w:val="nil"/>
              <w:bottom w:val="nil"/>
            </w:tcBorders>
            <w:shd w:val="clear" w:color="auto" w:fill="FFFFFF"/>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33.7</w:t>
            </w:r>
          </w:p>
        </w:tc>
        <w:tc>
          <w:tcPr>
            <w:tcW w:w="737" w:type="dxa"/>
            <w:tcBorders>
              <w:top w:val="nil"/>
              <w:bottom w:val="nil"/>
            </w:tcBorders>
            <w:shd w:val="clear" w:color="auto" w:fill="FFFFFF"/>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15.7</w:t>
            </w:r>
          </w:p>
        </w:tc>
        <w:tc>
          <w:tcPr>
            <w:tcW w:w="703" w:type="dxa"/>
            <w:tcBorders>
              <w:top w:val="nil"/>
              <w:bottom w:val="nil"/>
            </w:tcBorders>
            <w:shd w:val="clear" w:color="auto" w:fill="FFFFFF"/>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32.5</w:t>
            </w:r>
          </w:p>
        </w:tc>
        <w:tc>
          <w:tcPr>
            <w:tcW w:w="648" w:type="dxa"/>
            <w:tcBorders>
              <w:top w:val="nil"/>
              <w:bottom w:val="nil"/>
            </w:tcBorders>
            <w:shd w:val="clear" w:color="auto" w:fill="FFFFFF"/>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24.9</w:t>
            </w:r>
          </w:p>
        </w:tc>
        <w:tc>
          <w:tcPr>
            <w:tcW w:w="794" w:type="dxa"/>
            <w:tcBorders>
              <w:top w:val="nil"/>
              <w:bottom w:val="nil"/>
              <w:right w:val="single" w:sz="12" w:space="0" w:color="auto"/>
            </w:tcBorders>
            <w:shd w:val="clear" w:color="auto" w:fill="FFFFFF"/>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12.7</w:t>
            </w:r>
          </w:p>
        </w:tc>
        <w:tc>
          <w:tcPr>
            <w:tcW w:w="615" w:type="dxa"/>
            <w:tcBorders>
              <w:top w:val="nil"/>
              <w:left w:val="single" w:sz="12" w:space="0" w:color="auto"/>
              <w:bottom w:val="nil"/>
            </w:tcBorders>
            <w:shd w:val="clear" w:color="auto" w:fill="FFFFFF"/>
            <w:noWrap/>
          </w:tcPr>
          <w:p w:rsidR="00E97EDA" w:rsidRPr="008C4A30" w:rsidP="0040014E">
            <w:pPr>
              <w:spacing w:before="40" w:after="40" w:line="200" w:lineRule="exact"/>
              <w:rPr>
                <w:rFonts w:ascii="FrankRuehl" w:hAnsi="FrankRuehl" w:cs="FrankRuehl"/>
                <w:b/>
                <w:bCs/>
                <w:sz w:val="20"/>
                <w:szCs w:val="20"/>
                <w:u w:val="single"/>
              </w:rPr>
            </w:pPr>
            <w:r w:rsidRPr="008C4A30">
              <w:rPr>
                <w:rFonts w:ascii="FrankRuehl" w:hAnsi="FrankRuehl" w:cs="FrankRuehl" w:hint="cs"/>
                <w:b/>
                <w:bCs/>
                <w:sz w:val="20"/>
                <w:szCs w:val="20"/>
                <w:u w:val="single"/>
              </w:rPr>
              <w:t>23.8</w:t>
            </w:r>
          </w:p>
        </w:tc>
      </w:tr>
      <w:tr w:rsidTr="008C4A30">
        <w:tblPrEx>
          <w:tblW w:w="6691" w:type="dxa"/>
          <w:jc w:val="center"/>
          <w:tblCellMar>
            <w:left w:w="57" w:type="dxa"/>
            <w:right w:w="57" w:type="dxa"/>
          </w:tblCellMar>
          <w:tblLook w:val="0000"/>
        </w:tblPrEx>
        <w:trPr>
          <w:jc w:val="center"/>
        </w:trPr>
        <w:tc>
          <w:tcPr>
            <w:tcW w:w="1510" w:type="dxa"/>
            <w:tcBorders>
              <w:top w:val="nil"/>
            </w:tcBorders>
            <w:shd w:val="clear" w:color="auto" w:fill="auto"/>
            <w:vAlign w:val="center"/>
          </w:tcPr>
          <w:p w:rsidR="00E97EDA" w:rsidRPr="0040014E" w:rsidP="0040014E">
            <w:pPr>
              <w:tabs>
                <w:tab w:val="left" w:pos="170"/>
              </w:tabs>
              <w:spacing w:before="40" w:after="40" w:line="200" w:lineRule="exact"/>
              <w:ind w:left="170" w:hanging="170"/>
              <w:rPr>
                <w:rFonts w:ascii="FrankRuehl" w:hAnsi="FrankRuehl" w:cs="FrankRuehl"/>
                <w:sz w:val="20"/>
                <w:szCs w:val="20"/>
              </w:rPr>
            </w:pPr>
            <w:r w:rsidRPr="0040014E">
              <w:rPr>
                <w:rFonts w:ascii="FrankRuehl" w:hAnsi="FrankRuehl" w:cs="FrankRuehl" w:hint="cs"/>
                <w:sz w:val="20"/>
                <w:szCs w:val="20"/>
                <w:rtl/>
              </w:rPr>
              <w:t>4.</w:t>
            </w:r>
            <w:r w:rsidRPr="0040014E">
              <w:rPr>
                <w:rFonts w:ascii="FrankRuehl" w:hAnsi="FrankRuehl" w:cs="FrankRuehl"/>
                <w:sz w:val="20"/>
                <w:szCs w:val="20"/>
                <w:rtl/>
              </w:rPr>
              <w:tab/>
            </w:r>
            <w:r w:rsidRPr="0040014E">
              <w:rPr>
                <w:rFonts w:ascii="FrankRuehl" w:hAnsi="FrankRuehl" w:cs="FrankRuehl" w:hint="cs"/>
                <w:sz w:val="20"/>
                <w:szCs w:val="20"/>
                <w:rtl/>
              </w:rPr>
              <w:t>מפרסום דבר ההפקדה בעיתון עד סיום ההפקדה</w:t>
            </w:r>
          </w:p>
        </w:tc>
        <w:tc>
          <w:tcPr>
            <w:tcW w:w="698" w:type="dxa"/>
            <w:tcBorders>
              <w:top w:val="nil"/>
            </w:tcBorders>
            <w:shd w:val="clear" w:color="auto" w:fill="auto"/>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sz w:val="20"/>
                <w:szCs w:val="20"/>
              </w:rPr>
              <w:t>2.0</w:t>
            </w:r>
          </w:p>
        </w:tc>
        <w:tc>
          <w:tcPr>
            <w:tcW w:w="737" w:type="dxa"/>
            <w:tcBorders>
              <w:top w:val="nil"/>
            </w:tcBorders>
            <w:shd w:val="clear" w:color="auto" w:fill="auto"/>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2.0</w:t>
            </w:r>
          </w:p>
        </w:tc>
        <w:tc>
          <w:tcPr>
            <w:tcW w:w="737" w:type="dxa"/>
            <w:tcBorders>
              <w:top w:val="nil"/>
            </w:tcBorders>
            <w:shd w:val="clear" w:color="auto" w:fill="auto"/>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1.9</w:t>
            </w:r>
          </w:p>
        </w:tc>
        <w:tc>
          <w:tcPr>
            <w:tcW w:w="703" w:type="dxa"/>
            <w:tcBorders>
              <w:top w:val="nil"/>
            </w:tcBorders>
            <w:shd w:val="clear" w:color="auto" w:fill="auto"/>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2.1</w:t>
            </w:r>
          </w:p>
        </w:tc>
        <w:tc>
          <w:tcPr>
            <w:tcW w:w="648" w:type="dxa"/>
            <w:tcBorders>
              <w:top w:val="nil"/>
            </w:tcBorders>
            <w:shd w:val="clear" w:color="auto" w:fill="auto"/>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2.0</w:t>
            </w:r>
          </w:p>
        </w:tc>
        <w:tc>
          <w:tcPr>
            <w:tcW w:w="794" w:type="dxa"/>
            <w:tcBorders>
              <w:top w:val="nil"/>
              <w:right w:val="single" w:sz="12" w:space="0" w:color="auto"/>
            </w:tcBorders>
            <w:shd w:val="clear" w:color="auto" w:fill="auto"/>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2.0</w:t>
            </w:r>
          </w:p>
        </w:tc>
        <w:tc>
          <w:tcPr>
            <w:tcW w:w="615" w:type="dxa"/>
            <w:tcBorders>
              <w:top w:val="nil"/>
              <w:left w:val="single" w:sz="12" w:space="0" w:color="auto"/>
            </w:tcBorders>
            <w:shd w:val="clear" w:color="auto" w:fill="auto"/>
            <w:noWrap/>
          </w:tcPr>
          <w:p w:rsidR="00E97EDA" w:rsidRPr="0040014E" w:rsidP="0040014E">
            <w:pPr>
              <w:spacing w:before="40" w:after="40" w:line="200" w:lineRule="exact"/>
              <w:rPr>
                <w:rFonts w:ascii="FrankRuehl" w:hAnsi="FrankRuehl" w:cs="FrankRuehl"/>
                <w:b/>
                <w:bCs/>
                <w:sz w:val="20"/>
                <w:szCs w:val="20"/>
              </w:rPr>
            </w:pPr>
            <w:r w:rsidRPr="0040014E">
              <w:rPr>
                <w:rFonts w:ascii="FrankRuehl" w:hAnsi="FrankRuehl" w:cs="FrankRuehl" w:hint="cs"/>
                <w:b/>
                <w:bCs/>
                <w:sz w:val="20"/>
                <w:szCs w:val="20"/>
              </w:rPr>
              <w:t>2.0</w:t>
            </w:r>
          </w:p>
        </w:tc>
      </w:tr>
      <w:tr w:rsidTr="008C4A30">
        <w:tblPrEx>
          <w:tblW w:w="6691" w:type="dxa"/>
          <w:jc w:val="center"/>
          <w:tblCellMar>
            <w:left w:w="57" w:type="dxa"/>
            <w:right w:w="57" w:type="dxa"/>
          </w:tblCellMar>
          <w:tblLook w:val="0000"/>
        </w:tblPrEx>
        <w:trPr>
          <w:jc w:val="center"/>
        </w:trPr>
        <w:tc>
          <w:tcPr>
            <w:tcW w:w="1510" w:type="dxa"/>
            <w:tcBorders>
              <w:bottom w:val="nil"/>
            </w:tcBorders>
            <w:shd w:val="clear" w:color="auto" w:fill="auto"/>
            <w:vAlign w:val="center"/>
          </w:tcPr>
          <w:p w:rsidR="00E97EDA" w:rsidRPr="0040014E" w:rsidP="0040014E">
            <w:pPr>
              <w:tabs>
                <w:tab w:val="left" w:pos="170"/>
              </w:tabs>
              <w:spacing w:before="40" w:after="40" w:line="200" w:lineRule="exact"/>
              <w:ind w:left="170" w:hanging="170"/>
              <w:rPr>
                <w:rFonts w:ascii="FrankRuehl" w:hAnsi="FrankRuehl" w:cs="FrankRuehl"/>
                <w:sz w:val="20"/>
                <w:szCs w:val="20"/>
              </w:rPr>
            </w:pPr>
            <w:r w:rsidRPr="0040014E">
              <w:rPr>
                <w:rFonts w:ascii="FrankRuehl" w:hAnsi="FrankRuehl" w:cs="FrankRuehl" w:hint="cs"/>
                <w:sz w:val="20"/>
                <w:szCs w:val="20"/>
                <w:rtl/>
              </w:rPr>
              <w:t>5.</w:t>
            </w:r>
            <w:r w:rsidRPr="0040014E">
              <w:rPr>
                <w:rFonts w:ascii="FrankRuehl" w:hAnsi="FrankRuehl" w:cs="FrankRuehl"/>
                <w:sz w:val="20"/>
                <w:szCs w:val="20"/>
                <w:rtl/>
              </w:rPr>
              <w:tab/>
            </w:r>
            <w:r w:rsidRPr="0040014E">
              <w:rPr>
                <w:rFonts w:ascii="FrankRuehl" w:hAnsi="FrankRuehl" w:cs="FrankRuehl" w:hint="cs"/>
                <w:sz w:val="20"/>
                <w:szCs w:val="20"/>
                <w:rtl/>
              </w:rPr>
              <w:t>מסיום ההפקדה עד הדיון באישור התכנית</w:t>
            </w:r>
          </w:p>
        </w:tc>
        <w:tc>
          <w:tcPr>
            <w:tcW w:w="698" w:type="dxa"/>
            <w:tcBorders>
              <w:bottom w:val="nil"/>
            </w:tcBorders>
            <w:shd w:val="clear" w:color="auto" w:fill="auto"/>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sz w:val="20"/>
                <w:szCs w:val="20"/>
              </w:rPr>
              <w:t>3.4</w:t>
            </w:r>
          </w:p>
        </w:tc>
        <w:tc>
          <w:tcPr>
            <w:tcW w:w="737" w:type="dxa"/>
            <w:tcBorders>
              <w:bottom w:val="nil"/>
            </w:tcBorders>
            <w:shd w:val="clear" w:color="auto" w:fill="auto"/>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8.9</w:t>
            </w:r>
          </w:p>
        </w:tc>
        <w:tc>
          <w:tcPr>
            <w:tcW w:w="737" w:type="dxa"/>
            <w:tcBorders>
              <w:bottom w:val="nil"/>
            </w:tcBorders>
            <w:shd w:val="clear" w:color="auto" w:fill="auto"/>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14.0</w:t>
            </w:r>
          </w:p>
        </w:tc>
        <w:tc>
          <w:tcPr>
            <w:tcW w:w="703" w:type="dxa"/>
            <w:tcBorders>
              <w:bottom w:val="nil"/>
            </w:tcBorders>
            <w:shd w:val="clear" w:color="auto" w:fill="auto"/>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13.1</w:t>
            </w:r>
          </w:p>
        </w:tc>
        <w:tc>
          <w:tcPr>
            <w:tcW w:w="648" w:type="dxa"/>
            <w:tcBorders>
              <w:bottom w:val="nil"/>
            </w:tcBorders>
            <w:shd w:val="clear" w:color="auto" w:fill="auto"/>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9.4</w:t>
            </w:r>
          </w:p>
        </w:tc>
        <w:tc>
          <w:tcPr>
            <w:tcW w:w="794" w:type="dxa"/>
            <w:tcBorders>
              <w:bottom w:val="nil"/>
              <w:right w:val="single" w:sz="12" w:space="0" w:color="auto"/>
            </w:tcBorders>
            <w:shd w:val="clear" w:color="auto" w:fill="auto"/>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7.9</w:t>
            </w:r>
          </w:p>
        </w:tc>
        <w:tc>
          <w:tcPr>
            <w:tcW w:w="615" w:type="dxa"/>
            <w:tcBorders>
              <w:left w:val="single" w:sz="12" w:space="0" w:color="auto"/>
              <w:bottom w:val="nil"/>
            </w:tcBorders>
            <w:shd w:val="clear" w:color="auto" w:fill="auto"/>
            <w:noWrap/>
          </w:tcPr>
          <w:p w:rsidR="00E97EDA" w:rsidRPr="0040014E" w:rsidP="0040014E">
            <w:pPr>
              <w:spacing w:before="40" w:after="40" w:line="200" w:lineRule="exact"/>
              <w:rPr>
                <w:rFonts w:ascii="FrankRuehl" w:hAnsi="FrankRuehl" w:cs="FrankRuehl"/>
                <w:b/>
                <w:bCs/>
                <w:sz w:val="20"/>
                <w:szCs w:val="20"/>
                <w:rtl/>
              </w:rPr>
            </w:pPr>
            <w:r w:rsidRPr="0040014E">
              <w:rPr>
                <w:rFonts w:ascii="FrankRuehl" w:hAnsi="FrankRuehl" w:cs="FrankRuehl" w:hint="cs"/>
                <w:b/>
                <w:bCs/>
                <w:sz w:val="20"/>
                <w:szCs w:val="20"/>
              </w:rPr>
              <w:t>9.8</w:t>
            </w:r>
          </w:p>
        </w:tc>
      </w:tr>
      <w:tr w:rsidTr="00D85062">
        <w:tblPrEx>
          <w:tblW w:w="6691" w:type="dxa"/>
          <w:jc w:val="center"/>
          <w:tblCellMar>
            <w:left w:w="57" w:type="dxa"/>
            <w:right w:w="57" w:type="dxa"/>
          </w:tblCellMar>
          <w:tblLook w:val="0000"/>
        </w:tblPrEx>
        <w:trPr>
          <w:jc w:val="center"/>
        </w:trPr>
        <w:tc>
          <w:tcPr>
            <w:tcW w:w="1510" w:type="dxa"/>
            <w:tcBorders>
              <w:top w:val="nil"/>
              <w:bottom w:val="single" w:sz="12" w:space="0" w:color="auto"/>
            </w:tcBorders>
            <w:shd w:val="clear" w:color="auto" w:fill="FFFFFF"/>
            <w:vAlign w:val="center"/>
          </w:tcPr>
          <w:p w:rsidR="00E97EDA" w:rsidRPr="0040014E" w:rsidP="0040014E">
            <w:pPr>
              <w:tabs>
                <w:tab w:val="left" w:pos="170"/>
              </w:tabs>
              <w:spacing w:before="40" w:after="40" w:line="200" w:lineRule="exact"/>
              <w:ind w:left="170" w:hanging="170"/>
              <w:rPr>
                <w:rFonts w:ascii="FrankRuehl" w:hAnsi="FrankRuehl" w:cs="FrankRuehl"/>
                <w:sz w:val="20"/>
                <w:szCs w:val="20"/>
              </w:rPr>
            </w:pPr>
            <w:r w:rsidRPr="0040014E">
              <w:rPr>
                <w:rFonts w:ascii="FrankRuehl" w:hAnsi="FrankRuehl" w:cs="FrankRuehl" w:hint="cs"/>
                <w:sz w:val="20"/>
                <w:szCs w:val="20"/>
                <w:rtl/>
              </w:rPr>
              <w:t>6.</w:t>
            </w:r>
            <w:r w:rsidRPr="0040014E">
              <w:rPr>
                <w:rFonts w:ascii="FrankRuehl" w:hAnsi="FrankRuehl" w:cs="FrankRuehl"/>
                <w:sz w:val="20"/>
                <w:szCs w:val="20"/>
                <w:rtl/>
              </w:rPr>
              <w:tab/>
            </w:r>
            <w:r w:rsidRPr="0040014E">
              <w:rPr>
                <w:rFonts w:ascii="FrankRuehl" w:hAnsi="FrankRuehl" w:cs="FrankRuehl" w:hint="cs"/>
                <w:sz w:val="20"/>
                <w:szCs w:val="20"/>
                <w:rtl/>
              </w:rPr>
              <w:t>מהדיון באישור התכנית עד הנפקת נוסח הפרסום</w:t>
            </w:r>
          </w:p>
        </w:tc>
        <w:tc>
          <w:tcPr>
            <w:tcW w:w="698" w:type="dxa"/>
            <w:tcBorders>
              <w:top w:val="nil"/>
              <w:bottom w:val="single" w:sz="12" w:space="0" w:color="auto"/>
            </w:tcBorders>
            <w:shd w:val="clear" w:color="auto" w:fill="FFFFFF"/>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sz w:val="20"/>
                <w:szCs w:val="20"/>
              </w:rPr>
              <w:t>9.1</w:t>
            </w:r>
          </w:p>
        </w:tc>
        <w:tc>
          <w:tcPr>
            <w:tcW w:w="737" w:type="dxa"/>
            <w:tcBorders>
              <w:top w:val="nil"/>
              <w:bottom w:val="single" w:sz="12" w:space="0" w:color="auto"/>
            </w:tcBorders>
            <w:shd w:val="clear" w:color="auto" w:fill="FFFFFF"/>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13.7</w:t>
            </w:r>
          </w:p>
        </w:tc>
        <w:tc>
          <w:tcPr>
            <w:tcW w:w="737" w:type="dxa"/>
            <w:tcBorders>
              <w:top w:val="nil"/>
              <w:bottom w:val="single" w:sz="12" w:space="0" w:color="auto"/>
            </w:tcBorders>
            <w:shd w:val="clear" w:color="auto" w:fill="FFFFFF"/>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11.6</w:t>
            </w:r>
          </w:p>
        </w:tc>
        <w:tc>
          <w:tcPr>
            <w:tcW w:w="703" w:type="dxa"/>
            <w:tcBorders>
              <w:top w:val="nil"/>
              <w:bottom w:val="single" w:sz="12" w:space="0" w:color="auto"/>
            </w:tcBorders>
            <w:shd w:val="clear" w:color="auto" w:fill="FFFFFF"/>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22.6</w:t>
            </w:r>
          </w:p>
        </w:tc>
        <w:tc>
          <w:tcPr>
            <w:tcW w:w="648" w:type="dxa"/>
            <w:tcBorders>
              <w:top w:val="nil"/>
              <w:bottom w:val="single" w:sz="12" w:space="0" w:color="auto"/>
            </w:tcBorders>
            <w:shd w:val="clear" w:color="auto" w:fill="FFFFFF"/>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30.0</w:t>
            </w:r>
          </w:p>
        </w:tc>
        <w:tc>
          <w:tcPr>
            <w:tcW w:w="794" w:type="dxa"/>
            <w:tcBorders>
              <w:top w:val="nil"/>
              <w:bottom w:val="single" w:sz="12" w:space="0" w:color="auto"/>
              <w:right w:val="single" w:sz="12" w:space="0" w:color="auto"/>
            </w:tcBorders>
            <w:shd w:val="clear" w:color="auto" w:fill="FFFFFF"/>
            <w:noWrap/>
          </w:tcPr>
          <w:p w:rsidR="00E97EDA" w:rsidRPr="008C4A30" w:rsidP="0040014E">
            <w:pPr>
              <w:spacing w:before="40" w:after="40" w:line="200" w:lineRule="exact"/>
              <w:rPr>
                <w:rFonts w:ascii="FrankRuehl" w:hAnsi="FrankRuehl" w:cs="FrankRuehl"/>
                <w:sz w:val="20"/>
                <w:szCs w:val="20"/>
              </w:rPr>
            </w:pPr>
            <w:r w:rsidRPr="008C4A30">
              <w:rPr>
                <w:rFonts w:ascii="FrankRuehl" w:hAnsi="FrankRuehl" w:cs="FrankRuehl" w:hint="cs"/>
                <w:sz w:val="20"/>
                <w:szCs w:val="20"/>
              </w:rPr>
              <w:t>7.8</w:t>
            </w:r>
          </w:p>
        </w:tc>
        <w:tc>
          <w:tcPr>
            <w:tcW w:w="615" w:type="dxa"/>
            <w:tcBorders>
              <w:top w:val="nil"/>
              <w:left w:val="single" w:sz="12" w:space="0" w:color="auto"/>
              <w:bottom w:val="single" w:sz="12" w:space="0" w:color="auto"/>
            </w:tcBorders>
            <w:shd w:val="clear" w:color="auto" w:fill="FFFFFF"/>
            <w:noWrap/>
          </w:tcPr>
          <w:p w:rsidR="00E97EDA" w:rsidRPr="008C4A30" w:rsidP="0040014E">
            <w:pPr>
              <w:spacing w:before="40" w:after="40" w:line="200" w:lineRule="exact"/>
              <w:rPr>
                <w:rFonts w:ascii="FrankRuehl" w:hAnsi="FrankRuehl" w:cs="FrankRuehl"/>
                <w:b/>
                <w:bCs/>
                <w:sz w:val="20"/>
                <w:szCs w:val="20"/>
                <w:u w:val="single"/>
                <w:rtl/>
              </w:rPr>
            </w:pPr>
            <w:r w:rsidRPr="008C4A30">
              <w:rPr>
                <w:rFonts w:ascii="FrankRuehl" w:hAnsi="FrankRuehl" w:cs="FrankRuehl"/>
                <w:b/>
                <w:bCs/>
                <w:sz w:val="20"/>
                <w:szCs w:val="20"/>
                <w:u w:val="single"/>
                <w:rtl/>
              </w:rPr>
              <w:t>17.0</w:t>
            </w:r>
          </w:p>
        </w:tc>
      </w:tr>
      <w:tr w:rsidTr="0040014E">
        <w:tblPrEx>
          <w:tblW w:w="6691" w:type="dxa"/>
          <w:jc w:val="center"/>
          <w:tblCellMar>
            <w:left w:w="57" w:type="dxa"/>
            <w:right w:w="57" w:type="dxa"/>
          </w:tblCellMar>
          <w:tblLook w:val="0000"/>
        </w:tblPrEx>
        <w:trPr>
          <w:jc w:val="center"/>
        </w:trPr>
        <w:tc>
          <w:tcPr>
            <w:tcW w:w="1510" w:type="dxa"/>
            <w:tcBorders>
              <w:top w:val="single" w:sz="12" w:space="0" w:color="auto"/>
              <w:bottom w:val="nil"/>
            </w:tcBorders>
            <w:shd w:val="clear" w:color="auto" w:fill="auto"/>
            <w:vAlign w:val="center"/>
          </w:tcPr>
          <w:p w:rsidR="00E97EDA" w:rsidRPr="0040014E" w:rsidP="0040014E">
            <w:pPr>
              <w:spacing w:before="40" w:after="40" w:line="200" w:lineRule="exact"/>
              <w:rPr>
                <w:rFonts w:ascii="FrankRuehl" w:hAnsi="FrankRuehl" w:cs="FrankRuehl"/>
                <w:b/>
                <w:bCs/>
                <w:sz w:val="20"/>
                <w:szCs w:val="20"/>
                <w:rtl/>
              </w:rPr>
            </w:pPr>
            <w:r w:rsidRPr="0040014E">
              <w:rPr>
                <w:rFonts w:ascii="FrankRuehl" w:hAnsi="FrankRuehl" w:cs="FrankRuehl" w:hint="cs"/>
                <w:b/>
                <w:bCs/>
                <w:sz w:val="20"/>
                <w:szCs w:val="20"/>
                <w:rtl/>
              </w:rPr>
              <w:t>כל התהליך</w:t>
            </w:r>
            <w:r w:rsidRPr="0040014E">
              <w:rPr>
                <w:rFonts w:ascii="FrankRuehl" w:hAnsi="FrankRuehl" w:cs="FrankRuehl" w:hint="cs"/>
                <w:sz w:val="20"/>
                <w:szCs w:val="20"/>
                <w:rtl/>
              </w:rPr>
              <w:t xml:space="preserve"> (ממועד הקליטה עד פרסום האישור ברשומות)</w:t>
            </w:r>
          </w:p>
        </w:tc>
        <w:tc>
          <w:tcPr>
            <w:tcW w:w="698" w:type="dxa"/>
            <w:tcBorders>
              <w:top w:val="single" w:sz="12" w:space="0" w:color="auto"/>
              <w:bottom w:val="nil"/>
            </w:tcBorders>
            <w:shd w:val="clear" w:color="auto" w:fill="auto"/>
            <w:noWrap/>
          </w:tcPr>
          <w:p w:rsidR="00E97EDA" w:rsidRPr="0040014E" w:rsidP="0040014E">
            <w:pPr>
              <w:spacing w:before="40" w:after="40" w:line="200" w:lineRule="exact"/>
              <w:rPr>
                <w:rFonts w:ascii="FrankRuehl" w:hAnsi="FrankRuehl" w:cs="FrankRuehl"/>
                <w:b/>
                <w:bCs/>
                <w:sz w:val="20"/>
                <w:szCs w:val="20"/>
                <w:lang w:eastAsia="he-IL"/>
              </w:rPr>
            </w:pPr>
          </w:p>
        </w:tc>
        <w:tc>
          <w:tcPr>
            <w:tcW w:w="737" w:type="dxa"/>
            <w:tcBorders>
              <w:top w:val="single" w:sz="12" w:space="0" w:color="auto"/>
              <w:bottom w:val="nil"/>
            </w:tcBorders>
            <w:shd w:val="clear" w:color="auto" w:fill="auto"/>
            <w:noWrap/>
          </w:tcPr>
          <w:p w:rsidR="00E97EDA" w:rsidRPr="0040014E" w:rsidP="0040014E">
            <w:pPr>
              <w:spacing w:before="40" w:after="40" w:line="200" w:lineRule="exact"/>
              <w:rPr>
                <w:rFonts w:ascii="FrankRuehl" w:hAnsi="FrankRuehl" w:cs="FrankRuehl"/>
                <w:b/>
                <w:bCs/>
                <w:sz w:val="20"/>
                <w:szCs w:val="20"/>
                <w:lang w:eastAsia="he-IL"/>
              </w:rPr>
            </w:pPr>
          </w:p>
        </w:tc>
        <w:tc>
          <w:tcPr>
            <w:tcW w:w="737" w:type="dxa"/>
            <w:tcBorders>
              <w:top w:val="single" w:sz="12" w:space="0" w:color="auto"/>
              <w:bottom w:val="nil"/>
            </w:tcBorders>
            <w:shd w:val="clear" w:color="auto" w:fill="auto"/>
            <w:noWrap/>
          </w:tcPr>
          <w:p w:rsidR="00E97EDA" w:rsidRPr="0040014E" w:rsidP="0040014E">
            <w:pPr>
              <w:spacing w:before="40" w:after="40" w:line="200" w:lineRule="exact"/>
              <w:rPr>
                <w:rFonts w:ascii="FrankRuehl" w:hAnsi="FrankRuehl" w:cs="FrankRuehl"/>
                <w:b/>
                <w:bCs/>
                <w:sz w:val="20"/>
                <w:szCs w:val="20"/>
                <w:lang w:eastAsia="he-IL"/>
              </w:rPr>
            </w:pPr>
          </w:p>
        </w:tc>
        <w:tc>
          <w:tcPr>
            <w:tcW w:w="703" w:type="dxa"/>
            <w:tcBorders>
              <w:top w:val="single" w:sz="12" w:space="0" w:color="auto"/>
              <w:bottom w:val="nil"/>
            </w:tcBorders>
            <w:shd w:val="clear" w:color="auto" w:fill="auto"/>
            <w:noWrap/>
          </w:tcPr>
          <w:p w:rsidR="00E97EDA" w:rsidRPr="0040014E" w:rsidP="0040014E">
            <w:pPr>
              <w:spacing w:before="40" w:after="40" w:line="200" w:lineRule="exact"/>
              <w:rPr>
                <w:rFonts w:ascii="FrankRuehl" w:hAnsi="FrankRuehl" w:cs="FrankRuehl"/>
                <w:b/>
                <w:bCs/>
                <w:sz w:val="20"/>
                <w:szCs w:val="20"/>
                <w:lang w:eastAsia="he-IL"/>
              </w:rPr>
            </w:pPr>
          </w:p>
        </w:tc>
        <w:tc>
          <w:tcPr>
            <w:tcW w:w="648" w:type="dxa"/>
            <w:tcBorders>
              <w:top w:val="single" w:sz="12" w:space="0" w:color="auto"/>
              <w:bottom w:val="nil"/>
            </w:tcBorders>
            <w:shd w:val="clear" w:color="auto" w:fill="auto"/>
            <w:noWrap/>
          </w:tcPr>
          <w:p w:rsidR="00E97EDA" w:rsidRPr="0040014E" w:rsidP="0040014E">
            <w:pPr>
              <w:spacing w:before="40" w:after="40" w:line="200" w:lineRule="exact"/>
              <w:rPr>
                <w:rFonts w:ascii="FrankRuehl" w:hAnsi="FrankRuehl" w:cs="FrankRuehl"/>
                <w:b/>
                <w:bCs/>
                <w:sz w:val="20"/>
                <w:szCs w:val="20"/>
                <w:lang w:eastAsia="he-IL"/>
              </w:rPr>
            </w:pPr>
          </w:p>
        </w:tc>
        <w:tc>
          <w:tcPr>
            <w:tcW w:w="794" w:type="dxa"/>
            <w:tcBorders>
              <w:top w:val="single" w:sz="12" w:space="0" w:color="auto"/>
              <w:bottom w:val="nil"/>
              <w:right w:val="single" w:sz="12" w:space="0" w:color="auto"/>
            </w:tcBorders>
            <w:shd w:val="clear" w:color="auto" w:fill="auto"/>
            <w:noWrap/>
          </w:tcPr>
          <w:p w:rsidR="00E97EDA" w:rsidRPr="0040014E" w:rsidP="0040014E">
            <w:pPr>
              <w:spacing w:before="40" w:after="40" w:line="200" w:lineRule="exact"/>
              <w:rPr>
                <w:rFonts w:ascii="FrankRuehl" w:hAnsi="FrankRuehl" w:cs="FrankRuehl"/>
                <w:b/>
                <w:bCs/>
                <w:sz w:val="20"/>
                <w:szCs w:val="20"/>
                <w:lang w:eastAsia="he-IL"/>
              </w:rPr>
            </w:pPr>
          </w:p>
        </w:tc>
        <w:tc>
          <w:tcPr>
            <w:tcW w:w="615" w:type="dxa"/>
            <w:tcBorders>
              <w:top w:val="single" w:sz="12" w:space="0" w:color="auto"/>
              <w:left w:val="single" w:sz="12" w:space="0" w:color="auto"/>
              <w:bottom w:val="nil"/>
            </w:tcBorders>
            <w:shd w:val="clear" w:color="auto" w:fill="auto"/>
            <w:noWrap/>
          </w:tcPr>
          <w:p w:rsidR="00E97EDA" w:rsidRPr="0040014E" w:rsidP="0040014E">
            <w:pPr>
              <w:spacing w:before="40" w:after="40" w:line="200" w:lineRule="exact"/>
              <w:rPr>
                <w:rFonts w:ascii="FrankRuehl" w:hAnsi="FrankRuehl" w:cs="FrankRuehl"/>
                <w:b/>
                <w:bCs/>
                <w:sz w:val="20"/>
                <w:szCs w:val="20"/>
                <w:lang w:eastAsia="he-IL"/>
              </w:rPr>
            </w:pPr>
          </w:p>
        </w:tc>
      </w:tr>
      <w:tr w:rsidTr="0040014E">
        <w:tblPrEx>
          <w:tblW w:w="6691" w:type="dxa"/>
          <w:jc w:val="center"/>
          <w:tblCellMar>
            <w:left w:w="57" w:type="dxa"/>
            <w:right w:w="57" w:type="dxa"/>
          </w:tblCellMar>
          <w:tblLook w:val="0000"/>
        </w:tblPrEx>
        <w:trPr>
          <w:jc w:val="center"/>
        </w:trPr>
        <w:tc>
          <w:tcPr>
            <w:tcW w:w="1510" w:type="dxa"/>
            <w:tcBorders>
              <w:top w:val="nil"/>
            </w:tcBorders>
            <w:shd w:val="clear" w:color="auto" w:fill="auto"/>
            <w:vAlign w:val="center"/>
          </w:tcPr>
          <w:p w:rsidR="00E97EDA" w:rsidRPr="0040014E" w:rsidP="0040014E">
            <w:pPr>
              <w:spacing w:before="40" w:after="40" w:line="200" w:lineRule="exact"/>
              <w:jc w:val="right"/>
              <w:rPr>
                <w:rFonts w:ascii="FrankRuehl" w:hAnsi="FrankRuehl" w:cs="FrankRuehl"/>
                <w:b/>
                <w:bCs/>
                <w:sz w:val="20"/>
                <w:szCs w:val="20"/>
                <w:rtl/>
              </w:rPr>
            </w:pPr>
            <w:r w:rsidRPr="0040014E">
              <w:rPr>
                <w:rFonts w:ascii="FrankRuehl" w:hAnsi="FrankRuehl" w:cs="FrankRuehl" w:hint="cs"/>
                <w:b/>
                <w:bCs/>
                <w:sz w:val="20"/>
                <w:szCs w:val="20"/>
                <w:rtl/>
              </w:rPr>
              <w:t>בחודשים</w:t>
            </w:r>
          </w:p>
        </w:tc>
        <w:tc>
          <w:tcPr>
            <w:tcW w:w="698" w:type="dxa"/>
            <w:tcBorders>
              <w:top w:val="nil"/>
            </w:tcBorders>
            <w:shd w:val="clear" w:color="auto" w:fill="auto"/>
            <w:noWrap/>
          </w:tcPr>
          <w:p w:rsidR="00E97EDA" w:rsidRPr="0040014E" w:rsidP="00253AE7">
            <w:pPr>
              <w:spacing w:before="40" w:after="40" w:line="200" w:lineRule="exact"/>
              <w:rPr>
                <w:rFonts w:ascii="FrankRuehl" w:hAnsi="FrankRuehl" w:cs="FrankRuehl"/>
                <w:b/>
                <w:bCs/>
                <w:sz w:val="20"/>
                <w:szCs w:val="20"/>
                <w:lang w:eastAsia="he-IL"/>
              </w:rPr>
            </w:pPr>
            <w:r w:rsidRPr="0040014E">
              <w:rPr>
                <w:rFonts w:ascii="FrankRuehl" w:hAnsi="FrankRuehl" w:cs="FrankRuehl"/>
                <w:b/>
                <w:bCs/>
                <w:sz w:val="20"/>
                <w:szCs w:val="20"/>
                <w:lang w:eastAsia="he-IL"/>
              </w:rPr>
              <w:t>3</w:t>
            </w:r>
            <w:r w:rsidR="00253AE7">
              <w:rPr>
                <w:rFonts w:ascii="FrankRuehl" w:hAnsi="FrankRuehl" w:cs="FrankRuehl"/>
                <w:b/>
                <w:bCs/>
                <w:sz w:val="20"/>
                <w:szCs w:val="20"/>
                <w:lang w:eastAsia="he-IL"/>
              </w:rPr>
              <w:t>8</w:t>
            </w:r>
          </w:p>
        </w:tc>
        <w:tc>
          <w:tcPr>
            <w:tcW w:w="737" w:type="dxa"/>
            <w:tcBorders>
              <w:top w:val="nil"/>
            </w:tcBorders>
            <w:shd w:val="clear" w:color="auto" w:fill="auto"/>
            <w:noWrap/>
          </w:tcPr>
          <w:p w:rsidR="00E97EDA" w:rsidRPr="0040014E" w:rsidP="0040014E">
            <w:pPr>
              <w:spacing w:before="40" w:after="40" w:line="200" w:lineRule="exact"/>
              <w:rPr>
                <w:rFonts w:ascii="FrankRuehl" w:hAnsi="FrankRuehl" w:cs="FrankRuehl"/>
                <w:b/>
                <w:bCs/>
                <w:sz w:val="20"/>
                <w:szCs w:val="20"/>
                <w:lang w:eastAsia="he-IL"/>
              </w:rPr>
            </w:pPr>
            <w:r w:rsidRPr="0040014E">
              <w:rPr>
                <w:rFonts w:ascii="FrankRuehl" w:hAnsi="FrankRuehl" w:cs="FrankRuehl" w:hint="cs"/>
                <w:b/>
                <w:bCs/>
                <w:sz w:val="20"/>
                <w:szCs w:val="20"/>
                <w:lang w:eastAsia="he-IL"/>
              </w:rPr>
              <w:t>78</w:t>
            </w:r>
          </w:p>
        </w:tc>
        <w:tc>
          <w:tcPr>
            <w:tcW w:w="737" w:type="dxa"/>
            <w:tcBorders>
              <w:top w:val="nil"/>
            </w:tcBorders>
            <w:shd w:val="clear" w:color="auto" w:fill="auto"/>
            <w:noWrap/>
          </w:tcPr>
          <w:p w:rsidR="00E97EDA" w:rsidRPr="0040014E" w:rsidP="0040014E">
            <w:pPr>
              <w:spacing w:before="40" w:after="40" w:line="200" w:lineRule="exact"/>
              <w:rPr>
                <w:rFonts w:ascii="FrankRuehl" w:hAnsi="FrankRuehl" w:cs="FrankRuehl"/>
                <w:b/>
                <w:bCs/>
                <w:sz w:val="20"/>
                <w:szCs w:val="20"/>
                <w:lang w:eastAsia="he-IL"/>
              </w:rPr>
            </w:pPr>
            <w:r w:rsidRPr="0040014E">
              <w:rPr>
                <w:rFonts w:ascii="FrankRuehl" w:hAnsi="FrankRuehl" w:cs="FrankRuehl" w:hint="cs"/>
                <w:b/>
                <w:bCs/>
                <w:sz w:val="20"/>
                <w:szCs w:val="20"/>
                <w:lang w:eastAsia="he-IL"/>
              </w:rPr>
              <w:t>60</w:t>
            </w:r>
          </w:p>
        </w:tc>
        <w:tc>
          <w:tcPr>
            <w:tcW w:w="703" w:type="dxa"/>
            <w:tcBorders>
              <w:top w:val="nil"/>
            </w:tcBorders>
            <w:shd w:val="clear" w:color="auto" w:fill="auto"/>
            <w:noWrap/>
          </w:tcPr>
          <w:p w:rsidR="00E97EDA" w:rsidRPr="0040014E" w:rsidP="0040014E">
            <w:pPr>
              <w:spacing w:before="40" w:after="40" w:line="200" w:lineRule="exact"/>
              <w:rPr>
                <w:rFonts w:ascii="FrankRuehl" w:hAnsi="FrankRuehl" w:cs="FrankRuehl"/>
                <w:b/>
                <w:bCs/>
                <w:sz w:val="20"/>
                <w:szCs w:val="20"/>
                <w:lang w:eastAsia="he-IL"/>
              </w:rPr>
            </w:pPr>
            <w:r>
              <w:rPr>
                <w:rFonts w:ascii="FrankRuehl" w:hAnsi="FrankRuehl" w:cs="FrankRuehl"/>
                <w:b/>
                <w:bCs/>
                <w:sz w:val="20"/>
                <w:szCs w:val="20"/>
                <w:lang w:eastAsia="he-IL"/>
              </w:rPr>
              <w:t>96</w:t>
            </w:r>
          </w:p>
        </w:tc>
        <w:tc>
          <w:tcPr>
            <w:tcW w:w="648" w:type="dxa"/>
            <w:tcBorders>
              <w:top w:val="nil"/>
            </w:tcBorders>
            <w:shd w:val="clear" w:color="auto" w:fill="auto"/>
            <w:noWrap/>
          </w:tcPr>
          <w:p w:rsidR="00E97EDA" w:rsidRPr="0040014E" w:rsidP="0040014E">
            <w:pPr>
              <w:spacing w:before="40" w:after="40" w:line="200" w:lineRule="exact"/>
              <w:rPr>
                <w:rFonts w:ascii="FrankRuehl" w:hAnsi="FrankRuehl" w:cs="FrankRuehl"/>
                <w:b/>
                <w:bCs/>
                <w:sz w:val="20"/>
                <w:szCs w:val="20"/>
                <w:lang w:eastAsia="he-IL"/>
              </w:rPr>
            </w:pPr>
            <w:r>
              <w:rPr>
                <w:rFonts w:ascii="FrankRuehl" w:hAnsi="FrankRuehl" w:cs="FrankRuehl"/>
                <w:b/>
                <w:bCs/>
                <w:sz w:val="20"/>
                <w:szCs w:val="20"/>
                <w:lang w:eastAsia="he-IL"/>
              </w:rPr>
              <w:t>78</w:t>
            </w:r>
          </w:p>
        </w:tc>
        <w:tc>
          <w:tcPr>
            <w:tcW w:w="794" w:type="dxa"/>
            <w:tcBorders>
              <w:top w:val="nil"/>
              <w:right w:val="single" w:sz="12" w:space="0" w:color="auto"/>
            </w:tcBorders>
            <w:shd w:val="clear" w:color="auto" w:fill="auto"/>
            <w:noWrap/>
          </w:tcPr>
          <w:p w:rsidR="00E97EDA" w:rsidRPr="0040014E" w:rsidP="00253AE7">
            <w:pPr>
              <w:spacing w:before="40" w:after="40" w:line="200" w:lineRule="exact"/>
              <w:rPr>
                <w:rFonts w:ascii="FrankRuehl" w:hAnsi="FrankRuehl" w:cs="FrankRuehl"/>
                <w:b/>
                <w:bCs/>
                <w:sz w:val="20"/>
                <w:szCs w:val="20"/>
                <w:lang w:eastAsia="he-IL"/>
              </w:rPr>
            </w:pPr>
            <w:r w:rsidRPr="0040014E">
              <w:rPr>
                <w:rFonts w:ascii="FrankRuehl" w:hAnsi="FrankRuehl" w:cs="FrankRuehl" w:hint="cs"/>
                <w:b/>
                <w:bCs/>
                <w:sz w:val="20"/>
                <w:szCs w:val="20"/>
                <w:lang w:eastAsia="he-IL"/>
              </w:rPr>
              <w:t>4</w:t>
            </w:r>
            <w:r w:rsidR="00253AE7">
              <w:rPr>
                <w:rFonts w:ascii="FrankRuehl" w:hAnsi="FrankRuehl" w:cs="FrankRuehl"/>
                <w:b/>
                <w:bCs/>
                <w:sz w:val="20"/>
                <w:szCs w:val="20"/>
                <w:lang w:eastAsia="he-IL"/>
              </w:rPr>
              <w:t>3</w:t>
            </w:r>
          </w:p>
        </w:tc>
        <w:tc>
          <w:tcPr>
            <w:tcW w:w="615" w:type="dxa"/>
            <w:tcBorders>
              <w:top w:val="nil"/>
              <w:left w:val="single" w:sz="12" w:space="0" w:color="auto"/>
            </w:tcBorders>
            <w:shd w:val="clear" w:color="auto" w:fill="auto"/>
            <w:noWrap/>
          </w:tcPr>
          <w:p w:rsidR="00E97EDA" w:rsidRPr="0040014E" w:rsidP="00253AE7">
            <w:pPr>
              <w:spacing w:before="40" w:after="40" w:line="200" w:lineRule="exact"/>
              <w:rPr>
                <w:rFonts w:ascii="FrankRuehl" w:hAnsi="FrankRuehl" w:cs="FrankRuehl"/>
                <w:b/>
                <w:bCs/>
                <w:sz w:val="20"/>
                <w:szCs w:val="20"/>
                <w:lang w:eastAsia="he-IL"/>
              </w:rPr>
            </w:pPr>
            <w:r w:rsidRPr="0040014E">
              <w:rPr>
                <w:rFonts w:ascii="FrankRuehl" w:hAnsi="FrankRuehl" w:cs="FrankRuehl" w:hint="cs"/>
                <w:b/>
                <w:bCs/>
                <w:sz w:val="20"/>
                <w:szCs w:val="20"/>
                <w:lang w:eastAsia="he-IL"/>
              </w:rPr>
              <w:t>6</w:t>
            </w:r>
            <w:r w:rsidR="00253AE7">
              <w:rPr>
                <w:rFonts w:ascii="FrankRuehl" w:hAnsi="FrankRuehl" w:cs="FrankRuehl"/>
                <w:b/>
                <w:bCs/>
                <w:sz w:val="20"/>
                <w:szCs w:val="20"/>
                <w:lang w:eastAsia="he-IL"/>
              </w:rPr>
              <w:t>9</w:t>
            </w:r>
          </w:p>
        </w:tc>
      </w:tr>
      <w:tr w:rsidTr="0040014E">
        <w:tblPrEx>
          <w:tblW w:w="6691" w:type="dxa"/>
          <w:jc w:val="center"/>
          <w:tblCellMar>
            <w:left w:w="57" w:type="dxa"/>
            <w:right w:w="57" w:type="dxa"/>
          </w:tblCellMar>
          <w:tblLook w:val="0000"/>
        </w:tblPrEx>
        <w:trPr>
          <w:jc w:val="center"/>
        </w:trPr>
        <w:tc>
          <w:tcPr>
            <w:tcW w:w="1510" w:type="dxa"/>
            <w:shd w:val="clear" w:color="auto" w:fill="auto"/>
            <w:vAlign w:val="center"/>
          </w:tcPr>
          <w:p w:rsidR="00E97EDA" w:rsidRPr="0040014E" w:rsidP="0040014E">
            <w:pPr>
              <w:spacing w:before="40" w:after="40" w:line="200" w:lineRule="exact"/>
              <w:jc w:val="right"/>
              <w:rPr>
                <w:rFonts w:ascii="FrankRuehl" w:hAnsi="FrankRuehl" w:cs="FrankRuehl"/>
                <w:b/>
                <w:bCs/>
                <w:sz w:val="20"/>
                <w:szCs w:val="20"/>
              </w:rPr>
            </w:pPr>
            <w:r w:rsidRPr="0040014E">
              <w:rPr>
                <w:rFonts w:ascii="FrankRuehl" w:hAnsi="FrankRuehl" w:cs="FrankRuehl" w:hint="cs"/>
                <w:b/>
                <w:bCs/>
                <w:sz w:val="20"/>
                <w:szCs w:val="20"/>
                <w:rtl/>
              </w:rPr>
              <w:t>בשנים</w:t>
            </w:r>
          </w:p>
        </w:tc>
        <w:tc>
          <w:tcPr>
            <w:tcW w:w="698" w:type="dxa"/>
            <w:shd w:val="clear" w:color="auto" w:fill="auto"/>
            <w:noWrap/>
          </w:tcPr>
          <w:p w:rsidR="00E97EDA" w:rsidRPr="0040014E" w:rsidP="00253AE7">
            <w:pPr>
              <w:spacing w:before="40" w:after="40" w:line="200" w:lineRule="exact"/>
              <w:rPr>
                <w:rFonts w:ascii="FrankRuehl" w:hAnsi="FrankRuehl" w:cs="FrankRuehl"/>
                <w:b/>
                <w:bCs/>
                <w:sz w:val="20"/>
                <w:szCs w:val="20"/>
              </w:rPr>
            </w:pPr>
            <w:r w:rsidRPr="0040014E">
              <w:rPr>
                <w:rFonts w:ascii="FrankRuehl" w:hAnsi="FrankRuehl" w:cs="FrankRuehl"/>
                <w:b/>
                <w:bCs/>
                <w:sz w:val="20"/>
                <w:szCs w:val="20"/>
              </w:rPr>
              <w:t>3.</w:t>
            </w:r>
            <w:r w:rsidR="00253AE7">
              <w:rPr>
                <w:rFonts w:ascii="FrankRuehl" w:hAnsi="FrankRuehl" w:cs="FrankRuehl"/>
                <w:b/>
                <w:bCs/>
                <w:sz w:val="20"/>
                <w:szCs w:val="20"/>
              </w:rPr>
              <w:t>2</w:t>
            </w:r>
          </w:p>
        </w:tc>
        <w:tc>
          <w:tcPr>
            <w:tcW w:w="737" w:type="dxa"/>
            <w:shd w:val="clear" w:color="auto" w:fill="auto"/>
            <w:noWrap/>
          </w:tcPr>
          <w:p w:rsidR="00E97EDA" w:rsidRPr="0040014E" w:rsidP="0040014E">
            <w:pPr>
              <w:spacing w:before="40" w:after="40" w:line="200" w:lineRule="exact"/>
              <w:rPr>
                <w:rFonts w:ascii="FrankRuehl" w:hAnsi="FrankRuehl" w:cs="FrankRuehl"/>
                <w:b/>
                <w:bCs/>
                <w:sz w:val="20"/>
                <w:szCs w:val="20"/>
              </w:rPr>
            </w:pPr>
            <w:r w:rsidRPr="0040014E">
              <w:rPr>
                <w:rFonts w:ascii="FrankRuehl" w:hAnsi="FrankRuehl" w:cs="FrankRuehl" w:hint="cs"/>
                <w:b/>
                <w:bCs/>
                <w:sz w:val="20"/>
                <w:szCs w:val="20"/>
              </w:rPr>
              <w:t>6.4</w:t>
            </w:r>
          </w:p>
        </w:tc>
        <w:tc>
          <w:tcPr>
            <w:tcW w:w="737" w:type="dxa"/>
            <w:shd w:val="clear" w:color="auto" w:fill="auto"/>
            <w:noWrap/>
          </w:tcPr>
          <w:p w:rsidR="00E97EDA" w:rsidRPr="0040014E" w:rsidP="0040014E">
            <w:pPr>
              <w:spacing w:before="40" w:after="40" w:line="200" w:lineRule="exact"/>
              <w:rPr>
                <w:rFonts w:ascii="FrankRuehl" w:hAnsi="FrankRuehl" w:cs="FrankRuehl"/>
                <w:b/>
                <w:bCs/>
                <w:sz w:val="20"/>
                <w:szCs w:val="20"/>
              </w:rPr>
            </w:pPr>
            <w:r w:rsidRPr="0040014E">
              <w:rPr>
                <w:rFonts w:ascii="FrankRuehl" w:hAnsi="FrankRuehl" w:cs="FrankRuehl" w:hint="cs"/>
                <w:b/>
                <w:bCs/>
                <w:sz w:val="20"/>
                <w:szCs w:val="20"/>
              </w:rPr>
              <w:t>5.0</w:t>
            </w:r>
          </w:p>
        </w:tc>
        <w:tc>
          <w:tcPr>
            <w:tcW w:w="703" w:type="dxa"/>
            <w:shd w:val="clear" w:color="auto" w:fill="auto"/>
            <w:noWrap/>
          </w:tcPr>
          <w:p w:rsidR="00E97EDA" w:rsidRPr="0040014E" w:rsidP="00253AE7">
            <w:pPr>
              <w:spacing w:before="40" w:after="40" w:line="200" w:lineRule="exact"/>
              <w:rPr>
                <w:rFonts w:ascii="FrankRuehl" w:hAnsi="FrankRuehl" w:cs="FrankRuehl"/>
                <w:b/>
                <w:bCs/>
                <w:sz w:val="20"/>
                <w:szCs w:val="20"/>
              </w:rPr>
            </w:pPr>
            <w:r>
              <w:rPr>
                <w:rFonts w:ascii="FrankRuehl" w:hAnsi="FrankRuehl" w:cs="FrankRuehl"/>
                <w:b/>
                <w:bCs/>
                <w:sz w:val="20"/>
                <w:szCs w:val="20"/>
              </w:rPr>
              <w:t>8</w:t>
            </w:r>
            <w:r w:rsidRPr="0040014E">
              <w:rPr>
                <w:rFonts w:ascii="FrankRuehl" w:hAnsi="FrankRuehl" w:cs="FrankRuehl" w:hint="cs"/>
                <w:b/>
                <w:bCs/>
                <w:sz w:val="20"/>
                <w:szCs w:val="20"/>
              </w:rPr>
              <w:t>.</w:t>
            </w:r>
            <w:r>
              <w:rPr>
                <w:rFonts w:ascii="FrankRuehl" w:hAnsi="FrankRuehl" w:cs="FrankRuehl"/>
                <w:b/>
                <w:bCs/>
                <w:sz w:val="20"/>
                <w:szCs w:val="20"/>
              </w:rPr>
              <w:t>0</w:t>
            </w:r>
          </w:p>
        </w:tc>
        <w:tc>
          <w:tcPr>
            <w:tcW w:w="648" w:type="dxa"/>
            <w:shd w:val="clear" w:color="auto" w:fill="auto"/>
            <w:noWrap/>
          </w:tcPr>
          <w:p w:rsidR="00E97EDA" w:rsidRPr="0040014E" w:rsidP="00253AE7">
            <w:pPr>
              <w:spacing w:before="40" w:after="40" w:line="200" w:lineRule="exact"/>
              <w:rPr>
                <w:rFonts w:ascii="FrankRuehl" w:hAnsi="FrankRuehl" w:cs="FrankRuehl"/>
                <w:b/>
                <w:bCs/>
                <w:sz w:val="20"/>
                <w:szCs w:val="20"/>
              </w:rPr>
            </w:pPr>
            <w:r>
              <w:rPr>
                <w:rFonts w:ascii="FrankRuehl" w:hAnsi="FrankRuehl" w:cs="FrankRuehl"/>
                <w:b/>
                <w:bCs/>
                <w:sz w:val="20"/>
                <w:szCs w:val="20"/>
              </w:rPr>
              <w:t>6</w:t>
            </w:r>
            <w:r w:rsidRPr="0040014E">
              <w:rPr>
                <w:rFonts w:ascii="FrankRuehl" w:hAnsi="FrankRuehl" w:cs="FrankRuehl" w:hint="cs"/>
                <w:b/>
                <w:bCs/>
                <w:sz w:val="20"/>
                <w:szCs w:val="20"/>
              </w:rPr>
              <w:t>.</w:t>
            </w:r>
            <w:r>
              <w:rPr>
                <w:rFonts w:ascii="FrankRuehl" w:hAnsi="FrankRuehl" w:cs="FrankRuehl"/>
                <w:b/>
                <w:bCs/>
                <w:sz w:val="20"/>
                <w:szCs w:val="20"/>
              </w:rPr>
              <w:t>5</w:t>
            </w:r>
          </w:p>
        </w:tc>
        <w:tc>
          <w:tcPr>
            <w:tcW w:w="794" w:type="dxa"/>
            <w:tcBorders>
              <w:right w:val="single" w:sz="12" w:space="0" w:color="auto"/>
            </w:tcBorders>
            <w:shd w:val="clear" w:color="auto" w:fill="auto"/>
            <w:noWrap/>
          </w:tcPr>
          <w:p w:rsidR="00E97EDA" w:rsidRPr="0040014E" w:rsidP="0040014E">
            <w:pPr>
              <w:spacing w:before="40" w:after="40" w:line="200" w:lineRule="exact"/>
              <w:rPr>
                <w:rFonts w:ascii="FrankRuehl" w:hAnsi="FrankRuehl" w:cs="FrankRuehl"/>
                <w:b/>
                <w:bCs/>
                <w:sz w:val="20"/>
                <w:szCs w:val="20"/>
              </w:rPr>
            </w:pPr>
            <w:r w:rsidRPr="0040014E">
              <w:rPr>
                <w:rFonts w:ascii="FrankRuehl" w:hAnsi="FrankRuehl" w:cs="FrankRuehl" w:hint="cs"/>
                <w:b/>
                <w:bCs/>
                <w:sz w:val="20"/>
                <w:szCs w:val="20"/>
              </w:rPr>
              <w:t>3.6</w:t>
            </w:r>
          </w:p>
        </w:tc>
        <w:tc>
          <w:tcPr>
            <w:tcW w:w="615" w:type="dxa"/>
            <w:tcBorders>
              <w:left w:val="single" w:sz="12" w:space="0" w:color="auto"/>
              <w:bottom w:val="single" w:sz="12" w:space="0" w:color="auto"/>
            </w:tcBorders>
            <w:shd w:val="clear" w:color="auto" w:fill="auto"/>
            <w:noWrap/>
          </w:tcPr>
          <w:p w:rsidR="00E97EDA" w:rsidRPr="0040014E" w:rsidP="00253AE7">
            <w:pPr>
              <w:spacing w:before="40" w:after="40" w:line="200" w:lineRule="exact"/>
              <w:rPr>
                <w:rFonts w:ascii="FrankRuehl" w:hAnsi="FrankRuehl" w:cs="FrankRuehl"/>
                <w:b/>
                <w:bCs/>
                <w:sz w:val="20"/>
                <w:szCs w:val="20"/>
              </w:rPr>
            </w:pPr>
            <w:r w:rsidRPr="0040014E">
              <w:rPr>
                <w:rFonts w:ascii="FrankRuehl" w:hAnsi="FrankRuehl" w:cs="FrankRuehl" w:hint="cs"/>
                <w:b/>
                <w:bCs/>
                <w:sz w:val="20"/>
                <w:szCs w:val="20"/>
              </w:rPr>
              <w:t>5.</w:t>
            </w:r>
            <w:r w:rsidR="00253AE7">
              <w:rPr>
                <w:rFonts w:ascii="FrankRuehl" w:hAnsi="FrankRuehl" w:cs="FrankRuehl"/>
                <w:b/>
                <w:bCs/>
                <w:sz w:val="20"/>
                <w:szCs w:val="20"/>
              </w:rPr>
              <w:t>8</w:t>
            </w:r>
          </w:p>
        </w:tc>
      </w:tr>
    </w:tbl>
    <w:p w:rsidR="00E97EDA" w:rsidRPr="0040014E" w:rsidP="0040014E">
      <w:pPr>
        <w:spacing w:before="120" w:after="240" w:line="200" w:lineRule="exact"/>
        <w:ind w:left="397" w:hanging="397"/>
        <w:jc w:val="both"/>
        <w:rPr>
          <w:rFonts w:cs="FrankRuehl"/>
          <w:sz w:val="20"/>
          <w:szCs w:val="20"/>
          <w:rtl/>
        </w:rPr>
      </w:pPr>
      <w:r w:rsidRPr="0040014E">
        <w:rPr>
          <w:rFonts w:cs="FrankRuehl" w:hint="cs"/>
          <w:sz w:val="20"/>
          <w:szCs w:val="20"/>
          <w:rtl/>
        </w:rPr>
        <w:t>*</w:t>
      </w:r>
      <w:r w:rsidRPr="0040014E">
        <w:rPr>
          <w:rFonts w:cs="FrankRuehl"/>
          <w:sz w:val="20"/>
          <w:szCs w:val="20"/>
          <w:rtl/>
        </w:rPr>
        <w:t xml:space="preserve"> </w:t>
      </w:r>
      <w:r w:rsidR="0040014E">
        <w:rPr>
          <w:rFonts w:cs="FrankRuehl"/>
          <w:sz w:val="20"/>
          <w:szCs w:val="20"/>
        </w:rPr>
        <w:tab/>
      </w:r>
      <w:r w:rsidRPr="0040014E">
        <w:rPr>
          <w:rFonts w:cs="FrankRuehl" w:hint="cs"/>
          <w:sz w:val="20"/>
          <w:szCs w:val="20"/>
          <w:rtl/>
        </w:rPr>
        <w:t>תכניות שהוסיפו יותר מ-200 יח"ד למלאי התכנוני</w:t>
      </w:r>
    </w:p>
    <w:p w:rsidR="00E97EDA" w:rsidRPr="00F41E78" w:rsidP="0040014E">
      <w:pPr>
        <w:spacing w:after="240" w:line="230" w:lineRule="exact"/>
        <w:jc w:val="both"/>
        <w:rPr>
          <w:rFonts w:cs="FrankRuehl"/>
          <w:sz w:val="18"/>
          <w:szCs w:val="22"/>
          <w:rtl/>
          <w:lang w:eastAsia="he-IL"/>
        </w:rPr>
      </w:pPr>
      <w:r w:rsidRPr="00F41E78">
        <w:rPr>
          <w:rFonts w:cs="FrankRuehl" w:hint="eastAsia"/>
          <w:bCs/>
          <w:spacing w:val="40"/>
          <w:sz w:val="18"/>
          <w:szCs w:val="22"/>
          <w:rtl/>
        </w:rPr>
        <w:t>בדיקת</w:t>
      </w:r>
      <w:r w:rsidRPr="00F41E78">
        <w:rPr>
          <w:rFonts w:cs="FrankRuehl"/>
          <w:bCs/>
          <w:spacing w:val="40"/>
          <w:sz w:val="18"/>
          <w:szCs w:val="22"/>
          <w:rtl/>
        </w:rPr>
        <w:t xml:space="preserve"> </w:t>
      </w:r>
      <w:r w:rsidRPr="00F41E78">
        <w:rPr>
          <w:rFonts w:cs="FrankRuehl" w:hint="eastAsia"/>
          <w:bCs/>
          <w:spacing w:val="40"/>
          <w:sz w:val="18"/>
          <w:szCs w:val="22"/>
          <w:rtl/>
        </w:rPr>
        <w:t>תנאי</w:t>
      </w:r>
      <w:r w:rsidRPr="00F41E78">
        <w:rPr>
          <w:rFonts w:cs="FrankRuehl"/>
          <w:bCs/>
          <w:spacing w:val="40"/>
          <w:sz w:val="18"/>
          <w:szCs w:val="22"/>
          <w:rtl/>
        </w:rPr>
        <w:t xml:space="preserve"> </w:t>
      </w:r>
      <w:r w:rsidRPr="00F41E78">
        <w:rPr>
          <w:rFonts w:cs="FrankRuehl" w:hint="eastAsia"/>
          <w:bCs/>
          <w:spacing w:val="40"/>
          <w:sz w:val="18"/>
          <w:szCs w:val="22"/>
          <w:rtl/>
        </w:rPr>
        <w:t>סף</w:t>
      </w:r>
      <w:r w:rsidRPr="00F41E78">
        <w:rPr>
          <w:rFonts w:cs="FrankRuehl"/>
          <w:bCs/>
          <w:spacing w:val="40"/>
          <w:sz w:val="18"/>
          <w:szCs w:val="22"/>
          <w:rtl/>
        </w:rPr>
        <w:t>:</w:t>
      </w:r>
      <w:r w:rsidRPr="00F41E78">
        <w:rPr>
          <w:rFonts w:cs="FrankRuehl"/>
          <w:sz w:val="18"/>
          <w:szCs w:val="22"/>
          <w:rtl/>
        </w:rPr>
        <w:t xml:space="preserve"> </w:t>
      </w:r>
      <w:r w:rsidRPr="00F41E78">
        <w:rPr>
          <w:rFonts w:cs="FrankRuehl" w:hint="cs"/>
          <w:sz w:val="18"/>
          <w:szCs w:val="22"/>
          <w:rtl/>
          <w:lang w:eastAsia="he-IL"/>
        </w:rPr>
        <w:t xml:space="preserve">קליטת תכניות במוסד תכנון מותנית בכך שהן יוגשו במתכונת הנדרשת ויכללו את המידע הבסיסי הנדרש לצורך בדיקתן וללא כל מניעה מקדמית עקרונית לקדמן. חוק התכנון והבנייה לא קבע אמנם תנאי סף או לוחות זמנים להשלמת הבדיקה, אך בחוזר מנכ"ל משרד הפנים (3/98) מפורטים תנאי הסף. </w:t>
      </w:r>
    </w:p>
    <w:p w:rsidR="00D22B16" w:rsidRPr="00F41E78" w:rsidP="00D22B16">
      <w:pPr>
        <w:pStyle w:val="RESHET"/>
        <w:keepLines/>
        <w:rPr>
          <w:rtl/>
        </w:rPr>
      </w:pPr>
      <w:r w:rsidRPr="00F41E78">
        <w:rPr>
          <w:rFonts w:hint="cs"/>
          <w:rtl/>
        </w:rPr>
        <w:t xml:space="preserve">על פי הממצאים, השלמת הבדיקה נמשכת בממוצע כשבעה חודשים, זאת אף שמדובר בבדיקה טכנית במהותה. </w:t>
      </w:r>
    </w:p>
    <w:p w:rsidR="00E97EDA" w:rsidRPr="00F41E78" w:rsidP="0040014E">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במאי 2011 מינה שר הפנים דאז ח"כ אלי ישי ועדה לבחינת חסמים ניהוליים וארגוניים בתחום התכנון והבנייה. הוועדה, בראשותו של פרופ' אמיר ברנע (להלן - ועדת ברנע), התריעה על תופעה </w:t>
      </w:r>
      <w:r w:rsidRPr="00F41E78">
        <w:rPr>
          <w:rFonts w:cs="FrankRuehl" w:hint="cs"/>
          <w:sz w:val="18"/>
          <w:szCs w:val="22"/>
          <w:rtl/>
          <w:lang w:eastAsia="he-IL"/>
        </w:rPr>
        <w:t>שבה מוגשות למוסדות התכנון תכניות מפורטות שאינן בשלות דיין הן מהבחינה הטכנית הן מבחינת איכות התכנון (לעתים בשל העובדה שרמ"י נוהגת לתת גמול כספי למתכננים עבור עצם ההגשה למוסדות התכנון בלי כל קשר לאיכות הממשית של התכנית). תופעה זו מעכבת את תהליך האישור של התכניות המפורטות בשלב קליטתן. בביקורת שנעשתה בנוגע לכמה מהליכי התכנון במחוז הדרום התגלו ממצאים דומים על אופן הגשתן של תכניות מפורטות לוועדה המחוזית (ראו להלן בפרק</w:t>
      </w:r>
      <w:r w:rsidRPr="00F41E78">
        <w:rPr>
          <w:rFonts w:cs="FrankRuehl" w:hint="cs"/>
          <w:b/>
          <w:bCs/>
          <w:sz w:val="18"/>
          <w:szCs w:val="22"/>
          <w:rtl/>
          <w:lang w:eastAsia="he-IL"/>
        </w:rPr>
        <w:t xml:space="preserve"> </w:t>
      </w:r>
      <w:r w:rsidRPr="00F41E78">
        <w:rPr>
          <w:rFonts w:cs="FrankRuehl" w:hint="cs"/>
          <w:sz w:val="18"/>
          <w:szCs w:val="22"/>
          <w:rtl/>
          <w:lang w:eastAsia="he-IL"/>
        </w:rPr>
        <w:t>"היבטים של תכנון למגורים במחוז הדרום"). גם במחוז זה נרשמה סחבת בתהליכי הבדיקה והתגלה עומס מיותר על הוועדה המחוזית.</w:t>
      </w:r>
    </w:p>
    <w:p w:rsidR="00E97EDA" w:rsidRPr="00F41E78" w:rsidP="0040014E">
      <w:pPr>
        <w:spacing w:after="240" w:line="230" w:lineRule="exact"/>
        <w:jc w:val="both"/>
        <w:rPr>
          <w:rFonts w:cs="FrankRuehl"/>
          <w:sz w:val="18"/>
          <w:szCs w:val="22"/>
          <w:rtl/>
          <w:lang w:eastAsia="he-IL"/>
        </w:rPr>
      </w:pPr>
      <w:r w:rsidRPr="00F41E78">
        <w:rPr>
          <w:rFonts w:cs="FrankRuehl" w:hint="eastAsia"/>
          <w:bCs/>
          <w:spacing w:val="40"/>
          <w:sz w:val="18"/>
          <w:szCs w:val="22"/>
          <w:rtl/>
        </w:rPr>
        <w:t>בדיקה</w:t>
      </w:r>
      <w:r w:rsidRPr="00F41E78">
        <w:rPr>
          <w:rFonts w:cs="FrankRuehl"/>
          <w:bCs/>
          <w:spacing w:val="40"/>
          <w:sz w:val="18"/>
          <w:szCs w:val="22"/>
          <w:rtl/>
        </w:rPr>
        <w:t xml:space="preserve"> </w:t>
      </w:r>
      <w:r w:rsidRPr="00F41E78">
        <w:rPr>
          <w:rFonts w:cs="FrankRuehl" w:hint="eastAsia"/>
          <w:bCs/>
          <w:spacing w:val="40"/>
          <w:sz w:val="18"/>
          <w:szCs w:val="22"/>
          <w:rtl/>
        </w:rPr>
        <w:t>תכנונית</w:t>
      </w:r>
      <w:r w:rsidRPr="00F41E78">
        <w:rPr>
          <w:rFonts w:cs="FrankRuehl"/>
          <w:bCs/>
          <w:spacing w:val="40"/>
          <w:sz w:val="18"/>
          <w:szCs w:val="22"/>
          <w:rtl/>
        </w:rPr>
        <w:t xml:space="preserve"> </w:t>
      </w:r>
      <w:r w:rsidRPr="00F41E78">
        <w:rPr>
          <w:rFonts w:cs="FrankRuehl" w:hint="eastAsia"/>
          <w:bCs/>
          <w:spacing w:val="40"/>
          <w:sz w:val="18"/>
          <w:szCs w:val="22"/>
          <w:rtl/>
        </w:rPr>
        <w:t>מוקדמת</w:t>
      </w:r>
      <w:r w:rsidRPr="00F41E78">
        <w:rPr>
          <w:rFonts w:cs="FrankRuehl"/>
          <w:bCs/>
          <w:spacing w:val="40"/>
          <w:sz w:val="18"/>
          <w:szCs w:val="22"/>
          <w:rtl/>
        </w:rPr>
        <w:t xml:space="preserve"> </w:t>
      </w:r>
      <w:r w:rsidRPr="00F41E78">
        <w:rPr>
          <w:rFonts w:cs="FrankRuehl" w:hint="eastAsia"/>
          <w:bCs/>
          <w:spacing w:val="40"/>
          <w:sz w:val="18"/>
          <w:szCs w:val="22"/>
          <w:rtl/>
        </w:rPr>
        <w:t>ודיון</w:t>
      </w:r>
      <w:r w:rsidRPr="00F41E78">
        <w:rPr>
          <w:rFonts w:cs="FrankRuehl"/>
          <w:bCs/>
          <w:spacing w:val="40"/>
          <w:sz w:val="18"/>
          <w:szCs w:val="22"/>
          <w:rtl/>
        </w:rPr>
        <w:t xml:space="preserve"> </w:t>
      </w:r>
      <w:r w:rsidRPr="00F41E78">
        <w:rPr>
          <w:rFonts w:cs="FrankRuehl" w:hint="eastAsia"/>
          <w:bCs/>
          <w:spacing w:val="40"/>
          <w:sz w:val="18"/>
          <w:szCs w:val="22"/>
          <w:rtl/>
        </w:rPr>
        <w:t>בהפקדת</w:t>
      </w:r>
      <w:r w:rsidRPr="00F41E78">
        <w:rPr>
          <w:rFonts w:cs="FrankRuehl"/>
          <w:bCs/>
          <w:spacing w:val="40"/>
          <w:sz w:val="18"/>
          <w:szCs w:val="22"/>
          <w:rtl/>
        </w:rPr>
        <w:t xml:space="preserve"> </w:t>
      </w:r>
      <w:r w:rsidRPr="00F41E78">
        <w:rPr>
          <w:rFonts w:cs="FrankRuehl" w:hint="eastAsia"/>
          <w:bCs/>
          <w:spacing w:val="40"/>
          <w:sz w:val="18"/>
          <w:szCs w:val="22"/>
          <w:rtl/>
        </w:rPr>
        <w:t>התכנית</w:t>
      </w:r>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 xml:space="preserve">בסעיף 62ב לחוק התכנון והבנייה נקבע כי הוועדה המחוזית תדון בתכנית שבסמכותה לאחר שהתכנית עברה בדיקה תכנונית מוקדמת בידי מתכנן המחוז. עוד נקבע כי הדיון בדבר ההפקדה יתקיים בפרק זמן של עד שלושה חודשים מיום שהוגשה התכנית או התכנית המתוקנת אם נדרש לתקנה. </w:t>
      </w:r>
    </w:p>
    <w:p w:rsidR="00D22B16" w:rsidRPr="00F41E78" w:rsidP="00D22B16">
      <w:pPr>
        <w:pStyle w:val="RESHET"/>
        <w:keepLines/>
        <w:rPr>
          <w:rtl/>
        </w:rPr>
      </w:pPr>
      <w:r w:rsidRPr="00F41E78">
        <w:rPr>
          <w:rFonts w:hint="cs"/>
          <w:rtl/>
        </w:rPr>
        <w:t xml:space="preserve">נמצא כי בפועל נמשך תהליך הבדיקה כתשעה חודשים וחצי בממוצע (לאחר עמידתן של התכניות בתנאי הסף); דהיינו, ממועד ההגשה עד מועד הדיון בהפקדה חולפים 17 חודשים בממוצע (כשנה וחצי). מדובר אפוא בפרקי זמן ממושכים מאוד. </w:t>
      </w:r>
    </w:p>
    <w:p w:rsidR="00E97EDA" w:rsidRPr="00F41E78" w:rsidP="0040014E">
      <w:pPr>
        <w:spacing w:before="180" w:after="240" w:line="230" w:lineRule="exact"/>
        <w:jc w:val="both"/>
        <w:rPr>
          <w:rFonts w:cs="FrankRuehl"/>
          <w:sz w:val="18"/>
          <w:szCs w:val="22"/>
          <w:rtl/>
          <w:lang w:eastAsia="he-IL"/>
        </w:rPr>
      </w:pPr>
      <w:r w:rsidRPr="00F41E78">
        <w:rPr>
          <w:rFonts w:cs="FrankRuehl" w:hint="eastAsia"/>
          <w:bCs/>
          <w:spacing w:val="40"/>
          <w:sz w:val="18"/>
          <w:szCs w:val="22"/>
          <w:rtl/>
        </w:rPr>
        <w:t>מדיון</w:t>
      </w:r>
      <w:r w:rsidRPr="00F41E78">
        <w:rPr>
          <w:rFonts w:cs="FrankRuehl"/>
          <w:bCs/>
          <w:spacing w:val="40"/>
          <w:sz w:val="18"/>
          <w:szCs w:val="22"/>
          <w:rtl/>
        </w:rPr>
        <w:t xml:space="preserve"> </w:t>
      </w:r>
      <w:r w:rsidRPr="00F41E78">
        <w:rPr>
          <w:rFonts w:cs="FrankRuehl" w:hint="eastAsia"/>
          <w:bCs/>
          <w:spacing w:val="40"/>
          <w:sz w:val="18"/>
          <w:szCs w:val="22"/>
          <w:rtl/>
        </w:rPr>
        <w:t>בהפקדה</w:t>
      </w:r>
      <w:r w:rsidRPr="00F41E78">
        <w:rPr>
          <w:rFonts w:cs="FrankRuehl"/>
          <w:bCs/>
          <w:spacing w:val="40"/>
          <w:sz w:val="18"/>
          <w:szCs w:val="22"/>
          <w:rtl/>
        </w:rPr>
        <w:t xml:space="preserve"> </w:t>
      </w:r>
      <w:r w:rsidRPr="00F41E78">
        <w:rPr>
          <w:rFonts w:cs="FrankRuehl" w:hint="eastAsia"/>
          <w:bCs/>
          <w:spacing w:val="40"/>
          <w:sz w:val="18"/>
          <w:szCs w:val="22"/>
          <w:rtl/>
        </w:rPr>
        <w:t>עד</w:t>
      </w:r>
      <w:r w:rsidRPr="00F41E78">
        <w:rPr>
          <w:rFonts w:cs="FrankRuehl"/>
          <w:bCs/>
          <w:spacing w:val="40"/>
          <w:sz w:val="18"/>
          <w:szCs w:val="22"/>
          <w:rtl/>
        </w:rPr>
        <w:t xml:space="preserve"> </w:t>
      </w:r>
      <w:r w:rsidRPr="00F41E78">
        <w:rPr>
          <w:rFonts w:cs="FrankRuehl" w:hint="eastAsia"/>
          <w:bCs/>
          <w:spacing w:val="40"/>
          <w:sz w:val="18"/>
          <w:szCs w:val="22"/>
          <w:rtl/>
        </w:rPr>
        <w:t>הפרסום</w:t>
      </w:r>
      <w:r w:rsidRPr="00F41E78">
        <w:rPr>
          <w:rFonts w:cs="FrankRuehl"/>
          <w:bCs/>
          <w:spacing w:val="40"/>
          <w:sz w:val="18"/>
          <w:szCs w:val="22"/>
          <w:rtl/>
        </w:rPr>
        <w:t xml:space="preserve"> </w:t>
      </w:r>
      <w:r w:rsidRPr="00F41E78">
        <w:rPr>
          <w:rFonts w:cs="FrankRuehl" w:hint="eastAsia"/>
          <w:bCs/>
          <w:spacing w:val="40"/>
          <w:sz w:val="18"/>
          <w:szCs w:val="22"/>
          <w:rtl/>
        </w:rPr>
        <w:t>בעיתון</w:t>
      </w:r>
      <w:r w:rsidRPr="00F41E78">
        <w:rPr>
          <w:rFonts w:cs="FrankRuehl"/>
          <w:bCs/>
          <w:spacing w:val="40"/>
          <w:sz w:val="18"/>
          <w:szCs w:val="22"/>
          <w:rtl/>
        </w:rPr>
        <w:t>:</w:t>
      </w:r>
      <w:r w:rsidRPr="00F41E78">
        <w:rPr>
          <w:rFonts w:cs="FrankRuehl"/>
          <w:sz w:val="18"/>
          <w:szCs w:val="22"/>
          <w:rtl/>
        </w:rPr>
        <w:t xml:space="preserve"> </w:t>
      </w:r>
      <w:r w:rsidRPr="00F41E78">
        <w:rPr>
          <w:rFonts w:cs="FrankRuehl" w:hint="cs"/>
          <w:sz w:val="18"/>
          <w:szCs w:val="22"/>
          <w:rtl/>
          <w:lang w:eastAsia="he-IL"/>
        </w:rPr>
        <w:t xml:space="preserve">סעיף 86 לחוק התכנון והבנייה קובע כי מוסד תכנון רשאי לבקש ממגיש תכנית להכניס בה שינויים או למלא אחר תנאים מסוימים לפני הפקדתה, ועליו לעשות כן בתוך שישה חדשים. </w:t>
      </w:r>
    </w:p>
    <w:p w:rsidR="00D22B16" w:rsidRPr="00F41E78" w:rsidP="00D22B16">
      <w:pPr>
        <w:pStyle w:val="RESHET"/>
        <w:keepLines/>
        <w:rPr>
          <w:rtl/>
        </w:rPr>
      </w:pPr>
      <w:r w:rsidRPr="00F41E78">
        <w:rPr>
          <w:rFonts w:hint="cs"/>
          <w:rtl/>
        </w:rPr>
        <w:t xml:space="preserve">בפועל נמשך שלב זה כשנתיים בממוצע, דהיינו שליש מהזמן הממוצע של תהליך אישור התכנית כולו ופי ארבעה מהקבוע בחוק התכנון והבנייה. יו"ר מוסד תכנון רשאי אמנם להאריך את המועדים הקבועים בחוק אם מצא הצדקה לכך, אך הביקורת העלתה כי התמשכותו של שלב זה מעבר לשישה חודשים אופיינית ל-85% מהתכניות שנבדקו. יתרה מזאת, במקרים רבים (כשליש מהתכניות) השלמת שלב זה נמשכת יותר משנתיים; כלומר, מדובר בתופעה נרחבת. שלב זה מצוי אמנם באחריות יוזם התכנית, אך בפועל הוא תלוי בתפקודם של משרדי ממשלה ושל הרשויות שעמם הוא נדרש לתאם את התכנית (ראו להלן בפרק "היבטים של תכנון למגורים בדרג המחוזי"). </w:t>
      </w:r>
    </w:p>
    <w:p w:rsidR="00E97EDA" w:rsidRPr="00F41E78" w:rsidP="0040014E">
      <w:pPr>
        <w:spacing w:before="180" w:after="120" w:line="230" w:lineRule="exact"/>
        <w:jc w:val="both"/>
        <w:rPr>
          <w:rFonts w:cs="FrankRuehl"/>
          <w:sz w:val="18"/>
          <w:szCs w:val="22"/>
          <w:rtl/>
          <w:lang w:eastAsia="he-IL"/>
        </w:rPr>
      </w:pPr>
      <w:r w:rsidRPr="00F41E78">
        <w:rPr>
          <w:rFonts w:cs="FrankRuehl" w:hint="eastAsia"/>
          <w:bCs/>
          <w:spacing w:val="40"/>
          <w:sz w:val="18"/>
          <w:szCs w:val="22"/>
          <w:rtl/>
        </w:rPr>
        <w:t>מפרסום</w:t>
      </w:r>
      <w:r w:rsidRPr="00F41E78">
        <w:rPr>
          <w:rFonts w:cs="FrankRuehl"/>
          <w:bCs/>
          <w:spacing w:val="40"/>
          <w:sz w:val="18"/>
          <w:szCs w:val="22"/>
          <w:rtl/>
        </w:rPr>
        <w:t xml:space="preserve"> </w:t>
      </w:r>
      <w:r w:rsidRPr="00F41E78">
        <w:rPr>
          <w:rFonts w:cs="FrankRuehl" w:hint="eastAsia"/>
          <w:bCs/>
          <w:spacing w:val="40"/>
          <w:sz w:val="18"/>
          <w:szCs w:val="22"/>
          <w:rtl/>
        </w:rPr>
        <w:t>ההפקדה</w:t>
      </w:r>
      <w:r w:rsidRPr="00F41E78">
        <w:rPr>
          <w:rFonts w:cs="FrankRuehl"/>
          <w:bCs/>
          <w:spacing w:val="40"/>
          <w:sz w:val="18"/>
          <w:szCs w:val="22"/>
          <w:rtl/>
        </w:rPr>
        <w:t xml:space="preserve"> </w:t>
      </w:r>
      <w:r w:rsidRPr="00F41E78">
        <w:rPr>
          <w:rFonts w:cs="FrankRuehl" w:hint="eastAsia"/>
          <w:bCs/>
          <w:spacing w:val="40"/>
          <w:sz w:val="18"/>
          <w:szCs w:val="22"/>
          <w:rtl/>
        </w:rPr>
        <w:t>עד</w:t>
      </w:r>
      <w:r w:rsidRPr="00F41E78">
        <w:rPr>
          <w:rFonts w:cs="FrankRuehl"/>
          <w:bCs/>
          <w:spacing w:val="40"/>
          <w:sz w:val="18"/>
          <w:szCs w:val="22"/>
          <w:rtl/>
        </w:rPr>
        <w:t xml:space="preserve"> </w:t>
      </w:r>
      <w:r w:rsidRPr="00F41E78">
        <w:rPr>
          <w:rFonts w:cs="FrankRuehl" w:hint="eastAsia"/>
          <w:bCs/>
          <w:spacing w:val="40"/>
          <w:sz w:val="18"/>
          <w:szCs w:val="22"/>
          <w:rtl/>
        </w:rPr>
        <w:t>סיומה</w:t>
      </w:r>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 xml:space="preserve">בתקופה זו אפשר להגיש התנגדויות לתכנית. בסעיף 102 לחוק התכנון והבנייה נקבע כי התנגדות לתכנית תוגש בתוך חודשיים מיום פרסום ההודעה על הפקדתה, ומוסד התכנון רשאי להאריך תקופה זו עד שלושה חודשים. מהביקורת עולה שבפועל תקופה זו אכן נמשכת כחודשיים בממוצע, דהיינו אין מוסדות התכנון נוהגים להאריך את התקופה להגשת התנגדויות הקבועה בחוק. </w:t>
      </w:r>
    </w:p>
    <w:p w:rsidR="00E97EDA" w:rsidRPr="00F41E78" w:rsidP="0040014E">
      <w:pPr>
        <w:spacing w:after="240" w:line="230" w:lineRule="exact"/>
        <w:jc w:val="both"/>
        <w:rPr>
          <w:rFonts w:cs="FrankRuehl"/>
          <w:sz w:val="18"/>
          <w:szCs w:val="22"/>
          <w:rtl/>
          <w:lang w:eastAsia="he-IL"/>
        </w:rPr>
      </w:pPr>
      <w:r w:rsidRPr="00F41E78">
        <w:rPr>
          <w:rFonts w:cs="FrankRuehl" w:hint="eastAsia"/>
          <w:bCs/>
          <w:spacing w:val="40"/>
          <w:sz w:val="18"/>
          <w:szCs w:val="22"/>
          <w:rtl/>
        </w:rPr>
        <w:t>מסיום</w:t>
      </w:r>
      <w:r w:rsidRPr="00F41E78">
        <w:rPr>
          <w:rFonts w:cs="FrankRuehl"/>
          <w:bCs/>
          <w:spacing w:val="40"/>
          <w:sz w:val="18"/>
          <w:szCs w:val="22"/>
          <w:rtl/>
        </w:rPr>
        <w:t xml:space="preserve"> </w:t>
      </w:r>
      <w:r w:rsidRPr="00F41E78">
        <w:rPr>
          <w:rFonts w:cs="FrankRuehl" w:hint="eastAsia"/>
          <w:bCs/>
          <w:spacing w:val="40"/>
          <w:sz w:val="18"/>
          <w:szCs w:val="22"/>
          <w:rtl/>
        </w:rPr>
        <w:t>ההפקדה</w:t>
      </w:r>
      <w:r w:rsidRPr="00F41E78">
        <w:rPr>
          <w:rFonts w:cs="FrankRuehl"/>
          <w:bCs/>
          <w:spacing w:val="40"/>
          <w:sz w:val="18"/>
          <w:szCs w:val="22"/>
          <w:rtl/>
        </w:rPr>
        <w:t xml:space="preserve"> </w:t>
      </w:r>
      <w:r w:rsidRPr="00F41E78">
        <w:rPr>
          <w:rFonts w:cs="FrankRuehl" w:hint="eastAsia"/>
          <w:bCs/>
          <w:spacing w:val="40"/>
          <w:sz w:val="18"/>
          <w:szCs w:val="22"/>
          <w:rtl/>
        </w:rPr>
        <w:t>עד</w:t>
      </w:r>
      <w:r w:rsidRPr="00F41E78">
        <w:rPr>
          <w:rFonts w:cs="FrankRuehl"/>
          <w:bCs/>
          <w:spacing w:val="40"/>
          <w:sz w:val="18"/>
          <w:szCs w:val="22"/>
          <w:rtl/>
        </w:rPr>
        <w:t xml:space="preserve"> </w:t>
      </w:r>
      <w:r w:rsidRPr="00F41E78">
        <w:rPr>
          <w:rFonts w:cs="FrankRuehl" w:hint="cs"/>
          <w:bCs/>
          <w:spacing w:val="40"/>
          <w:sz w:val="18"/>
          <w:szCs w:val="22"/>
          <w:rtl/>
        </w:rPr>
        <w:t>ה</w:t>
      </w:r>
      <w:r w:rsidRPr="00F41E78">
        <w:rPr>
          <w:rFonts w:cs="FrankRuehl" w:hint="eastAsia"/>
          <w:bCs/>
          <w:spacing w:val="40"/>
          <w:sz w:val="18"/>
          <w:szCs w:val="22"/>
          <w:rtl/>
        </w:rPr>
        <w:t>דיון</w:t>
      </w:r>
      <w:r w:rsidRPr="00F41E78">
        <w:rPr>
          <w:rFonts w:cs="FrankRuehl"/>
          <w:bCs/>
          <w:spacing w:val="40"/>
          <w:sz w:val="18"/>
          <w:szCs w:val="22"/>
          <w:rtl/>
        </w:rPr>
        <w:t xml:space="preserve"> </w:t>
      </w:r>
      <w:r w:rsidRPr="00F41E78">
        <w:rPr>
          <w:rFonts w:cs="FrankRuehl" w:hint="eastAsia"/>
          <w:bCs/>
          <w:spacing w:val="40"/>
          <w:sz w:val="18"/>
          <w:szCs w:val="22"/>
          <w:rtl/>
        </w:rPr>
        <w:t>בנוגע</w:t>
      </w:r>
      <w:r w:rsidRPr="00F41E78">
        <w:rPr>
          <w:rFonts w:cs="FrankRuehl"/>
          <w:bCs/>
          <w:spacing w:val="40"/>
          <w:sz w:val="18"/>
          <w:szCs w:val="22"/>
          <w:rtl/>
        </w:rPr>
        <w:t xml:space="preserve"> </w:t>
      </w:r>
      <w:r w:rsidRPr="00F41E78">
        <w:rPr>
          <w:rFonts w:cs="FrankRuehl" w:hint="eastAsia"/>
          <w:bCs/>
          <w:spacing w:val="40"/>
          <w:sz w:val="18"/>
          <w:szCs w:val="22"/>
          <w:rtl/>
        </w:rPr>
        <w:t>לאישור</w:t>
      </w:r>
      <w:r w:rsidRPr="00F41E78">
        <w:rPr>
          <w:rFonts w:cs="FrankRuehl"/>
          <w:bCs/>
          <w:spacing w:val="40"/>
          <w:sz w:val="18"/>
          <w:szCs w:val="22"/>
          <w:rtl/>
        </w:rPr>
        <w:t>:</w:t>
      </w:r>
      <w:r w:rsidRPr="00F41E78">
        <w:rPr>
          <w:rFonts w:cs="FrankRuehl"/>
          <w:sz w:val="18"/>
          <w:szCs w:val="22"/>
          <w:rtl/>
        </w:rPr>
        <w:t xml:space="preserve"> </w:t>
      </w:r>
      <w:r w:rsidRPr="00F41E78">
        <w:rPr>
          <w:rFonts w:cs="FrankRuehl" w:hint="cs"/>
          <w:sz w:val="18"/>
          <w:szCs w:val="22"/>
          <w:rtl/>
          <w:lang w:eastAsia="he-IL"/>
        </w:rPr>
        <w:t xml:space="preserve">בשלב זה מתקיים בירור בנוגע להתנגדויות שהוגשו לתכנית. בחוק התכנון והבנייה לא נקבע פרק זמן מחייב לדיון ולהכרעה בהתנגדויות, אך הוא קובע מועדים לסיום הטיפול בתכנית. מוסד תכנון יחליט לאשר או לדחות תכנית בתוך שלושה חודשים מתום תקופת הפקדתה, ושר הפנים רשאי להאריך תקופה זו בשלושה חודשים נוספים. כלומר, דיון בתכנית והכרעה בעניינה ייעשו בתוך שישה חודשים לכל היותר. </w:t>
      </w:r>
    </w:p>
    <w:p w:rsidR="00D22B16" w:rsidRPr="00F41E78" w:rsidP="00D22B16">
      <w:pPr>
        <w:pStyle w:val="RESHET"/>
        <w:keepLines/>
        <w:rPr>
          <w:rtl/>
        </w:rPr>
      </w:pPr>
      <w:r w:rsidRPr="00F41E78">
        <w:rPr>
          <w:rFonts w:hint="cs"/>
          <w:rtl/>
        </w:rPr>
        <w:t xml:space="preserve">בפועל, הדיון על אישור התכניות שנבדקו נמשך כעשרה חודשים בממוצע לאחר תום תקופת ההפקדה. </w:t>
      </w:r>
    </w:p>
    <w:p w:rsidR="00E97EDA" w:rsidRPr="00F41E78" w:rsidP="0040014E">
      <w:pPr>
        <w:spacing w:before="180" w:after="240" w:line="230" w:lineRule="exact"/>
        <w:jc w:val="both"/>
        <w:rPr>
          <w:rFonts w:cs="FrankRuehl"/>
          <w:sz w:val="18"/>
          <w:szCs w:val="22"/>
          <w:rtl/>
          <w:lang w:eastAsia="he-IL"/>
        </w:rPr>
      </w:pPr>
      <w:r w:rsidRPr="00F41E78">
        <w:rPr>
          <w:rFonts w:cs="FrankRuehl" w:hint="eastAsia"/>
          <w:bCs/>
          <w:spacing w:val="40"/>
          <w:sz w:val="18"/>
          <w:szCs w:val="22"/>
          <w:rtl/>
        </w:rPr>
        <w:t>מ</w:t>
      </w:r>
      <w:r w:rsidRPr="00F41E78">
        <w:rPr>
          <w:rFonts w:cs="FrankRuehl" w:hint="cs"/>
          <w:bCs/>
          <w:spacing w:val="40"/>
          <w:sz w:val="18"/>
          <w:szCs w:val="22"/>
          <w:rtl/>
        </w:rPr>
        <w:t>מועד ה</w:t>
      </w:r>
      <w:r w:rsidRPr="00F41E78">
        <w:rPr>
          <w:rFonts w:cs="FrankRuehl" w:hint="eastAsia"/>
          <w:bCs/>
          <w:spacing w:val="40"/>
          <w:sz w:val="18"/>
          <w:szCs w:val="22"/>
          <w:rtl/>
        </w:rPr>
        <w:t>דיון</w:t>
      </w:r>
      <w:r w:rsidRPr="00F41E78">
        <w:rPr>
          <w:rFonts w:cs="FrankRuehl"/>
          <w:bCs/>
          <w:spacing w:val="40"/>
          <w:sz w:val="18"/>
          <w:szCs w:val="22"/>
          <w:rtl/>
        </w:rPr>
        <w:t xml:space="preserve"> </w:t>
      </w:r>
      <w:r w:rsidRPr="00F41E78">
        <w:rPr>
          <w:rFonts w:cs="FrankRuehl" w:hint="cs"/>
          <w:bCs/>
          <w:spacing w:val="40"/>
          <w:sz w:val="18"/>
          <w:szCs w:val="22"/>
          <w:rtl/>
        </w:rPr>
        <w:t>ב</w:t>
      </w:r>
      <w:r w:rsidRPr="00F41E78">
        <w:rPr>
          <w:rFonts w:cs="FrankRuehl" w:hint="eastAsia"/>
          <w:bCs/>
          <w:spacing w:val="40"/>
          <w:sz w:val="18"/>
          <w:szCs w:val="22"/>
          <w:rtl/>
        </w:rPr>
        <w:t>אישור</w:t>
      </w:r>
      <w:r w:rsidRPr="00F41E78">
        <w:rPr>
          <w:rFonts w:cs="FrankRuehl" w:hint="cs"/>
          <w:bCs/>
          <w:spacing w:val="40"/>
          <w:sz w:val="18"/>
          <w:szCs w:val="22"/>
          <w:rtl/>
        </w:rPr>
        <w:t xml:space="preserve"> התכנית</w:t>
      </w:r>
      <w:r w:rsidRPr="00F41E78">
        <w:rPr>
          <w:rFonts w:cs="FrankRuehl"/>
          <w:bCs/>
          <w:spacing w:val="40"/>
          <w:sz w:val="18"/>
          <w:szCs w:val="22"/>
          <w:rtl/>
        </w:rPr>
        <w:t xml:space="preserve"> עד הנפקת נוסח פרסום:</w:t>
      </w:r>
      <w:r w:rsidRPr="00F41E78">
        <w:rPr>
          <w:rFonts w:cs="FrankRuehl"/>
          <w:sz w:val="18"/>
          <w:szCs w:val="22"/>
          <w:rtl/>
        </w:rPr>
        <w:t xml:space="preserve"> </w:t>
      </w:r>
      <w:r w:rsidRPr="00F41E78">
        <w:rPr>
          <w:rFonts w:cs="FrankRuehl" w:hint="cs"/>
          <w:sz w:val="18"/>
          <w:szCs w:val="22"/>
          <w:rtl/>
          <w:lang w:eastAsia="he-IL"/>
        </w:rPr>
        <w:t xml:space="preserve">ההחלטות לאשר את התכנית מתקבלות על פי רוב תוך כדי קביעת תנאים שעל המגיש למלא כדי שהתכנית תאושר ותקבל תוקף. חוק התכנון והבנייה לא קבע לוחות זמנים למילוי התנאים האמורים, ובפועל תהליך האישור הסופי של התכנית נמשך כ-17 חודשים נוספים; וזאת משום שלאחר שלב ההתנגדויות מתעוררות סוגיות נוספות רבות שיש לתת להן מענה, ומגיש התכנית צריך שוב לתקנה ולהשלים תיאומים רלוונטיים. גם עררים המוגשים על אישור תכנית מעכבים את מתן התוקף לתכנית. מתברר שתהליכי אישור התכניות שנבדקו, מתום ההפקדה עד הנפקת נוסח פרסום, נמשכים בממוצע 26.8 חודשים (שנתיים ושלושה חודשים). </w:t>
      </w:r>
      <w:r w:rsidRPr="00F41E78">
        <w:rPr>
          <w:rFonts w:cs="FrankRuehl"/>
          <w:sz w:val="18"/>
          <w:szCs w:val="22"/>
          <w:rtl/>
          <w:lang w:eastAsia="he-IL"/>
        </w:rPr>
        <w:t>יצוין כי שיתוף הציבור בהליכי התכנון והצורך לברר באופן יסודי את ההתנגדויות המוגשות הן פעולות חשובות ביותר, א</w:t>
      </w:r>
      <w:r w:rsidRPr="00F41E78">
        <w:rPr>
          <w:rFonts w:cs="FrankRuehl" w:hint="cs"/>
          <w:sz w:val="18"/>
          <w:szCs w:val="22"/>
          <w:rtl/>
          <w:lang w:eastAsia="he-IL"/>
        </w:rPr>
        <w:t>ך</w:t>
      </w:r>
      <w:r w:rsidRPr="00F41E78">
        <w:rPr>
          <w:rFonts w:cs="FrankRuehl"/>
          <w:sz w:val="18"/>
          <w:szCs w:val="22"/>
          <w:rtl/>
          <w:lang w:eastAsia="he-IL"/>
        </w:rPr>
        <w:t xml:space="preserve"> ראוי לבחון דרכים לייעל הליכים אל</w:t>
      </w:r>
      <w:r w:rsidRPr="00F41E78">
        <w:rPr>
          <w:rFonts w:cs="FrankRuehl" w:hint="cs"/>
          <w:sz w:val="18"/>
          <w:szCs w:val="22"/>
          <w:rtl/>
          <w:lang w:eastAsia="he-IL"/>
        </w:rPr>
        <w:t>ו</w:t>
      </w:r>
      <w:r w:rsidRPr="00F41E78">
        <w:rPr>
          <w:rFonts w:cs="FrankRuehl"/>
          <w:sz w:val="18"/>
          <w:szCs w:val="22"/>
          <w:rtl/>
          <w:lang w:eastAsia="he-IL"/>
        </w:rPr>
        <w:t>.</w:t>
      </w:r>
    </w:p>
    <w:p w:rsidR="00D22B16" w:rsidRPr="00F41E78" w:rsidP="00D22B16">
      <w:pPr>
        <w:pStyle w:val="RESHET"/>
        <w:keepLines/>
        <w:rPr>
          <w:rtl/>
        </w:rPr>
      </w:pPr>
      <w:r w:rsidRPr="00F41E78">
        <w:rPr>
          <w:rFonts w:hint="cs"/>
          <w:rtl/>
        </w:rPr>
        <w:t xml:space="preserve">לסיכום, לפי חוק התכנון והבנייה, הזמן המצטבר להשלמת השלבים לאישור תכנית הוא </w:t>
      </w:r>
      <w:r>
        <w:br/>
      </w:r>
      <w:r w:rsidRPr="00F41E78">
        <w:rPr>
          <w:rFonts w:hint="cs"/>
          <w:rtl/>
        </w:rPr>
        <w:t xml:space="preserve">כ-22 חודשים. מאחר שפרק זה כולל את רוב שלבי קידום התכנית בהליך הסטטוטורי, הוא יכול לשמש אמת מידה למשך הזמן הסביר להשלמת התהליך כולו. </w:t>
      </w:r>
    </w:p>
    <w:p w:rsidR="00D22B16" w:rsidRPr="00F41E78" w:rsidP="00382334">
      <w:pPr>
        <w:pStyle w:val="RESHET"/>
        <w:keepLines/>
        <w:rPr>
          <w:rtl/>
        </w:rPr>
      </w:pPr>
      <w:r w:rsidRPr="00F41E78">
        <w:rPr>
          <w:rFonts w:hint="cs"/>
          <w:rtl/>
        </w:rPr>
        <w:t>בפועל, פרק הזמן הממוצע להשלמת אישורן של התכניות שנבדקו הוא כ-6</w:t>
      </w:r>
      <w:r w:rsidR="00907BFE">
        <w:rPr>
          <w:rFonts w:hint="cs"/>
          <w:rtl/>
        </w:rPr>
        <w:t>9</w:t>
      </w:r>
      <w:r w:rsidRPr="00F41E78">
        <w:rPr>
          <w:rFonts w:hint="cs"/>
          <w:rtl/>
        </w:rPr>
        <w:t xml:space="preserve"> חודשים, דהיינו פי שלושה מהזמן המצטבר שנקבע בחוק התכנון והבנייה. במחוז המרכז התהליך נמשך אף </w:t>
      </w:r>
      <w:r w:rsidRPr="00582A43">
        <w:rPr>
          <w:rFonts w:hint="cs"/>
          <w:rtl/>
        </w:rPr>
        <w:t>יותר, כ-</w:t>
      </w:r>
      <w:r w:rsidRPr="00582A43" w:rsidR="00BA071D">
        <w:rPr>
          <w:rFonts w:hint="cs"/>
          <w:rtl/>
        </w:rPr>
        <w:t>96</w:t>
      </w:r>
      <w:r w:rsidRPr="00582A43">
        <w:rPr>
          <w:rFonts w:hint="cs"/>
          <w:rtl/>
        </w:rPr>
        <w:t xml:space="preserve"> חודשים (</w:t>
      </w:r>
      <w:r w:rsidRPr="00582A43" w:rsidR="000427FF">
        <w:rPr>
          <w:rFonts w:hint="cs"/>
          <w:rtl/>
        </w:rPr>
        <w:t>כ</w:t>
      </w:r>
      <w:r w:rsidRPr="00582A43">
        <w:rPr>
          <w:rFonts w:hint="cs"/>
          <w:rtl/>
        </w:rPr>
        <w:t>ש</w:t>
      </w:r>
      <w:r w:rsidRPr="00582A43" w:rsidR="00BA071D">
        <w:rPr>
          <w:rFonts w:hint="cs"/>
          <w:rtl/>
        </w:rPr>
        <w:t>מונה שנים</w:t>
      </w:r>
      <w:r w:rsidRPr="00582A43">
        <w:rPr>
          <w:rFonts w:hint="cs"/>
          <w:rtl/>
        </w:rPr>
        <w:t xml:space="preserve">), </w:t>
      </w:r>
      <w:r w:rsidR="00382334">
        <w:rPr>
          <w:rFonts w:hint="cs"/>
          <w:rtl/>
        </w:rPr>
        <w:t>יותר</w:t>
      </w:r>
      <w:r w:rsidRPr="00582A43">
        <w:rPr>
          <w:rFonts w:hint="cs"/>
          <w:rtl/>
        </w:rPr>
        <w:t xml:space="preserve"> </w:t>
      </w:r>
      <w:r w:rsidR="00382334">
        <w:rPr>
          <w:rFonts w:hint="cs"/>
          <w:rtl/>
        </w:rPr>
        <w:t>מ</w:t>
      </w:r>
      <w:r w:rsidRPr="00582A43">
        <w:rPr>
          <w:rFonts w:hint="cs"/>
          <w:rtl/>
        </w:rPr>
        <w:t>פי ארבעה מהזמנים הקבועים בחוק.</w:t>
      </w:r>
      <w:r w:rsidRPr="00F41E78">
        <w:rPr>
          <w:rFonts w:hint="cs"/>
          <w:rtl/>
        </w:rPr>
        <w:t xml:space="preserve"> </w:t>
      </w:r>
    </w:p>
    <w:p w:rsidR="009110D1" w:rsidRPr="00252FE5" w:rsidP="00A7557B">
      <w:pPr>
        <w:spacing w:after="120" w:line="230" w:lineRule="exact"/>
        <w:jc w:val="both"/>
        <w:rPr>
          <w:rFonts w:cs="FrankRuehl"/>
          <w:sz w:val="18"/>
          <w:szCs w:val="22"/>
          <w:rtl/>
          <w:lang w:eastAsia="he-IL"/>
        </w:rPr>
      </w:pPr>
    </w:p>
    <w:p w:rsidR="009110D1" w:rsidRPr="00F41E78" w:rsidP="00A7557B">
      <w:pPr>
        <w:spacing w:after="120" w:line="230" w:lineRule="exact"/>
        <w:jc w:val="both"/>
        <w:rPr>
          <w:rFonts w:cs="FrankRuehl"/>
          <w:sz w:val="18"/>
          <w:szCs w:val="22"/>
          <w:rtl/>
          <w:lang w:eastAsia="he-IL"/>
        </w:rPr>
      </w:pPr>
    </w:p>
    <w:p w:rsidR="00E97EDA" w:rsidRPr="00CB33CD" w:rsidP="00A7557B">
      <w:pPr>
        <w:pStyle w:val="KOT4"/>
        <w:rPr>
          <w:rtl/>
          <w:lang w:eastAsia="he-IL"/>
        </w:rPr>
      </w:pPr>
      <w:r w:rsidRPr="00CB33CD">
        <w:rPr>
          <w:rFonts w:hint="cs"/>
          <w:rtl/>
          <w:lang w:eastAsia="he-IL"/>
        </w:rPr>
        <w:t>גורמים מבניים המעכבים את הליכי התכנון</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הליכי התכנון הם מטבעם תהליכים מורכבים הדורשים תיאומים רבים, נגיעה במכלול רחב של שיקולים ושמיעת הציבור. אולם בשל סחבת בקבלת ההחלטות, חוסר יעילות, בעיות מבניות במערך התכנון הכולל, תפקוד לקוי של יוזמי התכניות המפורטות ותפקוד לקוי של הגורמים המעורבים בתכנון המרחב, הם נמשכים לעתים פרקי זמן בלתי סבירים.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באוגוסט 2011 הגישה ועדת ברנע דוח ובו היא מעלה כמה חסמים הגורמים לסרבולם של הליכי התכנון ולהתמשכותם; חסמים כמו נהלים בלתי אחידים בתהליך הקליטה של תכניות, מחסור בכוח אדם מקצועי הולם בייחוד בלשכות התכנון וקשיים בתהליכי ההתקשרויות עם יועצים לוועדות המחוזיות. בדוח ציינה הוועדה כי בתכניות המוגשות למוסדות התכנון פגמים טכניים ומהותיים.</w:t>
      </w:r>
    </w:p>
    <w:p w:rsidR="00E97EDA" w:rsidRPr="00F41E78" w:rsidP="00A7557B">
      <w:pPr>
        <w:spacing w:after="120" w:line="230" w:lineRule="exact"/>
        <w:ind w:left="12"/>
        <w:jc w:val="both"/>
        <w:rPr>
          <w:rFonts w:cs="FrankRuehl"/>
          <w:sz w:val="18"/>
          <w:szCs w:val="22"/>
          <w:lang w:eastAsia="he-IL"/>
        </w:rPr>
      </w:pPr>
      <w:r w:rsidRPr="00F41E78">
        <w:rPr>
          <w:rFonts w:cs="FrankRuehl" w:hint="cs"/>
          <w:sz w:val="18"/>
          <w:szCs w:val="22"/>
          <w:rtl/>
          <w:lang w:eastAsia="he-IL"/>
        </w:rPr>
        <w:t>הוועדה המליצה להגדיל את תקני כוח האדם בלשכות התכנון, לפעול לשינוי חקיקה שירחיב מידית את סמכויותיהן של הוועדות המקומיות ולקדם תכניות מקומיות כוללניות. עוד המליצה לאמץ בהקדם נוהל אחיד של הנחיה מוקדמת (</w:t>
      </w:r>
      <w:r w:rsidRPr="00F41E78">
        <w:rPr>
          <w:rFonts w:cs="FrankRuehl"/>
          <w:sz w:val="18"/>
          <w:szCs w:val="22"/>
          <w:lang w:eastAsia="he-IL"/>
        </w:rPr>
        <w:t>pre-ruling</w:t>
      </w:r>
      <w:r w:rsidRPr="00F41E78">
        <w:rPr>
          <w:rFonts w:cs="FrankRuehl" w:hint="cs"/>
          <w:sz w:val="18"/>
          <w:szCs w:val="22"/>
          <w:rtl/>
          <w:lang w:eastAsia="he-IL"/>
        </w:rPr>
        <w:t>) בכל המחוזות ונוהל שיגדיר תנאי סף מחייבים לקליטת תכניות וכן לקבוע נהלים אחידים לבדיקות הנדרשות לכל סוג של תכנית.</w:t>
      </w:r>
    </w:p>
    <w:p w:rsidR="00E97EDA" w:rsidRPr="00F41E78" w:rsidP="0040014E">
      <w:pPr>
        <w:spacing w:after="240" w:line="230" w:lineRule="exact"/>
        <w:jc w:val="both"/>
        <w:rPr>
          <w:rFonts w:cs="FrankRuehl"/>
          <w:sz w:val="18"/>
          <w:szCs w:val="22"/>
          <w:rtl/>
          <w:lang w:eastAsia="he-IL"/>
        </w:rPr>
      </w:pPr>
      <w:r w:rsidRPr="00F41E78">
        <w:rPr>
          <w:rFonts w:cs="FrankRuehl" w:hint="cs"/>
          <w:sz w:val="18"/>
          <w:szCs w:val="22"/>
          <w:rtl/>
          <w:lang w:eastAsia="he-IL"/>
        </w:rPr>
        <w:t xml:space="preserve">בביקורת נמצא כי מינהל התכנון לא הקים צוות לבחינת המלצותיה של ועדת ברנע וליישומן. אולם במהלך 2012 הוא ערך ניתוח עצמאי של הסיבות הגורמות להתמשכותם של הליכי התכנון, שהעלה בעיות מבניות כמו ריכוזיות יתר של מערך התכנון בשל חלוקת סמכויות לא </w:t>
      </w:r>
      <w:r w:rsidRPr="00F41E78">
        <w:rPr>
          <w:rFonts w:cs="FrankRuehl"/>
          <w:sz w:val="18"/>
          <w:szCs w:val="22"/>
          <w:rtl/>
          <w:lang w:eastAsia="he-IL"/>
        </w:rPr>
        <w:t>מיטבית</w:t>
      </w:r>
      <w:r w:rsidRPr="00F41E78">
        <w:rPr>
          <w:rFonts w:cs="FrankRuehl" w:hint="cs"/>
          <w:sz w:val="18"/>
          <w:szCs w:val="22"/>
          <w:rtl/>
          <w:lang w:eastAsia="he-IL"/>
        </w:rPr>
        <w:t xml:space="preserve"> בין הנדבך המחוזי למקומי וכפל בקרות ללא צורך. כמו כן התגלו בעיות ארגוניות המקשות על יכולת הניהול של המדרג כולו; היעדרו של גורם מתכלל, היעדרה של שדרה ניהולית פורמלית בין המטה למחוזות והיעדרו של גורם האחראי כלפי הממשלה לתפוקות מוסדות התכנון. נמצא גם שהאמצעים לקביעת מדיניות התכנון קשיחים מדי ומקשים על מתן מענה הולם לצרכים משתנים. </w:t>
      </w:r>
    </w:p>
    <w:p w:rsidR="00D22B16" w:rsidRPr="00F41E78" w:rsidP="00D22B16">
      <w:pPr>
        <w:pStyle w:val="RESHET"/>
        <w:keepLines/>
        <w:rPr>
          <w:rtl/>
        </w:rPr>
      </w:pPr>
      <w:r w:rsidRPr="00F41E78">
        <w:rPr>
          <w:rFonts w:hint="cs"/>
          <w:rtl/>
        </w:rPr>
        <w:t xml:space="preserve">בעקבות הממצאים האמורים מינהל התכנון מצוי אפוא בעיצומו של תהליך לבחינת שינויים ארגוניים מקיפים. בביקורת נמצא כי הוא החל ליישם שיטות חדשות של "שכר עידוד" לייעול הליכי התכנון ולשיפור אמינות הדיווחים למערכות הבקרה. הוא יזם הכנה של תכניות עבודה עבור הוועדות המחוזיות ומיסד תהליכי מעקב אחר תפוקותיהם של מוסדות התכנון ובקרה עליהן. הוא גם יזם איחוד של כל תכניות המתאר הארציות כדי להקל את התיאום הנדרש של יתר הנדבכים להוראות שקבעו תכניות אלו. </w:t>
      </w:r>
    </w:p>
    <w:p w:rsidR="00D22B16" w:rsidRPr="00F41E78" w:rsidP="00D22B16">
      <w:pPr>
        <w:pStyle w:val="RESHET"/>
        <w:keepLines/>
        <w:rPr>
          <w:rtl/>
        </w:rPr>
      </w:pPr>
      <w:r w:rsidRPr="00F41E78">
        <w:rPr>
          <w:rFonts w:hint="eastAsia"/>
          <w:rtl/>
        </w:rPr>
        <w:t>משרד</w:t>
      </w:r>
      <w:r w:rsidRPr="00F41E78">
        <w:rPr>
          <w:rtl/>
        </w:rPr>
        <w:t xml:space="preserve"> </w:t>
      </w:r>
      <w:r w:rsidRPr="00F41E78">
        <w:rPr>
          <w:rFonts w:hint="eastAsia"/>
          <w:rtl/>
        </w:rPr>
        <w:t>מבקר</w:t>
      </w:r>
      <w:r w:rsidRPr="00F41E78">
        <w:rPr>
          <w:rtl/>
        </w:rPr>
        <w:t xml:space="preserve"> </w:t>
      </w:r>
      <w:r w:rsidRPr="00F41E78">
        <w:rPr>
          <w:rFonts w:hint="eastAsia"/>
          <w:rtl/>
        </w:rPr>
        <w:t>המדינה</w:t>
      </w:r>
      <w:r w:rsidRPr="00F41E78">
        <w:rPr>
          <w:rtl/>
        </w:rPr>
        <w:t xml:space="preserve"> </w:t>
      </w:r>
      <w:r w:rsidRPr="00F41E78">
        <w:rPr>
          <w:rFonts w:hint="eastAsia"/>
          <w:rtl/>
        </w:rPr>
        <w:t>מדגיש</w:t>
      </w:r>
      <w:r w:rsidRPr="00F41E78">
        <w:rPr>
          <w:rtl/>
        </w:rPr>
        <w:t xml:space="preserve"> </w:t>
      </w:r>
      <w:r w:rsidRPr="00F41E78">
        <w:rPr>
          <w:rFonts w:hint="eastAsia"/>
          <w:rtl/>
        </w:rPr>
        <w:t>את</w:t>
      </w:r>
      <w:r w:rsidRPr="00F41E78">
        <w:rPr>
          <w:rtl/>
        </w:rPr>
        <w:t xml:space="preserve"> </w:t>
      </w:r>
      <w:r w:rsidRPr="00F41E78">
        <w:rPr>
          <w:rFonts w:hint="eastAsia"/>
          <w:rtl/>
        </w:rPr>
        <w:t>הצורך</w:t>
      </w:r>
      <w:r w:rsidRPr="00F41E78">
        <w:rPr>
          <w:rtl/>
        </w:rPr>
        <w:t xml:space="preserve"> </w:t>
      </w:r>
      <w:r w:rsidRPr="00F41E78">
        <w:rPr>
          <w:rFonts w:hint="eastAsia"/>
          <w:rtl/>
        </w:rPr>
        <w:t>בהשלמת</w:t>
      </w:r>
      <w:r w:rsidRPr="00F41E78">
        <w:rPr>
          <w:rtl/>
        </w:rPr>
        <w:t xml:space="preserve"> </w:t>
      </w:r>
      <w:r w:rsidRPr="00F41E78">
        <w:rPr>
          <w:rFonts w:hint="eastAsia"/>
          <w:rtl/>
        </w:rPr>
        <w:t>התהליך</w:t>
      </w:r>
      <w:r w:rsidRPr="00F41E78">
        <w:rPr>
          <w:rtl/>
        </w:rPr>
        <w:t xml:space="preserve"> </w:t>
      </w:r>
      <w:r w:rsidRPr="00F41E78">
        <w:rPr>
          <w:rFonts w:hint="eastAsia"/>
          <w:rtl/>
        </w:rPr>
        <w:t>לבחינת</w:t>
      </w:r>
      <w:r w:rsidRPr="00F41E78">
        <w:rPr>
          <w:rtl/>
        </w:rPr>
        <w:t xml:space="preserve"> </w:t>
      </w:r>
      <w:r w:rsidRPr="00F41E78">
        <w:rPr>
          <w:rFonts w:hint="cs"/>
          <w:rtl/>
        </w:rPr>
        <w:t>ה</w:t>
      </w:r>
      <w:r w:rsidRPr="00F41E78">
        <w:rPr>
          <w:rFonts w:hint="eastAsia"/>
          <w:rtl/>
        </w:rPr>
        <w:t>שינוי</w:t>
      </w:r>
      <w:r w:rsidRPr="00F41E78">
        <w:rPr>
          <w:rtl/>
        </w:rPr>
        <w:t xml:space="preserve"> </w:t>
      </w:r>
      <w:r w:rsidRPr="00F41E78">
        <w:rPr>
          <w:rFonts w:hint="cs"/>
          <w:rtl/>
        </w:rPr>
        <w:t>ה</w:t>
      </w:r>
      <w:r w:rsidRPr="00F41E78">
        <w:rPr>
          <w:rFonts w:hint="eastAsia"/>
          <w:rtl/>
        </w:rPr>
        <w:t>ארגוני</w:t>
      </w:r>
      <w:r w:rsidRPr="00F41E78">
        <w:rPr>
          <w:rtl/>
        </w:rPr>
        <w:t xml:space="preserve"> </w:t>
      </w:r>
      <w:r w:rsidRPr="00F41E78">
        <w:rPr>
          <w:rFonts w:hint="eastAsia"/>
          <w:rtl/>
        </w:rPr>
        <w:t>במינהל</w:t>
      </w:r>
      <w:r w:rsidRPr="00F41E78">
        <w:rPr>
          <w:rtl/>
        </w:rPr>
        <w:t xml:space="preserve"> </w:t>
      </w:r>
      <w:r w:rsidRPr="00F41E78">
        <w:rPr>
          <w:rFonts w:hint="eastAsia"/>
          <w:rtl/>
        </w:rPr>
        <w:t>התכנון</w:t>
      </w:r>
      <w:r w:rsidRPr="00F41E78">
        <w:rPr>
          <w:rtl/>
        </w:rPr>
        <w:t xml:space="preserve"> </w:t>
      </w:r>
      <w:r w:rsidRPr="00F41E78">
        <w:rPr>
          <w:rFonts w:hint="eastAsia"/>
          <w:rtl/>
        </w:rPr>
        <w:t>ואת</w:t>
      </w:r>
      <w:r w:rsidRPr="00F41E78">
        <w:rPr>
          <w:rtl/>
        </w:rPr>
        <w:t xml:space="preserve"> </w:t>
      </w:r>
      <w:r w:rsidRPr="00F41E78">
        <w:rPr>
          <w:rFonts w:hint="eastAsia"/>
          <w:rtl/>
        </w:rPr>
        <w:t>הצורך</w:t>
      </w:r>
      <w:r w:rsidRPr="00F41E78">
        <w:rPr>
          <w:rtl/>
        </w:rPr>
        <w:t xml:space="preserve"> </w:t>
      </w:r>
      <w:r w:rsidRPr="00F41E78">
        <w:rPr>
          <w:rFonts w:hint="eastAsia"/>
          <w:rtl/>
        </w:rPr>
        <w:t>בבדיקת</w:t>
      </w:r>
      <w:r w:rsidRPr="00F41E78">
        <w:rPr>
          <w:rtl/>
        </w:rPr>
        <w:t xml:space="preserve"> </w:t>
      </w:r>
      <w:r w:rsidRPr="00F41E78">
        <w:rPr>
          <w:rFonts w:hint="eastAsia"/>
          <w:rtl/>
        </w:rPr>
        <w:t>המלצות</w:t>
      </w:r>
      <w:r w:rsidRPr="00F41E78">
        <w:rPr>
          <w:rFonts w:hint="cs"/>
          <w:rtl/>
        </w:rPr>
        <w:t>י</w:t>
      </w:r>
      <w:r w:rsidRPr="00F41E78">
        <w:rPr>
          <w:rFonts w:hint="eastAsia"/>
          <w:rtl/>
        </w:rPr>
        <w:t>ה</w:t>
      </w:r>
      <w:r w:rsidRPr="00F41E78">
        <w:rPr>
          <w:rtl/>
        </w:rPr>
        <w:t xml:space="preserve"> </w:t>
      </w:r>
      <w:r w:rsidRPr="00F41E78">
        <w:rPr>
          <w:rFonts w:hint="eastAsia"/>
          <w:rtl/>
        </w:rPr>
        <w:t>של</w:t>
      </w:r>
      <w:r w:rsidRPr="00F41E78">
        <w:rPr>
          <w:rtl/>
        </w:rPr>
        <w:t xml:space="preserve"> </w:t>
      </w:r>
      <w:r w:rsidRPr="00F41E78">
        <w:rPr>
          <w:rFonts w:hint="eastAsia"/>
          <w:rtl/>
        </w:rPr>
        <w:t>ועדת</w:t>
      </w:r>
      <w:r w:rsidRPr="00F41E78">
        <w:rPr>
          <w:rtl/>
        </w:rPr>
        <w:t xml:space="preserve"> </w:t>
      </w:r>
      <w:r w:rsidRPr="00F41E78">
        <w:rPr>
          <w:rFonts w:hint="eastAsia"/>
          <w:rtl/>
        </w:rPr>
        <w:t>ברנע</w:t>
      </w:r>
      <w:r w:rsidRPr="00F41E78">
        <w:rPr>
          <w:rtl/>
        </w:rPr>
        <w:t xml:space="preserve">. </w:t>
      </w:r>
      <w:r w:rsidRPr="00F41E78">
        <w:rPr>
          <w:rFonts w:hint="eastAsia"/>
          <w:rtl/>
        </w:rPr>
        <w:t>על</w:t>
      </w:r>
      <w:r w:rsidRPr="00F41E78">
        <w:rPr>
          <w:rtl/>
        </w:rPr>
        <w:t xml:space="preserve"> </w:t>
      </w:r>
      <w:r w:rsidRPr="00F41E78">
        <w:rPr>
          <w:rFonts w:hint="eastAsia"/>
          <w:rtl/>
        </w:rPr>
        <w:t>מינהל</w:t>
      </w:r>
      <w:r w:rsidRPr="00F41E78">
        <w:rPr>
          <w:rtl/>
        </w:rPr>
        <w:t xml:space="preserve"> </w:t>
      </w:r>
      <w:r w:rsidRPr="00F41E78">
        <w:rPr>
          <w:rFonts w:hint="eastAsia"/>
          <w:rtl/>
        </w:rPr>
        <w:t>התכנון</w:t>
      </w:r>
      <w:r w:rsidRPr="00F41E78">
        <w:rPr>
          <w:rtl/>
        </w:rPr>
        <w:t xml:space="preserve"> </w:t>
      </w:r>
      <w:r w:rsidRPr="00F41E78">
        <w:rPr>
          <w:rFonts w:hint="eastAsia"/>
          <w:rtl/>
        </w:rPr>
        <w:t>ו</w:t>
      </w:r>
      <w:r w:rsidRPr="00F41E78">
        <w:rPr>
          <w:rFonts w:hint="cs"/>
          <w:rtl/>
        </w:rPr>
        <w:t xml:space="preserve">על </w:t>
      </w:r>
      <w:r w:rsidRPr="00F41E78">
        <w:rPr>
          <w:rFonts w:hint="eastAsia"/>
          <w:rtl/>
        </w:rPr>
        <w:t>לשכות</w:t>
      </w:r>
      <w:r w:rsidRPr="00F41E78">
        <w:rPr>
          <w:rtl/>
        </w:rPr>
        <w:t xml:space="preserve"> </w:t>
      </w:r>
      <w:r w:rsidRPr="00F41E78">
        <w:rPr>
          <w:rFonts w:hint="eastAsia"/>
          <w:rtl/>
        </w:rPr>
        <w:t>התכנון</w:t>
      </w:r>
      <w:r w:rsidRPr="00F41E78">
        <w:rPr>
          <w:rtl/>
        </w:rPr>
        <w:t xml:space="preserve"> </w:t>
      </w:r>
      <w:r w:rsidRPr="00F41E78">
        <w:rPr>
          <w:rFonts w:hint="eastAsia"/>
          <w:rtl/>
        </w:rPr>
        <w:t>ללמוד</w:t>
      </w:r>
      <w:r w:rsidRPr="00F41E78">
        <w:rPr>
          <w:rtl/>
        </w:rPr>
        <w:t xml:space="preserve"> </w:t>
      </w:r>
      <w:r w:rsidRPr="00F41E78">
        <w:rPr>
          <w:rFonts w:hint="eastAsia"/>
          <w:rtl/>
        </w:rPr>
        <w:t>את</w:t>
      </w:r>
      <w:r w:rsidRPr="00F41E78">
        <w:rPr>
          <w:rtl/>
        </w:rPr>
        <w:t xml:space="preserve"> </w:t>
      </w:r>
      <w:r w:rsidRPr="00F41E78">
        <w:rPr>
          <w:rFonts w:hint="eastAsia"/>
          <w:rtl/>
        </w:rPr>
        <w:t>הממצאים</w:t>
      </w:r>
      <w:r w:rsidRPr="00F41E78">
        <w:rPr>
          <w:rtl/>
        </w:rPr>
        <w:t xml:space="preserve"> </w:t>
      </w:r>
      <w:r w:rsidRPr="00F41E78">
        <w:rPr>
          <w:rFonts w:hint="eastAsia"/>
          <w:rtl/>
        </w:rPr>
        <w:t>שהובאו</w:t>
      </w:r>
      <w:r w:rsidRPr="00F41E78">
        <w:rPr>
          <w:rtl/>
        </w:rPr>
        <w:t xml:space="preserve"> </w:t>
      </w:r>
      <w:r w:rsidRPr="00F41E78">
        <w:rPr>
          <w:rFonts w:hint="cs"/>
          <w:rtl/>
        </w:rPr>
        <w:t>בפרק</w:t>
      </w:r>
      <w:r w:rsidRPr="00F41E78">
        <w:rPr>
          <w:rtl/>
        </w:rPr>
        <w:t xml:space="preserve"> </w:t>
      </w:r>
      <w:r w:rsidRPr="00F41E78">
        <w:rPr>
          <w:rFonts w:hint="eastAsia"/>
          <w:rtl/>
        </w:rPr>
        <w:t>זה</w:t>
      </w:r>
      <w:r w:rsidRPr="00F41E78">
        <w:rPr>
          <w:rtl/>
        </w:rPr>
        <w:t xml:space="preserve"> </w:t>
      </w:r>
      <w:r w:rsidRPr="00F41E78">
        <w:rPr>
          <w:rFonts w:hint="eastAsia"/>
          <w:rtl/>
        </w:rPr>
        <w:t>על</w:t>
      </w:r>
      <w:r w:rsidRPr="00F41E78">
        <w:rPr>
          <w:rtl/>
        </w:rPr>
        <w:t xml:space="preserve"> </w:t>
      </w:r>
      <w:r w:rsidRPr="00F41E78">
        <w:rPr>
          <w:rFonts w:hint="eastAsia"/>
          <w:rtl/>
        </w:rPr>
        <w:t>התמשכות</w:t>
      </w:r>
      <w:r w:rsidRPr="00F41E78">
        <w:rPr>
          <w:rtl/>
        </w:rPr>
        <w:t xml:space="preserve"> </w:t>
      </w:r>
      <w:r w:rsidRPr="00F41E78">
        <w:rPr>
          <w:rFonts w:hint="eastAsia"/>
          <w:rtl/>
        </w:rPr>
        <w:t>הליכי</w:t>
      </w:r>
      <w:r w:rsidRPr="00F41E78">
        <w:rPr>
          <w:rtl/>
        </w:rPr>
        <w:t xml:space="preserve"> </w:t>
      </w:r>
      <w:r w:rsidRPr="00F41E78">
        <w:rPr>
          <w:rFonts w:hint="eastAsia"/>
          <w:rtl/>
        </w:rPr>
        <w:t>התכנון</w:t>
      </w:r>
      <w:r w:rsidRPr="00F41E78">
        <w:rPr>
          <w:rtl/>
        </w:rPr>
        <w:t xml:space="preserve"> </w:t>
      </w:r>
      <w:r w:rsidRPr="00F41E78">
        <w:rPr>
          <w:rFonts w:hint="eastAsia"/>
          <w:rtl/>
        </w:rPr>
        <w:t>ו</w:t>
      </w:r>
      <w:r w:rsidRPr="00F41E78">
        <w:rPr>
          <w:rFonts w:hint="cs"/>
          <w:rtl/>
        </w:rPr>
        <w:t xml:space="preserve">על </w:t>
      </w:r>
      <w:r w:rsidRPr="00F41E78">
        <w:rPr>
          <w:rFonts w:hint="eastAsia"/>
          <w:rtl/>
        </w:rPr>
        <w:t>סרבולם</w:t>
      </w:r>
      <w:r w:rsidRPr="00F41E78">
        <w:rPr>
          <w:rtl/>
        </w:rPr>
        <w:t xml:space="preserve"> </w:t>
      </w:r>
      <w:r w:rsidRPr="00F41E78">
        <w:rPr>
          <w:rFonts w:hint="eastAsia"/>
          <w:rtl/>
        </w:rPr>
        <w:t>ולגבש</w:t>
      </w:r>
      <w:r w:rsidRPr="00F41E78">
        <w:rPr>
          <w:rtl/>
        </w:rPr>
        <w:t xml:space="preserve"> </w:t>
      </w:r>
      <w:r w:rsidRPr="00F41E78">
        <w:rPr>
          <w:rFonts w:hint="cs"/>
          <w:rtl/>
        </w:rPr>
        <w:t xml:space="preserve">דרכי </w:t>
      </w:r>
      <w:r w:rsidRPr="00F41E78">
        <w:rPr>
          <w:rFonts w:hint="eastAsia"/>
          <w:rtl/>
        </w:rPr>
        <w:t>פעול</w:t>
      </w:r>
      <w:r w:rsidRPr="00F41E78">
        <w:rPr>
          <w:rFonts w:hint="cs"/>
          <w:rtl/>
        </w:rPr>
        <w:t>ה</w:t>
      </w:r>
      <w:r w:rsidRPr="00F41E78">
        <w:rPr>
          <w:rtl/>
        </w:rPr>
        <w:t xml:space="preserve"> </w:t>
      </w:r>
      <w:r w:rsidRPr="00F41E78">
        <w:rPr>
          <w:rFonts w:hint="eastAsia"/>
          <w:rtl/>
        </w:rPr>
        <w:t>מעשיות</w:t>
      </w:r>
      <w:r w:rsidRPr="00F41E78">
        <w:rPr>
          <w:rtl/>
        </w:rPr>
        <w:t xml:space="preserve"> </w:t>
      </w:r>
      <w:r w:rsidRPr="00F41E78">
        <w:rPr>
          <w:rFonts w:hint="eastAsia"/>
          <w:rtl/>
        </w:rPr>
        <w:t>לשיפורם</w:t>
      </w:r>
      <w:r w:rsidRPr="00F41E78">
        <w:rPr>
          <w:rtl/>
        </w:rPr>
        <w:t>.</w:t>
      </w:r>
    </w:p>
    <w:p w:rsidR="00E97EDA" w:rsidRPr="00F41E78" w:rsidP="00A7557B">
      <w:pPr>
        <w:spacing w:after="120" w:line="230" w:lineRule="exact"/>
        <w:jc w:val="both"/>
        <w:rPr>
          <w:rFonts w:cs="FrankRuehl"/>
          <w:sz w:val="18"/>
          <w:szCs w:val="22"/>
          <w:rtl/>
          <w:lang w:eastAsia="he-IL"/>
        </w:rPr>
      </w:pPr>
    </w:p>
    <w:p w:rsidR="00252FE5" w:rsidP="00A7557B">
      <w:pPr>
        <w:pStyle w:val="Header"/>
        <w:tabs>
          <w:tab w:val="clear" w:pos="4153"/>
          <w:tab w:val="clear" w:pos="8306"/>
        </w:tabs>
        <w:rPr>
          <w:rFonts w:cs="FrankRuehl"/>
          <w:sz w:val="20"/>
          <w:szCs w:val="22"/>
          <w:rtl/>
          <w:lang w:eastAsia="he-IL"/>
        </w:rPr>
        <w:sectPr w:rsidSect="004A767A">
          <w:footnotePr>
            <w:numRestart w:val="eachSect"/>
          </w:footnotePr>
          <w:pgSz w:w="11906" w:h="16838" w:code="9"/>
          <w:pgMar w:top="1758" w:right="2552" w:bottom="4253" w:left="2552" w:header="1247" w:footer="1134" w:gutter="0"/>
          <w:cols w:space="720"/>
          <w:rtlGutter/>
        </w:sectPr>
      </w:pPr>
    </w:p>
    <w:p w:rsidR="00FA6646" w:rsidRPr="00FA6646" w:rsidP="00A7557B">
      <w:pPr>
        <w:pStyle w:val="Header"/>
        <w:tabs>
          <w:tab w:val="clear" w:pos="4153"/>
          <w:tab w:val="clear" w:pos="8306"/>
        </w:tabs>
        <w:rPr>
          <w:rFonts w:cs="FrankRuehl"/>
          <w:sz w:val="20"/>
          <w:szCs w:val="22"/>
          <w:rtl/>
          <w:lang w:eastAsia="he-IL"/>
        </w:rPr>
      </w:pPr>
    </w:p>
    <w:p w:rsidR="00252FE5" w:rsidP="008C4A30">
      <w:pPr>
        <w:pStyle w:val="KOT2"/>
        <w:outlineLvl w:val="0"/>
        <w:rPr>
          <w:b w:val="0"/>
          <w:bCs w:val="0"/>
          <w:sz w:val="28"/>
          <w:szCs w:val="28"/>
          <w:rtl/>
        </w:rPr>
        <w:sectPr w:rsidSect="00252FE5">
          <w:footnotePr>
            <w:numRestart w:val="eachSect"/>
          </w:footnotePr>
          <w:pgSz w:w="11906" w:h="16838" w:code="9"/>
          <w:pgMar w:top="1758" w:right="2552" w:bottom="4253" w:left="2552" w:header="1247" w:footer="1134" w:gutter="0"/>
          <w:cols w:space="720"/>
          <w:titlePg/>
          <w:rtlGutter/>
        </w:sectPr>
      </w:pPr>
    </w:p>
    <w:p w:rsidR="00E97EDA" w:rsidRPr="00CB33CD" w:rsidP="008C4A30">
      <w:pPr>
        <w:pStyle w:val="KOT2"/>
        <w:outlineLvl w:val="0"/>
        <w:rPr>
          <w:rtl/>
        </w:rPr>
      </w:pPr>
      <w:r w:rsidRPr="008C4A30">
        <w:rPr>
          <w:rFonts w:hint="cs"/>
          <w:b w:val="0"/>
          <w:bCs w:val="0"/>
          <w:sz w:val="28"/>
          <w:szCs w:val="28"/>
          <w:rtl/>
        </w:rPr>
        <w:t>פרק חמישי</w:t>
      </w:r>
      <w:r w:rsidRPr="008C4A30">
        <w:rPr>
          <w:b w:val="0"/>
          <w:bCs w:val="0"/>
          <w:sz w:val="28"/>
          <w:szCs w:val="28"/>
          <w:rtl/>
        </w:rPr>
        <w:br/>
      </w:r>
      <w:r w:rsidRPr="00CB33CD">
        <w:rPr>
          <w:rFonts w:hint="cs"/>
          <w:rtl/>
        </w:rPr>
        <w:t xml:space="preserve">מסלולים מיוחדים לקידום תכניות מפורטות למגורים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בעקבות הצורך להגדיל באופן ניכר את היצע הקרקעות הזמינות לבנייה ואת מלאי יחידות הדיור במטרה לעצור את עליית מחירי הדיור, הורתה כאמור הממשלה במרץ 2011 (החלטה מס' 2982) למוסדות התכנון לתת עדיפות לקידום תכניות לה"ב</w:t>
      </w:r>
      <w:r w:rsidR="002C1941">
        <w:rPr>
          <w:rFonts w:cs="FrankRuehl" w:hint="cs"/>
          <w:sz w:val="18"/>
          <w:szCs w:val="22"/>
          <w:rtl/>
          <w:lang w:eastAsia="he-IL"/>
        </w:rPr>
        <w:t xml:space="preserve"> (להאצת הבנייה)</w:t>
      </w:r>
      <w:r w:rsidRPr="00F41E78">
        <w:rPr>
          <w:rFonts w:cs="FrankRuehl" w:hint="cs"/>
          <w:sz w:val="18"/>
          <w:szCs w:val="22"/>
          <w:rtl/>
          <w:lang w:eastAsia="he-IL"/>
        </w:rPr>
        <w:t xml:space="preserve">. בהחלטת הממשלה נקבע ששר השיכון יגבש רשימה של תכניות לה"ב, בתיאום עם שרי הממשלה הנוגעים בדבר, על בסיס אמות המידה האלו: היתכנות מימוש התכנית, בשלות התכנית ותרומתה להגדלת ההיצע באזור שיש בו ביקושים או צפויים בו ביקושים. עוד הוחלט שברשימה ייכללו תכניות לה"ב </w:t>
      </w:r>
      <w:r w:rsidRPr="00F41E78">
        <w:rPr>
          <w:rFonts w:cs="FrankRuehl" w:hint="eastAsia"/>
          <w:sz w:val="18"/>
          <w:szCs w:val="22"/>
          <w:rtl/>
          <w:lang w:eastAsia="he-IL"/>
        </w:rPr>
        <w:t>הכוללות</w:t>
      </w:r>
      <w:r w:rsidRPr="00F41E78">
        <w:rPr>
          <w:rFonts w:cs="FrankRuehl"/>
          <w:sz w:val="18"/>
          <w:szCs w:val="22"/>
          <w:rtl/>
          <w:lang w:eastAsia="he-IL"/>
        </w:rPr>
        <w:t xml:space="preserve"> 200 </w:t>
      </w:r>
      <w:r w:rsidRPr="00F41E78">
        <w:rPr>
          <w:rFonts w:cs="FrankRuehl" w:hint="eastAsia"/>
          <w:sz w:val="18"/>
          <w:szCs w:val="22"/>
          <w:rtl/>
          <w:lang w:eastAsia="he-IL"/>
        </w:rPr>
        <w:t>יח</w:t>
      </w:r>
      <w:r w:rsidRPr="00F41E78">
        <w:rPr>
          <w:rFonts w:cs="FrankRuehl"/>
          <w:sz w:val="18"/>
          <w:szCs w:val="22"/>
          <w:rtl/>
          <w:lang w:eastAsia="he-IL"/>
        </w:rPr>
        <w:t xml:space="preserve">"ד </w:t>
      </w:r>
      <w:r w:rsidRPr="00F41E78">
        <w:rPr>
          <w:rFonts w:cs="FrankRuehl" w:hint="eastAsia"/>
          <w:sz w:val="18"/>
          <w:szCs w:val="22"/>
          <w:rtl/>
          <w:lang w:eastAsia="he-IL"/>
        </w:rPr>
        <w:t>לפחות</w:t>
      </w:r>
      <w:r w:rsidRPr="00F41E78">
        <w:rPr>
          <w:rFonts w:cs="FrankRuehl"/>
          <w:sz w:val="18"/>
          <w:szCs w:val="22"/>
          <w:rtl/>
          <w:lang w:eastAsia="he-IL"/>
        </w:rPr>
        <w:t xml:space="preserve">, </w:t>
      </w:r>
      <w:r w:rsidRPr="00F41E78">
        <w:rPr>
          <w:rFonts w:cs="FrankRuehl" w:hint="eastAsia"/>
          <w:sz w:val="18"/>
          <w:szCs w:val="22"/>
          <w:rtl/>
          <w:lang w:eastAsia="he-IL"/>
        </w:rPr>
        <w:t>ושבכל</w:t>
      </w:r>
      <w:r w:rsidRPr="00F41E78">
        <w:rPr>
          <w:rFonts w:cs="FrankRuehl"/>
          <w:sz w:val="18"/>
          <w:szCs w:val="22"/>
          <w:rtl/>
          <w:lang w:eastAsia="he-IL"/>
        </w:rPr>
        <w:t xml:space="preserve"> </w:t>
      </w:r>
      <w:r w:rsidRPr="00F41E78">
        <w:rPr>
          <w:rFonts w:cs="FrankRuehl" w:hint="eastAsia"/>
          <w:sz w:val="18"/>
          <w:szCs w:val="22"/>
          <w:rtl/>
          <w:lang w:eastAsia="he-IL"/>
        </w:rPr>
        <w:t>עת</w:t>
      </w:r>
      <w:r w:rsidRPr="00F41E78">
        <w:rPr>
          <w:rFonts w:cs="FrankRuehl"/>
          <w:sz w:val="18"/>
          <w:szCs w:val="22"/>
          <w:rtl/>
          <w:lang w:eastAsia="he-IL"/>
        </w:rPr>
        <w:t xml:space="preserve"> </w:t>
      </w:r>
      <w:r w:rsidRPr="00F41E78">
        <w:rPr>
          <w:rFonts w:cs="FrankRuehl" w:hint="eastAsia"/>
          <w:sz w:val="18"/>
          <w:szCs w:val="22"/>
          <w:rtl/>
          <w:lang w:eastAsia="he-IL"/>
        </w:rPr>
        <w:t>ייכללו</w:t>
      </w:r>
      <w:r w:rsidRPr="00F41E78">
        <w:rPr>
          <w:rFonts w:cs="FrankRuehl"/>
          <w:sz w:val="18"/>
          <w:szCs w:val="22"/>
          <w:rtl/>
          <w:lang w:eastAsia="he-IL"/>
        </w:rPr>
        <w:t xml:space="preserve"> </w:t>
      </w:r>
      <w:r w:rsidRPr="00F41E78">
        <w:rPr>
          <w:rFonts w:cs="FrankRuehl" w:hint="eastAsia"/>
          <w:sz w:val="18"/>
          <w:szCs w:val="22"/>
          <w:rtl/>
          <w:lang w:eastAsia="he-IL"/>
        </w:rPr>
        <w:t>בה</w:t>
      </w:r>
      <w:r w:rsidRPr="00F41E78">
        <w:rPr>
          <w:rFonts w:cs="FrankRuehl"/>
          <w:sz w:val="18"/>
          <w:szCs w:val="22"/>
          <w:rtl/>
          <w:lang w:eastAsia="he-IL"/>
        </w:rPr>
        <w:t xml:space="preserve"> </w:t>
      </w:r>
      <w:r w:rsidRPr="00F41E78">
        <w:rPr>
          <w:rFonts w:cs="FrankRuehl" w:hint="eastAsia"/>
          <w:sz w:val="18"/>
          <w:szCs w:val="22"/>
          <w:rtl/>
          <w:lang w:eastAsia="he-IL"/>
        </w:rPr>
        <w:t>לא</w:t>
      </w:r>
      <w:r w:rsidRPr="00F41E78">
        <w:rPr>
          <w:rFonts w:cs="FrankRuehl"/>
          <w:sz w:val="18"/>
          <w:szCs w:val="22"/>
          <w:rtl/>
          <w:lang w:eastAsia="he-IL"/>
        </w:rPr>
        <w:t xml:space="preserve"> </w:t>
      </w:r>
      <w:r w:rsidRPr="00F41E78">
        <w:rPr>
          <w:rFonts w:cs="FrankRuehl" w:hint="eastAsia"/>
          <w:sz w:val="18"/>
          <w:szCs w:val="22"/>
          <w:rtl/>
          <w:lang w:eastAsia="he-IL"/>
        </w:rPr>
        <w:t>פחות</w:t>
      </w:r>
      <w:r w:rsidRPr="00F41E78">
        <w:rPr>
          <w:rFonts w:cs="FrankRuehl"/>
          <w:sz w:val="18"/>
          <w:szCs w:val="22"/>
          <w:rtl/>
          <w:lang w:eastAsia="he-IL"/>
        </w:rPr>
        <w:t xml:space="preserve"> </w:t>
      </w:r>
      <w:r w:rsidRPr="00F41E78">
        <w:rPr>
          <w:rFonts w:cs="FrankRuehl" w:hint="eastAsia"/>
          <w:sz w:val="18"/>
          <w:szCs w:val="22"/>
          <w:rtl/>
          <w:lang w:eastAsia="he-IL"/>
        </w:rPr>
        <w:t>מ</w:t>
      </w:r>
      <w:r w:rsidRPr="00F41E78">
        <w:rPr>
          <w:rFonts w:cs="FrankRuehl"/>
          <w:sz w:val="18"/>
          <w:szCs w:val="22"/>
          <w:rtl/>
          <w:lang w:eastAsia="he-IL"/>
        </w:rPr>
        <w:t xml:space="preserve">-50,000 </w:t>
      </w:r>
      <w:r w:rsidRPr="00F41E78">
        <w:rPr>
          <w:rFonts w:cs="FrankRuehl" w:hint="eastAsia"/>
          <w:sz w:val="18"/>
          <w:szCs w:val="22"/>
          <w:rtl/>
          <w:lang w:eastAsia="he-IL"/>
        </w:rPr>
        <w:t>יח</w:t>
      </w:r>
      <w:r w:rsidRPr="00F41E78">
        <w:rPr>
          <w:rFonts w:cs="FrankRuehl"/>
          <w:sz w:val="18"/>
          <w:szCs w:val="22"/>
          <w:rtl/>
          <w:lang w:eastAsia="he-IL"/>
        </w:rPr>
        <w:t>"ד</w:t>
      </w:r>
      <w:r w:rsidRPr="00F41E78">
        <w:rPr>
          <w:rFonts w:cs="FrankRuehl" w:hint="cs"/>
          <w:sz w:val="18"/>
          <w:szCs w:val="22"/>
          <w:rtl/>
          <w:lang w:eastAsia="he-IL"/>
        </w:rPr>
        <w:t xml:space="preserve">. כדי לקדם במהירות את התכניות האמורות הורתה הממשלה לבכר אותן על פני כל תכנית אחרת ולתת להן קדימות בטיפול ובהכרעה. לצורך זה הורתה גם להקים ועדות משנה לוועדות המחוזיות שיתכנסו לפחות אחת לשבוע ויינתנו להן מלוא הסמכויות של הוועדות המחוזיות (להלן - ועדות לה"ב). כמו כן החליטה הממשלה לתגבר את כוח האדם במוסדות התכנון, לסמן בסימון מיוחד את התכניות שנבחרו לקידום במסלול זה ולקיים מעקב שוטף אחר שלבי קידומן. הוחלט גם להטיל על שר הפנים להנחות את היו"רים של מוסדות התכנון הארציים והמחוזיים להגיש מדי חודש דוח מפורט על מצב קידומן של תכניות לה"ב.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ביוני 2011 גיבשו רמ"י ומשרדי הפנים, השיכון והאוצר רשימה של כ-70 תכניות לה"ב הכוללות </w:t>
      </w:r>
      <w:r w:rsidR="00843033">
        <w:rPr>
          <w:rFonts w:cs="FrankRuehl"/>
          <w:sz w:val="18"/>
          <w:szCs w:val="22"/>
          <w:lang w:eastAsia="he-IL"/>
        </w:rPr>
        <w:br/>
      </w:r>
      <w:r w:rsidRPr="00F41E78">
        <w:rPr>
          <w:rFonts w:cs="FrankRuehl" w:hint="cs"/>
          <w:sz w:val="18"/>
          <w:szCs w:val="22"/>
          <w:rtl/>
          <w:lang w:eastAsia="he-IL"/>
        </w:rPr>
        <w:t xml:space="preserve">כ-60,000 יח"ד; 50% מהן במחוזות המרכז ותל אביב (אזורי הביקושים הגדולים), כ-20% במחוזות הצפון והדרום והשאר במחוזות חיפה וירושלים. הרשימה גובשה על פי העדיפות שהממשלה נתנה לתכנון של שכונות מגורים באזור מרכז הארץ בשל הצורך להגדיל את ההיצע בשוק הדיור. </w:t>
      </w:r>
    </w:p>
    <w:p w:rsidR="00E97EDA" w:rsidRPr="00F41E78" w:rsidP="00843033">
      <w:pPr>
        <w:spacing w:after="240" w:line="230" w:lineRule="exact"/>
        <w:jc w:val="both"/>
        <w:rPr>
          <w:rFonts w:cs="FrankRuehl"/>
          <w:sz w:val="18"/>
          <w:szCs w:val="22"/>
          <w:rtl/>
          <w:lang w:eastAsia="he-IL"/>
        </w:rPr>
      </w:pPr>
      <w:r w:rsidRPr="00F41E78">
        <w:rPr>
          <w:rFonts w:cs="FrankRuehl" w:hint="cs"/>
          <w:sz w:val="18"/>
          <w:szCs w:val="22"/>
          <w:rtl/>
          <w:lang w:eastAsia="he-IL"/>
        </w:rPr>
        <w:t>בהחלטת הממשלה האמורה הוטל על ראש הממשלה להכין הצעה לתיקון חקיקה, במתכונת של "הוראת שעה" למשך 18 חודשים, במגמה להסדיר בחוק את האישור המהיר של תכניות למגורים, ולהקים את הווד"לים שיחליפו את ועדות לה"ב בקידום התכניות. כאמור, באוגוסט 2011 אישרה הכנסת את חוק הווד"לים. לאחר אישור החוק הקים משרד הפנים ועדה לדיור לאומי</w:t>
      </w:r>
      <w:r w:rsidRPr="00F41E78">
        <w:rPr>
          <w:rFonts w:cs="FrankRuehl" w:hint="cs"/>
          <w:sz w:val="18"/>
          <w:szCs w:val="22"/>
          <w:rtl/>
          <w:lang w:eastAsia="he-IL"/>
        </w:rPr>
        <w:t xml:space="preserve"> </w:t>
      </w:r>
      <w:r w:rsidRPr="00F41E78">
        <w:rPr>
          <w:rFonts w:cs="FrankRuehl" w:hint="cs"/>
          <w:sz w:val="18"/>
          <w:szCs w:val="22"/>
          <w:rtl/>
          <w:lang w:eastAsia="he-IL"/>
        </w:rPr>
        <w:t xml:space="preserve">בכל אחד ממחוזותיו. </w:t>
      </w:r>
    </w:p>
    <w:p w:rsidR="00D22B16" w:rsidRPr="00F41E78" w:rsidP="00D22B16">
      <w:pPr>
        <w:pStyle w:val="RESHET"/>
        <w:keepLines/>
        <w:rPr>
          <w:rtl/>
        </w:rPr>
      </w:pPr>
      <w:r w:rsidRPr="00F41E78">
        <w:rPr>
          <w:rFonts w:hint="cs"/>
          <w:rtl/>
        </w:rPr>
        <w:t xml:space="preserve">בביקורת נמצא כי רוב התכניות להאצת הבנייה (57 מ-68) לא הועברו לטיפול הווד"לים, אף שבהחלטת הממשלה ממרץ 2011 נקבע כי יש לתת להן קדימות. עוד נמצא כי מאוגוסט 2011 לא פרסם משרד הפנים דוחות מפורטים חודשיים על מצב קידומן של תכניות אלו, כנדרש בהחלטת הממשלה האמורה. </w:t>
      </w:r>
    </w:p>
    <w:p w:rsidR="00E97EDA" w:rsidRPr="00F41E78" w:rsidP="00843033">
      <w:pPr>
        <w:spacing w:before="180" w:after="120" w:line="230" w:lineRule="exact"/>
        <w:jc w:val="both"/>
        <w:rPr>
          <w:rFonts w:cs="FrankRuehl"/>
          <w:sz w:val="18"/>
          <w:szCs w:val="22"/>
          <w:rtl/>
          <w:lang w:eastAsia="he-IL"/>
        </w:rPr>
      </w:pPr>
      <w:r w:rsidRPr="00F41E78">
        <w:rPr>
          <w:rFonts w:cs="FrankRuehl" w:hint="eastAsia"/>
          <w:sz w:val="18"/>
          <w:szCs w:val="22"/>
          <w:rtl/>
          <w:lang w:eastAsia="he-IL"/>
        </w:rPr>
        <w:t>רוב</w:t>
      </w:r>
      <w:r w:rsidRPr="00F41E78">
        <w:rPr>
          <w:rFonts w:cs="FrankRuehl"/>
          <w:sz w:val="18"/>
          <w:szCs w:val="22"/>
          <w:rtl/>
          <w:lang w:eastAsia="he-IL"/>
        </w:rPr>
        <w:t xml:space="preserve"> </w:t>
      </w:r>
      <w:r w:rsidRPr="00F41E78">
        <w:rPr>
          <w:rFonts w:cs="FrankRuehl" w:hint="eastAsia"/>
          <w:sz w:val="18"/>
          <w:szCs w:val="22"/>
          <w:rtl/>
          <w:lang w:eastAsia="he-IL"/>
        </w:rPr>
        <w:t>התכניות</w:t>
      </w:r>
      <w:r w:rsidRPr="00F41E78">
        <w:rPr>
          <w:rFonts w:cs="FrankRuehl"/>
          <w:sz w:val="18"/>
          <w:szCs w:val="22"/>
          <w:rtl/>
          <w:lang w:eastAsia="he-IL"/>
        </w:rPr>
        <w:t xml:space="preserve"> </w:t>
      </w:r>
      <w:r w:rsidRPr="00F41E78">
        <w:rPr>
          <w:rFonts w:cs="FrankRuehl" w:hint="eastAsia"/>
          <w:sz w:val="18"/>
          <w:szCs w:val="22"/>
          <w:rtl/>
          <w:lang w:eastAsia="he-IL"/>
        </w:rPr>
        <w:t>להאצת</w:t>
      </w:r>
      <w:r w:rsidRPr="00F41E78">
        <w:rPr>
          <w:rFonts w:cs="FrankRuehl"/>
          <w:sz w:val="18"/>
          <w:szCs w:val="22"/>
          <w:rtl/>
          <w:lang w:eastAsia="he-IL"/>
        </w:rPr>
        <w:t xml:space="preserve"> </w:t>
      </w:r>
      <w:r w:rsidRPr="00F41E78">
        <w:rPr>
          <w:rFonts w:cs="FrankRuehl" w:hint="eastAsia"/>
          <w:sz w:val="18"/>
          <w:szCs w:val="22"/>
          <w:rtl/>
          <w:lang w:eastAsia="he-IL"/>
        </w:rPr>
        <w:t>הבנייה</w:t>
      </w:r>
      <w:r w:rsidRPr="00F41E78">
        <w:rPr>
          <w:rFonts w:cs="FrankRuehl"/>
          <w:sz w:val="18"/>
          <w:szCs w:val="22"/>
          <w:rtl/>
          <w:lang w:eastAsia="he-IL"/>
        </w:rPr>
        <w:t xml:space="preserve"> לא קודמו ב</w:t>
      </w:r>
      <w:r w:rsidRPr="00F41E78">
        <w:rPr>
          <w:rFonts w:cs="FrankRuehl" w:hint="eastAsia"/>
          <w:sz w:val="18"/>
          <w:szCs w:val="22"/>
          <w:rtl/>
          <w:lang w:eastAsia="he-IL"/>
        </w:rPr>
        <w:t>ווד</w:t>
      </w:r>
      <w:r w:rsidRPr="00F41E78">
        <w:rPr>
          <w:rFonts w:cs="FrankRuehl"/>
          <w:sz w:val="18"/>
          <w:szCs w:val="22"/>
          <w:rtl/>
          <w:lang w:eastAsia="he-IL"/>
        </w:rPr>
        <w:t xml:space="preserve">"לים בשל חוסר התאמתן לתנאי הסף שנקבעו לקידום </w:t>
      </w:r>
      <w:r w:rsidRPr="00F41E78">
        <w:rPr>
          <w:rFonts w:cs="FrankRuehl" w:hint="eastAsia"/>
          <w:sz w:val="18"/>
          <w:szCs w:val="22"/>
          <w:rtl/>
          <w:lang w:eastAsia="he-IL"/>
        </w:rPr>
        <w:t>תכניות</w:t>
      </w:r>
      <w:r w:rsidRPr="00F41E78">
        <w:rPr>
          <w:rFonts w:cs="FrankRuehl"/>
          <w:sz w:val="18"/>
          <w:szCs w:val="22"/>
          <w:rtl/>
          <w:lang w:eastAsia="he-IL"/>
        </w:rPr>
        <w:t xml:space="preserve"> במסלול </w:t>
      </w:r>
      <w:r w:rsidRPr="00F41E78">
        <w:rPr>
          <w:rFonts w:cs="FrankRuehl" w:hint="eastAsia"/>
          <w:sz w:val="18"/>
          <w:szCs w:val="22"/>
          <w:rtl/>
          <w:lang w:eastAsia="he-IL"/>
        </w:rPr>
        <w:t>הווד</w:t>
      </w:r>
      <w:r w:rsidRPr="00F41E78">
        <w:rPr>
          <w:rFonts w:cs="FrankRuehl"/>
          <w:sz w:val="18"/>
          <w:szCs w:val="22"/>
          <w:rtl/>
          <w:lang w:eastAsia="he-IL"/>
        </w:rPr>
        <w:t>"ל ובשל ההערכות כי קידומן יימשך פרקי זמן ממושכים מאל</w:t>
      </w:r>
      <w:r w:rsidRPr="00F41E78">
        <w:rPr>
          <w:rFonts w:cs="FrankRuehl" w:hint="cs"/>
          <w:sz w:val="18"/>
          <w:szCs w:val="22"/>
          <w:rtl/>
          <w:lang w:eastAsia="he-IL"/>
        </w:rPr>
        <w:t>ו</w:t>
      </w:r>
      <w:r w:rsidRPr="00F41E78">
        <w:rPr>
          <w:rFonts w:cs="FrankRuehl"/>
          <w:sz w:val="18"/>
          <w:szCs w:val="22"/>
          <w:rtl/>
          <w:lang w:eastAsia="he-IL"/>
        </w:rPr>
        <w:t xml:space="preserve"> שנקבעו במסלול </w:t>
      </w:r>
      <w:r w:rsidRPr="00F41E78">
        <w:rPr>
          <w:rFonts w:cs="FrankRuehl" w:hint="eastAsia"/>
          <w:sz w:val="18"/>
          <w:szCs w:val="22"/>
          <w:rtl/>
          <w:lang w:eastAsia="he-IL"/>
        </w:rPr>
        <w:t>הזה</w:t>
      </w:r>
      <w:r w:rsidRPr="00F41E78">
        <w:rPr>
          <w:rFonts w:cs="FrankRuehl"/>
          <w:sz w:val="18"/>
          <w:szCs w:val="22"/>
          <w:rtl/>
          <w:lang w:eastAsia="he-IL"/>
        </w:rPr>
        <w:t xml:space="preserve">. </w:t>
      </w:r>
      <w:r w:rsidRPr="00F41E78">
        <w:rPr>
          <w:rFonts w:cs="FrankRuehl" w:hint="eastAsia"/>
          <w:sz w:val="18"/>
          <w:szCs w:val="22"/>
          <w:rtl/>
          <w:lang w:eastAsia="he-IL"/>
        </w:rPr>
        <w:t>יוצא</w:t>
      </w:r>
      <w:r w:rsidRPr="00F41E78">
        <w:rPr>
          <w:rFonts w:cs="FrankRuehl"/>
          <w:sz w:val="18"/>
          <w:szCs w:val="22"/>
          <w:rtl/>
          <w:lang w:eastAsia="he-IL"/>
        </w:rPr>
        <w:t xml:space="preserve"> אפוא </w:t>
      </w:r>
      <w:r w:rsidRPr="00F41E78">
        <w:rPr>
          <w:rFonts w:cs="FrankRuehl" w:hint="eastAsia"/>
          <w:sz w:val="18"/>
          <w:szCs w:val="22"/>
          <w:rtl/>
          <w:lang w:eastAsia="he-IL"/>
        </w:rPr>
        <w:t>שמסלול</w:t>
      </w:r>
      <w:r w:rsidRPr="00F41E78">
        <w:rPr>
          <w:rFonts w:cs="FrankRuehl"/>
          <w:sz w:val="18"/>
          <w:szCs w:val="22"/>
          <w:rtl/>
          <w:lang w:eastAsia="he-IL"/>
        </w:rPr>
        <w:t xml:space="preserve"> הווד"לים </w:t>
      </w:r>
      <w:r w:rsidRPr="00F41E78">
        <w:rPr>
          <w:rFonts w:cs="FrankRuehl" w:hint="eastAsia"/>
          <w:sz w:val="18"/>
          <w:szCs w:val="22"/>
          <w:rtl/>
          <w:lang w:eastAsia="he-IL"/>
        </w:rPr>
        <w:t>אינו</w:t>
      </w:r>
      <w:r w:rsidRPr="00F41E78">
        <w:rPr>
          <w:rFonts w:cs="FrankRuehl"/>
          <w:sz w:val="18"/>
          <w:szCs w:val="22"/>
          <w:rtl/>
          <w:lang w:eastAsia="he-IL"/>
        </w:rPr>
        <w:t xml:space="preserve"> </w:t>
      </w:r>
      <w:r w:rsidRPr="00F41E78">
        <w:rPr>
          <w:rFonts w:cs="FrankRuehl" w:hint="eastAsia"/>
          <w:sz w:val="18"/>
          <w:szCs w:val="22"/>
          <w:rtl/>
          <w:lang w:eastAsia="he-IL"/>
        </w:rPr>
        <w:t>מתאים</w:t>
      </w:r>
      <w:r w:rsidRPr="00F41E78">
        <w:rPr>
          <w:rFonts w:cs="FrankRuehl"/>
          <w:sz w:val="18"/>
          <w:szCs w:val="22"/>
          <w:rtl/>
          <w:lang w:eastAsia="he-IL"/>
        </w:rPr>
        <w:t xml:space="preserve"> לקידום תכניות מורכבות, גם במקרים שתכניות אל</w:t>
      </w:r>
      <w:r w:rsidRPr="00F41E78">
        <w:rPr>
          <w:rFonts w:cs="FrankRuehl" w:hint="cs"/>
          <w:sz w:val="18"/>
          <w:szCs w:val="22"/>
          <w:rtl/>
          <w:lang w:eastAsia="he-IL"/>
        </w:rPr>
        <w:t>ו</w:t>
      </w:r>
      <w:r w:rsidRPr="00F41E78">
        <w:rPr>
          <w:rFonts w:cs="FrankRuehl"/>
          <w:sz w:val="18"/>
          <w:szCs w:val="22"/>
          <w:rtl/>
          <w:lang w:eastAsia="he-IL"/>
        </w:rPr>
        <w:t xml:space="preserve"> נמצאו בשלות לקידום מהיר (כמתחייב מהחלטת הממשלה) ואף שניתנה </w:t>
      </w:r>
      <w:r w:rsidRPr="00F41E78">
        <w:rPr>
          <w:rFonts w:cs="FrankRuehl" w:hint="eastAsia"/>
          <w:sz w:val="18"/>
          <w:szCs w:val="22"/>
          <w:rtl/>
          <w:lang w:eastAsia="he-IL"/>
        </w:rPr>
        <w:t>עדיפות</w:t>
      </w:r>
      <w:r w:rsidRPr="00F41E78">
        <w:rPr>
          <w:rFonts w:cs="FrankRuehl"/>
          <w:sz w:val="18"/>
          <w:szCs w:val="22"/>
          <w:rtl/>
          <w:lang w:eastAsia="he-IL"/>
        </w:rPr>
        <w:t xml:space="preserve"> </w:t>
      </w:r>
      <w:r w:rsidRPr="00F41E78">
        <w:rPr>
          <w:rFonts w:cs="FrankRuehl" w:hint="eastAsia"/>
          <w:sz w:val="18"/>
          <w:szCs w:val="22"/>
          <w:rtl/>
          <w:lang w:eastAsia="he-IL"/>
        </w:rPr>
        <w:t>לקידומן</w:t>
      </w:r>
      <w:r w:rsidRPr="00F41E78">
        <w:rPr>
          <w:rFonts w:cs="FrankRuehl"/>
          <w:sz w:val="18"/>
          <w:szCs w:val="22"/>
          <w:rtl/>
          <w:lang w:eastAsia="he-IL"/>
        </w:rPr>
        <w:t>.</w:t>
      </w:r>
      <w:r w:rsidRPr="00F41E78">
        <w:rPr>
          <w:rFonts w:cs="FrankRuehl" w:hint="cs"/>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p>
    <w:p w:rsidR="009110D1" w:rsidRPr="00F41E78" w:rsidP="00A7557B">
      <w:pPr>
        <w:spacing w:after="120" w:line="230" w:lineRule="exact"/>
        <w:jc w:val="both"/>
        <w:rPr>
          <w:rFonts w:cs="FrankRuehl"/>
          <w:sz w:val="18"/>
          <w:szCs w:val="22"/>
          <w:rtl/>
          <w:lang w:eastAsia="he-IL"/>
        </w:rPr>
      </w:pPr>
    </w:p>
    <w:p w:rsidR="00E97EDA" w:rsidRPr="00CB33CD" w:rsidP="00A7557B">
      <w:pPr>
        <w:pStyle w:val="KOT4"/>
        <w:rPr>
          <w:rtl/>
          <w:lang w:eastAsia="he-IL"/>
        </w:rPr>
      </w:pPr>
      <w:r w:rsidRPr="00CB33CD">
        <w:rPr>
          <w:rFonts w:hint="cs"/>
          <w:rtl/>
          <w:lang w:eastAsia="he-IL"/>
        </w:rPr>
        <w:t>מסלול הוועדות לדיור לאומי</w:t>
      </w:r>
    </w:p>
    <w:p w:rsidR="00E97EDA" w:rsidRPr="00F41E78" w:rsidP="00D611F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באוגוסט 2011 אישרה הכנסת כאמור את חוק הווד"לים, כהוראת שעה. החוק נועד לזרז את הליכי התכנון למגורים, ובכך להגדיל את ההיצע ולהביא לידי ירידת מחירי הדיור. </w:t>
      </w:r>
      <w:r w:rsidRPr="00F41E78">
        <w:rPr>
          <w:rFonts w:cs="FrankRuehl" w:hint="eastAsia"/>
          <w:sz w:val="18"/>
          <w:szCs w:val="22"/>
          <w:rtl/>
          <w:lang w:eastAsia="he-IL"/>
        </w:rPr>
        <w:t>באפריל</w:t>
      </w:r>
      <w:r w:rsidRPr="00F41E78">
        <w:rPr>
          <w:rFonts w:cs="FrankRuehl"/>
          <w:sz w:val="18"/>
          <w:szCs w:val="22"/>
          <w:rtl/>
          <w:lang w:eastAsia="he-IL"/>
        </w:rPr>
        <w:t xml:space="preserve"> 2013 </w:t>
      </w:r>
      <w:r w:rsidRPr="00F41E78">
        <w:rPr>
          <w:rFonts w:cs="FrankRuehl" w:hint="eastAsia"/>
          <w:sz w:val="18"/>
          <w:szCs w:val="22"/>
          <w:rtl/>
          <w:lang w:eastAsia="he-IL"/>
        </w:rPr>
        <w:t>אישרה</w:t>
      </w:r>
      <w:r w:rsidRPr="00F41E78">
        <w:rPr>
          <w:rFonts w:cs="FrankRuehl"/>
          <w:sz w:val="18"/>
          <w:szCs w:val="22"/>
          <w:rtl/>
          <w:lang w:eastAsia="he-IL"/>
        </w:rPr>
        <w:t xml:space="preserve"> </w:t>
      </w:r>
      <w:r w:rsidRPr="00F41E78">
        <w:rPr>
          <w:rFonts w:cs="FrankRuehl" w:hint="eastAsia"/>
          <w:sz w:val="18"/>
          <w:szCs w:val="22"/>
          <w:rtl/>
          <w:lang w:eastAsia="he-IL"/>
        </w:rPr>
        <w:t>הכנסת</w:t>
      </w:r>
      <w:r w:rsidRPr="00F41E78">
        <w:rPr>
          <w:rFonts w:cs="FrankRuehl"/>
          <w:sz w:val="18"/>
          <w:szCs w:val="22"/>
          <w:rtl/>
          <w:lang w:eastAsia="he-IL"/>
        </w:rPr>
        <w:t xml:space="preserve"> </w:t>
      </w:r>
      <w:r w:rsidRPr="00F41E78">
        <w:rPr>
          <w:rFonts w:cs="FrankRuehl" w:hint="eastAsia"/>
          <w:sz w:val="18"/>
          <w:szCs w:val="22"/>
          <w:rtl/>
          <w:lang w:eastAsia="he-IL"/>
        </w:rPr>
        <w:t>להאריך</w:t>
      </w:r>
      <w:r w:rsidRPr="00F41E78">
        <w:rPr>
          <w:rFonts w:cs="FrankRuehl"/>
          <w:sz w:val="18"/>
          <w:szCs w:val="22"/>
          <w:rtl/>
          <w:lang w:eastAsia="he-IL"/>
        </w:rPr>
        <w:t xml:space="preserve"> </w:t>
      </w:r>
      <w:r w:rsidRPr="00F41E78">
        <w:rPr>
          <w:rFonts w:cs="FrankRuehl" w:hint="eastAsia"/>
          <w:sz w:val="18"/>
          <w:szCs w:val="22"/>
          <w:rtl/>
          <w:lang w:eastAsia="he-IL"/>
        </w:rPr>
        <w:t>את</w:t>
      </w:r>
      <w:r w:rsidRPr="00F41E78">
        <w:rPr>
          <w:rFonts w:cs="FrankRuehl"/>
          <w:sz w:val="18"/>
          <w:szCs w:val="22"/>
          <w:rtl/>
          <w:lang w:eastAsia="he-IL"/>
        </w:rPr>
        <w:t xml:space="preserve"> </w:t>
      </w:r>
      <w:r w:rsidRPr="00F41E78">
        <w:rPr>
          <w:rFonts w:cs="FrankRuehl" w:hint="eastAsia"/>
          <w:sz w:val="18"/>
          <w:szCs w:val="22"/>
          <w:rtl/>
          <w:lang w:eastAsia="he-IL"/>
        </w:rPr>
        <w:t>תוקפה</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הוראת</w:t>
      </w:r>
      <w:r w:rsidRPr="00F41E78">
        <w:rPr>
          <w:rFonts w:cs="FrankRuehl"/>
          <w:sz w:val="18"/>
          <w:szCs w:val="22"/>
          <w:rtl/>
          <w:lang w:eastAsia="he-IL"/>
        </w:rPr>
        <w:t xml:space="preserve"> </w:t>
      </w:r>
      <w:r w:rsidRPr="00F41E78">
        <w:rPr>
          <w:rFonts w:cs="FrankRuehl" w:hint="eastAsia"/>
          <w:sz w:val="18"/>
          <w:szCs w:val="22"/>
          <w:rtl/>
          <w:lang w:eastAsia="he-IL"/>
        </w:rPr>
        <w:t>השעה</w:t>
      </w:r>
      <w:r w:rsidRPr="00F41E78">
        <w:rPr>
          <w:rFonts w:cs="FrankRuehl"/>
          <w:sz w:val="18"/>
          <w:szCs w:val="22"/>
          <w:rtl/>
          <w:lang w:eastAsia="he-IL"/>
        </w:rPr>
        <w:t xml:space="preserve"> </w:t>
      </w:r>
      <w:r w:rsidRPr="00F41E78">
        <w:rPr>
          <w:rFonts w:cs="FrankRuehl" w:hint="eastAsia"/>
          <w:sz w:val="18"/>
          <w:szCs w:val="22"/>
          <w:rtl/>
          <w:lang w:eastAsia="he-IL"/>
        </w:rPr>
        <w:t>בשמונה</w:t>
      </w:r>
      <w:r w:rsidRPr="00F41E78">
        <w:rPr>
          <w:rFonts w:cs="FrankRuehl"/>
          <w:sz w:val="18"/>
          <w:szCs w:val="22"/>
          <w:rtl/>
          <w:lang w:eastAsia="he-IL"/>
        </w:rPr>
        <w:t xml:space="preserve"> </w:t>
      </w:r>
      <w:r w:rsidRPr="00F41E78">
        <w:rPr>
          <w:rFonts w:cs="FrankRuehl" w:hint="eastAsia"/>
          <w:sz w:val="18"/>
          <w:szCs w:val="22"/>
          <w:rtl/>
          <w:lang w:eastAsia="he-IL"/>
        </w:rPr>
        <w:t>חודשים</w:t>
      </w:r>
      <w:r w:rsidRPr="00F41E78">
        <w:rPr>
          <w:rFonts w:cs="FrankRuehl"/>
          <w:sz w:val="18"/>
          <w:szCs w:val="22"/>
          <w:rtl/>
          <w:lang w:eastAsia="he-IL"/>
        </w:rPr>
        <w:t xml:space="preserve"> </w:t>
      </w:r>
      <w:r w:rsidRPr="00F41E78">
        <w:rPr>
          <w:rFonts w:cs="FrankRuehl" w:hint="eastAsia"/>
          <w:sz w:val="18"/>
          <w:szCs w:val="22"/>
          <w:rtl/>
          <w:lang w:eastAsia="he-IL"/>
        </w:rPr>
        <w:t>נוספים</w:t>
      </w:r>
      <w:r w:rsidRPr="00F41E78">
        <w:rPr>
          <w:rFonts w:cs="FrankRuehl"/>
          <w:sz w:val="18"/>
          <w:szCs w:val="22"/>
          <w:rtl/>
          <w:lang w:eastAsia="he-IL"/>
        </w:rPr>
        <w:t xml:space="preserve">, </w:t>
      </w:r>
      <w:r w:rsidRPr="00F41E78">
        <w:rPr>
          <w:rFonts w:cs="FrankRuehl" w:hint="eastAsia"/>
          <w:sz w:val="18"/>
          <w:szCs w:val="22"/>
          <w:rtl/>
          <w:lang w:eastAsia="he-IL"/>
        </w:rPr>
        <w:t>עד</w:t>
      </w:r>
      <w:r w:rsidRPr="00F41E78">
        <w:rPr>
          <w:rFonts w:cs="FrankRuehl"/>
          <w:sz w:val="18"/>
          <w:szCs w:val="22"/>
          <w:rtl/>
          <w:lang w:eastAsia="he-IL"/>
        </w:rPr>
        <w:t xml:space="preserve"> </w:t>
      </w:r>
      <w:r w:rsidRPr="00F41E78">
        <w:rPr>
          <w:rFonts w:cs="FrankRuehl" w:hint="eastAsia"/>
          <w:sz w:val="18"/>
          <w:szCs w:val="22"/>
          <w:rtl/>
          <w:lang w:eastAsia="he-IL"/>
        </w:rPr>
        <w:t>אוקטובר</w:t>
      </w:r>
      <w:r w:rsidRPr="00F41E78">
        <w:rPr>
          <w:rFonts w:cs="FrankRuehl"/>
          <w:sz w:val="18"/>
          <w:szCs w:val="22"/>
          <w:rtl/>
          <w:lang w:eastAsia="he-IL"/>
        </w:rPr>
        <w:t xml:space="preserve"> 2013.</w:t>
      </w:r>
      <w:r w:rsidRPr="00F41E78">
        <w:rPr>
          <w:rFonts w:cs="FrankRuehl" w:hint="cs"/>
          <w:sz w:val="18"/>
          <w:szCs w:val="22"/>
          <w:rtl/>
          <w:lang w:eastAsia="he-IL"/>
        </w:rPr>
        <w:t xml:space="preserve"> ביולי 2013 החליטה ועדת השרים להנחות את שר הפנים לתקן את חוק הווד"לים ולהאריך את תוקפו. בספטמבר 2013 הפיץ שר הפנים הצעת חוק לתיקון חוק הווד"לים, לקראת קידומה בכנסת. בדצמבר 2013 </w:t>
      </w:r>
      <w:r w:rsidRPr="00F41E78">
        <w:rPr>
          <w:rFonts w:cs="FrankRuehl" w:hint="eastAsia"/>
          <w:sz w:val="18"/>
          <w:szCs w:val="22"/>
          <w:rtl/>
          <w:lang w:eastAsia="he-IL"/>
        </w:rPr>
        <w:t>התקבל</w:t>
      </w:r>
      <w:r w:rsidRPr="00F41E78">
        <w:rPr>
          <w:rFonts w:cs="FrankRuehl" w:hint="cs"/>
          <w:sz w:val="18"/>
          <w:szCs w:val="22"/>
          <w:rtl/>
          <w:lang w:eastAsia="he-IL"/>
        </w:rPr>
        <w:t xml:space="preserve"> החוק המתוקן בכנסת. </w:t>
      </w:r>
    </w:p>
    <w:p w:rsidR="00E97EDA" w:rsidRPr="00670750" w:rsidP="00D611FB">
      <w:pPr>
        <w:spacing w:after="120" w:line="230" w:lineRule="exact"/>
        <w:ind w:left="12"/>
        <w:jc w:val="both"/>
        <w:rPr>
          <w:rFonts w:cs="FrankRuehl"/>
          <w:spacing w:val="-2"/>
          <w:sz w:val="18"/>
          <w:szCs w:val="22"/>
          <w:rtl/>
          <w:lang w:eastAsia="he-IL"/>
        </w:rPr>
      </w:pPr>
      <w:r w:rsidRPr="00670750">
        <w:rPr>
          <w:rFonts w:cs="FrankRuehl" w:hint="cs"/>
          <w:spacing w:val="-2"/>
          <w:sz w:val="18"/>
          <w:szCs w:val="22"/>
          <w:rtl/>
          <w:lang w:eastAsia="he-IL"/>
        </w:rPr>
        <w:t xml:space="preserve">בדברי ההסבר לחוק הווד"לים צוין כי העלייה הקיצונית משנת 2011 במחירי הדיור יוצרת איום כלכלי וחברתי. עלייה זו נוצרה בין השאר בגלל ירידה חדה בהתחלות בנייה וצמצום ניכר של היצע הדיור לציבור. עוד צוין כי מטרתו העיקרית של החוק המוצע היא להרחיב את היצע הדירות </w:t>
      </w:r>
      <w:r w:rsidR="008C4A30">
        <w:rPr>
          <w:rFonts w:cs="FrankRuehl" w:hint="cs"/>
          <w:spacing w:val="-2"/>
          <w:sz w:val="18"/>
          <w:szCs w:val="22"/>
          <w:rtl/>
          <w:lang w:eastAsia="he-IL"/>
        </w:rPr>
        <w:t>ו</w:t>
      </w:r>
      <w:r w:rsidRPr="00670750">
        <w:rPr>
          <w:rFonts w:cs="FrankRuehl" w:hint="cs"/>
          <w:spacing w:val="-2"/>
          <w:sz w:val="18"/>
          <w:szCs w:val="22"/>
          <w:rtl/>
          <w:lang w:eastAsia="he-IL"/>
        </w:rPr>
        <w:t xml:space="preserve">מוצעים ההסדרים שיאפשרו צמצום של ממש בלוחות הזמנים הנדרשים לאישור תכניות מפורטות למגורים ולמימושן, והמסלול המוצע לקידומן לא יבוא על חשבון המשאבים המצויים במערכת הרגילה. </w:t>
      </w:r>
    </w:p>
    <w:p w:rsidR="00E97EDA" w:rsidRPr="00670750" w:rsidP="00D611FB">
      <w:pPr>
        <w:spacing w:after="120" w:line="230" w:lineRule="exact"/>
        <w:jc w:val="both"/>
        <w:rPr>
          <w:rFonts w:cs="FrankRuehl"/>
          <w:spacing w:val="-2"/>
          <w:sz w:val="18"/>
          <w:szCs w:val="22"/>
          <w:rtl/>
          <w:lang w:eastAsia="he-IL"/>
        </w:rPr>
      </w:pPr>
      <w:r w:rsidRPr="00670750">
        <w:rPr>
          <w:rFonts w:cs="FrankRuehl" w:hint="cs"/>
          <w:spacing w:val="-2"/>
          <w:sz w:val="18"/>
          <w:szCs w:val="22"/>
          <w:rtl/>
          <w:lang w:eastAsia="he-IL"/>
        </w:rPr>
        <w:t>חוק הווד"לים קבע כללים המסננים את התכניות שאפשר לקדם במסלול הווד"ל. מההסדרים הקבועים בחוק עולה כי אישורה של תכנית כזאת</w:t>
      </w:r>
      <w:r w:rsidRPr="00670750">
        <w:rPr>
          <w:rFonts w:cs="FrankRuehl"/>
          <w:spacing w:val="-2"/>
          <w:sz w:val="18"/>
          <w:szCs w:val="22"/>
          <w:rtl/>
          <w:lang w:eastAsia="he-IL"/>
        </w:rPr>
        <w:t xml:space="preserve"> </w:t>
      </w:r>
      <w:r w:rsidRPr="00670750">
        <w:rPr>
          <w:rFonts w:cs="FrankRuehl" w:hint="cs"/>
          <w:spacing w:val="-2"/>
          <w:sz w:val="18"/>
          <w:szCs w:val="22"/>
          <w:rtl/>
          <w:lang w:eastAsia="he-IL"/>
        </w:rPr>
        <w:t xml:space="preserve">אפשרי רק במסגרת פרקי הזמן הקצרים שנקבעו בו וללא כל התניות מהותיות; אם קידומן של תכניות לא נעשה בפרקי הזמן האלו, יש לדחותן. מסלול הווד"לים אפוא הוא אמצעי לקידום תכניות המתאים לתכניות שממילא אפשר לאשרן בהליך מהיר. </w:t>
      </w:r>
    </w:p>
    <w:p w:rsidR="00E97EDA" w:rsidRPr="00F41E78" w:rsidP="00D611F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יישום חוק הווד"לים</w:t>
      </w:r>
    </w:p>
    <w:p w:rsidR="00E97EDA" w:rsidRPr="00F41E78" w:rsidP="00D611FB">
      <w:pPr>
        <w:spacing w:after="120" w:line="230" w:lineRule="exact"/>
        <w:jc w:val="both"/>
        <w:rPr>
          <w:rFonts w:cs="FrankRuehl"/>
          <w:sz w:val="18"/>
          <w:szCs w:val="22"/>
          <w:rtl/>
          <w:lang w:eastAsia="he-IL"/>
        </w:rPr>
      </w:pPr>
      <w:r w:rsidRPr="00D611FB">
        <w:rPr>
          <w:rFonts w:cs="FrankRuehl" w:hint="cs"/>
          <w:spacing w:val="-2"/>
          <w:sz w:val="18"/>
          <w:szCs w:val="22"/>
          <w:rtl/>
          <w:lang w:eastAsia="he-IL"/>
        </w:rPr>
        <w:t>באוגוסט</w:t>
      </w:r>
      <w:r w:rsidRPr="00F41E78">
        <w:rPr>
          <w:rFonts w:cs="FrankRuehl" w:hint="cs"/>
          <w:sz w:val="18"/>
          <w:szCs w:val="22"/>
          <w:rtl/>
          <w:lang w:eastAsia="he-IL"/>
        </w:rPr>
        <w:t xml:space="preserve"> 2011 הוחל ביישום חוק הווד"לים והתכנית הראשונה במסלול זה נקלטה בנובמבר 2011 (במחוז המרכז). הקמת הווד"לים הביאה לידי הגדלת כוח האדם בלשכות התכנון שהקלה את עומס העבודה. </w:t>
      </w:r>
    </w:p>
    <w:p w:rsidR="00E97EDA" w:rsidRPr="00F41E78" w:rsidP="00D611FB">
      <w:pPr>
        <w:spacing w:after="120" w:line="230" w:lineRule="exact"/>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המלאי התכנוני שאושר בווד"לים ופריסתו</w:t>
      </w:r>
    </w:p>
    <w:p w:rsidR="00E97EDA" w:rsidRPr="00F41E78" w:rsidP="00D611F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ממועד אישור חוק הווד"לים ועד אפריל 2013 (כמעט שנתיים) טיפלו הווד"לים ב-33 תכניות; 21 תכניות אושרו, 3 נדחו והאחרות מצויות בתהליכי אישור. סך כל יחידות הדיור שנכללו בתכניות האלו היה כ-31,000; התכניות שאושרו כללו כ-22,700 יח"ד (כ-73%), דהיינו כ-20% מסך יחידות הדיור שאושרו בתקופה זו במסלול הרגיל ובמסלול הווד"לים. </w:t>
      </w:r>
    </w:p>
    <w:p w:rsidR="00E97EDA" w:rsidRPr="00F41E78" w:rsidP="00D611FB">
      <w:pPr>
        <w:spacing w:after="120" w:line="230" w:lineRule="exact"/>
        <w:jc w:val="both"/>
        <w:rPr>
          <w:rFonts w:cs="FrankRuehl"/>
          <w:sz w:val="18"/>
          <w:szCs w:val="22"/>
          <w:rtl/>
          <w:lang w:eastAsia="he-IL"/>
        </w:rPr>
      </w:pPr>
      <w:r w:rsidRPr="00F41E78">
        <w:rPr>
          <w:rFonts w:cs="FrankRuehl" w:hint="cs"/>
          <w:sz w:val="18"/>
          <w:szCs w:val="22"/>
          <w:rtl/>
          <w:lang w:eastAsia="he-IL"/>
        </w:rPr>
        <w:t>להלן נתונים על מספר יחידות הדיור בתכניות שהוגשו לווד"לים, לפי מחוזות (נכון לאפריל 2013):</w:t>
      </w:r>
    </w:p>
    <w:p w:rsidR="00E97EDA" w:rsidRPr="00873FEC" w:rsidP="00D611FB">
      <w:pPr>
        <w:pStyle w:val="tab-name"/>
        <w:keepLines/>
        <w:rPr>
          <w:rtl/>
          <w:lang w:eastAsia="he-IL"/>
        </w:rPr>
      </w:pPr>
      <w:r w:rsidRPr="00670750">
        <w:rPr>
          <w:rFonts w:hint="cs"/>
          <w:b w:val="0"/>
          <w:bCs w:val="0"/>
          <w:sz w:val="20"/>
          <w:szCs w:val="20"/>
          <w:rtl/>
          <w:lang w:eastAsia="he-IL"/>
        </w:rPr>
        <w:t xml:space="preserve">לוח </w:t>
      </w:r>
      <w:r w:rsidRPr="00670750" w:rsidR="00670750">
        <w:rPr>
          <w:rFonts w:hint="cs"/>
          <w:b w:val="0"/>
          <w:bCs w:val="0"/>
          <w:sz w:val="20"/>
          <w:szCs w:val="20"/>
          <w:rtl/>
          <w:lang w:eastAsia="he-IL"/>
        </w:rPr>
        <w:t>1</w:t>
      </w:r>
      <w:r w:rsidRPr="00670750" w:rsidR="00670750">
        <w:rPr>
          <w:b w:val="0"/>
          <w:bCs w:val="0"/>
          <w:sz w:val="20"/>
          <w:szCs w:val="20"/>
          <w:lang w:eastAsia="he-IL"/>
        </w:rPr>
        <w:br/>
      </w:r>
      <w:r w:rsidRPr="00873FEC">
        <w:rPr>
          <w:rFonts w:hint="cs"/>
          <w:rtl/>
          <w:lang w:eastAsia="he-IL"/>
        </w:rPr>
        <w:t>יח"ד בטיפול הווד"לים, לפי מחוזות, אפריל 2013</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
      <w:tblGrid>
        <w:gridCol w:w="907"/>
        <w:gridCol w:w="1322"/>
        <w:gridCol w:w="1596"/>
        <w:gridCol w:w="1959"/>
        <w:gridCol w:w="907"/>
      </w:tblGrid>
      <w:tr w:rsidTr="00EE09D3">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Ex>
        <w:trPr>
          <w:jc w:val="center"/>
        </w:trPr>
        <w:tc>
          <w:tcPr>
            <w:tcW w:w="907" w:type="dxa"/>
            <w:tcBorders>
              <w:top w:val="single" w:sz="12" w:space="0" w:color="auto"/>
              <w:bottom w:val="single" w:sz="12" w:space="0" w:color="auto"/>
            </w:tcBorders>
            <w:shd w:val="pct10" w:color="auto" w:fill="auto"/>
            <w:vAlign w:val="center"/>
          </w:tcPr>
          <w:p w:rsidR="00E97EDA" w:rsidRPr="00670750" w:rsidP="00D611FB">
            <w:pPr>
              <w:keepNext/>
              <w:keepLines/>
              <w:spacing w:before="40" w:after="20" w:line="200" w:lineRule="exact"/>
              <w:jc w:val="center"/>
              <w:rPr>
                <w:rFonts w:ascii="FrankRuehl" w:hAnsi="FrankRuehl" w:cs="FrankRuehl"/>
                <w:rtl/>
                <w:lang w:eastAsia="he-IL"/>
              </w:rPr>
            </w:pPr>
          </w:p>
        </w:tc>
        <w:tc>
          <w:tcPr>
            <w:tcW w:w="0" w:type="auto"/>
            <w:tcBorders>
              <w:top w:val="single" w:sz="12" w:space="0" w:color="auto"/>
              <w:bottom w:val="single" w:sz="12" w:space="0" w:color="auto"/>
            </w:tcBorders>
            <w:shd w:val="pct10" w:color="auto" w:fill="auto"/>
            <w:vAlign w:val="bottom"/>
          </w:tcPr>
          <w:p w:rsidR="00E97EDA" w:rsidRPr="00670750" w:rsidP="00D611FB">
            <w:pPr>
              <w:keepNext/>
              <w:keepLines/>
              <w:spacing w:before="40" w:after="20" w:line="200" w:lineRule="exact"/>
              <w:jc w:val="center"/>
              <w:rPr>
                <w:rFonts w:ascii="FrankRuehl" w:hAnsi="FrankRuehl" w:cs="FrankRuehl"/>
                <w:b/>
                <w:bCs/>
                <w:szCs w:val="20"/>
                <w:rtl/>
                <w:lang w:eastAsia="he-IL"/>
              </w:rPr>
            </w:pPr>
            <w:r w:rsidRPr="00670750">
              <w:rPr>
                <w:rFonts w:ascii="FrankRuehl" w:hAnsi="FrankRuehl" w:cs="FrankRuehl" w:hint="cs"/>
                <w:b/>
                <w:bCs/>
                <w:szCs w:val="20"/>
                <w:rtl/>
                <w:lang w:eastAsia="he-IL"/>
              </w:rPr>
              <w:t xml:space="preserve">יח"ד בתכניות </w:t>
            </w:r>
            <w:r w:rsidR="00EE09D3">
              <w:rPr>
                <w:rFonts w:ascii="FrankRuehl" w:hAnsi="FrankRuehl" w:cs="FrankRuehl"/>
                <w:b/>
                <w:bCs/>
                <w:szCs w:val="20"/>
                <w:lang w:eastAsia="he-IL"/>
              </w:rPr>
              <w:br/>
            </w:r>
            <w:r w:rsidRPr="00670750">
              <w:rPr>
                <w:rFonts w:ascii="FrankRuehl" w:hAnsi="FrankRuehl" w:cs="FrankRuehl" w:hint="cs"/>
                <w:b/>
                <w:bCs/>
                <w:szCs w:val="20"/>
                <w:rtl/>
                <w:lang w:eastAsia="he-IL"/>
              </w:rPr>
              <w:t>בתהליך אישור</w:t>
            </w:r>
          </w:p>
        </w:tc>
        <w:tc>
          <w:tcPr>
            <w:tcW w:w="0" w:type="auto"/>
            <w:tcBorders>
              <w:top w:val="single" w:sz="12" w:space="0" w:color="auto"/>
              <w:bottom w:val="single" w:sz="12" w:space="0" w:color="auto"/>
            </w:tcBorders>
            <w:shd w:val="pct10" w:color="auto" w:fill="auto"/>
            <w:vAlign w:val="bottom"/>
          </w:tcPr>
          <w:p w:rsidR="00E97EDA" w:rsidRPr="00670750" w:rsidP="00D611FB">
            <w:pPr>
              <w:keepNext/>
              <w:keepLines/>
              <w:spacing w:before="40" w:after="20" w:line="200" w:lineRule="exact"/>
              <w:jc w:val="center"/>
              <w:rPr>
                <w:rFonts w:ascii="FrankRuehl" w:hAnsi="FrankRuehl" w:cs="FrankRuehl"/>
                <w:b/>
                <w:bCs/>
                <w:szCs w:val="20"/>
                <w:rtl/>
                <w:lang w:eastAsia="he-IL"/>
              </w:rPr>
            </w:pPr>
            <w:r w:rsidRPr="00670750">
              <w:rPr>
                <w:rFonts w:ascii="FrankRuehl" w:hAnsi="FrankRuehl" w:cs="FrankRuehl" w:hint="cs"/>
                <w:b/>
                <w:bCs/>
                <w:szCs w:val="20"/>
                <w:rtl/>
                <w:lang w:eastAsia="he-IL"/>
              </w:rPr>
              <w:t xml:space="preserve">יח"ד שנכללו </w:t>
            </w:r>
            <w:r w:rsidR="00EE09D3">
              <w:rPr>
                <w:rFonts w:ascii="FrankRuehl" w:hAnsi="FrankRuehl" w:cs="FrankRuehl"/>
                <w:b/>
                <w:bCs/>
                <w:szCs w:val="20"/>
                <w:lang w:eastAsia="he-IL"/>
              </w:rPr>
              <w:br/>
            </w:r>
            <w:r w:rsidRPr="00670750">
              <w:rPr>
                <w:rFonts w:ascii="FrankRuehl" w:hAnsi="FrankRuehl" w:cs="FrankRuehl" w:hint="cs"/>
                <w:b/>
                <w:bCs/>
                <w:szCs w:val="20"/>
                <w:rtl/>
                <w:lang w:eastAsia="he-IL"/>
              </w:rPr>
              <w:t>בתכניות שאושרו*</w:t>
            </w:r>
          </w:p>
        </w:tc>
        <w:tc>
          <w:tcPr>
            <w:tcW w:w="0" w:type="auto"/>
            <w:tcBorders>
              <w:top w:val="single" w:sz="12" w:space="0" w:color="auto"/>
              <w:bottom w:val="single" w:sz="12" w:space="0" w:color="auto"/>
            </w:tcBorders>
            <w:shd w:val="pct10" w:color="auto" w:fill="auto"/>
            <w:vAlign w:val="bottom"/>
          </w:tcPr>
          <w:p w:rsidR="00E97EDA" w:rsidRPr="00670750" w:rsidP="00D611FB">
            <w:pPr>
              <w:keepNext/>
              <w:keepLines/>
              <w:spacing w:before="40" w:after="20" w:line="200" w:lineRule="exact"/>
              <w:jc w:val="center"/>
              <w:rPr>
                <w:rFonts w:ascii="FrankRuehl" w:hAnsi="FrankRuehl" w:cs="FrankRuehl"/>
                <w:b/>
                <w:bCs/>
                <w:szCs w:val="20"/>
                <w:rtl/>
                <w:lang w:eastAsia="he-IL"/>
              </w:rPr>
            </w:pPr>
            <w:r w:rsidRPr="00670750">
              <w:rPr>
                <w:rFonts w:ascii="FrankRuehl" w:hAnsi="FrankRuehl" w:cs="FrankRuehl" w:hint="cs"/>
                <w:b/>
                <w:bCs/>
                <w:szCs w:val="20"/>
                <w:rtl/>
                <w:lang w:eastAsia="he-IL"/>
              </w:rPr>
              <w:t xml:space="preserve">יח"ד בתכניות שטיפולן </w:t>
            </w:r>
            <w:r w:rsidR="00EE09D3">
              <w:rPr>
                <w:rFonts w:ascii="FrankRuehl" w:hAnsi="FrankRuehl" w:cs="FrankRuehl"/>
                <w:b/>
                <w:bCs/>
                <w:szCs w:val="20"/>
                <w:lang w:eastAsia="he-IL"/>
              </w:rPr>
              <w:br/>
            </w:r>
            <w:r w:rsidRPr="00670750">
              <w:rPr>
                <w:rFonts w:ascii="FrankRuehl" w:hAnsi="FrankRuehl" w:cs="FrankRuehl" w:hint="cs"/>
                <w:b/>
                <w:bCs/>
                <w:szCs w:val="20"/>
                <w:rtl/>
                <w:lang w:eastAsia="he-IL"/>
              </w:rPr>
              <w:t>הסתיים ללא אישור**</w:t>
            </w:r>
          </w:p>
        </w:tc>
        <w:tc>
          <w:tcPr>
            <w:tcW w:w="907" w:type="dxa"/>
            <w:tcBorders>
              <w:top w:val="single" w:sz="12" w:space="0" w:color="auto"/>
              <w:bottom w:val="single" w:sz="12" w:space="0" w:color="auto"/>
            </w:tcBorders>
            <w:shd w:val="pct10" w:color="auto" w:fill="auto"/>
            <w:vAlign w:val="bottom"/>
          </w:tcPr>
          <w:p w:rsidR="00E97EDA" w:rsidRPr="00670750" w:rsidP="00D611FB">
            <w:pPr>
              <w:keepNext/>
              <w:keepLines/>
              <w:spacing w:before="40" w:after="20" w:line="200" w:lineRule="exact"/>
              <w:jc w:val="center"/>
              <w:rPr>
                <w:rFonts w:ascii="FrankRuehl" w:hAnsi="FrankRuehl" w:cs="FrankRuehl"/>
                <w:b/>
                <w:bCs/>
                <w:szCs w:val="20"/>
                <w:rtl/>
                <w:lang w:eastAsia="he-IL"/>
              </w:rPr>
            </w:pPr>
            <w:r w:rsidRPr="00670750">
              <w:rPr>
                <w:rFonts w:ascii="FrankRuehl" w:hAnsi="FrankRuehl" w:cs="FrankRuehl" w:hint="cs"/>
                <w:b/>
                <w:bCs/>
                <w:szCs w:val="20"/>
                <w:rtl/>
                <w:lang w:eastAsia="he-IL"/>
              </w:rPr>
              <w:t>סך הכול</w:t>
            </w:r>
          </w:p>
        </w:tc>
      </w:tr>
      <w:tr w:rsidTr="00EE09D3">
        <w:tblPrEx>
          <w:tblW w:w="6691" w:type="dxa"/>
          <w:jc w:val="center"/>
          <w:tblLook w:val="01E0"/>
        </w:tblPrEx>
        <w:trPr>
          <w:jc w:val="center"/>
        </w:trPr>
        <w:tc>
          <w:tcPr>
            <w:tcW w:w="907" w:type="dxa"/>
            <w:tcBorders>
              <w:top w:val="single" w:sz="12" w:space="0" w:color="auto"/>
            </w:tcBorders>
            <w:shd w:val="clear" w:color="auto" w:fill="auto"/>
            <w:vAlign w:val="center"/>
          </w:tcPr>
          <w:p w:rsidR="00E97EDA" w:rsidRPr="00670750" w:rsidP="00D611FB">
            <w:pPr>
              <w:pStyle w:val="a20"/>
              <w:keepNext/>
              <w:keepLines/>
              <w:bidi/>
              <w:spacing w:before="40" w:after="20" w:line="200" w:lineRule="exact"/>
              <w:rPr>
                <w:rFonts w:ascii="FrankRuehl" w:eastAsia="Times New Roman" w:hAnsi="FrankRuehl" w:cs="FrankRuehl"/>
                <w:rtl/>
                <w:lang w:eastAsia="he-IL" w:bidi="he-IL"/>
              </w:rPr>
            </w:pPr>
            <w:r w:rsidRPr="00670750">
              <w:rPr>
                <w:rFonts w:ascii="FrankRuehl" w:eastAsia="Times New Roman" w:hAnsi="FrankRuehl" w:cs="FrankRuehl" w:hint="cs"/>
                <w:rtl/>
                <w:lang w:eastAsia="he-IL" w:bidi="he-IL"/>
              </w:rPr>
              <w:t>הדרום</w:t>
            </w:r>
          </w:p>
        </w:tc>
        <w:tc>
          <w:tcPr>
            <w:tcW w:w="0" w:type="auto"/>
            <w:tcBorders>
              <w:top w:val="single" w:sz="12" w:space="0" w:color="auto"/>
            </w:tcBorders>
            <w:shd w:val="clear" w:color="auto" w:fill="auto"/>
            <w:vAlign w:val="center"/>
          </w:tcPr>
          <w:p w:rsidR="00E97EDA" w:rsidRPr="00670750" w:rsidP="00EE09D3">
            <w:pPr>
              <w:pStyle w:val="FootnoteText"/>
              <w:keepNext/>
              <w:keepLines/>
              <w:spacing w:before="40" w:after="20" w:line="200" w:lineRule="exact"/>
              <w:ind w:left="340"/>
              <w:rPr>
                <w:rFonts w:ascii="FrankRuehl" w:hAnsi="FrankRuehl" w:cs="FrankRuehl"/>
                <w:sz w:val="24"/>
                <w:rtl/>
                <w:lang w:eastAsia="he-IL"/>
              </w:rPr>
            </w:pPr>
            <w:r w:rsidRPr="00670750">
              <w:rPr>
                <w:rFonts w:ascii="FrankRuehl" w:hAnsi="FrankRuehl" w:cs="FrankRuehl" w:hint="cs"/>
                <w:sz w:val="24"/>
                <w:rtl/>
                <w:lang w:eastAsia="he-IL"/>
              </w:rPr>
              <w:t>5,094</w:t>
            </w:r>
          </w:p>
        </w:tc>
        <w:tc>
          <w:tcPr>
            <w:tcW w:w="0" w:type="auto"/>
            <w:tcBorders>
              <w:top w:val="single" w:sz="12" w:space="0" w:color="auto"/>
            </w:tcBorders>
            <w:shd w:val="clear" w:color="auto" w:fill="auto"/>
            <w:vAlign w:val="center"/>
          </w:tcPr>
          <w:p w:rsidR="00E97EDA" w:rsidRPr="00670750" w:rsidP="00EE09D3">
            <w:pPr>
              <w:keepNext/>
              <w:keepLines/>
              <w:spacing w:before="40" w:after="20" w:line="200" w:lineRule="exact"/>
              <w:ind w:left="454"/>
              <w:rPr>
                <w:rFonts w:ascii="FrankRuehl" w:hAnsi="FrankRuehl" w:cs="FrankRuehl"/>
                <w:szCs w:val="20"/>
                <w:rtl/>
                <w:lang w:eastAsia="he-IL"/>
              </w:rPr>
            </w:pPr>
            <w:r w:rsidRPr="00670750">
              <w:rPr>
                <w:rFonts w:ascii="FrankRuehl" w:hAnsi="FrankRuehl" w:cs="FrankRuehl" w:hint="cs"/>
                <w:szCs w:val="20"/>
                <w:rtl/>
                <w:lang w:eastAsia="he-IL"/>
              </w:rPr>
              <w:t>7,937</w:t>
            </w:r>
          </w:p>
        </w:tc>
        <w:tc>
          <w:tcPr>
            <w:tcW w:w="0" w:type="auto"/>
            <w:tcBorders>
              <w:top w:val="single" w:sz="12" w:space="0" w:color="auto"/>
            </w:tcBorders>
            <w:shd w:val="clear" w:color="auto" w:fill="auto"/>
            <w:vAlign w:val="center"/>
          </w:tcPr>
          <w:p w:rsidR="00E97EDA" w:rsidRPr="00670750" w:rsidP="00D611FB">
            <w:pPr>
              <w:keepNext/>
              <w:keepLines/>
              <w:spacing w:before="40" w:after="20" w:line="200" w:lineRule="exact"/>
              <w:ind w:left="624"/>
              <w:rPr>
                <w:rFonts w:ascii="FrankRuehl" w:hAnsi="FrankRuehl" w:cs="FrankRuehl"/>
                <w:szCs w:val="20"/>
                <w:rtl/>
                <w:lang w:eastAsia="he-IL"/>
              </w:rPr>
            </w:pPr>
            <w:r w:rsidRPr="00670750">
              <w:rPr>
                <w:rFonts w:ascii="FrankRuehl" w:hAnsi="FrankRuehl" w:cs="FrankRuehl" w:hint="cs"/>
                <w:szCs w:val="20"/>
                <w:rtl/>
                <w:lang w:eastAsia="he-IL"/>
              </w:rPr>
              <w:t>989</w:t>
            </w:r>
          </w:p>
        </w:tc>
        <w:tc>
          <w:tcPr>
            <w:tcW w:w="907" w:type="dxa"/>
            <w:tcBorders>
              <w:top w:val="single" w:sz="12" w:space="0" w:color="auto"/>
            </w:tcBorders>
            <w:shd w:val="clear" w:color="auto" w:fill="auto"/>
            <w:vAlign w:val="center"/>
          </w:tcPr>
          <w:p w:rsidR="00E97EDA" w:rsidRPr="00670750" w:rsidP="00EE09D3">
            <w:pPr>
              <w:keepNext/>
              <w:keepLines/>
              <w:spacing w:before="40" w:after="20" w:line="200" w:lineRule="exact"/>
              <w:ind w:left="170"/>
              <w:rPr>
                <w:rFonts w:ascii="FrankRuehl" w:hAnsi="FrankRuehl" w:cs="FrankRuehl"/>
                <w:szCs w:val="20"/>
                <w:rtl/>
                <w:lang w:eastAsia="he-IL"/>
              </w:rPr>
            </w:pPr>
            <w:r w:rsidRPr="00670750">
              <w:rPr>
                <w:rFonts w:ascii="FrankRuehl" w:hAnsi="FrankRuehl" w:cs="FrankRuehl" w:hint="cs"/>
                <w:szCs w:val="20"/>
                <w:rtl/>
                <w:lang w:eastAsia="he-IL"/>
              </w:rPr>
              <w:t>14,020</w:t>
            </w:r>
          </w:p>
        </w:tc>
      </w:tr>
      <w:tr w:rsidTr="00EE09D3">
        <w:tblPrEx>
          <w:tblW w:w="6691" w:type="dxa"/>
          <w:jc w:val="center"/>
          <w:tblLook w:val="01E0"/>
        </w:tblPrEx>
        <w:trPr>
          <w:jc w:val="center"/>
        </w:trPr>
        <w:tc>
          <w:tcPr>
            <w:tcW w:w="907" w:type="dxa"/>
            <w:shd w:val="clear" w:color="auto" w:fill="auto"/>
            <w:vAlign w:val="center"/>
          </w:tcPr>
          <w:p w:rsidR="00E97EDA" w:rsidRPr="00670750" w:rsidP="00D611FB">
            <w:pPr>
              <w:keepNext/>
              <w:keepLines/>
              <w:spacing w:before="40" w:after="20" w:line="200" w:lineRule="exact"/>
              <w:rPr>
                <w:rFonts w:ascii="FrankRuehl" w:hAnsi="FrankRuehl" w:cs="FrankRuehl"/>
                <w:szCs w:val="20"/>
                <w:rtl/>
                <w:lang w:eastAsia="he-IL"/>
              </w:rPr>
            </w:pPr>
            <w:r w:rsidRPr="00670750">
              <w:rPr>
                <w:rFonts w:ascii="FrankRuehl" w:hAnsi="FrankRuehl" w:cs="FrankRuehl" w:hint="cs"/>
                <w:szCs w:val="20"/>
                <w:rtl/>
                <w:lang w:eastAsia="he-IL"/>
              </w:rPr>
              <w:t>חיפה</w:t>
            </w:r>
          </w:p>
        </w:tc>
        <w:tc>
          <w:tcPr>
            <w:tcW w:w="0" w:type="auto"/>
            <w:shd w:val="clear" w:color="auto" w:fill="auto"/>
            <w:vAlign w:val="center"/>
          </w:tcPr>
          <w:p w:rsidR="00E97EDA" w:rsidRPr="00670750" w:rsidP="00EE09D3">
            <w:pPr>
              <w:keepNext/>
              <w:keepLines/>
              <w:spacing w:before="40" w:after="20" w:line="200" w:lineRule="exact"/>
              <w:ind w:left="340"/>
              <w:rPr>
                <w:rFonts w:ascii="FrankRuehl" w:hAnsi="FrankRuehl" w:cs="FrankRuehl"/>
                <w:szCs w:val="20"/>
                <w:rtl/>
                <w:lang w:eastAsia="he-IL"/>
              </w:rPr>
            </w:pPr>
            <w:r w:rsidRPr="00670750">
              <w:rPr>
                <w:rFonts w:ascii="FrankRuehl" w:hAnsi="FrankRuehl" w:cs="FrankRuehl" w:hint="cs"/>
                <w:szCs w:val="20"/>
                <w:rtl/>
                <w:lang w:eastAsia="he-IL"/>
              </w:rPr>
              <w:t>-</w:t>
            </w:r>
          </w:p>
        </w:tc>
        <w:tc>
          <w:tcPr>
            <w:tcW w:w="0" w:type="auto"/>
            <w:shd w:val="clear" w:color="auto" w:fill="auto"/>
            <w:vAlign w:val="center"/>
          </w:tcPr>
          <w:p w:rsidR="00E97EDA" w:rsidRPr="00670750" w:rsidP="00EE09D3">
            <w:pPr>
              <w:keepNext/>
              <w:keepLines/>
              <w:spacing w:before="40" w:after="20" w:line="200" w:lineRule="exact"/>
              <w:ind w:left="454"/>
              <w:rPr>
                <w:rFonts w:ascii="FrankRuehl" w:hAnsi="FrankRuehl" w:cs="FrankRuehl"/>
                <w:szCs w:val="20"/>
                <w:rtl/>
                <w:lang w:eastAsia="he-IL"/>
              </w:rPr>
            </w:pPr>
            <w:r w:rsidRPr="00670750">
              <w:rPr>
                <w:rFonts w:ascii="FrankRuehl" w:hAnsi="FrankRuehl" w:cs="FrankRuehl" w:hint="cs"/>
                <w:szCs w:val="20"/>
                <w:rtl/>
                <w:lang w:eastAsia="he-IL"/>
              </w:rPr>
              <w:t>7,636</w:t>
            </w:r>
          </w:p>
        </w:tc>
        <w:tc>
          <w:tcPr>
            <w:tcW w:w="0" w:type="auto"/>
            <w:shd w:val="clear" w:color="auto" w:fill="auto"/>
            <w:vAlign w:val="center"/>
          </w:tcPr>
          <w:p w:rsidR="00E97EDA" w:rsidRPr="00670750" w:rsidP="00D611FB">
            <w:pPr>
              <w:keepNext/>
              <w:keepLines/>
              <w:spacing w:before="40" w:after="20" w:line="200" w:lineRule="exact"/>
              <w:ind w:left="624"/>
              <w:rPr>
                <w:rFonts w:ascii="FrankRuehl" w:hAnsi="FrankRuehl" w:cs="FrankRuehl"/>
                <w:szCs w:val="20"/>
                <w:rtl/>
                <w:lang w:eastAsia="he-IL"/>
              </w:rPr>
            </w:pPr>
            <w:r w:rsidRPr="00670750">
              <w:rPr>
                <w:rFonts w:ascii="FrankRuehl" w:hAnsi="FrankRuehl" w:cs="FrankRuehl" w:hint="cs"/>
                <w:szCs w:val="20"/>
                <w:rtl/>
                <w:lang w:eastAsia="he-IL"/>
              </w:rPr>
              <w:t>-</w:t>
            </w:r>
          </w:p>
        </w:tc>
        <w:tc>
          <w:tcPr>
            <w:tcW w:w="907" w:type="dxa"/>
            <w:shd w:val="clear" w:color="auto" w:fill="auto"/>
            <w:vAlign w:val="center"/>
          </w:tcPr>
          <w:p w:rsidR="00E97EDA" w:rsidRPr="00670750" w:rsidP="00EE09D3">
            <w:pPr>
              <w:keepNext/>
              <w:keepLines/>
              <w:spacing w:before="40" w:after="20" w:line="200" w:lineRule="exact"/>
              <w:ind w:left="170"/>
              <w:rPr>
                <w:rFonts w:ascii="FrankRuehl" w:hAnsi="FrankRuehl" w:cs="FrankRuehl"/>
                <w:szCs w:val="20"/>
                <w:rtl/>
                <w:lang w:eastAsia="he-IL"/>
              </w:rPr>
            </w:pPr>
            <w:r w:rsidRPr="00670750">
              <w:rPr>
                <w:rFonts w:ascii="FrankRuehl" w:hAnsi="FrankRuehl" w:cs="FrankRuehl" w:hint="cs"/>
                <w:szCs w:val="20"/>
                <w:rtl/>
                <w:lang w:eastAsia="he-IL"/>
              </w:rPr>
              <w:t>7,636</w:t>
            </w:r>
          </w:p>
        </w:tc>
      </w:tr>
      <w:tr w:rsidTr="00EE09D3">
        <w:tblPrEx>
          <w:tblW w:w="6691" w:type="dxa"/>
          <w:jc w:val="center"/>
          <w:tblLook w:val="01E0"/>
        </w:tblPrEx>
        <w:trPr>
          <w:jc w:val="center"/>
        </w:trPr>
        <w:tc>
          <w:tcPr>
            <w:tcW w:w="907" w:type="dxa"/>
            <w:shd w:val="clear" w:color="auto" w:fill="auto"/>
            <w:vAlign w:val="center"/>
          </w:tcPr>
          <w:p w:rsidR="00E97EDA" w:rsidRPr="00670750" w:rsidP="00D611FB">
            <w:pPr>
              <w:keepNext/>
              <w:keepLines/>
              <w:spacing w:before="40" w:after="20" w:line="200" w:lineRule="exact"/>
              <w:rPr>
                <w:rFonts w:ascii="FrankRuehl" w:hAnsi="FrankRuehl" w:cs="FrankRuehl"/>
                <w:szCs w:val="20"/>
                <w:rtl/>
                <w:lang w:eastAsia="he-IL"/>
              </w:rPr>
            </w:pPr>
            <w:r w:rsidRPr="00670750">
              <w:rPr>
                <w:rFonts w:ascii="FrankRuehl" w:hAnsi="FrankRuehl" w:cs="FrankRuehl" w:hint="cs"/>
                <w:szCs w:val="20"/>
                <w:rtl/>
                <w:lang w:eastAsia="he-IL"/>
              </w:rPr>
              <w:t>ירושלים</w:t>
            </w:r>
          </w:p>
        </w:tc>
        <w:tc>
          <w:tcPr>
            <w:tcW w:w="0" w:type="auto"/>
            <w:shd w:val="clear" w:color="auto" w:fill="auto"/>
            <w:vAlign w:val="center"/>
          </w:tcPr>
          <w:p w:rsidR="00E97EDA" w:rsidRPr="00670750" w:rsidP="00EE09D3">
            <w:pPr>
              <w:keepNext/>
              <w:keepLines/>
              <w:spacing w:before="40" w:after="20" w:line="200" w:lineRule="exact"/>
              <w:ind w:left="340"/>
              <w:rPr>
                <w:rFonts w:ascii="FrankRuehl" w:hAnsi="FrankRuehl" w:cs="FrankRuehl"/>
                <w:szCs w:val="20"/>
                <w:rtl/>
                <w:lang w:eastAsia="he-IL"/>
              </w:rPr>
            </w:pPr>
            <w:r w:rsidRPr="00670750">
              <w:rPr>
                <w:rFonts w:ascii="FrankRuehl" w:hAnsi="FrankRuehl" w:cs="FrankRuehl" w:hint="cs"/>
                <w:szCs w:val="20"/>
                <w:rtl/>
                <w:lang w:eastAsia="he-IL"/>
              </w:rPr>
              <w:t>-</w:t>
            </w:r>
          </w:p>
        </w:tc>
        <w:tc>
          <w:tcPr>
            <w:tcW w:w="0" w:type="auto"/>
            <w:shd w:val="clear" w:color="auto" w:fill="auto"/>
            <w:vAlign w:val="center"/>
          </w:tcPr>
          <w:p w:rsidR="00E97EDA" w:rsidRPr="00670750" w:rsidP="00EE09D3">
            <w:pPr>
              <w:keepNext/>
              <w:keepLines/>
              <w:spacing w:before="40" w:after="20" w:line="200" w:lineRule="exact"/>
              <w:ind w:left="454"/>
              <w:rPr>
                <w:rFonts w:ascii="FrankRuehl" w:hAnsi="FrankRuehl" w:cs="FrankRuehl"/>
                <w:szCs w:val="20"/>
                <w:rtl/>
                <w:lang w:eastAsia="he-IL"/>
              </w:rPr>
            </w:pPr>
            <w:r w:rsidRPr="00670750">
              <w:rPr>
                <w:rFonts w:ascii="FrankRuehl" w:hAnsi="FrankRuehl" w:cs="FrankRuehl" w:hint="cs"/>
                <w:szCs w:val="20"/>
                <w:rtl/>
                <w:lang w:eastAsia="he-IL"/>
              </w:rPr>
              <w:t>890</w:t>
            </w:r>
          </w:p>
        </w:tc>
        <w:tc>
          <w:tcPr>
            <w:tcW w:w="0" w:type="auto"/>
            <w:shd w:val="clear" w:color="auto" w:fill="auto"/>
            <w:vAlign w:val="center"/>
          </w:tcPr>
          <w:p w:rsidR="00E97EDA" w:rsidRPr="00670750" w:rsidP="00D611FB">
            <w:pPr>
              <w:keepNext/>
              <w:keepLines/>
              <w:spacing w:before="40" w:after="20" w:line="200" w:lineRule="exact"/>
              <w:ind w:left="624"/>
              <w:rPr>
                <w:rFonts w:ascii="FrankRuehl" w:hAnsi="FrankRuehl" w:cs="FrankRuehl"/>
                <w:szCs w:val="20"/>
                <w:rtl/>
                <w:lang w:eastAsia="he-IL"/>
              </w:rPr>
            </w:pPr>
            <w:r w:rsidRPr="00670750">
              <w:rPr>
                <w:rFonts w:ascii="FrankRuehl" w:hAnsi="FrankRuehl" w:cs="FrankRuehl" w:hint="cs"/>
                <w:szCs w:val="20"/>
                <w:rtl/>
                <w:lang w:eastAsia="he-IL"/>
              </w:rPr>
              <w:t>-</w:t>
            </w:r>
          </w:p>
        </w:tc>
        <w:tc>
          <w:tcPr>
            <w:tcW w:w="907" w:type="dxa"/>
            <w:shd w:val="clear" w:color="auto" w:fill="auto"/>
            <w:vAlign w:val="center"/>
          </w:tcPr>
          <w:p w:rsidR="00E97EDA" w:rsidRPr="00670750" w:rsidP="00EE09D3">
            <w:pPr>
              <w:keepNext/>
              <w:keepLines/>
              <w:spacing w:before="40" w:after="20" w:line="200" w:lineRule="exact"/>
              <w:ind w:left="170"/>
              <w:rPr>
                <w:rFonts w:ascii="FrankRuehl" w:hAnsi="FrankRuehl" w:cs="FrankRuehl"/>
                <w:szCs w:val="20"/>
                <w:rtl/>
                <w:lang w:eastAsia="he-IL"/>
              </w:rPr>
            </w:pPr>
            <w:r w:rsidRPr="00670750">
              <w:rPr>
                <w:rFonts w:ascii="FrankRuehl" w:hAnsi="FrankRuehl" w:cs="FrankRuehl" w:hint="cs"/>
                <w:szCs w:val="20"/>
                <w:rtl/>
                <w:lang w:eastAsia="he-IL"/>
              </w:rPr>
              <w:t>890</w:t>
            </w:r>
          </w:p>
        </w:tc>
      </w:tr>
      <w:tr w:rsidTr="00EE09D3">
        <w:tblPrEx>
          <w:tblW w:w="6691" w:type="dxa"/>
          <w:jc w:val="center"/>
          <w:tblLook w:val="01E0"/>
        </w:tblPrEx>
        <w:trPr>
          <w:jc w:val="center"/>
        </w:trPr>
        <w:tc>
          <w:tcPr>
            <w:tcW w:w="907" w:type="dxa"/>
            <w:shd w:val="clear" w:color="auto" w:fill="auto"/>
            <w:vAlign w:val="center"/>
          </w:tcPr>
          <w:p w:rsidR="00E97EDA" w:rsidRPr="00670750" w:rsidP="00D611FB">
            <w:pPr>
              <w:keepNext/>
              <w:keepLines/>
              <w:spacing w:before="40" w:after="20" w:line="200" w:lineRule="exact"/>
              <w:rPr>
                <w:rFonts w:ascii="FrankRuehl" w:hAnsi="FrankRuehl" w:cs="FrankRuehl"/>
                <w:szCs w:val="20"/>
                <w:rtl/>
                <w:lang w:eastAsia="he-IL"/>
              </w:rPr>
            </w:pPr>
            <w:r w:rsidRPr="00670750">
              <w:rPr>
                <w:rFonts w:ascii="FrankRuehl" w:hAnsi="FrankRuehl" w:cs="FrankRuehl" w:hint="cs"/>
                <w:szCs w:val="20"/>
                <w:rtl/>
                <w:lang w:eastAsia="he-IL"/>
              </w:rPr>
              <w:t>המרכז</w:t>
            </w:r>
          </w:p>
        </w:tc>
        <w:tc>
          <w:tcPr>
            <w:tcW w:w="0" w:type="auto"/>
            <w:shd w:val="clear" w:color="auto" w:fill="auto"/>
            <w:vAlign w:val="center"/>
          </w:tcPr>
          <w:p w:rsidR="00E97EDA" w:rsidRPr="00670750" w:rsidP="00EE09D3">
            <w:pPr>
              <w:keepNext/>
              <w:keepLines/>
              <w:spacing w:before="40" w:after="20" w:line="200" w:lineRule="exact"/>
              <w:ind w:left="340"/>
              <w:rPr>
                <w:rFonts w:ascii="FrankRuehl" w:hAnsi="FrankRuehl" w:cs="FrankRuehl"/>
                <w:szCs w:val="20"/>
                <w:rtl/>
                <w:lang w:eastAsia="he-IL"/>
              </w:rPr>
            </w:pPr>
            <w:r w:rsidRPr="00670750">
              <w:rPr>
                <w:rFonts w:ascii="FrankRuehl" w:hAnsi="FrankRuehl" w:cs="FrankRuehl" w:hint="cs"/>
                <w:szCs w:val="20"/>
                <w:rtl/>
                <w:lang w:eastAsia="he-IL"/>
              </w:rPr>
              <w:t>1,523</w:t>
            </w:r>
          </w:p>
        </w:tc>
        <w:tc>
          <w:tcPr>
            <w:tcW w:w="0" w:type="auto"/>
            <w:shd w:val="clear" w:color="auto" w:fill="auto"/>
            <w:vAlign w:val="center"/>
          </w:tcPr>
          <w:p w:rsidR="00E97EDA" w:rsidRPr="00670750" w:rsidP="00EE09D3">
            <w:pPr>
              <w:keepNext/>
              <w:keepLines/>
              <w:spacing w:before="40" w:after="20" w:line="200" w:lineRule="exact"/>
              <w:ind w:left="454"/>
              <w:rPr>
                <w:rFonts w:ascii="FrankRuehl" w:hAnsi="FrankRuehl" w:cs="FrankRuehl"/>
                <w:szCs w:val="20"/>
                <w:rtl/>
                <w:lang w:eastAsia="he-IL"/>
              </w:rPr>
            </w:pPr>
            <w:r w:rsidRPr="00670750">
              <w:rPr>
                <w:rFonts w:ascii="FrankRuehl" w:hAnsi="FrankRuehl" w:cs="FrankRuehl" w:hint="cs"/>
                <w:szCs w:val="20"/>
                <w:rtl/>
                <w:lang w:eastAsia="he-IL"/>
              </w:rPr>
              <w:t>2,229</w:t>
            </w:r>
          </w:p>
        </w:tc>
        <w:tc>
          <w:tcPr>
            <w:tcW w:w="0" w:type="auto"/>
            <w:shd w:val="clear" w:color="auto" w:fill="auto"/>
            <w:vAlign w:val="center"/>
          </w:tcPr>
          <w:p w:rsidR="00E97EDA" w:rsidRPr="00670750" w:rsidP="00D611FB">
            <w:pPr>
              <w:keepNext/>
              <w:keepLines/>
              <w:spacing w:before="40" w:after="20" w:line="200" w:lineRule="exact"/>
              <w:ind w:left="624"/>
              <w:rPr>
                <w:rFonts w:ascii="FrankRuehl" w:hAnsi="FrankRuehl" w:cs="FrankRuehl"/>
                <w:szCs w:val="20"/>
                <w:rtl/>
                <w:lang w:eastAsia="he-IL"/>
              </w:rPr>
            </w:pPr>
            <w:r w:rsidRPr="00670750">
              <w:rPr>
                <w:rFonts w:ascii="FrankRuehl" w:hAnsi="FrankRuehl" w:cs="FrankRuehl" w:hint="cs"/>
                <w:szCs w:val="20"/>
                <w:rtl/>
                <w:lang w:eastAsia="he-IL"/>
              </w:rPr>
              <w:t>-</w:t>
            </w:r>
          </w:p>
        </w:tc>
        <w:tc>
          <w:tcPr>
            <w:tcW w:w="907" w:type="dxa"/>
            <w:shd w:val="clear" w:color="auto" w:fill="auto"/>
            <w:vAlign w:val="center"/>
          </w:tcPr>
          <w:p w:rsidR="00E97EDA" w:rsidRPr="00670750" w:rsidP="00EE09D3">
            <w:pPr>
              <w:keepNext/>
              <w:keepLines/>
              <w:spacing w:before="40" w:after="20" w:line="200" w:lineRule="exact"/>
              <w:ind w:left="170"/>
              <w:rPr>
                <w:rFonts w:ascii="FrankRuehl" w:hAnsi="FrankRuehl" w:cs="FrankRuehl"/>
                <w:szCs w:val="20"/>
                <w:rtl/>
                <w:lang w:eastAsia="he-IL"/>
              </w:rPr>
            </w:pPr>
            <w:r w:rsidRPr="00670750">
              <w:rPr>
                <w:rFonts w:ascii="FrankRuehl" w:hAnsi="FrankRuehl" w:cs="FrankRuehl" w:hint="cs"/>
                <w:szCs w:val="20"/>
                <w:rtl/>
                <w:lang w:eastAsia="he-IL"/>
              </w:rPr>
              <w:t>3,752</w:t>
            </w:r>
          </w:p>
        </w:tc>
      </w:tr>
      <w:tr w:rsidTr="00EE09D3">
        <w:tblPrEx>
          <w:tblW w:w="6691" w:type="dxa"/>
          <w:jc w:val="center"/>
          <w:tblLook w:val="01E0"/>
        </w:tblPrEx>
        <w:trPr>
          <w:jc w:val="center"/>
        </w:trPr>
        <w:tc>
          <w:tcPr>
            <w:tcW w:w="907" w:type="dxa"/>
            <w:shd w:val="clear" w:color="auto" w:fill="auto"/>
            <w:vAlign w:val="center"/>
          </w:tcPr>
          <w:p w:rsidR="00E97EDA" w:rsidRPr="00670750" w:rsidP="00D611FB">
            <w:pPr>
              <w:keepNext/>
              <w:keepLines/>
              <w:spacing w:before="40" w:after="20" w:line="200" w:lineRule="exact"/>
              <w:rPr>
                <w:rFonts w:ascii="FrankRuehl" w:hAnsi="FrankRuehl" w:cs="FrankRuehl"/>
                <w:szCs w:val="20"/>
                <w:rtl/>
                <w:lang w:eastAsia="he-IL"/>
              </w:rPr>
            </w:pPr>
            <w:r w:rsidRPr="00670750">
              <w:rPr>
                <w:rFonts w:ascii="FrankRuehl" w:hAnsi="FrankRuehl" w:cs="FrankRuehl" w:hint="cs"/>
                <w:szCs w:val="20"/>
                <w:rtl/>
                <w:lang w:eastAsia="he-IL"/>
              </w:rPr>
              <w:t>הצפון</w:t>
            </w:r>
          </w:p>
        </w:tc>
        <w:tc>
          <w:tcPr>
            <w:tcW w:w="0" w:type="auto"/>
            <w:shd w:val="clear" w:color="auto" w:fill="auto"/>
            <w:vAlign w:val="center"/>
          </w:tcPr>
          <w:p w:rsidR="00E97EDA" w:rsidRPr="00670750" w:rsidP="00EE09D3">
            <w:pPr>
              <w:keepNext/>
              <w:keepLines/>
              <w:spacing w:before="40" w:after="20" w:line="200" w:lineRule="exact"/>
              <w:ind w:left="340"/>
              <w:rPr>
                <w:rFonts w:ascii="FrankRuehl" w:hAnsi="FrankRuehl" w:cs="FrankRuehl"/>
                <w:szCs w:val="20"/>
                <w:rtl/>
                <w:lang w:eastAsia="he-IL"/>
              </w:rPr>
            </w:pPr>
            <w:r w:rsidRPr="00670750">
              <w:rPr>
                <w:rFonts w:ascii="FrankRuehl" w:hAnsi="FrankRuehl" w:cs="FrankRuehl" w:hint="cs"/>
                <w:szCs w:val="20"/>
                <w:rtl/>
                <w:lang w:eastAsia="he-IL"/>
              </w:rPr>
              <w:t>579</w:t>
            </w:r>
          </w:p>
        </w:tc>
        <w:tc>
          <w:tcPr>
            <w:tcW w:w="0" w:type="auto"/>
            <w:shd w:val="clear" w:color="auto" w:fill="auto"/>
            <w:vAlign w:val="center"/>
          </w:tcPr>
          <w:p w:rsidR="00E97EDA" w:rsidRPr="00670750" w:rsidP="00EE09D3">
            <w:pPr>
              <w:keepNext/>
              <w:keepLines/>
              <w:spacing w:before="40" w:after="20" w:line="200" w:lineRule="exact"/>
              <w:ind w:left="454"/>
              <w:rPr>
                <w:rFonts w:ascii="FrankRuehl" w:hAnsi="FrankRuehl" w:cs="FrankRuehl"/>
                <w:szCs w:val="20"/>
                <w:rtl/>
                <w:lang w:eastAsia="he-IL"/>
              </w:rPr>
            </w:pPr>
            <w:r w:rsidRPr="00670750">
              <w:rPr>
                <w:rFonts w:ascii="FrankRuehl" w:hAnsi="FrankRuehl" w:cs="FrankRuehl" w:hint="cs"/>
                <w:szCs w:val="20"/>
                <w:rtl/>
                <w:lang w:eastAsia="he-IL"/>
              </w:rPr>
              <w:t>3,003</w:t>
            </w:r>
          </w:p>
        </w:tc>
        <w:tc>
          <w:tcPr>
            <w:tcW w:w="0" w:type="auto"/>
            <w:shd w:val="clear" w:color="auto" w:fill="auto"/>
            <w:vAlign w:val="center"/>
          </w:tcPr>
          <w:p w:rsidR="00E97EDA" w:rsidRPr="00670750" w:rsidP="00D611FB">
            <w:pPr>
              <w:keepNext/>
              <w:keepLines/>
              <w:spacing w:before="40" w:after="20" w:line="200" w:lineRule="exact"/>
              <w:ind w:left="624"/>
              <w:rPr>
                <w:rFonts w:ascii="FrankRuehl" w:hAnsi="FrankRuehl" w:cs="FrankRuehl"/>
                <w:szCs w:val="20"/>
                <w:rtl/>
                <w:lang w:eastAsia="he-IL"/>
              </w:rPr>
            </w:pPr>
            <w:r w:rsidRPr="00670750">
              <w:rPr>
                <w:rFonts w:ascii="FrankRuehl" w:hAnsi="FrankRuehl" w:cs="FrankRuehl" w:hint="cs"/>
                <w:szCs w:val="20"/>
                <w:rtl/>
                <w:lang w:eastAsia="he-IL"/>
              </w:rPr>
              <w:t>-</w:t>
            </w:r>
          </w:p>
        </w:tc>
        <w:tc>
          <w:tcPr>
            <w:tcW w:w="907" w:type="dxa"/>
            <w:shd w:val="clear" w:color="auto" w:fill="auto"/>
            <w:vAlign w:val="center"/>
          </w:tcPr>
          <w:p w:rsidR="00E97EDA" w:rsidRPr="00670750" w:rsidP="00EE09D3">
            <w:pPr>
              <w:keepNext/>
              <w:keepLines/>
              <w:spacing w:before="40" w:after="20" w:line="200" w:lineRule="exact"/>
              <w:ind w:left="170"/>
              <w:rPr>
                <w:rFonts w:ascii="FrankRuehl" w:hAnsi="FrankRuehl" w:cs="FrankRuehl"/>
                <w:szCs w:val="20"/>
                <w:rtl/>
                <w:lang w:eastAsia="he-IL"/>
              </w:rPr>
            </w:pPr>
            <w:r w:rsidRPr="00670750">
              <w:rPr>
                <w:rFonts w:ascii="FrankRuehl" w:hAnsi="FrankRuehl" w:cs="FrankRuehl" w:hint="cs"/>
                <w:szCs w:val="20"/>
                <w:rtl/>
                <w:lang w:eastAsia="he-IL"/>
              </w:rPr>
              <w:t>3,582</w:t>
            </w:r>
          </w:p>
        </w:tc>
      </w:tr>
      <w:tr w:rsidTr="00EE09D3">
        <w:tblPrEx>
          <w:tblW w:w="6691" w:type="dxa"/>
          <w:jc w:val="center"/>
          <w:tblLook w:val="01E0"/>
        </w:tblPrEx>
        <w:trPr>
          <w:jc w:val="center"/>
        </w:trPr>
        <w:tc>
          <w:tcPr>
            <w:tcW w:w="907" w:type="dxa"/>
            <w:tcBorders>
              <w:bottom w:val="single" w:sz="12" w:space="0" w:color="auto"/>
            </w:tcBorders>
            <w:shd w:val="clear" w:color="auto" w:fill="auto"/>
            <w:vAlign w:val="center"/>
          </w:tcPr>
          <w:p w:rsidR="00E97EDA" w:rsidRPr="00670750" w:rsidP="00D611FB">
            <w:pPr>
              <w:keepNext/>
              <w:keepLines/>
              <w:spacing w:before="40" w:after="20" w:line="200" w:lineRule="exact"/>
              <w:rPr>
                <w:rFonts w:ascii="FrankRuehl" w:hAnsi="FrankRuehl" w:cs="FrankRuehl"/>
                <w:szCs w:val="20"/>
                <w:rtl/>
                <w:lang w:eastAsia="he-IL"/>
              </w:rPr>
            </w:pPr>
            <w:r w:rsidRPr="00670750">
              <w:rPr>
                <w:rFonts w:ascii="FrankRuehl" w:hAnsi="FrankRuehl" w:cs="FrankRuehl" w:hint="cs"/>
                <w:szCs w:val="20"/>
                <w:rtl/>
                <w:lang w:eastAsia="he-IL"/>
              </w:rPr>
              <w:t>תל אביב</w:t>
            </w:r>
          </w:p>
        </w:tc>
        <w:tc>
          <w:tcPr>
            <w:tcW w:w="0" w:type="auto"/>
            <w:tcBorders>
              <w:bottom w:val="single" w:sz="12" w:space="0" w:color="auto"/>
            </w:tcBorders>
            <w:shd w:val="clear" w:color="auto" w:fill="auto"/>
            <w:vAlign w:val="center"/>
          </w:tcPr>
          <w:p w:rsidR="00E97EDA" w:rsidRPr="00670750" w:rsidP="00EE09D3">
            <w:pPr>
              <w:keepNext/>
              <w:keepLines/>
              <w:spacing w:before="40" w:after="20" w:line="200" w:lineRule="exact"/>
              <w:ind w:left="340"/>
              <w:rPr>
                <w:rFonts w:ascii="FrankRuehl" w:hAnsi="FrankRuehl" w:cs="FrankRuehl"/>
                <w:szCs w:val="20"/>
                <w:rtl/>
                <w:lang w:eastAsia="he-IL"/>
              </w:rPr>
            </w:pPr>
            <w:r w:rsidRPr="00670750">
              <w:rPr>
                <w:rFonts w:ascii="FrankRuehl" w:hAnsi="FrankRuehl" w:cs="FrankRuehl" w:hint="cs"/>
                <w:szCs w:val="20"/>
                <w:rtl/>
                <w:lang w:eastAsia="he-IL"/>
              </w:rPr>
              <w:t>-</w:t>
            </w:r>
          </w:p>
        </w:tc>
        <w:tc>
          <w:tcPr>
            <w:tcW w:w="0" w:type="auto"/>
            <w:tcBorders>
              <w:bottom w:val="single" w:sz="12" w:space="0" w:color="auto"/>
            </w:tcBorders>
            <w:shd w:val="clear" w:color="auto" w:fill="auto"/>
            <w:vAlign w:val="center"/>
          </w:tcPr>
          <w:p w:rsidR="00E97EDA" w:rsidRPr="00670750" w:rsidP="00EE09D3">
            <w:pPr>
              <w:keepNext/>
              <w:keepLines/>
              <w:spacing w:before="40" w:after="20" w:line="200" w:lineRule="exact"/>
              <w:ind w:left="454"/>
              <w:rPr>
                <w:rFonts w:ascii="FrankRuehl" w:hAnsi="FrankRuehl" w:cs="FrankRuehl"/>
                <w:szCs w:val="20"/>
                <w:rtl/>
                <w:lang w:eastAsia="he-IL"/>
              </w:rPr>
            </w:pPr>
            <w:r w:rsidRPr="00670750">
              <w:rPr>
                <w:rFonts w:ascii="FrankRuehl" w:hAnsi="FrankRuehl" w:cs="FrankRuehl" w:hint="cs"/>
                <w:szCs w:val="20"/>
                <w:rtl/>
                <w:lang w:eastAsia="he-IL"/>
              </w:rPr>
              <w:t>1,075</w:t>
            </w:r>
          </w:p>
        </w:tc>
        <w:tc>
          <w:tcPr>
            <w:tcW w:w="0" w:type="auto"/>
            <w:tcBorders>
              <w:bottom w:val="single" w:sz="12" w:space="0" w:color="auto"/>
            </w:tcBorders>
            <w:shd w:val="clear" w:color="auto" w:fill="auto"/>
            <w:vAlign w:val="center"/>
          </w:tcPr>
          <w:p w:rsidR="00E97EDA" w:rsidRPr="00670750" w:rsidP="00D611FB">
            <w:pPr>
              <w:keepNext/>
              <w:keepLines/>
              <w:spacing w:before="40" w:after="20" w:line="200" w:lineRule="exact"/>
              <w:ind w:left="624"/>
              <w:rPr>
                <w:rFonts w:ascii="FrankRuehl" w:hAnsi="FrankRuehl" w:cs="FrankRuehl"/>
                <w:szCs w:val="20"/>
                <w:rtl/>
                <w:lang w:eastAsia="he-IL"/>
              </w:rPr>
            </w:pPr>
            <w:r w:rsidRPr="00670750">
              <w:rPr>
                <w:rFonts w:ascii="FrankRuehl" w:hAnsi="FrankRuehl" w:cs="FrankRuehl" w:hint="cs"/>
                <w:szCs w:val="20"/>
                <w:rtl/>
                <w:lang w:eastAsia="he-IL"/>
              </w:rPr>
              <w:t>-</w:t>
            </w:r>
          </w:p>
        </w:tc>
        <w:tc>
          <w:tcPr>
            <w:tcW w:w="907" w:type="dxa"/>
            <w:tcBorders>
              <w:bottom w:val="single" w:sz="12" w:space="0" w:color="auto"/>
            </w:tcBorders>
            <w:shd w:val="clear" w:color="auto" w:fill="auto"/>
            <w:vAlign w:val="center"/>
          </w:tcPr>
          <w:p w:rsidR="00E97EDA" w:rsidRPr="00670750" w:rsidP="00EE09D3">
            <w:pPr>
              <w:keepNext/>
              <w:keepLines/>
              <w:spacing w:before="40" w:after="20" w:line="200" w:lineRule="exact"/>
              <w:ind w:left="170"/>
              <w:rPr>
                <w:rFonts w:ascii="FrankRuehl" w:hAnsi="FrankRuehl" w:cs="FrankRuehl"/>
                <w:szCs w:val="20"/>
                <w:rtl/>
                <w:lang w:eastAsia="he-IL"/>
              </w:rPr>
            </w:pPr>
            <w:r w:rsidRPr="00670750">
              <w:rPr>
                <w:rFonts w:ascii="FrankRuehl" w:hAnsi="FrankRuehl" w:cs="FrankRuehl" w:hint="cs"/>
                <w:szCs w:val="20"/>
                <w:rtl/>
                <w:lang w:eastAsia="he-IL"/>
              </w:rPr>
              <w:t>1,075</w:t>
            </w:r>
          </w:p>
        </w:tc>
      </w:tr>
      <w:tr w:rsidTr="00EE09D3">
        <w:tblPrEx>
          <w:tblW w:w="6691" w:type="dxa"/>
          <w:jc w:val="center"/>
          <w:tblLook w:val="01E0"/>
        </w:tblPrEx>
        <w:trPr>
          <w:jc w:val="center"/>
        </w:trPr>
        <w:tc>
          <w:tcPr>
            <w:tcW w:w="907" w:type="dxa"/>
            <w:tcBorders>
              <w:top w:val="single" w:sz="12" w:space="0" w:color="auto"/>
              <w:bottom w:val="single" w:sz="12" w:space="0" w:color="auto"/>
            </w:tcBorders>
            <w:shd w:val="pct10" w:color="auto" w:fill="auto"/>
            <w:vAlign w:val="center"/>
          </w:tcPr>
          <w:p w:rsidR="00E97EDA" w:rsidRPr="00670750" w:rsidP="00670750">
            <w:pPr>
              <w:spacing w:before="40" w:after="20" w:line="200" w:lineRule="exact"/>
              <w:jc w:val="center"/>
              <w:rPr>
                <w:rFonts w:ascii="FrankRuehl" w:hAnsi="FrankRuehl" w:cs="FrankRuehl"/>
                <w:b/>
                <w:bCs/>
                <w:szCs w:val="20"/>
                <w:rtl/>
                <w:lang w:eastAsia="he-IL"/>
              </w:rPr>
            </w:pPr>
            <w:r w:rsidRPr="00670750">
              <w:rPr>
                <w:rFonts w:ascii="FrankRuehl" w:hAnsi="FrankRuehl" w:cs="FrankRuehl" w:hint="cs"/>
                <w:b/>
                <w:bCs/>
                <w:szCs w:val="20"/>
                <w:rtl/>
                <w:lang w:eastAsia="he-IL"/>
              </w:rPr>
              <w:t>סך הכול</w:t>
            </w:r>
          </w:p>
        </w:tc>
        <w:tc>
          <w:tcPr>
            <w:tcW w:w="0" w:type="auto"/>
            <w:tcBorders>
              <w:top w:val="single" w:sz="12" w:space="0" w:color="auto"/>
              <w:bottom w:val="single" w:sz="12" w:space="0" w:color="auto"/>
            </w:tcBorders>
            <w:shd w:val="pct10" w:color="auto" w:fill="auto"/>
            <w:vAlign w:val="center"/>
          </w:tcPr>
          <w:p w:rsidR="00E97EDA" w:rsidRPr="00670750" w:rsidP="00EE09D3">
            <w:pPr>
              <w:spacing w:before="40" w:after="20" w:line="200" w:lineRule="exact"/>
              <w:ind w:left="340"/>
              <w:rPr>
                <w:rFonts w:ascii="FrankRuehl" w:hAnsi="FrankRuehl" w:cs="FrankRuehl"/>
                <w:szCs w:val="20"/>
                <w:rtl/>
                <w:lang w:eastAsia="he-IL"/>
              </w:rPr>
            </w:pPr>
            <w:r w:rsidRPr="00670750">
              <w:rPr>
                <w:rFonts w:ascii="FrankRuehl" w:hAnsi="FrankRuehl" w:cs="FrankRuehl" w:hint="cs"/>
                <w:szCs w:val="20"/>
                <w:rtl/>
                <w:lang w:eastAsia="he-IL"/>
              </w:rPr>
              <w:t>7,196</w:t>
            </w:r>
          </w:p>
        </w:tc>
        <w:tc>
          <w:tcPr>
            <w:tcW w:w="0" w:type="auto"/>
            <w:tcBorders>
              <w:top w:val="single" w:sz="12" w:space="0" w:color="auto"/>
              <w:bottom w:val="single" w:sz="12" w:space="0" w:color="auto"/>
            </w:tcBorders>
            <w:shd w:val="pct10" w:color="auto" w:fill="auto"/>
            <w:vAlign w:val="center"/>
          </w:tcPr>
          <w:p w:rsidR="00E97EDA" w:rsidRPr="00670750" w:rsidP="00EE09D3">
            <w:pPr>
              <w:spacing w:before="40" w:after="20" w:line="200" w:lineRule="exact"/>
              <w:ind w:left="454"/>
              <w:rPr>
                <w:rFonts w:ascii="FrankRuehl" w:hAnsi="FrankRuehl" w:cs="FrankRuehl"/>
                <w:szCs w:val="20"/>
                <w:rtl/>
                <w:lang w:eastAsia="he-IL"/>
              </w:rPr>
            </w:pPr>
            <w:r w:rsidRPr="00670750">
              <w:rPr>
                <w:rFonts w:ascii="FrankRuehl" w:hAnsi="FrankRuehl" w:cs="FrankRuehl" w:hint="cs"/>
                <w:szCs w:val="20"/>
                <w:rtl/>
                <w:lang w:eastAsia="he-IL"/>
              </w:rPr>
              <w:t>22,770</w:t>
            </w:r>
          </w:p>
        </w:tc>
        <w:tc>
          <w:tcPr>
            <w:tcW w:w="0" w:type="auto"/>
            <w:tcBorders>
              <w:top w:val="single" w:sz="12" w:space="0" w:color="auto"/>
              <w:bottom w:val="single" w:sz="12" w:space="0" w:color="auto"/>
            </w:tcBorders>
            <w:shd w:val="pct10" w:color="auto" w:fill="auto"/>
            <w:vAlign w:val="center"/>
          </w:tcPr>
          <w:p w:rsidR="00E97EDA" w:rsidRPr="00670750" w:rsidP="00670750">
            <w:pPr>
              <w:spacing w:before="40" w:after="20" w:line="200" w:lineRule="exact"/>
              <w:ind w:left="624"/>
              <w:rPr>
                <w:rFonts w:ascii="FrankRuehl" w:hAnsi="FrankRuehl" w:cs="FrankRuehl"/>
                <w:szCs w:val="20"/>
                <w:rtl/>
                <w:lang w:eastAsia="he-IL"/>
              </w:rPr>
            </w:pPr>
            <w:r w:rsidRPr="00670750">
              <w:rPr>
                <w:rFonts w:ascii="FrankRuehl" w:hAnsi="FrankRuehl" w:cs="FrankRuehl" w:hint="cs"/>
                <w:szCs w:val="20"/>
                <w:rtl/>
                <w:lang w:eastAsia="he-IL"/>
              </w:rPr>
              <w:t>989</w:t>
            </w:r>
          </w:p>
        </w:tc>
        <w:tc>
          <w:tcPr>
            <w:tcW w:w="907" w:type="dxa"/>
            <w:tcBorders>
              <w:top w:val="single" w:sz="12" w:space="0" w:color="auto"/>
              <w:bottom w:val="single" w:sz="12" w:space="0" w:color="auto"/>
            </w:tcBorders>
            <w:shd w:val="pct10" w:color="auto" w:fill="auto"/>
            <w:vAlign w:val="center"/>
          </w:tcPr>
          <w:p w:rsidR="00E97EDA" w:rsidRPr="00670750" w:rsidP="00EE09D3">
            <w:pPr>
              <w:spacing w:before="40" w:after="20" w:line="200" w:lineRule="exact"/>
              <w:ind w:left="170"/>
              <w:rPr>
                <w:rFonts w:ascii="FrankRuehl" w:hAnsi="FrankRuehl" w:cs="FrankRuehl"/>
                <w:szCs w:val="20"/>
                <w:rtl/>
                <w:lang w:eastAsia="he-IL"/>
              </w:rPr>
            </w:pPr>
            <w:r w:rsidRPr="00670750">
              <w:rPr>
                <w:rFonts w:ascii="FrankRuehl" w:hAnsi="FrankRuehl" w:cs="FrankRuehl" w:hint="cs"/>
                <w:szCs w:val="20"/>
                <w:rtl/>
                <w:lang w:eastAsia="he-IL"/>
              </w:rPr>
              <w:t>30,955</w:t>
            </w:r>
          </w:p>
        </w:tc>
      </w:tr>
    </w:tbl>
    <w:p w:rsidR="00E97EDA" w:rsidRPr="00670750" w:rsidP="00670750">
      <w:pPr>
        <w:spacing w:before="120" w:line="200" w:lineRule="exact"/>
        <w:ind w:left="397" w:hanging="397"/>
        <w:jc w:val="both"/>
        <w:rPr>
          <w:rFonts w:cs="FrankRuehl"/>
          <w:sz w:val="20"/>
          <w:szCs w:val="20"/>
          <w:rtl/>
        </w:rPr>
      </w:pPr>
      <w:r w:rsidRPr="00670750">
        <w:rPr>
          <w:rFonts w:cs="FrankRuehl" w:hint="cs"/>
          <w:sz w:val="20"/>
          <w:szCs w:val="20"/>
          <w:rtl/>
        </w:rPr>
        <w:t>*</w:t>
      </w:r>
      <w:r w:rsidRPr="00670750">
        <w:rPr>
          <w:rFonts w:cs="FrankRuehl" w:hint="cs"/>
          <w:sz w:val="20"/>
          <w:szCs w:val="20"/>
          <w:rtl/>
        </w:rPr>
        <w:tab/>
        <w:t>בפועל, חלק מהתכניות כללו מספר קטן יותר של יח"ד לעומת תכניות תקפות ולמעשה צמצמו את המלאי התכנוני.</w:t>
      </w:r>
    </w:p>
    <w:p w:rsidR="00E97EDA" w:rsidRPr="00670750" w:rsidP="00670750">
      <w:pPr>
        <w:spacing w:after="120" w:line="200" w:lineRule="exact"/>
        <w:ind w:left="397" w:hanging="397"/>
        <w:jc w:val="both"/>
        <w:rPr>
          <w:rFonts w:cs="FrankRuehl"/>
          <w:sz w:val="20"/>
          <w:szCs w:val="20"/>
          <w:rtl/>
        </w:rPr>
      </w:pPr>
      <w:r w:rsidRPr="00670750">
        <w:rPr>
          <w:rFonts w:cs="FrankRuehl" w:hint="cs"/>
          <w:sz w:val="20"/>
          <w:szCs w:val="20"/>
          <w:rtl/>
        </w:rPr>
        <w:t>**</w:t>
      </w:r>
      <w:r w:rsidRPr="00670750">
        <w:rPr>
          <w:rFonts w:cs="FrankRuehl" w:hint="cs"/>
          <w:sz w:val="20"/>
          <w:szCs w:val="20"/>
          <w:rtl/>
        </w:rPr>
        <w:tab/>
        <w:t>תכניות אלו נדחו במסלול הווד"לים. כמה מהן הועברו לקידום במסלול הרגיל.</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מהנתונים עולה כי הכמות הגדולה ביותר של יח"ד שאושרו במסלול הווד"לים היא במחוזות הדרום וחיפה. עוד עולה כי במחוזות המרכז ותל אביב, שבהם נרשמו שחיקה של אלפי יח"ד במלאי התכנוני וגידול ניכר בביקושים (לפי הגידול במשקי הבית), אושרו רק כ-3,300 יח"ד, כ-14.5% מסך יחידות הדיור שאושרו בווד"לים בכל המחוזות.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גם רובן המכריע של יח"ד המצויות בתהליך אישור נמצאות במחוז הדרום (כ-70%) ומיעוטן במחוזות המרכז ותל אביב. יוצא אפוא שכמות קטנה יחסית של יח"ד נמצאת בתהליך - כ-12% מהיעד השנתי לאישור יח"ד שקבעה הממשלה (לכל מוסדות התכנון). </w:t>
      </w:r>
    </w:p>
    <w:p w:rsidR="00E97EDA" w:rsidRPr="00F41E78" w:rsidP="00670750">
      <w:pPr>
        <w:spacing w:after="240" w:line="230" w:lineRule="exact"/>
        <w:ind w:left="12"/>
        <w:jc w:val="both"/>
        <w:rPr>
          <w:rFonts w:cs="FrankRuehl"/>
          <w:sz w:val="18"/>
          <w:szCs w:val="22"/>
          <w:rtl/>
          <w:lang w:eastAsia="he-IL"/>
        </w:rPr>
      </w:pPr>
      <w:r w:rsidRPr="00F41E78">
        <w:rPr>
          <w:rFonts w:cs="FrankRuehl" w:hint="cs"/>
          <w:sz w:val="18"/>
          <w:szCs w:val="22"/>
          <w:rtl/>
          <w:lang w:eastAsia="he-IL"/>
        </w:rPr>
        <w:t xml:space="preserve">משרד הפנים מסר בתשובתו מדצמבר 2013 כי בשנת 2013 אישרו הווד"לים 12 תכניות שכללו </w:t>
      </w:r>
      <w:r w:rsidR="00670750">
        <w:rPr>
          <w:rFonts w:cs="FrankRuehl"/>
          <w:sz w:val="18"/>
          <w:szCs w:val="22"/>
          <w:lang w:eastAsia="he-IL"/>
        </w:rPr>
        <w:br/>
      </w:r>
      <w:r w:rsidRPr="00F41E78">
        <w:rPr>
          <w:rFonts w:cs="FrankRuehl" w:hint="cs"/>
          <w:sz w:val="18"/>
          <w:szCs w:val="22"/>
          <w:rtl/>
          <w:lang w:eastAsia="he-IL"/>
        </w:rPr>
        <w:t>כ-14,500 יח"ד (מתוך כ-80,000 שאושרו בסך הכול) ועוד כ-32,000 יח"ד</w:t>
      </w:r>
      <w:r w:rsidRPr="00F41E78">
        <w:rPr>
          <w:rFonts w:cs="FrankRuehl" w:hint="cs"/>
          <w:sz w:val="18"/>
          <w:szCs w:val="22"/>
          <w:rtl/>
          <w:lang w:eastAsia="he-IL"/>
        </w:rPr>
        <w:t xml:space="preserve"> </w:t>
      </w:r>
      <w:r w:rsidRPr="00F41E78">
        <w:rPr>
          <w:rFonts w:cs="FrankRuehl" w:hint="cs"/>
          <w:sz w:val="18"/>
          <w:szCs w:val="22"/>
          <w:rtl/>
          <w:lang w:eastAsia="he-IL"/>
        </w:rPr>
        <w:t xml:space="preserve">מצויות בתהליכי אישור. </w:t>
      </w:r>
    </w:p>
    <w:p w:rsidR="00D22B16" w:rsidRPr="00F41E78" w:rsidP="00D22B16">
      <w:pPr>
        <w:pStyle w:val="RESHET"/>
        <w:keepLines/>
        <w:rPr>
          <w:rtl/>
        </w:rPr>
      </w:pPr>
      <w:r w:rsidRPr="00F41E78">
        <w:rPr>
          <w:rFonts w:hint="cs"/>
          <w:rtl/>
        </w:rPr>
        <w:t xml:space="preserve">ממצאים אלו מלמדים על כך שמסלול הווד"לים סייע לקידומן של חלק קטן (כחמישית) מיחידות הדיור, והתכניות המקודמות במרכז הארץ שבו אזורי ביקוש גדולים אינן מתאימות לקידום במסלול זה. </w:t>
      </w:r>
    </w:p>
    <w:p w:rsidR="00D22B16" w:rsidRPr="00F41E78" w:rsidP="00D22B16">
      <w:pPr>
        <w:pStyle w:val="RESHET"/>
        <w:keepLines/>
        <w:rPr>
          <w:rtl/>
        </w:rPr>
      </w:pPr>
      <w:r w:rsidRPr="00F41E78">
        <w:rPr>
          <w:rFonts w:hint="cs"/>
          <w:rtl/>
        </w:rPr>
        <w:t xml:space="preserve">המספר הקטן יחסית של יח"ד המצויות בתהליכי אישור בווד"לים מעיד על כך שתרומתו לאישור יח"ד תצטמצם בעתיד. על משרד הפנים לבדוק את האפקטיביות של מסלול הווד"לים, לשקול אם המשאבים המוקצים לו מוצדקים ואם אין מקום לייעול כולל של מערכת התכנון. </w:t>
      </w:r>
    </w:p>
    <w:p w:rsidR="00E97EDA" w:rsidRPr="00F41E78" w:rsidP="00A7557B">
      <w:pPr>
        <w:spacing w:after="120" w:line="230" w:lineRule="exact"/>
        <w:ind w:left="12"/>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 xml:space="preserve">זמינות המלאי התכנוני שאושר בווד"לים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בחוק הווד"לים נקבעו כללים הנוגעים למועד ביצועה של תכנית שאושרה במסלול הווד"לים, ולפיהם יחל הביצוע בתוך שנתיים וחצי מיום אישורה. בדברי ההסבר לחוק הווד"לים צוין כי לנוכח ההליכים המיוחדים הקבועים בו, וכדי לוודא את השגתם של יעדי הממשלה שעניינם הגדלת היצע הדירות למגורים, יש לדאוג שהתכניות האלו ימומשו והבנייה תחל מיד עם אישורן. </w:t>
      </w:r>
    </w:p>
    <w:p w:rsidR="00E97EDA" w:rsidRPr="00F41E78" w:rsidP="008C4A30">
      <w:pPr>
        <w:spacing w:after="240" w:line="230" w:lineRule="exact"/>
        <w:jc w:val="both"/>
        <w:rPr>
          <w:rFonts w:cs="FrankRuehl"/>
          <w:sz w:val="18"/>
          <w:szCs w:val="22"/>
          <w:rtl/>
          <w:lang w:eastAsia="he-IL"/>
        </w:rPr>
      </w:pPr>
      <w:r w:rsidRPr="00F41E78">
        <w:rPr>
          <w:rFonts w:cs="FrankRuehl" w:hint="cs"/>
          <w:sz w:val="18"/>
          <w:szCs w:val="22"/>
          <w:rtl/>
          <w:lang w:eastAsia="he-IL"/>
        </w:rPr>
        <w:t>לא חלף עדיין די זמן ממועד אישורן של התכניות שהוגשו לווד"לים ועד מועד ביצוע הביקורת, לכן לא היה אפשר לבחון אם הן אכן מומשו בלוחות הזמנים שנקבעו. עם זאת, משרד מבקר המדינה בחן את התנאים למתן היתר בנייה שנקבעו בהוראות של שמונה מהתכניות הגדולות שאושרו בווד"לים (הכוללות בסך הכול כ-8,400 יח"ד). נמצא כי הוראותיהן של ארבע מהן</w:t>
      </w:r>
      <w:r>
        <w:rPr>
          <w:rFonts w:cs="FrankRuehl"/>
          <w:sz w:val="18"/>
          <w:szCs w:val="22"/>
          <w:vertAlign w:val="superscript"/>
          <w:rtl/>
          <w:lang w:eastAsia="he-IL"/>
        </w:rPr>
        <w:footnoteReference w:id="201"/>
      </w:r>
      <w:r w:rsidRPr="00F41E78">
        <w:rPr>
          <w:rFonts w:cs="FrankRuehl" w:hint="cs"/>
          <w:sz w:val="18"/>
          <w:szCs w:val="22"/>
          <w:rtl/>
          <w:lang w:eastAsia="he-IL"/>
        </w:rPr>
        <w:t xml:space="preserve"> (הכוללות </w:t>
      </w:r>
      <w:r w:rsidR="008C4A30">
        <w:rPr>
          <w:rFonts w:cs="FrankRuehl"/>
          <w:sz w:val="18"/>
          <w:szCs w:val="22"/>
          <w:rtl/>
          <w:lang w:eastAsia="he-IL"/>
        </w:rPr>
        <w:br/>
      </w:r>
      <w:r w:rsidRPr="00F41E78">
        <w:rPr>
          <w:rFonts w:cs="FrankRuehl" w:hint="cs"/>
          <w:sz w:val="18"/>
          <w:szCs w:val="22"/>
          <w:rtl/>
          <w:lang w:eastAsia="he-IL"/>
        </w:rPr>
        <w:t xml:space="preserve">כ-4,600 יח"ד) כוללות תנאים להוצאת היתרי בנייה, כמו הקמת תשתיות מים וביוב, סלילת כבישים והריסת בניינים. תנאים אלו מעוררים ספק בדבר זמינותן לבנייה בטווח זמן של כשנתיים וחצי. </w:t>
      </w:r>
    </w:p>
    <w:p w:rsidR="00D22B16" w:rsidRPr="00F41E78" w:rsidP="00D22B16">
      <w:pPr>
        <w:pStyle w:val="RESHET"/>
        <w:keepLines/>
        <w:rPr>
          <w:rtl/>
        </w:rPr>
      </w:pPr>
      <w:r w:rsidRPr="00F41E78">
        <w:rPr>
          <w:rFonts w:hint="cs"/>
          <w:rtl/>
        </w:rPr>
        <w:t xml:space="preserve">יוצא אפוא שחרף קיצור הליכי התכנון, חלק ניכר מהמלאי התכנוני שנוצר במסלול הווד"לים לא ישפיע ככל הנראה על היצע הדירות בטווח של שנה-שנתיים וגם לא יגדיל את היצע הדירות על פי יעדי הממשלה. </w:t>
      </w:r>
    </w:p>
    <w:p w:rsidR="00E97EDA" w:rsidRPr="00F41E78" w:rsidP="00A7557B">
      <w:pPr>
        <w:spacing w:after="120" w:line="230" w:lineRule="exact"/>
        <w:ind w:left="12"/>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משך הליכי התכנון בווד"לים</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במסלול הווד"לים אושרו כאמור 21 תכניות שכללו כ-21,000 יח"ד. בביקורת נמצא כי רוב התכניות הוגשו למוסדות התכנון לפני הקמת הווד"לים ועד העברתן לווד"לים הן קודמו במסלול הרגיל; כחצי מהתכניות שאושרו בווד"לים התקבלו לפני 2011 (שנת הקמת הווד"לים) וכרבע מהן התקבלו לפני 2009.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משרד מבקר המדינה בדק את משך הזמן הממוצע הנדרש לאישור תכניות במסלול הווד"לים, לרבות תכניות שקידומן החל לפני הקמת הווד"לים. </w:t>
      </w:r>
    </w:p>
    <w:p w:rsidR="00E97EDA" w:rsidRPr="00F41E78" w:rsidP="00670750">
      <w:pPr>
        <w:spacing w:after="240" w:line="230" w:lineRule="exact"/>
        <w:ind w:left="12"/>
        <w:jc w:val="both"/>
        <w:rPr>
          <w:rFonts w:cs="FrankRuehl"/>
          <w:sz w:val="18"/>
          <w:szCs w:val="22"/>
          <w:rtl/>
          <w:lang w:eastAsia="he-IL"/>
        </w:rPr>
      </w:pPr>
      <w:r w:rsidRPr="00F41E78">
        <w:rPr>
          <w:rFonts w:cs="FrankRuehl" w:hint="cs"/>
          <w:sz w:val="18"/>
          <w:szCs w:val="22"/>
          <w:rtl/>
          <w:lang w:eastAsia="he-IL"/>
        </w:rPr>
        <w:t xml:space="preserve">נמצא כי תכניות במסלול הווד"לים אושרו בפרק זמן של 3.1 שנים לעומת כ-5.5 שנים לתכניות במסלול הרגיל. במחוזות שקודמו תכניות שהוגשו ישירות לווד"לים, היה פרק הזמן הממוצע של תהליך האישור קצר יותר; במחוזות הדרום ותל אביב כשנה וחצי ובמחוז הצפון כשנתיים וחצי. לעומת זאת, שתי התכניות שקודמו במחוז המרכז נקלטו במוסדות התכנון כמה שנים קודם לכן והעברתן למסלול הווד"לים כמעט שלא תרמה לקיצור משך הזמן שנדרש לאישורן. </w:t>
      </w:r>
    </w:p>
    <w:p w:rsidR="00D22B16" w:rsidRPr="00F41E78" w:rsidP="00D22B16">
      <w:pPr>
        <w:pStyle w:val="RESHET"/>
        <w:keepLines/>
        <w:rPr>
          <w:rtl/>
        </w:rPr>
      </w:pPr>
      <w:r w:rsidRPr="00F41E78">
        <w:rPr>
          <w:rFonts w:hint="cs"/>
          <w:rtl/>
        </w:rPr>
        <w:t xml:space="preserve">קיצור פרק הזמן של אישור התכניות במסלול הווד"לים נובע מכמה סיבות: </w:t>
      </w:r>
      <w:r w:rsidR="00953D2F">
        <w:rPr>
          <w:rFonts w:hint="cs"/>
          <w:rtl/>
        </w:rPr>
        <w:t xml:space="preserve">  </w:t>
      </w:r>
      <w:r w:rsidRPr="00F41E78">
        <w:rPr>
          <w:rFonts w:hint="cs"/>
          <w:rtl/>
        </w:rPr>
        <w:t>1.</w:t>
      </w:r>
      <w:r w:rsidR="00953D2F">
        <w:rPr>
          <w:rFonts w:hint="cs"/>
          <w:rtl/>
        </w:rPr>
        <w:t xml:space="preserve"> </w:t>
      </w:r>
      <w:r w:rsidRPr="00F41E78">
        <w:rPr>
          <w:rFonts w:hint="cs"/>
          <w:rtl/>
        </w:rPr>
        <w:t xml:space="preserve"> במסלול הווד"לים נקלטות מלכתחילה אך ורק תכניות שקידומן אמור להיות מהיר; ואכן נמצאו בביקורת דוגמאות לתכניות שהחלו במסלול זה ונפלטו ממנו לאחר שמוסדות התכנון נוכחו לדעת שחלים עיכובים בקידומן. </w:t>
      </w:r>
      <w:r w:rsidR="00953D2F">
        <w:rPr>
          <w:rFonts w:hint="cs"/>
          <w:rtl/>
        </w:rPr>
        <w:t xml:space="preserve">  </w:t>
      </w:r>
      <w:r w:rsidRPr="00F41E78">
        <w:rPr>
          <w:rFonts w:hint="cs"/>
          <w:rtl/>
        </w:rPr>
        <w:t xml:space="preserve">2. </w:t>
      </w:r>
      <w:r w:rsidR="00953D2F">
        <w:rPr>
          <w:rFonts w:hint="cs"/>
          <w:rtl/>
        </w:rPr>
        <w:t xml:space="preserve"> </w:t>
      </w:r>
      <w:r w:rsidRPr="00F41E78">
        <w:rPr>
          <w:rFonts w:hint="cs"/>
          <w:rtl/>
        </w:rPr>
        <w:t xml:space="preserve">כל וד"ל מטפלת במספר קטן מאוד של תכניות (כ-3% מכלל התכניות שבטיפול) </w:t>
      </w:r>
      <w:r w:rsidRPr="00F41E78">
        <w:rPr>
          <w:rFonts w:hint="eastAsia"/>
          <w:rtl/>
        </w:rPr>
        <w:t>ולרשותה</w:t>
      </w:r>
      <w:r w:rsidRPr="00F41E78">
        <w:rPr>
          <w:rFonts w:hint="cs"/>
          <w:rtl/>
        </w:rPr>
        <w:t xml:space="preserve"> עומד צוות ייעודי של יועצים לטיפול בתכניות. </w:t>
      </w:r>
      <w:r w:rsidR="00953D2F">
        <w:rPr>
          <w:rtl/>
        </w:rPr>
        <w:br/>
      </w:r>
      <w:r w:rsidRPr="00F41E78">
        <w:rPr>
          <w:rFonts w:hint="cs"/>
          <w:rtl/>
        </w:rPr>
        <w:t xml:space="preserve">3. </w:t>
      </w:r>
      <w:r w:rsidR="00953D2F">
        <w:rPr>
          <w:rFonts w:hint="cs"/>
          <w:rtl/>
        </w:rPr>
        <w:t xml:space="preserve"> </w:t>
      </w:r>
      <w:r w:rsidRPr="00F41E78">
        <w:rPr>
          <w:rFonts w:hint="cs"/>
          <w:rtl/>
        </w:rPr>
        <w:t xml:space="preserve">קידומן של התכניות נעשה בדרך כלל לאחר תיאום מוקדם עם מוסדות התכנון ולאחר תיאום עם הגורמים הרלוונטיים. </w:t>
      </w:r>
    </w:p>
    <w:p w:rsidR="00E97EDA" w:rsidRPr="00F41E78" w:rsidP="00A7557B">
      <w:pPr>
        <w:spacing w:after="120" w:line="230" w:lineRule="exact"/>
        <w:ind w:left="12"/>
        <w:jc w:val="both"/>
        <w:rPr>
          <w:rFonts w:cs="FrankRuehl"/>
          <w:b/>
          <w:bCs/>
          <w:sz w:val="18"/>
          <w:szCs w:val="22"/>
          <w:rtl/>
          <w:lang w:eastAsia="he-IL"/>
        </w:rPr>
      </w:pPr>
    </w:p>
    <w:p w:rsidR="00E97EDA" w:rsidRPr="00CB33CD" w:rsidP="00A7557B">
      <w:pPr>
        <w:pStyle w:val="KOT6"/>
        <w:rPr>
          <w:rtl/>
          <w:lang w:eastAsia="he-IL"/>
        </w:rPr>
      </w:pPr>
      <w:r w:rsidRPr="00CB33CD">
        <w:rPr>
          <w:rFonts w:hint="cs"/>
          <w:rtl/>
          <w:lang w:eastAsia="he-IL"/>
        </w:rPr>
        <w:t>תרומת מסלול הווד"לים לייעול הליכי התכנון</w:t>
      </w:r>
    </w:p>
    <w:p w:rsidR="00E97EDA" w:rsidRPr="00F41E78" w:rsidP="008C4A30">
      <w:pPr>
        <w:spacing w:after="240" w:line="230" w:lineRule="exact"/>
        <w:ind w:left="12"/>
        <w:jc w:val="both"/>
        <w:rPr>
          <w:rFonts w:cs="FrankRuehl"/>
          <w:sz w:val="18"/>
          <w:szCs w:val="22"/>
          <w:rtl/>
          <w:lang w:eastAsia="he-IL"/>
        </w:rPr>
      </w:pPr>
      <w:r w:rsidRPr="00F41E78">
        <w:rPr>
          <w:rFonts w:cs="FrankRuehl" w:hint="cs"/>
          <w:sz w:val="18"/>
          <w:szCs w:val="22"/>
          <w:rtl/>
          <w:lang w:eastAsia="he-IL"/>
        </w:rPr>
        <w:t xml:space="preserve">חוק הווד"לים יצר אפוא מסגרת לקידום מהיר של תכניות מפורטות המתאימות מלכתחילה לקידום מהיר וליצירת ודאות בנוגע להליך התכנון. חוק הווד"לים העניק למוסדות התכנון </w:t>
      </w:r>
      <w:r w:rsidRPr="00F41E78">
        <w:rPr>
          <w:rFonts w:cs="FrankRuehl"/>
          <w:sz w:val="18"/>
          <w:szCs w:val="22"/>
          <w:rtl/>
          <w:lang w:eastAsia="he-IL"/>
        </w:rPr>
        <w:t>אמצעים</w:t>
      </w:r>
      <w:r w:rsidRPr="00F41E78">
        <w:rPr>
          <w:rFonts w:cs="FrankRuehl" w:hint="cs"/>
          <w:sz w:val="18"/>
          <w:szCs w:val="22"/>
          <w:rtl/>
          <w:lang w:eastAsia="he-IL"/>
        </w:rPr>
        <w:t xml:space="preserve"> המאפשרים להם למקד את הטיפול בתכניות ולתת עדיפות לקידומן. לפי החוק, תכניות המטופלות במסלול הווד"לים אינן יכולות להישאר במישור התכנוני בלי שתתקבל בעניינן הכרעה; לכן, </w:t>
      </w:r>
      <w:r w:rsidRPr="00F41E78">
        <w:rPr>
          <w:rFonts w:cs="FrankRuehl" w:hint="cs"/>
          <w:sz w:val="18"/>
          <w:szCs w:val="22"/>
          <w:rtl/>
          <w:lang w:eastAsia="he-IL"/>
        </w:rPr>
        <w:t xml:space="preserve">מלכתחילה מוגשות לווד"לים תכניות מועטות ואך ורק כאלו שמעריכים שניתן יהיה לקדמן במסלול המהיר. </w:t>
      </w:r>
    </w:p>
    <w:p w:rsidR="00D22B16" w:rsidRPr="00F41E78" w:rsidP="00D22B16">
      <w:pPr>
        <w:pStyle w:val="RESHET"/>
        <w:keepLines/>
        <w:rPr>
          <w:rtl/>
        </w:rPr>
      </w:pPr>
      <w:r w:rsidRPr="00F41E78">
        <w:rPr>
          <w:rFonts w:hint="cs"/>
          <w:rtl/>
        </w:rPr>
        <w:t xml:space="preserve">הסינון המוקדם והמספר הקטן של תכניות מפורטות שקודמו במסלול הווד"לים מעידים על כך שהמסלול המהיר אינו מתאים לרוב התכניות המפורטות למגורים המוגשות. </w:t>
      </w:r>
    </w:p>
    <w:p w:rsidR="00D22B16" w:rsidRPr="00F41E78" w:rsidP="00D22B16">
      <w:pPr>
        <w:pStyle w:val="RESHET"/>
        <w:keepLines/>
        <w:rPr>
          <w:rtl/>
        </w:rPr>
      </w:pPr>
      <w:r w:rsidRPr="00F41E78">
        <w:rPr>
          <w:rFonts w:hint="cs"/>
          <w:rtl/>
        </w:rPr>
        <w:t xml:space="preserve">הקמת הווד"לים סייעה לצמצם במידת מה את העומס בלשכות התכנון ואפשרה להן וליוזמי התכניות למקד את מאמציהם ולאשר יח"ד בזמן קצר. עם זאת, בשל הסלקטיביות של המסלול המהיר, לא נתנו הווד"לים מענה מלא לצורך להגדיל באופן ניכר את היצע הקרקעות הזמינות לבנייה למגורים, בייחוד במרכז הארץ שבו אזורי ביקוש רבים, כדי להתמודד עם עליית מחירי הדיור. </w:t>
      </w:r>
    </w:p>
    <w:p w:rsidR="00E97EDA" w:rsidRPr="00F41E78" w:rsidP="00670750">
      <w:pPr>
        <w:spacing w:before="180" w:after="120" w:line="230" w:lineRule="exact"/>
        <w:jc w:val="both"/>
        <w:rPr>
          <w:rFonts w:cs="FrankRuehl"/>
          <w:sz w:val="18"/>
          <w:szCs w:val="22"/>
          <w:rtl/>
          <w:lang w:eastAsia="he-IL"/>
        </w:rPr>
      </w:pPr>
      <w:r w:rsidRPr="00F41E78">
        <w:rPr>
          <w:rFonts w:cs="FrankRuehl" w:hint="cs"/>
          <w:sz w:val="18"/>
          <w:szCs w:val="22"/>
          <w:rtl/>
          <w:lang w:eastAsia="he-IL"/>
        </w:rPr>
        <w:t>כדי להגדיל את מספר התכניות שניתן לקדם במסלול הווד"לים גיבש משרד הפנים המלצות לשינוי חוק הווד"לים (במסגרת הדוחות שפרסם מדי רבעון על תפקוד הווד"לים). המשרד ביקש לכלול בתכניות גם ייעוד של קרקע לתעסוקה, לא רק למגורים, ולשנות את התבחינים לקידום תכניות באופן שיאפשר לקדם תכניות גם על קרקע שבבעלות רשויות מקומיות. הוא המליץ לשפר את התיאום בין משרדי הממשלה העוסקים בתחום הדיור ולזרז את הסרת החסמים בתחום התשתיות המעכבים את הליכי תכנון.</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בספטמבר 2013 הפיץ כאמור שר הפנים הצעת חוק לתיקון חוק הווד"לים על פי המלצות האמורות, ובדצמבר 2013 אישרה מליאת הכנסת את התיקון לחוק.</w:t>
      </w:r>
    </w:p>
    <w:p w:rsidR="009110D1"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tl/>
          <w:lang w:eastAsia="he-IL"/>
        </w:rPr>
        <w:t>תהליכי האישור של תכניות בצפון קריית גת</w:t>
      </w:r>
      <w:r w:rsidRPr="00CB33CD">
        <w:rPr>
          <w:rFonts w:hint="cs"/>
          <w:rtl/>
          <w:lang w:eastAsia="he-IL"/>
        </w:rPr>
        <w:t xml:space="preserve"> שהוגשו ל</w:t>
      </w:r>
      <w:r w:rsidRPr="00CB33CD">
        <w:rPr>
          <w:rtl/>
          <w:lang w:eastAsia="he-IL"/>
        </w:rPr>
        <w:t>ווד"לים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במסגרת התכניות שאישרה הווד"ל במחוז הדרום אושרו שלוש תכניות מפורטות לשלושה מתחמים בחלקה הצפוני של קריית גת (להלן - שלוש התכניות המפורטות). משרד מבקר המדינה בחן את תהליכי האישור של תכנית מתחם 7 הכוללת הוספת 936 יח"ד</w:t>
      </w:r>
      <w:r>
        <w:rPr>
          <w:rFonts w:cs="FrankRuehl"/>
          <w:sz w:val="18"/>
          <w:szCs w:val="22"/>
          <w:vertAlign w:val="superscript"/>
          <w:rtl/>
          <w:lang w:eastAsia="he-IL"/>
        </w:rPr>
        <w:footnoteReference w:id="202"/>
      </w:r>
      <w:r w:rsidRPr="00F41E78">
        <w:rPr>
          <w:rFonts w:cs="FrankRuehl" w:hint="cs"/>
          <w:sz w:val="18"/>
          <w:szCs w:val="22"/>
          <w:rtl/>
          <w:lang w:eastAsia="he-IL"/>
        </w:rPr>
        <w:t xml:space="preserve"> ושל תכנית מתחם 2 הכוללת הוספת 1,300 יח"ד</w:t>
      </w:r>
      <w:r>
        <w:rPr>
          <w:rFonts w:cs="FrankRuehl"/>
          <w:sz w:val="18"/>
          <w:szCs w:val="22"/>
          <w:vertAlign w:val="superscript"/>
          <w:rtl/>
          <w:lang w:eastAsia="he-IL"/>
        </w:rPr>
        <w:footnoteReference w:id="203"/>
      </w:r>
      <w:r w:rsidRPr="00F41E78">
        <w:rPr>
          <w:rFonts w:cs="FrankRuehl" w:hint="cs"/>
          <w:sz w:val="18"/>
          <w:szCs w:val="22"/>
          <w:rtl/>
          <w:lang w:eastAsia="he-IL"/>
        </w:rPr>
        <w:t>. רמ"י יזמה את התכניות וצוות מתכננים מטעמה גיבש אותן.</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התאמת התכניות המפורטות לתכניות המתאר המחוזיות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כדי שהתוספת הניכרת של שטחים חדשים לפיתוחה של קריית גת לא תגרום להזנחת האזור הוותיק ולהידרדרות במצבו, נקבע בתכנית המחוזית כי "לא תאושר תכנית מקומית המאפשרת תוספת פיתוח בשטח תכנית זו, אלא אם תכלול התניות בדבר חידוש הרקמה העירונית הבנויה של העיר קריית גת"</w:t>
      </w:r>
      <w:r>
        <w:rPr>
          <w:rFonts w:cs="FrankRuehl"/>
          <w:sz w:val="18"/>
          <w:szCs w:val="22"/>
          <w:vertAlign w:val="superscript"/>
          <w:rtl/>
          <w:lang w:eastAsia="he-IL"/>
        </w:rPr>
        <w:footnoteReference w:id="204"/>
      </w:r>
      <w:r w:rsidRPr="00F41E78">
        <w:rPr>
          <w:rFonts w:cs="FrankRuehl" w:hint="cs"/>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אולם תכנית המתאר לצפון קריית גת (להלן - תכנית המתאר)</w:t>
      </w:r>
      <w:r>
        <w:rPr>
          <w:rFonts w:cs="FrankRuehl"/>
          <w:sz w:val="18"/>
          <w:szCs w:val="22"/>
          <w:vertAlign w:val="superscript"/>
          <w:rtl/>
          <w:lang w:eastAsia="he-IL"/>
        </w:rPr>
        <w:footnoteReference w:id="205"/>
      </w:r>
      <w:r w:rsidRPr="00F41E78">
        <w:rPr>
          <w:rFonts w:cs="FrankRuehl" w:hint="cs"/>
          <w:sz w:val="18"/>
          <w:szCs w:val="22"/>
          <w:rtl/>
          <w:lang w:eastAsia="he-IL"/>
        </w:rPr>
        <w:t xml:space="preserve"> שממנה נגזרו התכניות המפורטות צמצמה את "חידוש הרקמה העירונית" ל"שדרוג מערכות תשתית מוגדרות" בלבד ולא עסקה בהיבטים של בינוי, פיתוח סביבתי, פיתוח כלכלי, חזות העיר וכיוצא באלו. גם נספח מנחה להתחדשות עירונית שצורף למסמכי התכנית נגע בעיקר להיבטים הכלכליים של התכנית ולמקורות </w:t>
      </w:r>
      <w:r w:rsidRPr="00F41E78">
        <w:rPr>
          <w:rFonts w:cs="FrankRuehl" w:hint="cs"/>
          <w:sz w:val="18"/>
          <w:szCs w:val="22"/>
          <w:rtl/>
          <w:lang w:eastAsia="he-IL"/>
        </w:rPr>
        <w:t>המימון לשדרוג תשתיות. הוא גם לא כלל בחינה של מכלול ההיבטים הנוגעים לחידוש הרקמה העירונית הבנויה.</w:t>
      </w:r>
    </w:p>
    <w:p w:rsidR="00E97EDA" w:rsidRPr="00F41E78" w:rsidP="00670750">
      <w:pPr>
        <w:spacing w:after="240" w:line="230" w:lineRule="exact"/>
        <w:jc w:val="both"/>
        <w:rPr>
          <w:rFonts w:cs="FrankRuehl"/>
          <w:sz w:val="18"/>
          <w:szCs w:val="22"/>
          <w:rtl/>
          <w:lang w:eastAsia="he-IL"/>
        </w:rPr>
      </w:pPr>
      <w:r w:rsidRPr="00F41E78">
        <w:rPr>
          <w:rFonts w:cs="FrankRuehl" w:hint="cs"/>
          <w:sz w:val="18"/>
          <w:szCs w:val="22"/>
          <w:rtl/>
          <w:lang w:eastAsia="he-IL"/>
        </w:rPr>
        <w:t xml:space="preserve">בפגישה שהתקיימה ביולי 2013 בין צוות הביקורת למהנדס העיר של קריית גת ציין המהנדס כי מן הראוי היה לפעול לשיקום העיר הוותיקה בד בבד עם פיתוח השכונות החדשות שאושרו בשלוש התכניות המפורטות. בתשובתה של העירייה מינואר 2014 נמסר כי לפי החוזה עם רמ"י יעמוד לרשות העירייה תקציב של יותר מ-84 מיליון ש"ח לצורך חידוש המרקם העירוני, ובמונחים המקומיים מדובר בתקציב נכבד ביותר. </w:t>
      </w:r>
    </w:p>
    <w:p w:rsidR="00D22B16" w:rsidRPr="00F41E78" w:rsidP="00D22B16">
      <w:pPr>
        <w:pStyle w:val="RESHET"/>
        <w:keepLines/>
        <w:rPr>
          <w:rtl/>
        </w:rPr>
      </w:pPr>
      <w:r w:rsidRPr="00F41E78">
        <w:rPr>
          <w:rFonts w:hint="cs"/>
          <w:rtl/>
        </w:rPr>
        <w:t>משרד מבקר המדינה העיר כי שדרוג תשתיות חשוב כשלעצמו, אך אין בו די כדי למלא אחר ההוראות המחייבות שנקבעו בשינוי לתכנית המחוזית בדבר חידוש הרקמה העירונית הבנויה של העיר. משרד מבקר המדינה העיר לוועדה המחוזית כי היה עליה לקבוע הוראות מפורטות של תכנון ההתחדשות העירונית על כל היבטיה.</w:t>
      </w:r>
    </w:p>
    <w:p w:rsidR="00E97EDA" w:rsidRPr="00F41E78" w:rsidP="00A7557B">
      <w:pPr>
        <w:spacing w:after="120" w:line="230" w:lineRule="exact"/>
        <w:jc w:val="both"/>
        <w:rPr>
          <w:rFonts w:cs="FrankRuehl"/>
          <w:b/>
          <w:bCs/>
          <w:sz w:val="18"/>
          <w:szCs w:val="22"/>
          <w:rtl/>
          <w:lang w:eastAsia="he-IL"/>
        </w:rPr>
      </w:pPr>
    </w:p>
    <w:p w:rsidR="00E97EDA" w:rsidRPr="00CB33CD" w:rsidP="00A7557B">
      <w:pPr>
        <w:pStyle w:val="KOT6"/>
        <w:rPr>
          <w:rtl/>
          <w:lang w:eastAsia="he-IL"/>
        </w:rPr>
      </w:pPr>
      <w:r w:rsidRPr="00CB33CD">
        <w:rPr>
          <w:rFonts w:hint="cs"/>
          <w:rtl/>
          <w:lang w:eastAsia="he-IL"/>
        </w:rPr>
        <w:t xml:space="preserve">היבטים של ניקוז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תכנית המתאר קבעה כי תכנית מפורטת שתיגז</w:t>
      </w:r>
      <w:r w:rsidRPr="00F41E78">
        <w:rPr>
          <w:rFonts w:cs="FrankRuehl" w:hint="eastAsia"/>
          <w:sz w:val="18"/>
          <w:szCs w:val="22"/>
          <w:rtl/>
          <w:lang w:eastAsia="he-IL"/>
        </w:rPr>
        <w:t>ר</w:t>
      </w:r>
      <w:r w:rsidRPr="00F41E78">
        <w:rPr>
          <w:rFonts w:cs="FrankRuehl" w:hint="cs"/>
          <w:sz w:val="18"/>
          <w:szCs w:val="22"/>
          <w:rtl/>
          <w:lang w:eastAsia="he-IL"/>
        </w:rPr>
        <w:t xml:space="preserve"> מכוחה תכלול נספח ניקוז. תכנית מתחם 7 ותכנית מתחם 2 הן תכניות מפורטות להרחבה ניכרת, משום שהן הוסיפו יותר מ-100 יח"ד, ועל פי הוראת תמ"א 34/ב/3 על הוועדה המחוזית לדון בהן רק לאחר קבלת חוות דעת של רשות הניקוז הרלוונטית, ובמקרה הנדון מדובר ברשות הניקוז שורק-לכיש (להלן - רשות הניקוז). בתמ"א האמורה גם נקבעו היבטים שיש לגעת בהם בתכנון עורקי ניקוז, כמו </w:t>
      </w:r>
      <w:r w:rsidRPr="00F41E78">
        <w:rPr>
          <w:rFonts w:cs="FrankRuehl"/>
          <w:sz w:val="18"/>
          <w:szCs w:val="22"/>
          <w:rtl/>
          <w:lang w:eastAsia="he-IL"/>
        </w:rPr>
        <w:t>היבטים סביבתיים של נוף ואקולוגיה</w:t>
      </w:r>
      <w:r w:rsidRPr="00F41E78">
        <w:rPr>
          <w:rFonts w:cs="FrankRuehl" w:hint="cs"/>
          <w:sz w:val="18"/>
          <w:szCs w:val="22"/>
          <w:rtl/>
          <w:lang w:eastAsia="he-IL"/>
        </w:rPr>
        <w:t xml:space="preserve"> ושילובם במערך השטחים הפתוחים.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להלן ממצאים הנוגעים לטיפולה של לשכת התכנון בקבלת חוות דעתה של רשות הניקוז. </w:t>
      </w:r>
    </w:p>
    <w:p w:rsidR="00E97EDA" w:rsidRPr="00F41E78" w:rsidP="00A7557B">
      <w:pPr>
        <w:spacing w:after="120" w:line="230" w:lineRule="exact"/>
        <w:jc w:val="both"/>
        <w:rPr>
          <w:rFonts w:cs="FrankRuehl"/>
          <w:sz w:val="18"/>
          <w:szCs w:val="22"/>
          <w:rtl/>
          <w:lang w:eastAsia="he-IL"/>
        </w:rPr>
      </w:pPr>
      <w:r w:rsidRPr="00F41E78">
        <w:rPr>
          <w:rFonts w:cs="FrankRuehl" w:hint="eastAsia"/>
          <w:bCs/>
          <w:spacing w:val="40"/>
          <w:sz w:val="18"/>
          <w:szCs w:val="22"/>
          <w:rtl/>
        </w:rPr>
        <w:t>תכנית</w:t>
      </w:r>
      <w:r w:rsidRPr="00F41E78">
        <w:rPr>
          <w:rFonts w:cs="FrankRuehl"/>
          <w:bCs/>
          <w:spacing w:val="40"/>
          <w:sz w:val="18"/>
          <w:szCs w:val="22"/>
          <w:rtl/>
        </w:rPr>
        <w:t xml:space="preserve"> </w:t>
      </w:r>
      <w:r w:rsidRPr="00F41E78">
        <w:rPr>
          <w:rFonts w:cs="FrankRuehl" w:hint="eastAsia"/>
          <w:bCs/>
          <w:spacing w:val="40"/>
          <w:sz w:val="18"/>
          <w:szCs w:val="22"/>
          <w:rtl/>
        </w:rPr>
        <w:t>מתחם</w:t>
      </w:r>
      <w:r w:rsidRPr="00F41E78">
        <w:rPr>
          <w:rFonts w:cs="FrankRuehl"/>
          <w:bCs/>
          <w:spacing w:val="40"/>
          <w:sz w:val="18"/>
          <w:szCs w:val="22"/>
          <w:rtl/>
        </w:rPr>
        <w:t xml:space="preserve"> 7:</w:t>
      </w:r>
      <w:r w:rsidRPr="00F41E78">
        <w:rPr>
          <w:rFonts w:cs="FrankRuehl"/>
          <w:sz w:val="18"/>
          <w:szCs w:val="22"/>
          <w:rtl/>
        </w:rPr>
        <w:t xml:space="preserve"> </w:t>
      </w:r>
      <w:r w:rsidRPr="00F41E78">
        <w:rPr>
          <w:rFonts w:cs="FrankRuehl" w:hint="cs"/>
          <w:sz w:val="18"/>
          <w:szCs w:val="22"/>
          <w:rtl/>
          <w:lang w:eastAsia="he-IL"/>
        </w:rPr>
        <w:t xml:space="preserve">באפריל 2012 הוחלט להפקיד את תכנית המתאר בתנאים מסוימים, ואחד מהם כלל את הדרישה לערוך תיאום עם רשות הניקוז. כבר בדצמבר 2011, לפני ההחלטה על ההפקדה, התקיימה ישיבה בלשכת התכנון, בהשתתפותם של מתכננת המחוז וצוותה, של נציגת מינהל התכנון, של נציגי עיריית קריית גת ושל צוות התכנון של התכנית, ובה עלה הצורך לקבל את חוות דעתה של רשות הניקוז. בישיבה סוכם כי נספח הניקוז יועבר לרשות הניקוז עד תחילת ינואר 2012. </w:t>
      </w:r>
    </w:p>
    <w:p w:rsidR="00E97EDA" w:rsidRPr="00F41E78" w:rsidP="00A7557B">
      <w:pPr>
        <w:spacing w:after="120" w:line="230" w:lineRule="exact"/>
        <w:jc w:val="both"/>
        <w:rPr>
          <w:rFonts w:cs="FrankRuehl"/>
          <w:sz w:val="18"/>
          <w:szCs w:val="22"/>
          <w:rtl/>
          <w:lang w:eastAsia="he-IL"/>
        </w:rPr>
      </w:pPr>
      <w:r w:rsidRPr="00F41E78">
        <w:rPr>
          <w:rFonts w:cs="FrankRuehl" w:hint="eastAsia"/>
          <w:bCs/>
          <w:spacing w:val="40"/>
          <w:sz w:val="18"/>
          <w:szCs w:val="22"/>
          <w:rtl/>
        </w:rPr>
        <w:t>תכנית</w:t>
      </w:r>
      <w:r w:rsidRPr="00F41E78">
        <w:rPr>
          <w:rFonts w:cs="FrankRuehl"/>
          <w:bCs/>
          <w:spacing w:val="40"/>
          <w:sz w:val="18"/>
          <w:szCs w:val="22"/>
          <w:rtl/>
        </w:rPr>
        <w:t xml:space="preserve"> </w:t>
      </w:r>
      <w:r w:rsidRPr="00F41E78">
        <w:rPr>
          <w:rFonts w:cs="FrankRuehl" w:hint="eastAsia"/>
          <w:bCs/>
          <w:spacing w:val="40"/>
          <w:sz w:val="18"/>
          <w:szCs w:val="22"/>
          <w:rtl/>
        </w:rPr>
        <w:t>מתחם</w:t>
      </w:r>
      <w:r w:rsidRPr="00F41E78">
        <w:rPr>
          <w:rFonts w:cs="FrankRuehl"/>
          <w:bCs/>
          <w:spacing w:val="40"/>
          <w:sz w:val="18"/>
          <w:szCs w:val="22"/>
          <w:rtl/>
        </w:rPr>
        <w:t xml:space="preserve"> 2:</w:t>
      </w:r>
      <w:r w:rsidRPr="00F41E78">
        <w:rPr>
          <w:rFonts w:cs="FrankRuehl"/>
          <w:sz w:val="18"/>
          <w:szCs w:val="22"/>
          <w:rtl/>
        </w:rPr>
        <w:t xml:space="preserve"> </w:t>
      </w:r>
      <w:r w:rsidRPr="00F41E78">
        <w:rPr>
          <w:rFonts w:cs="FrankRuehl" w:hint="cs"/>
          <w:sz w:val="18"/>
          <w:szCs w:val="22"/>
          <w:rtl/>
          <w:lang w:eastAsia="he-IL"/>
        </w:rPr>
        <w:t>ביולי 2012</w:t>
      </w:r>
      <w:r w:rsidRPr="00F41E78">
        <w:rPr>
          <w:rFonts w:cs="FrankRuehl" w:hint="cs"/>
          <w:sz w:val="18"/>
          <w:szCs w:val="22"/>
          <w:rtl/>
        </w:rPr>
        <w:t xml:space="preserve"> </w:t>
      </w:r>
      <w:r w:rsidRPr="00F41E78">
        <w:rPr>
          <w:rFonts w:cs="FrankRuehl" w:hint="cs"/>
          <w:sz w:val="18"/>
          <w:szCs w:val="22"/>
          <w:rtl/>
          <w:lang w:eastAsia="he-IL"/>
        </w:rPr>
        <w:t>החליטה</w:t>
      </w:r>
      <w:r w:rsidRPr="00F41E78">
        <w:rPr>
          <w:rFonts w:cs="FrankRuehl" w:hint="cs"/>
          <w:sz w:val="18"/>
          <w:szCs w:val="22"/>
          <w:rtl/>
        </w:rPr>
        <w:t xml:space="preserve"> </w:t>
      </w:r>
      <w:r w:rsidRPr="00F41E78">
        <w:rPr>
          <w:rFonts w:cs="FrankRuehl" w:hint="cs"/>
          <w:sz w:val="18"/>
          <w:szCs w:val="22"/>
          <w:rtl/>
          <w:lang w:eastAsia="he-IL"/>
        </w:rPr>
        <w:t>הווד"ל במחוז דרום על הפקדת התכנית. אחד התנאים להפקדתה היה תיקונה על פי הערותיה של לשכת התכנון.</w:t>
      </w:r>
    </w:p>
    <w:p w:rsidR="00E97EDA" w:rsidRPr="00F41E78" w:rsidP="00B55C19">
      <w:pPr>
        <w:spacing w:after="240" w:line="230" w:lineRule="exact"/>
        <w:jc w:val="both"/>
        <w:rPr>
          <w:rFonts w:cs="FrankRuehl"/>
          <w:sz w:val="18"/>
          <w:szCs w:val="22"/>
          <w:rtl/>
          <w:lang w:eastAsia="he-IL"/>
        </w:rPr>
      </w:pPr>
      <w:r w:rsidRPr="00F41E78">
        <w:rPr>
          <w:rFonts w:cs="FrankRuehl" w:hint="cs"/>
          <w:sz w:val="18"/>
          <w:szCs w:val="22"/>
          <w:rtl/>
          <w:lang w:eastAsia="he-IL"/>
        </w:rPr>
        <w:t xml:space="preserve">מסמכי התכנית שהוחלט להפקידם כללו פתרון ניקוז לנחל קומם העובר בתחום התכנית. נמצא כי הווד"ל החליטה על הפקדת התכנית בתנאים בלי לדון בפתרון הניקוז שהוצע, דהיינו סגירתו של הנחל במובל, ובלי לבחון פתרונות חלופיים המתחשבים בהיבטים סביבתיים של נוף ואקולוגיה, כמו שילוב </w:t>
      </w:r>
      <w:r w:rsidRPr="00F41E78">
        <w:rPr>
          <w:rFonts w:cs="FrankRuehl" w:hint="eastAsia"/>
          <w:sz w:val="18"/>
          <w:szCs w:val="22"/>
          <w:rtl/>
          <w:lang w:eastAsia="he-IL"/>
        </w:rPr>
        <w:t>הנחל</w:t>
      </w:r>
      <w:r w:rsidRPr="00F41E78">
        <w:rPr>
          <w:rFonts w:cs="FrankRuehl" w:hint="cs"/>
          <w:sz w:val="18"/>
          <w:szCs w:val="22"/>
          <w:rtl/>
          <w:lang w:eastAsia="he-IL"/>
        </w:rPr>
        <w:t xml:space="preserve"> במערך השטחים הציבוריים הפתוחים. </w:t>
      </w:r>
    </w:p>
    <w:p w:rsidR="00D22B16" w:rsidRPr="00F41E78" w:rsidP="00D22B16">
      <w:pPr>
        <w:pStyle w:val="RESHET"/>
        <w:keepLines/>
        <w:rPr>
          <w:rtl/>
        </w:rPr>
      </w:pPr>
      <w:r w:rsidRPr="00F41E78">
        <w:rPr>
          <w:rFonts w:hint="cs"/>
          <w:rtl/>
        </w:rPr>
        <w:t>משרד מבקר המדינה העיר ללשכת התכנון ולווד"ל כי היה עליהן לשקול חלופות שונות לפיתוח סביבת הנחל, על פי הוראת תמ"א 34ב/3.</w:t>
      </w:r>
    </w:p>
    <w:p w:rsidR="00E97EDA" w:rsidRPr="00F41E78" w:rsidP="00B55C19">
      <w:pPr>
        <w:spacing w:before="180" w:after="120" w:line="230" w:lineRule="exact"/>
        <w:jc w:val="both"/>
        <w:rPr>
          <w:rFonts w:cs="FrankRuehl"/>
          <w:sz w:val="18"/>
          <w:szCs w:val="22"/>
          <w:rtl/>
          <w:lang w:eastAsia="he-IL"/>
        </w:rPr>
      </w:pPr>
      <w:r w:rsidRPr="00F41E78">
        <w:rPr>
          <w:rFonts w:cs="FrankRuehl" w:hint="cs"/>
          <w:sz w:val="18"/>
          <w:szCs w:val="22"/>
          <w:rtl/>
          <w:lang w:eastAsia="he-IL"/>
        </w:rPr>
        <w:t>נמצא כי בינואר 2012 העבירו מתכנני התכנית מטעם רמ"י לרשות הניקוז נספחי ניקוז של שתי התכניות. במכתב נלווה לנספח צוין הפתרון המוצע לניקוז נחל קומם.</w:t>
      </w:r>
    </w:p>
    <w:p w:rsidR="00E97EDA" w:rsidRPr="00F41E78" w:rsidP="00B55C19">
      <w:pPr>
        <w:spacing w:after="240" w:line="230" w:lineRule="exact"/>
        <w:jc w:val="both"/>
        <w:rPr>
          <w:rFonts w:cs="FrankRuehl"/>
          <w:sz w:val="18"/>
          <w:szCs w:val="22"/>
          <w:rtl/>
          <w:lang w:eastAsia="he-IL"/>
        </w:rPr>
      </w:pPr>
      <w:r w:rsidRPr="00F41E78">
        <w:rPr>
          <w:rFonts w:cs="FrankRuehl" w:hint="cs"/>
          <w:sz w:val="18"/>
          <w:szCs w:val="22"/>
          <w:rtl/>
          <w:lang w:eastAsia="he-IL"/>
        </w:rPr>
        <w:t>בפברואר 2012 כתב מנכ"ל רשות הניקוז לרמ"י כי אף שהרשות מתנגדת לפתרון הניקוז שהוצע, יתקיים בכל זאת דיון נוסף בנושא בוועדה ההנדסית שבאגף לשימור קרקע וניקוז שבמשרד החקלאות (להלן - הוועדה ההנדסית)</w:t>
      </w:r>
      <w:r>
        <w:rPr>
          <w:rFonts w:cs="FrankRuehl"/>
          <w:sz w:val="18"/>
          <w:szCs w:val="22"/>
          <w:vertAlign w:val="superscript"/>
          <w:rtl/>
          <w:lang w:eastAsia="he-IL"/>
        </w:rPr>
        <w:footnoteReference w:id="206"/>
      </w:r>
      <w:r w:rsidRPr="00F41E78">
        <w:rPr>
          <w:rFonts w:cs="FrankRuehl" w:hint="cs"/>
          <w:sz w:val="18"/>
          <w:szCs w:val="22"/>
          <w:rtl/>
          <w:lang w:eastAsia="he-IL"/>
        </w:rPr>
        <w:t xml:space="preserve">. מכתב זה לא הועבר לידיעתה של לשכת התכנון. </w:t>
      </w:r>
    </w:p>
    <w:p w:rsidR="00D22B16" w:rsidRPr="00F41E78" w:rsidP="00D22B16">
      <w:pPr>
        <w:pStyle w:val="RESHET"/>
        <w:keepLines/>
        <w:rPr>
          <w:rtl/>
        </w:rPr>
      </w:pPr>
      <w:r w:rsidRPr="00F41E78">
        <w:rPr>
          <w:rFonts w:hint="cs"/>
          <w:rtl/>
        </w:rPr>
        <w:t>משרד מבקר המדינה העיר לרשות הניקוז כי היה עליה לעדכן את לשכת התכנון בנוגע לתגובתה לנספח הניקוז. משרד מבקר המדינה העיר ללשכת התכנון כי עליה לדרוש מהגורמים המאשרים השונים ליידע אותה בדבר דרישותיהם.</w:t>
      </w:r>
    </w:p>
    <w:p w:rsidR="00E97EDA" w:rsidRPr="00F41E78" w:rsidP="00B55C19">
      <w:pPr>
        <w:spacing w:before="180" w:after="120" w:line="230" w:lineRule="exact"/>
        <w:jc w:val="both"/>
        <w:rPr>
          <w:rFonts w:cs="FrankRuehl"/>
          <w:sz w:val="18"/>
          <w:szCs w:val="22"/>
          <w:rtl/>
          <w:lang w:eastAsia="he-IL"/>
        </w:rPr>
      </w:pPr>
      <w:r w:rsidRPr="00F41E78">
        <w:rPr>
          <w:rFonts w:cs="FrankRuehl" w:hint="cs"/>
          <w:sz w:val="18"/>
          <w:szCs w:val="22"/>
          <w:rtl/>
          <w:lang w:eastAsia="he-IL"/>
        </w:rPr>
        <w:t>בחוות דעת מקצועית נוספת שהכין יועץ חיצוני לרשות הניקוז צוין כי יש לבחון כמה חלופות לפתרון הניקוז של נחל קומם וכי ישנם ליקויים לכאורה בתכנון המוצע. במרץ 2012 התקיים דיון בוועדה ההנדסית שהתמקד בפתרון הטיית נחל קומם ובסגירתו במובל. בדיון צוין כי "למרות שמדובר בנחל קטנטן (אגן בשטח פתוח של כקמ"ר אחד בלבד מתנקז אל מתחם התוכנית), הגישה התכנונית המקובלת היום מחייבת הסדרה ברצועה פתוחה. זו גם ההנחיה של תמ"א 34 שבתשריט שלה הנחל מופיע כעורק משני"</w:t>
      </w:r>
      <w:r>
        <w:rPr>
          <w:rFonts w:cs="FrankRuehl"/>
          <w:sz w:val="18"/>
          <w:szCs w:val="22"/>
          <w:vertAlign w:val="superscript"/>
          <w:rtl/>
          <w:lang w:eastAsia="he-IL"/>
        </w:rPr>
        <w:footnoteReference w:id="207"/>
      </w:r>
      <w:r w:rsidRPr="00F41E78">
        <w:rPr>
          <w:rFonts w:cs="FrankRuehl" w:hint="cs"/>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בין היתר החליטה הוועדה ההנדסית כי יש להכין נספח ניקוז לכל האזור ולהגיש חלופה לפתרון הטיית נחל קומם וסגירתו במובל. פרוטוקול הדיון, סיכום הדיון והעתק ההחלטות נשלחו ללשכת התכנון.</w:t>
      </w:r>
    </w:p>
    <w:p w:rsidR="00E97EDA" w:rsidRPr="00F41E78" w:rsidP="000C0068">
      <w:pPr>
        <w:spacing w:after="120" w:line="230" w:lineRule="exact"/>
        <w:jc w:val="both"/>
        <w:rPr>
          <w:rFonts w:cs="FrankRuehl"/>
          <w:sz w:val="18"/>
          <w:szCs w:val="22"/>
          <w:rtl/>
          <w:lang w:eastAsia="he-IL"/>
        </w:rPr>
      </w:pPr>
      <w:r w:rsidRPr="00F41E78">
        <w:rPr>
          <w:rFonts w:cs="FrankRuehl" w:hint="cs"/>
          <w:sz w:val="18"/>
          <w:szCs w:val="22"/>
          <w:rtl/>
          <w:lang w:eastAsia="he-IL"/>
        </w:rPr>
        <w:t>ביוני 2012 הגישו מתכנני התכנית לרשות הניקוז נספח ניקוז לנחל קומם, שלא כלל פתרונות חלופיים להטיית הנחל וסגירתו במובל. באוגוסט 2012 הוא נדון בוועדה ההנדסית וזו החליטה להמליץ על אישור הנספח לאחר קבלת חוות דעתה של התחנה לחקר הסחף ולאחר התאמת מידות המובל בהתאם. עוד החליטה הוועדה כי את התכניות המפורטות תאשר רשות הניקוז. הוועדה דרשה השלמות נוספות, ובהן ציר ניקוז חלופי ומתן כתב שיפוי והתחייבות לתחזוקת המובל לרשות הניקוז, וקבעה כי את האישור הסופי תיתן רשות הניקוז. פרוטוקול דיון זה וההחלטות שהתקבלו נשלחו ללשכת התכנון.</w:t>
      </w:r>
    </w:p>
    <w:p w:rsidR="00E97EDA" w:rsidRPr="00F41E78" w:rsidP="000C0068">
      <w:pPr>
        <w:spacing w:after="120" w:line="230" w:lineRule="exact"/>
        <w:jc w:val="both"/>
        <w:rPr>
          <w:rFonts w:cs="FrankRuehl"/>
          <w:sz w:val="18"/>
          <w:szCs w:val="22"/>
          <w:rtl/>
          <w:lang w:eastAsia="he-IL"/>
        </w:rPr>
      </w:pPr>
      <w:r w:rsidRPr="00F41E78">
        <w:rPr>
          <w:rFonts w:cs="FrankRuehl" w:hint="cs"/>
          <w:sz w:val="18"/>
          <w:szCs w:val="22"/>
          <w:rtl/>
          <w:lang w:eastAsia="he-IL"/>
        </w:rPr>
        <w:t xml:space="preserve">באוקטובר 2012 כתב סגן מנהל אגף בכיר לשימור קרקע וניקוז במשרד החקלאות (חבר בוועדה ההנדסית) למתכנני התכנית כי הועברו ההשלמות שנדרשו בנוגע לתיאום ספיקות תכן והכנת ציר ניקוז חלופי, והוא ממליץ בפני רשות הניקוז לאשר את נספח הניקוז. </w:t>
      </w:r>
    </w:p>
    <w:p w:rsidR="00E97EDA" w:rsidRPr="00F41E78" w:rsidP="000C0068">
      <w:pPr>
        <w:spacing w:after="120" w:line="230" w:lineRule="exact"/>
        <w:jc w:val="both"/>
        <w:rPr>
          <w:rFonts w:cs="FrankRuehl"/>
          <w:sz w:val="18"/>
          <w:szCs w:val="22"/>
          <w:rtl/>
          <w:lang w:eastAsia="he-IL"/>
        </w:rPr>
      </w:pPr>
      <w:r w:rsidRPr="00F41E78">
        <w:rPr>
          <w:rFonts w:cs="FrankRuehl" w:hint="cs"/>
          <w:sz w:val="18"/>
          <w:szCs w:val="22"/>
          <w:rtl/>
          <w:lang w:eastAsia="he-IL"/>
        </w:rPr>
        <w:t xml:space="preserve">נמצא כי רשות הניקוז לא אישרה את נספח הניקוז שהעבירו אליה מתכנני התכנית; בנובמבר 2012 כתב להם מנכ"ל הרשות: "החומר שהועבר [...] בליווי המכתב שבסימוכין אינו המענה לדרישות הועדה ההנדסית בדיוניה השונים ועל כן ובמיוחד שלא נתמלאו החלק העיקרי מדרישות הוועדה שאמורות היו להתייחסותה של </w:t>
      </w:r>
      <w:r w:rsidR="000C0068">
        <w:rPr>
          <w:rFonts w:cs="FrankRuehl" w:hint="cs"/>
          <w:sz w:val="18"/>
          <w:szCs w:val="22"/>
          <w:rtl/>
          <w:lang w:eastAsia="he-IL"/>
        </w:rPr>
        <w:t>[</w:t>
      </w:r>
      <w:r w:rsidRPr="00F41E78">
        <w:rPr>
          <w:rFonts w:cs="FrankRuehl" w:hint="cs"/>
          <w:sz w:val="18"/>
          <w:szCs w:val="22"/>
          <w:rtl/>
          <w:lang w:eastAsia="he-IL"/>
        </w:rPr>
        <w:t>ר</w:t>
      </w:r>
      <w:r w:rsidR="000C0068">
        <w:rPr>
          <w:rFonts w:cs="FrankRuehl" w:hint="cs"/>
          <w:sz w:val="18"/>
          <w:szCs w:val="22"/>
          <w:rtl/>
          <w:lang w:eastAsia="he-IL"/>
        </w:rPr>
        <w:t xml:space="preserve">שות] </w:t>
      </w:r>
      <w:r w:rsidRPr="00F41E78">
        <w:rPr>
          <w:rFonts w:cs="FrankRuehl" w:hint="cs"/>
          <w:sz w:val="18"/>
          <w:szCs w:val="22"/>
          <w:rtl/>
          <w:lang w:eastAsia="he-IL"/>
        </w:rPr>
        <w:t xml:space="preserve">הניקוז כולל כתב שיפוי הנני להודיעך כלהלן: </w:t>
      </w:r>
      <w:r w:rsidRPr="00F41E78">
        <w:rPr>
          <w:rFonts w:cs="FrankRuehl" w:hint="cs"/>
          <w:b/>
          <w:bCs/>
          <w:sz w:val="18"/>
          <w:szCs w:val="22"/>
          <w:rtl/>
          <w:lang w:eastAsia="he-IL"/>
        </w:rPr>
        <w:t>אינני מאשר את הנספח הנדון</w:t>
      </w:r>
      <w:r w:rsidRPr="00F41E78">
        <w:rPr>
          <w:rFonts w:cs="FrankRuehl" w:hint="cs"/>
          <w:sz w:val="18"/>
          <w:szCs w:val="22"/>
          <w:rtl/>
          <w:lang w:eastAsia="he-IL"/>
        </w:rPr>
        <w:t>"</w:t>
      </w:r>
      <w:r w:rsidRPr="00F41E78">
        <w:rPr>
          <w:rFonts w:cs="FrankRuehl" w:hint="cs"/>
          <w:b/>
          <w:bCs/>
          <w:sz w:val="18"/>
          <w:szCs w:val="22"/>
          <w:rtl/>
          <w:lang w:eastAsia="he-IL"/>
        </w:rPr>
        <w:t xml:space="preserve"> </w:t>
      </w:r>
      <w:r w:rsidRPr="00F41E78">
        <w:rPr>
          <w:rFonts w:cs="FrankRuehl" w:hint="cs"/>
          <w:sz w:val="18"/>
          <w:szCs w:val="22"/>
          <w:rtl/>
          <w:lang w:eastAsia="he-IL"/>
        </w:rPr>
        <w:t>(ההדגשה במקור).</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הפקדת תכנית מתחם 7 ותכנית מתחם 2</w:t>
      </w:r>
    </w:p>
    <w:p w:rsidR="00E97EDA" w:rsidRPr="00F41E78" w:rsidP="00B55C19">
      <w:pPr>
        <w:spacing w:after="240" w:line="230" w:lineRule="exact"/>
        <w:jc w:val="both"/>
        <w:rPr>
          <w:rFonts w:cs="FrankRuehl"/>
          <w:sz w:val="18"/>
          <w:szCs w:val="22"/>
          <w:rtl/>
          <w:lang w:eastAsia="he-IL"/>
        </w:rPr>
      </w:pPr>
      <w:r w:rsidRPr="00F41E78">
        <w:rPr>
          <w:rFonts w:cs="FrankRuehl" w:hint="cs"/>
          <w:sz w:val="18"/>
          <w:szCs w:val="22"/>
          <w:rtl/>
          <w:lang w:eastAsia="he-IL"/>
        </w:rPr>
        <w:t>בחוק הווד"לים נקבעו לוחות זמנים מחייבים למילוי תנאים להפקדת תכנית. נקבע שאם לא התקיימו התנאים להפקדה בתוך 60 ימים על הוועדה לדחותה אם היא סבורה שלא ניתן יהיה לקיים את התנאים להפקדתה של התכנית בפרק זמן זה.</w:t>
      </w:r>
    </w:p>
    <w:p w:rsidR="00D22B16" w:rsidRPr="00F41E78" w:rsidP="00D22B16">
      <w:pPr>
        <w:pStyle w:val="RESHET"/>
        <w:keepLines/>
        <w:rPr>
          <w:rtl/>
        </w:rPr>
      </w:pPr>
      <w:r w:rsidRPr="00F41E78">
        <w:rPr>
          <w:rFonts w:hint="cs"/>
          <w:rtl/>
        </w:rPr>
        <w:t>נמצא כי לשכת התכנון לא פנתה לרשות הניקוז ולא בדקה עמה את ההשלמות שעל מתכנני התכנית לבצע כדי לקבל את אישורה, וממילא לא בדקה אם ניתן לבצען בתוך 60 ימים. למרות זאת, בתשובתה מיולי 2012 למינהל התכנון מסרה לשכת התכנון כי ניתן אישור עקרוני מרשות הניקוז ועותק רשמי צריך להגיע "בימים הקרובים".</w:t>
      </w:r>
    </w:p>
    <w:p w:rsidR="00E97EDA" w:rsidRPr="00F41E78" w:rsidP="00B55C19">
      <w:pPr>
        <w:spacing w:before="180" w:after="240" w:line="230" w:lineRule="exact"/>
        <w:jc w:val="both"/>
        <w:rPr>
          <w:rFonts w:cs="FrankRuehl"/>
          <w:sz w:val="18"/>
          <w:szCs w:val="22"/>
          <w:rtl/>
          <w:lang w:eastAsia="he-IL"/>
        </w:rPr>
      </w:pPr>
      <w:r w:rsidRPr="00F41E78">
        <w:rPr>
          <w:rFonts w:cs="FrankRuehl" w:hint="cs"/>
          <w:sz w:val="18"/>
          <w:szCs w:val="22"/>
          <w:rtl/>
          <w:lang w:eastAsia="he-IL"/>
        </w:rPr>
        <w:t>בביקורת נמצא כי המסמכים בלשכת התכנון, ובהם תיעוד הדיון על פתרונות הניקוז שהתקיים במרץ 2012 בוועדה ההנדסית, אינם מעידים שרשות הניקוז אישרה באופן עקרוני את נספח הניקוז אלא הם מלמדים על דרישת הוועדה ההנדסית לערוך בדיקות והשלמות נוספות.</w:t>
      </w:r>
    </w:p>
    <w:p w:rsidR="00D22B16" w:rsidRPr="00F41E78" w:rsidP="00D22B16">
      <w:pPr>
        <w:pStyle w:val="RESHET"/>
        <w:keepLines/>
        <w:rPr>
          <w:rtl/>
        </w:rPr>
      </w:pPr>
      <w:r w:rsidRPr="00F41E78">
        <w:rPr>
          <w:rtl/>
        </w:rPr>
        <w:t xml:space="preserve">נמצא כי </w:t>
      </w:r>
      <w:r w:rsidRPr="00F41E78">
        <w:rPr>
          <w:rFonts w:hint="eastAsia"/>
          <w:rtl/>
        </w:rPr>
        <w:t>בסופו</w:t>
      </w:r>
      <w:r w:rsidRPr="00F41E78">
        <w:rPr>
          <w:rtl/>
        </w:rPr>
        <w:t xml:space="preserve"> של דבר </w:t>
      </w:r>
      <w:r w:rsidRPr="00F41E78">
        <w:rPr>
          <w:rFonts w:hint="eastAsia"/>
          <w:rtl/>
        </w:rPr>
        <w:t>הופקדו</w:t>
      </w:r>
      <w:r w:rsidRPr="00F41E78">
        <w:rPr>
          <w:rtl/>
        </w:rPr>
        <w:t xml:space="preserve"> </w:t>
      </w:r>
      <w:r w:rsidRPr="00F41E78">
        <w:rPr>
          <w:rFonts w:hint="eastAsia"/>
          <w:rtl/>
        </w:rPr>
        <w:t>שתי</w:t>
      </w:r>
      <w:r w:rsidRPr="00F41E78">
        <w:rPr>
          <w:rtl/>
        </w:rPr>
        <w:t xml:space="preserve"> </w:t>
      </w:r>
      <w:r w:rsidRPr="00F41E78">
        <w:rPr>
          <w:rFonts w:hint="eastAsia"/>
          <w:rtl/>
        </w:rPr>
        <w:t>התכניות</w:t>
      </w:r>
      <w:r w:rsidRPr="00F41E78">
        <w:rPr>
          <w:rtl/>
        </w:rPr>
        <w:t xml:space="preserve"> </w:t>
      </w:r>
      <w:r w:rsidRPr="00F41E78">
        <w:rPr>
          <w:rFonts w:hint="eastAsia"/>
          <w:rtl/>
        </w:rPr>
        <w:t>למתחמים</w:t>
      </w:r>
      <w:r w:rsidRPr="00F41E78">
        <w:rPr>
          <w:rtl/>
        </w:rPr>
        <w:t xml:space="preserve"> 7 </w:t>
      </w:r>
      <w:r w:rsidRPr="00F41E78">
        <w:rPr>
          <w:rFonts w:hint="eastAsia"/>
          <w:rtl/>
        </w:rPr>
        <w:t>ו</w:t>
      </w:r>
      <w:r w:rsidRPr="00F41E78">
        <w:rPr>
          <w:rtl/>
        </w:rPr>
        <w:t xml:space="preserve">-2 </w:t>
      </w:r>
      <w:r w:rsidRPr="00F41E78">
        <w:rPr>
          <w:rFonts w:hint="eastAsia"/>
          <w:rtl/>
        </w:rPr>
        <w:t>אף</w:t>
      </w:r>
      <w:r w:rsidRPr="00F41E78">
        <w:rPr>
          <w:rtl/>
        </w:rPr>
        <w:t xml:space="preserve"> </w:t>
      </w:r>
      <w:r w:rsidRPr="00F41E78">
        <w:rPr>
          <w:rFonts w:hint="eastAsia"/>
          <w:rtl/>
        </w:rPr>
        <w:t>שלא</w:t>
      </w:r>
      <w:r w:rsidRPr="00F41E78">
        <w:rPr>
          <w:rtl/>
        </w:rPr>
        <w:t xml:space="preserve"> התקיים התנאי שקבעה הווד"ל להפקדתן </w:t>
      </w:r>
      <w:r w:rsidRPr="00F41E78">
        <w:rPr>
          <w:rFonts w:hint="eastAsia"/>
          <w:rtl/>
        </w:rPr>
        <w:t>המורה</w:t>
      </w:r>
      <w:r w:rsidRPr="00F41E78">
        <w:rPr>
          <w:rtl/>
        </w:rPr>
        <w:t xml:space="preserve"> על </w:t>
      </w:r>
      <w:r w:rsidRPr="00F41E78">
        <w:rPr>
          <w:rFonts w:hint="eastAsia"/>
          <w:rtl/>
        </w:rPr>
        <w:t>השלמת</w:t>
      </w:r>
      <w:r w:rsidRPr="00F41E78">
        <w:rPr>
          <w:rtl/>
        </w:rPr>
        <w:t xml:space="preserve"> </w:t>
      </w:r>
      <w:r w:rsidRPr="00F41E78">
        <w:rPr>
          <w:rFonts w:hint="eastAsia"/>
          <w:rtl/>
        </w:rPr>
        <w:t>התיאום</w:t>
      </w:r>
      <w:r w:rsidRPr="00F41E78">
        <w:rPr>
          <w:rtl/>
        </w:rPr>
        <w:t xml:space="preserve"> </w:t>
      </w:r>
      <w:r w:rsidRPr="00F41E78">
        <w:rPr>
          <w:rFonts w:hint="eastAsia"/>
          <w:rtl/>
        </w:rPr>
        <w:t>עם</w:t>
      </w:r>
      <w:r w:rsidRPr="00F41E78">
        <w:rPr>
          <w:rtl/>
        </w:rPr>
        <w:t xml:space="preserve"> </w:t>
      </w:r>
      <w:r w:rsidRPr="00F41E78">
        <w:rPr>
          <w:rFonts w:hint="eastAsia"/>
          <w:rtl/>
        </w:rPr>
        <w:t>רשות</w:t>
      </w:r>
      <w:r w:rsidRPr="00F41E78">
        <w:rPr>
          <w:rtl/>
        </w:rPr>
        <w:t xml:space="preserve"> </w:t>
      </w:r>
      <w:r w:rsidRPr="00F41E78">
        <w:rPr>
          <w:rFonts w:hint="eastAsia"/>
          <w:rtl/>
        </w:rPr>
        <w:t>הניקוז</w:t>
      </w:r>
      <w:r w:rsidRPr="00F41E78">
        <w:rPr>
          <w:rtl/>
        </w:rPr>
        <w:t>.</w:t>
      </w:r>
      <w:r w:rsidRPr="00F41E78">
        <w:rPr>
          <w:rFonts w:hint="cs"/>
          <w:rtl/>
        </w:rPr>
        <w:t xml:space="preserve"> </w:t>
      </w:r>
    </w:p>
    <w:p w:rsidR="00D22B16" w:rsidRPr="00F41E78" w:rsidP="00D22B16">
      <w:pPr>
        <w:pStyle w:val="RESHET"/>
        <w:keepLines/>
        <w:rPr>
          <w:rtl/>
        </w:rPr>
      </w:pPr>
      <w:r w:rsidRPr="00F41E78">
        <w:rPr>
          <w:rFonts w:hint="cs"/>
          <w:rtl/>
        </w:rPr>
        <w:t>משרד מבקר המדינה העיר בחומרה ללשכת התכנון כי נהגה בניגוד להוראות הווד"ל בעניין תנאי הפקדת תכניות, כשלא בדקה אם הושלם התיאום עם רשות הניקוז. משלא התקיימו התנאים, היה עליה לבדוק אם ניתן למלאם בתוך 60 ימים ולהביא את הנושא לדיון בפני הווד"ל שתחליט אם לדחות את התכניות או להתנות את אישורן בהשלמת התיאום עם רשות הניקוז.</w:t>
      </w:r>
    </w:p>
    <w:p w:rsidR="00E97EDA" w:rsidRPr="00F41E78" w:rsidP="00A7557B">
      <w:pPr>
        <w:spacing w:after="120" w:line="230" w:lineRule="exact"/>
        <w:jc w:val="both"/>
        <w:outlineLvl w:val="6"/>
        <w:rPr>
          <w:rFonts w:cs="FrankRuehl"/>
          <w:b/>
          <w:bCs/>
          <w:spacing w:val="40"/>
          <w:sz w:val="18"/>
          <w:szCs w:val="22"/>
          <w:rtl/>
          <w:lang w:eastAsia="he-IL"/>
        </w:rPr>
      </w:pPr>
    </w:p>
    <w:p w:rsidR="00E97EDA" w:rsidRPr="00CB33CD" w:rsidP="00A7557B">
      <w:pPr>
        <w:pStyle w:val="KOT6"/>
        <w:rPr>
          <w:rtl/>
          <w:lang w:eastAsia="he-IL"/>
        </w:rPr>
      </w:pPr>
      <w:r w:rsidRPr="00CB33CD">
        <w:rPr>
          <w:rFonts w:hint="cs"/>
          <w:rtl/>
          <w:lang w:eastAsia="he-IL"/>
        </w:rPr>
        <w:t>אישור תכנית מתחם 7 ותכנית מתחם 2</w:t>
      </w:r>
    </w:p>
    <w:p w:rsidR="00D22B16" w:rsidRPr="00F41E78" w:rsidP="00D22B16">
      <w:pPr>
        <w:pStyle w:val="RESHET"/>
        <w:keepLines/>
        <w:rPr>
          <w:rtl/>
        </w:rPr>
      </w:pPr>
      <w:r w:rsidRPr="00F41E78">
        <w:rPr>
          <w:rFonts w:hint="cs"/>
          <w:rtl/>
        </w:rPr>
        <w:t>נמצא כי בעקבות פנייה של לשכת התכנון לרשות הניקוז בעניינה של תכנית אחרת במתחם סמוך, העביר לה מנכ"ל רשות הניקוז את עמדת הרשות המתנגדת לתכניות. לשכת התכנון לא הביאה את הדברים לידיעתה של הווד"ל, וזו אישרה בסופו של דבר את שתי התכניות בלי שהושלם התיאום עם רשות הניקוז ובלי שהתקבל אישורה.</w:t>
      </w:r>
    </w:p>
    <w:p w:rsidR="00E97EDA" w:rsidRPr="00F41E78" w:rsidP="00B55C19">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בתשובתו מדצמבר 2013 ציין משרד החקלאות כי נציג של שר החקלאות אינו יושב בווד"ל, לכן לא היה המשרד שותף לדיון בתכניות האמורות. עוד ציין כי המשרד נתקל מדי פעם בפעם בתופעה שאין מבצעים את ההנחיה שעניינה תיאום תכניות עם רשות הניקוז. המשרד מסר כי היעדר תיאום עם רשות הניקוז בתכניות בקריית גת היא תקלה קשה של גורמי התכנון, ורשות הניקוז הייתה צריכה ליידע את גורמי התכנון על מצב הדברים. </w:t>
      </w:r>
    </w:p>
    <w:p w:rsidR="00D22B16" w:rsidRPr="00F41E78" w:rsidP="00D22B16">
      <w:pPr>
        <w:pStyle w:val="RESHET"/>
        <w:keepLines/>
        <w:rPr>
          <w:rtl/>
        </w:rPr>
      </w:pPr>
      <w:r w:rsidRPr="00F41E78">
        <w:rPr>
          <w:rFonts w:hint="cs"/>
          <w:rtl/>
        </w:rPr>
        <w:t>לדעת משרד מבקר המדינה, לנוכח הרכבה המצומצם של הווד"ל ראוי לשקול נוהל עבודה ולפיו תעביר לשכת התכנון למליאת הוועדה דיווחים על התכניות המקודמות במסלול הווד"לים. כמו כן, ראוי שתשלח למליאה את הפרוטוקולים של החלטות הווד"ל כדי שהדברים יוצגו לפניה מתוך ראייה כוללת של התכנון בתחומי המחוז, ובמקרה הצורך חבריה יוכלו להעביר לווד"ל מידע חיוני שיסייע לקיים תהליך קבלת החלטות מושכל.</w:t>
      </w:r>
    </w:p>
    <w:p w:rsidR="00D22B16" w:rsidRPr="00F41E78" w:rsidP="00D22B16">
      <w:pPr>
        <w:pStyle w:val="RESHET"/>
        <w:keepLines/>
        <w:rPr>
          <w:rtl/>
        </w:rPr>
      </w:pPr>
      <w:r w:rsidRPr="00F41E78">
        <w:rPr>
          <w:rFonts w:hint="cs"/>
          <w:rtl/>
        </w:rPr>
        <w:t>מהאמור עולה כי הווד"ל הפקידה את תכנית מתחם 7 ותכנית מתחם 2 בלי שהתקיים תנאי מהותי להפקדתן, דהיינו השלמת התיאום עם רשות הניקוז, ובסופו של דבר הן אושרו ללא קיום התנאי. על הווד"ל לבחון דרכים לפתרון המצב שנוצר בעקבות אישור התכניות, וזאת כדי למנוע בעתיד סכנה של הצפות או קשיים אחרים במערכת הניקוז באזור.</w:t>
      </w:r>
    </w:p>
    <w:p w:rsidR="00D22B16" w:rsidRPr="00F41E78" w:rsidP="00D22B16">
      <w:pPr>
        <w:pStyle w:val="RESHET"/>
        <w:keepLines/>
        <w:rPr>
          <w:rtl/>
        </w:rPr>
      </w:pPr>
      <w:r w:rsidRPr="00F41E78">
        <w:rPr>
          <w:rFonts w:hint="cs"/>
          <w:rtl/>
        </w:rPr>
        <w:t xml:space="preserve">הממצאים מעוררים את החשש שבשל הרצון לאשר תכניות במסלול הווד"לים פעלה לשכת התכנון במחוז דרום בחיפזון ובלי שהקפידה על קיום תנאים שקבעה הווד"ל. משרד מבקר המדינה מדגיש כי </w:t>
      </w:r>
      <w:r w:rsidRPr="00F41E78">
        <w:rPr>
          <w:rtl/>
        </w:rPr>
        <w:t>אין</w:t>
      </w:r>
      <w:r w:rsidRPr="00F41E78">
        <w:rPr>
          <w:rFonts w:hint="cs"/>
          <w:rtl/>
        </w:rPr>
        <w:t xml:space="preserve"> לקצר את הליכי התכנון על חשבון איכותם ותקינותם. על מוסדות התכנון לייעל אותם תוך כדי הקפדה על מילוי החובה לשקול את כל השיקולים הנדרשים ולמצוא פתרונות מיטביים.</w:t>
      </w:r>
    </w:p>
    <w:p w:rsidR="00E97EDA" w:rsidRPr="00F41E78" w:rsidP="00A7557B">
      <w:pPr>
        <w:spacing w:after="120" w:line="230" w:lineRule="exact"/>
        <w:jc w:val="both"/>
        <w:rPr>
          <w:rFonts w:cs="FrankRuehl"/>
          <w:sz w:val="18"/>
          <w:szCs w:val="22"/>
          <w:rtl/>
          <w:lang w:eastAsia="he-IL"/>
        </w:rPr>
      </w:pPr>
    </w:p>
    <w:p w:rsidR="00953D2F" w:rsidP="00A7557B">
      <w:pPr>
        <w:spacing w:after="120" w:line="230" w:lineRule="exact"/>
        <w:jc w:val="both"/>
        <w:rPr>
          <w:rFonts w:cs="FrankRuehl"/>
          <w:sz w:val="18"/>
          <w:szCs w:val="22"/>
          <w:rtl/>
          <w:lang w:eastAsia="he-IL"/>
        </w:rPr>
        <w:sectPr w:rsidSect="004A767A">
          <w:footnotePr>
            <w:numRestart w:val="eachSect"/>
          </w:footnotePr>
          <w:pgSz w:w="11906" w:h="16838" w:code="9"/>
          <w:pgMar w:top="1758" w:right="2552" w:bottom="4253" w:left="2552" w:header="1247" w:footer="1134" w:gutter="0"/>
          <w:cols w:space="720"/>
          <w:rtlGutter/>
        </w:sectPr>
      </w:pPr>
    </w:p>
    <w:p w:rsidR="003D645D" w:rsidRPr="00F41E78" w:rsidP="00A7557B">
      <w:pPr>
        <w:spacing w:after="120" w:line="230" w:lineRule="exact"/>
        <w:jc w:val="both"/>
        <w:rPr>
          <w:rFonts w:cs="FrankRuehl"/>
          <w:sz w:val="18"/>
          <w:szCs w:val="22"/>
          <w:rtl/>
          <w:lang w:eastAsia="he-IL"/>
        </w:rPr>
      </w:pPr>
    </w:p>
    <w:p w:rsidR="00953D2F" w:rsidP="008C4A30">
      <w:pPr>
        <w:pStyle w:val="KOT2"/>
        <w:outlineLvl w:val="0"/>
        <w:rPr>
          <w:b w:val="0"/>
          <w:bCs w:val="0"/>
          <w:sz w:val="28"/>
          <w:szCs w:val="28"/>
          <w:rtl/>
        </w:rPr>
        <w:sectPr w:rsidSect="00953D2F">
          <w:footnotePr>
            <w:numRestart w:val="eachSect"/>
          </w:footnotePr>
          <w:pgSz w:w="11906" w:h="16838" w:code="9"/>
          <w:pgMar w:top="1758" w:right="2552" w:bottom="4253" w:left="2552" w:header="1247" w:footer="1134" w:gutter="0"/>
          <w:cols w:space="720"/>
          <w:titlePg/>
          <w:rtlGutter/>
        </w:sectPr>
      </w:pPr>
    </w:p>
    <w:p w:rsidR="00E97EDA" w:rsidRPr="00CB33CD" w:rsidP="008C4A30">
      <w:pPr>
        <w:pStyle w:val="KOT2"/>
        <w:outlineLvl w:val="0"/>
        <w:rPr>
          <w:rtl/>
        </w:rPr>
      </w:pPr>
      <w:r w:rsidRPr="008C4A30">
        <w:rPr>
          <w:rFonts w:hint="cs"/>
          <w:b w:val="0"/>
          <w:bCs w:val="0"/>
          <w:sz w:val="28"/>
          <w:szCs w:val="28"/>
          <w:rtl/>
        </w:rPr>
        <w:t>פרק שישי</w:t>
      </w:r>
      <w:r w:rsidRPr="008C4A30">
        <w:rPr>
          <w:b w:val="0"/>
          <w:bCs w:val="0"/>
          <w:sz w:val="28"/>
          <w:szCs w:val="28"/>
          <w:rtl/>
        </w:rPr>
        <w:br/>
      </w:r>
      <w:r w:rsidRPr="00CB33CD">
        <w:rPr>
          <w:rFonts w:hint="cs"/>
          <w:rtl/>
        </w:rPr>
        <w:t>היבטים של תכנון למגורים בדרג המחוזי</w:t>
      </w:r>
    </w:p>
    <w:p w:rsidR="00E97EDA" w:rsidRPr="002A1D15" w:rsidP="002A1D15">
      <w:pPr>
        <w:pStyle w:val="BodyText"/>
        <w:spacing w:before="0"/>
        <w:rPr>
          <w:sz w:val="18"/>
          <w:rtl/>
          <w:lang w:eastAsia="he-IL"/>
        </w:rPr>
      </w:pPr>
      <w:r w:rsidRPr="002A1D15">
        <w:rPr>
          <w:rFonts w:hint="cs"/>
          <w:sz w:val="18"/>
          <w:rtl/>
          <w:lang w:eastAsia="he-IL"/>
        </w:rPr>
        <w:t>משרד מבקר המדינה בדק כמה היבטים של תכנון למגורים בדרג המחוזי (על כלל הקרקעות). הביקורת נעשתה בלשכות התכנון במחוז המרכז ובמחוז תל אביב (אזורי מרכז הארץ) ובלשכות התכנון של מחוז הצפון ומחוז הדרום (אזורי הפריפריה). הביקורת התמקדה בהיבטים כמו עמידה ביעדי האוכלוסייה שקבעה תמ"א 35 למחוזות, מצב עתודות הקרקע לפיתוח שכונות מגורים, עדכניות התכנון המתארי ומצב המלאי התכנוני בכל אחד מהמחוזות. כדי לחלץ את הסיבות לעיכובים בהליכי התכנון ולהתמשכותם נבדקו גם כמה תהליכים לאישור תכניות מפורטות למגורים. משרד מבקר המדינה מוצא לנכון להדגיש כי התייחסותו אל תהליכים שונים כאל חסמים, אין בה כדי לגרוע מחשיבותם ומנחיצותם, ומובן מאליו שהם דרושים לקבלת החלטות מאוזנות. אולם בהחלט יש צורך לבחון דרכים לייעולם ולקיצורם.</w:t>
      </w:r>
    </w:p>
    <w:p w:rsidR="006B0101" w:rsidRPr="00F41E78" w:rsidP="00A7557B">
      <w:pPr>
        <w:spacing w:after="120" w:line="230" w:lineRule="exact"/>
        <w:jc w:val="both"/>
        <w:rPr>
          <w:rFonts w:cs="FrankRuehl"/>
          <w:sz w:val="18"/>
          <w:szCs w:val="22"/>
          <w:rtl/>
          <w:lang w:eastAsia="he-IL"/>
        </w:rPr>
      </w:pPr>
    </w:p>
    <w:p w:rsidR="006B0101" w:rsidRPr="00F41E78" w:rsidP="00A7557B">
      <w:pPr>
        <w:spacing w:after="120" w:line="230" w:lineRule="exact"/>
        <w:jc w:val="both"/>
        <w:rPr>
          <w:rFonts w:cs="FrankRuehl"/>
          <w:sz w:val="18"/>
          <w:szCs w:val="22"/>
          <w:rtl/>
          <w:lang w:eastAsia="he-IL"/>
        </w:rPr>
      </w:pPr>
    </w:p>
    <w:p w:rsidR="00E97EDA" w:rsidRPr="00CB33CD" w:rsidP="00A7557B">
      <w:pPr>
        <w:pStyle w:val="KOT4"/>
        <w:rPr>
          <w:rtl/>
          <w:lang w:eastAsia="he-IL"/>
        </w:rPr>
      </w:pPr>
      <w:r w:rsidRPr="00CB33CD">
        <w:rPr>
          <w:rFonts w:hint="cs"/>
          <w:rtl/>
          <w:lang w:eastAsia="he-IL"/>
        </w:rPr>
        <w:t>היבטים של תכנון למגורים במרכז הארץ</w:t>
      </w:r>
    </w:p>
    <w:p w:rsidR="00FA6646" w:rsidRPr="00FA6646" w:rsidP="00A7557B">
      <w:pPr>
        <w:spacing w:after="120" w:line="230" w:lineRule="exact"/>
        <w:ind w:left="12" w:hanging="12"/>
        <w:jc w:val="both"/>
        <w:rPr>
          <w:rFonts w:cs="FrankRuehl"/>
          <w:sz w:val="20"/>
          <w:szCs w:val="22"/>
          <w:rtl/>
          <w:lang w:eastAsia="he-IL"/>
        </w:rPr>
      </w:pPr>
      <w:r w:rsidRPr="00F41E78">
        <w:rPr>
          <w:rFonts w:cs="FrankRuehl" w:hint="cs"/>
          <w:sz w:val="18"/>
          <w:szCs w:val="22"/>
          <w:rtl/>
          <w:lang w:eastAsia="he-IL"/>
        </w:rPr>
        <w:t>בדוח הזה מוגדר מרכז הארץ כתחום מטרופולין תל אביב הכולל את מחוזות המרכז ותל אביב שבמשרד הפנים ואת העיר אשדוד (ממחוז הדרום), וזאת לפי הגדרת הלמ"ס ולפי ההגדרה בתכנית האב למטרופולין תל אביב (1998). שטח מחוז המרכז הוא כ-1,294 קמ"ר ואוכלוסייתו מנתה בסוף 2011 כ-1.9 מיליון תושבים. במחוז זה עוברות עיקר התשתיות הלאומיות (כבישים, ביוב, מים וגז), ורוב הקרקעות מצויות בניהולה של רמ"י. שטח מחוז תל אביב הוא כ-173 קמ"ר ואוכלוסייתו מנתה באותו מועד כ-1.3 מיליון תושבים. מחוז זה הוא הקטן והצפוף</w:t>
      </w:r>
      <w:r>
        <w:rPr>
          <w:rFonts w:cs="FrankRuehl"/>
          <w:sz w:val="18"/>
          <w:szCs w:val="22"/>
          <w:vertAlign w:val="superscript"/>
          <w:rtl/>
          <w:lang w:eastAsia="he-IL"/>
        </w:rPr>
        <w:footnoteReference w:id="208"/>
      </w:r>
      <w:r w:rsidRPr="00F41E78">
        <w:rPr>
          <w:rFonts w:cs="FrankRuehl" w:hint="cs"/>
          <w:sz w:val="18"/>
          <w:szCs w:val="22"/>
          <w:rtl/>
          <w:lang w:eastAsia="he-IL"/>
        </w:rPr>
        <w:t xml:space="preserve"> מבין המחוזות האחרים, הוא ברובו עירוני ומבונה (80%), וכ-50% מהקרקעות הן בבעלות פרטית.</w:t>
      </w:r>
      <w:r w:rsidRPr="00CB33CD">
        <w:rPr>
          <w:rFonts w:hint="cs"/>
          <w:szCs w:val="20"/>
          <w:rtl/>
          <w:lang w:eastAsia="he-IL"/>
        </w:rPr>
        <w:t xml:space="preserve"> </w:t>
      </w:r>
      <w:r w:rsidRPr="00FA6646">
        <w:rPr>
          <w:rFonts w:cs="FrankRuehl" w:hint="cs"/>
          <w:sz w:val="20"/>
          <w:szCs w:val="22"/>
          <w:rtl/>
          <w:lang w:eastAsia="he-IL"/>
        </w:rPr>
        <w:t xml:space="preserve">בסוף 2011 מנתה העיר אשדוד </w:t>
      </w:r>
      <w:r w:rsidR="00953D2F">
        <w:rPr>
          <w:rFonts w:cs="FrankRuehl"/>
          <w:sz w:val="20"/>
          <w:szCs w:val="22"/>
          <w:rtl/>
          <w:lang w:eastAsia="he-IL"/>
        </w:rPr>
        <w:br/>
      </w:r>
      <w:r w:rsidRPr="00FA6646">
        <w:rPr>
          <w:rFonts w:cs="FrankRuehl" w:hint="cs"/>
          <w:sz w:val="20"/>
          <w:szCs w:val="22"/>
          <w:rtl/>
          <w:lang w:eastAsia="he-IL"/>
        </w:rPr>
        <w:t xml:space="preserve">כ-212,000 תושבים. במטרופולין תל אביב מתגוררים אפוא יותר מ-40% מתושבי המדינה, והוא מאופיין בביקושים הגדולים ביותר למגורים ולתעסוקה. </w:t>
      </w:r>
    </w:p>
    <w:p w:rsidR="006B0101" w:rsidRPr="00F41E78" w:rsidP="00A7557B">
      <w:pPr>
        <w:spacing w:after="120" w:line="230" w:lineRule="exact"/>
        <w:ind w:left="12" w:hanging="12"/>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החלטות ממשלה עיקריות שעניינן תכנון למגורים במרכז הארץ</w:t>
      </w:r>
    </w:p>
    <w:p w:rsidR="00E97EDA" w:rsidRPr="00582A43" w:rsidP="0039006F">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בשנים האחרונות קיבלו ממשלות ישראל החלטות בנוגע להיבטים התכנוניים של פתרונות דיור. הממשלה החליטה החלטות אלו כדי להתגבר על הפערים שנוצרו במשך יותר מעשור בין הביקוש </w:t>
      </w:r>
      <w:r w:rsidRPr="00582A43">
        <w:rPr>
          <w:rFonts w:cs="FrankRuehl" w:hint="cs"/>
          <w:sz w:val="18"/>
          <w:szCs w:val="22"/>
          <w:rtl/>
          <w:lang w:eastAsia="he-IL"/>
        </w:rPr>
        <w:t>להיצע</w:t>
      </w:r>
      <w:r w:rsidRPr="00582A43" w:rsidR="00FE7E7B">
        <w:rPr>
          <w:rFonts w:cs="FrankRuehl" w:hint="cs"/>
          <w:sz w:val="18"/>
          <w:szCs w:val="22"/>
          <w:rtl/>
          <w:lang w:eastAsia="he-IL"/>
        </w:rPr>
        <w:t xml:space="preserve"> ו</w:t>
      </w:r>
      <w:r w:rsidRPr="00582A43">
        <w:rPr>
          <w:rFonts w:cs="FrankRuehl" w:hint="cs"/>
          <w:sz w:val="18"/>
          <w:szCs w:val="22"/>
          <w:rtl/>
          <w:lang w:eastAsia="he-IL"/>
        </w:rPr>
        <w:t>תרמו לעליית מחירי הדירות. יצוין כי להחלטות הכמותיות הנוגעות למחוז מרכז במשרד הפנים לא קדמה התייעצות עם עובדי המחוז וכאמור לא נלקחו בחשבון לא המצאי שכבר אושר וטרם נבנה ולא מצב זמינותו</w:t>
      </w:r>
      <w:r>
        <w:rPr>
          <w:rFonts w:cs="FrankRuehl"/>
          <w:sz w:val="18"/>
          <w:szCs w:val="22"/>
          <w:vertAlign w:val="superscript"/>
          <w:rtl/>
          <w:lang w:eastAsia="he-IL"/>
        </w:rPr>
        <w:footnoteReference w:id="209"/>
      </w:r>
      <w:r w:rsidRPr="00582A43">
        <w:rPr>
          <w:rFonts w:cs="FrankRuehl" w:hint="cs"/>
          <w:sz w:val="18"/>
          <w:szCs w:val="22"/>
          <w:rtl/>
          <w:lang w:eastAsia="he-IL"/>
        </w:rPr>
        <w:t xml:space="preserve">. </w:t>
      </w:r>
    </w:p>
    <w:p w:rsidR="00E97EDA" w:rsidRPr="00F41E78" w:rsidP="00B55C19">
      <w:pPr>
        <w:spacing w:after="120" w:line="230" w:lineRule="exact"/>
        <w:ind w:left="340" w:hanging="340"/>
        <w:jc w:val="both"/>
        <w:rPr>
          <w:rFonts w:cs="FrankRuehl"/>
          <w:sz w:val="18"/>
          <w:szCs w:val="22"/>
          <w:lang w:eastAsia="he-IL"/>
        </w:rPr>
      </w:pPr>
      <w:r w:rsidRPr="00F41E78">
        <w:rPr>
          <w:rFonts w:cs="FrankRuehl" w:hint="cs"/>
          <w:sz w:val="18"/>
          <w:szCs w:val="22"/>
          <w:rtl/>
          <w:lang w:eastAsia="he-IL"/>
        </w:rPr>
        <w:t>1.</w:t>
      </w:r>
      <w:r w:rsidRPr="00F41E78">
        <w:rPr>
          <w:rFonts w:cs="FrankRuehl" w:hint="cs"/>
          <w:sz w:val="18"/>
          <w:szCs w:val="22"/>
          <w:rtl/>
          <w:lang w:eastAsia="he-IL"/>
        </w:rPr>
        <w:tab/>
        <w:t>כאמור, באוגוסט 2008 החליטה הממשלה (החלטה 3973) על הקפאת התכנון במרכז הארץ למשך ארבע שנים (2012-2009). ביולי 2010 קיבלה הממשלה שתי החלטות (מס' 1980 ומספר 2019)</w:t>
      </w:r>
      <w:r w:rsidRPr="00F41E78">
        <w:rPr>
          <w:rFonts w:cs="FrankRuehl"/>
          <w:sz w:val="18"/>
          <w:szCs w:val="22"/>
          <w:rtl/>
        </w:rPr>
        <w:t xml:space="preserve"> </w:t>
      </w:r>
      <w:r w:rsidRPr="00F41E78">
        <w:rPr>
          <w:rFonts w:cs="FrankRuehl" w:hint="cs"/>
          <w:sz w:val="18"/>
          <w:szCs w:val="22"/>
          <w:rtl/>
          <w:lang w:eastAsia="he-IL"/>
        </w:rPr>
        <w:t>ל</w:t>
      </w:r>
      <w:r w:rsidRPr="00F41E78">
        <w:rPr>
          <w:rFonts w:cs="FrankRuehl"/>
          <w:sz w:val="18"/>
          <w:szCs w:val="22"/>
          <w:rtl/>
          <w:lang w:eastAsia="he-IL"/>
        </w:rPr>
        <w:t>האצת פעולות התכנון והשיווק של מתחמים למגורים בכל הארץ</w:t>
      </w:r>
      <w:r w:rsidRPr="00F41E78">
        <w:rPr>
          <w:rFonts w:cs="FrankRuehl" w:hint="cs"/>
          <w:sz w:val="18"/>
          <w:szCs w:val="22"/>
          <w:rtl/>
          <w:lang w:eastAsia="he-IL"/>
        </w:rPr>
        <w:t xml:space="preserve"> וקביעת יעדים </w:t>
      </w:r>
      <w:r w:rsidRPr="00F41E78">
        <w:rPr>
          <w:rFonts w:cs="FrankRuehl" w:hint="cs"/>
          <w:sz w:val="18"/>
          <w:szCs w:val="22"/>
          <w:rtl/>
          <w:lang w:eastAsia="he-IL"/>
        </w:rPr>
        <w:t>כמותיים לאישור של 60,000 יח"ד מדי שנה (בשנים 2020-2011) ומתוכן 19,000 יח"ד במחוז המרכז ו-5,000 במחוז תל אביב.</w:t>
      </w:r>
    </w:p>
    <w:p w:rsidR="00E97EDA" w:rsidRPr="00F41E78" w:rsidP="002A1D15">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2.</w:t>
      </w:r>
      <w:r w:rsidRPr="00F41E78">
        <w:rPr>
          <w:rFonts w:cs="FrankRuehl" w:hint="cs"/>
          <w:sz w:val="18"/>
          <w:szCs w:val="22"/>
          <w:rtl/>
          <w:lang w:eastAsia="he-IL"/>
        </w:rPr>
        <w:tab/>
        <w:t>באוקטובר 2011 החליטה הממשלה, במסגרת אימוץ המלצותיה של ועדת טרכטנברג, על מתן ליווי ממשלתי צמוד למשך התכנון והפיתוח של 27 מתחמים ובהם כ-165,000 יח"ד ושל 14 מתחמים לפינוי בינוי ובהם כ-8,200 יח"ד, שקידום תכנונם של כל המתחמים יכול להשפיע באופן ניכר על שוק הדיור. ברש</w:t>
      </w:r>
      <w:r w:rsidR="002A1D15">
        <w:rPr>
          <w:rFonts w:cs="FrankRuehl" w:hint="cs"/>
          <w:sz w:val="18"/>
          <w:szCs w:val="22"/>
          <w:rtl/>
          <w:lang w:eastAsia="he-IL"/>
        </w:rPr>
        <w:t>י</w:t>
      </w:r>
      <w:r w:rsidRPr="00F41E78">
        <w:rPr>
          <w:rFonts w:cs="FrankRuehl" w:hint="cs"/>
          <w:sz w:val="18"/>
          <w:szCs w:val="22"/>
          <w:rtl/>
          <w:lang w:eastAsia="he-IL"/>
        </w:rPr>
        <w:t xml:space="preserve">מת הפרויקטים המומלצים היו רובע דרום גלילות, מתחם תעש רמת השרון, שכונה ביבנה ושלוש שכונות במודיעין - כולם במרכז הארץ. </w:t>
      </w:r>
    </w:p>
    <w:p w:rsidR="00E97EDA" w:rsidRPr="00F41E78" w:rsidP="00B55C19">
      <w:pPr>
        <w:spacing w:after="240" w:line="230" w:lineRule="exact"/>
        <w:ind w:left="340" w:hanging="340"/>
        <w:jc w:val="both"/>
        <w:rPr>
          <w:rFonts w:cs="FrankRuehl"/>
          <w:sz w:val="18"/>
          <w:szCs w:val="22"/>
          <w:rtl/>
          <w:lang w:eastAsia="he-IL"/>
        </w:rPr>
      </w:pPr>
      <w:r w:rsidRPr="00F41E78">
        <w:rPr>
          <w:rFonts w:cs="FrankRuehl" w:hint="cs"/>
          <w:sz w:val="18"/>
          <w:szCs w:val="22"/>
          <w:rtl/>
          <w:lang w:eastAsia="he-IL"/>
        </w:rPr>
        <w:t>3.</w:t>
      </w:r>
      <w:r w:rsidRPr="00F41E78">
        <w:rPr>
          <w:rFonts w:cs="FrankRuehl" w:hint="cs"/>
          <w:sz w:val="18"/>
          <w:szCs w:val="22"/>
          <w:rtl/>
          <w:lang w:eastAsia="he-IL"/>
        </w:rPr>
        <w:tab/>
        <w:t>במרץ 2012 החליטה הממשלה (החלטה מס' 4429) על ייזום תכנון של 200,000 יח"ד במהלך חמש השנים הבאות על מקרקעי ישראל. עוד הוחלט לקבוע לרמ"י ולמשרד הבינוי יעדים חדשים לאישור של יח"ד.</w:t>
      </w:r>
    </w:p>
    <w:p w:rsidR="00D22B16" w:rsidRPr="00F41E78" w:rsidP="00D22B16">
      <w:pPr>
        <w:pStyle w:val="RESHET"/>
        <w:keepLines/>
        <w:ind w:left="567"/>
        <w:rPr>
          <w:rtl/>
        </w:rPr>
      </w:pPr>
      <w:r w:rsidRPr="00F41E78">
        <w:rPr>
          <w:rFonts w:hint="cs"/>
          <w:rtl/>
        </w:rPr>
        <w:t>החלטה זו, שאינה כוללת את יזמות המגזר הפרטי בקרקעות פרטיות, מציבה יעדים מספריים שונים מאלו שקבעה הממשלה ביולי 2010. בהחלטה זו מגולמת הציפיי</w:t>
      </w:r>
      <w:r w:rsidRPr="00F41E78">
        <w:rPr>
          <w:rFonts w:hint="eastAsia"/>
          <w:rtl/>
        </w:rPr>
        <w:t>ה</w:t>
      </w:r>
      <w:r w:rsidRPr="00F41E78">
        <w:rPr>
          <w:rFonts w:hint="cs"/>
          <w:rtl/>
        </w:rPr>
        <w:t xml:space="preserve"> כי המגזר הפרטי ישלים את יזמות התכנון למכסה שנקבעה בהחלטה משנת 2010. אולם אין בהחלטה זו מתווה כלשהו לעידוד המגזר הפרטי להגדיל את שיעור יזמותיו ולא ניתן להתבסס על תרומתו בעתיד כדי לעמוד במכסות השנתיות שנקבעו בהחלטה מיולי 2010. </w:t>
      </w:r>
    </w:p>
    <w:p w:rsidR="00D22B16" w:rsidRPr="00F41E78" w:rsidP="00D22B16">
      <w:pPr>
        <w:pStyle w:val="RESHET"/>
        <w:keepLines/>
        <w:rPr>
          <w:rtl/>
        </w:rPr>
      </w:pPr>
      <w:r w:rsidRPr="00F41E78">
        <w:rPr>
          <w:rFonts w:hint="cs"/>
          <w:rtl/>
        </w:rPr>
        <w:t>ריבוי החלטות הממשלה בתוך פרק זמן קצר בנושא תכנון המגורים צריך היה להוביל לעבודה בין-משרדית משולבת ומתואמת, למצער בכמה פרויקטים גדולים בקיבולתם שהוזכרו בהחלטות הממשלה. בפועל, הדבר לא קרה; גיבוש תכניות העבודה וקביעת סדרי העדיפויות נעשים ללא כל תיאום בין משרדי הממשלה הרלוונטיים ובינם לבין גורמים אחרים, בעיקר תחבורתיים, הקשורים לבנייה למגורים (ראו להלן בפרק "גורמים המעכבים את אישור התכניות ואת יישומן").</w:t>
      </w:r>
    </w:p>
    <w:p w:rsidR="00E97EDA" w:rsidRPr="00F41E78" w:rsidP="00A7557B">
      <w:pPr>
        <w:spacing w:after="120" w:line="230" w:lineRule="exact"/>
        <w:jc w:val="both"/>
        <w:rPr>
          <w:rFonts w:cs="FrankRuehl"/>
          <w:sz w:val="18"/>
          <w:szCs w:val="22"/>
          <w:rtl/>
          <w:lang w:eastAsia="he-IL"/>
        </w:rPr>
      </w:pPr>
    </w:p>
    <w:p w:rsidR="00E97EDA" w:rsidRPr="00E97EDA" w:rsidP="00A7557B">
      <w:pPr>
        <w:pStyle w:val="KOT5"/>
        <w:rPr>
          <w:rtl/>
          <w:lang w:eastAsia="he-IL"/>
        </w:rPr>
      </w:pPr>
      <w:r w:rsidRPr="00E97EDA">
        <w:rPr>
          <w:rFonts w:hint="cs"/>
          <w:rtl/>
          <w:lang w:eastAsia="he-IL"/>
        </w:rPr>
        <w:t>השגת יעדי תמ"א 35 באזור המרכז</w:t>
      </w:r>
    </w:p>
    <w:p w:rsidR="00E97EDA" w:rsidRPr="00F41E78" w:rsidP="00B55C19">
      <w:pPr>
        <w:spacing w:after="240" w:line="230" w:lineRule="exact"/>
        <w:jc w:val="both"/>
        <w:rPr>
          <w:rFonts w:cs="FrankRuehl"/>
          <w:sz w:val="18"/>
          <w:szCs w:val="22"/>
          <w:rtl/>
          <w:lang w:eastAsia="he-IL"/>
        </w:rPr>
      </w:pPr>
      <w:r w:rsidRPr="00F41E78">
        <w:rPr>
          <w:rFonts w:cs="FrankRuehl" w:hint="cs"/>
          <w:sz w:val="18"/>
          <w:szCs w:val="22"/>
          <w:rtl/>
          <w:lang w:eastAsia="he-IL"/>
        </w:rPr>
        <w:t xml:space="preserve">כאמור, צוות המעקב של תמ"א 35 מצא כי למרות מדיניות התמ"א בנוגע לפיזור אוכלוסין וליעדי האוכלוסייה שתוכננו על פיה, קיימים פערים ניכרים בין המרכז לפריפריה שחלקם הושפעו ממדיניות הממשלה. בתמ"א 35 נקבע כי בשנת 2020 אוכלוסיית מחוז המרכז המתוכננת תהווה 21% מאוכלוסיית המדינה כולה. בפועל, מאזן ההגירה החיובי למחוז זה הוא הגבוה בין המחוזות בישראל, ואם יימשך מצב זה, חלק האוכלוסייה החזוי במחוז המרכז בשנת 2030 יעלה ל-27%. גם בנושא בלימת תהליך הפרבור והפחתת בניית יחידות דיור צמודות קרקע לא השיגה התמ"א את מטרתה, כפי שיובא בהמשך. כאמור בשער השני, על רקע חריגה מיעדי התמ"א החליטה הממשלה באוגוסט 2008 להקפיא את הליכי התכנון במחוז המרכז. </w:t>
      </w:r>
    </w:p>
    <w:p w:rsidR="00D22B16" w:rsidRPr="00F41E78" w:rsidP="00D22B16">
      <w:pPr>
        <w:pStyle w:val="RESHET"/>
        <w:keepLines/>
        <w:rPr>
          <w:rtl/>
        </w:rPr>
      </w:pPr>
      <w:r w:rsidRPr="00F41E78">
        <w:rPr>
          <w:rFonts w:hint="cs"/>
          <w:rtl/>
        </w:rPr>
        <w:t xml:space="preserve">החלטת הממשלה האמורה הביאה לידי הקפאת קידומן של תכניות גדולות במרכז הארץ שקיבולתן המצרפית היא עשרות אלפי יח"ד. מקץ כשנתיים של הקפאה, ביולי 2010 החליטה הממשלה העוקבת (החלטה מס' 2019), על האצת פעולות התכנון והשיווק של מתחמים למגורים בכל חלקי הארץ. אולם חידוש התכנון לא יכול היה להיעשות מהנקודה שבה הופסק בשל שינויים שנעשו בחוק התכנון והבנייה וכן דרישות תכנוניות חדשות. </w:t>
      </w:r>
      <w:r>
        <w:rPr>
          <w:rFonts w:hint="cs"/>
          <w:rtl/>
        </w:rPr>
        <w:t xml:space="preserve">למשל, </w:t>
      </w:r>
      <w:r w:rsidRPr="00F41E78">
        <w:rPr>
          <w:rFonts w:hint="cs"/>
          <w:rtl/>
        </w:rPr>
        <w:t>שינויים ודרישות כמו הצורך בהכנת סקר עצים בוגרים (בעקבות תיקון לחוק משנת 2008), ייעוד דירות לטובת דיור בר השגה, שינוי בתפיסות הנוגעות לצפיפויות בתכניות. יוצא אפוא שהשפעת ההקפאה נמשכה הרבה יותר משנתיים.</w:t>
      </w:r>
    </w:p>
    <w:p w:rsidR="00FA6646" w:rsidRPr="00FA6646" w:rsidP="00B55C19">
      <w:pPr>
        <w:spacing w:before="180" w:after="240" w:line="230" w:lineRule="exact"/>
        <w:ind w:left="12" w:hanging="12"/>
        <w:jc w:val="both"/>
        <w:rPr>
          <w:rFonts w:cs="FrankRuehl"/>
          <w:sz w:val="20"/>
          <w:szCs w:val="22"/>
          <w:rtl/>
          <w:lang w:eastAsia="he-IL"/>
        </w:rPr>
      </w:pPr>
      <w:r w:rsidRPr="00F41E78">
        <w:rPr>
          <w:rFonts w:cs="FrankRuehl" w:hint="cs"/>
          <w:sz w:val="18"/>
          <w:szCs w:val="22"/>
          <w:rtl/>
          <w:lang w:eastAsia="he-IL"/>
        </w:rPr>
        <w:tab/>
        <w:t>מרכז הארץ מעוצב על פי מערכת מנגנוני השוק המכתיבה את הפעילות הכלכלית במטרופולין בכלל ובשוק הנדל"ן בפרט</w:t>
      </w:r>
      <w:r>
        <w:rPr>
          <w:rFonts w:ascii="FrankRuehl" w:hAnsi="FrankRuehl" w:cs="FrankRuehl"/>
          <w:sz w:val="22"/>
          <w:szCs w:val="22"/>
          <w:vertAlign w:val="superscript"/>
          <w:rtl/>
          <w:lang w:eastAsia="he-IL"/>
        </w:rPr>
        <w:footnoteReference w:id="210"/>
      </w:r>
      <w:r w:rsidRPr="00FA6646">
        <w:rPr>
          <w:rFonts w:cs="FrankRuehl" w:hint="cs"/>
          <w:sz w:val="20"/>
          <w:szCs w:val="22"/>
          <w:rtl/>
          <w:lang w:eastAsia="he-IL"/>
        </w:rPr>
        <w:t>. פיתוח מרכז הארץ, לרבות הגדלת מלאי הדירות על פי הביקושים, עשוי למתן את עליית מחירי הדיור ולעודד צמיחה. לעומת זאת, מדיניות התכנון הלאומית - כפי שבאה לידי ביטוי בתמ"א 35 ובתכניות מתאר ארציות קודמות - תמ"א 31</w:t>
      </w:r>
      <w:r>
        <w:rPr>
          <w:rFonts w:cs="FrankRuehl"/>
          <w:sz w:val="20"/>
          <w:szCs w:val="22"/>
          <w:vertAlign w:val="superscript"/>
          <w:rtl/>
          <w:lang w:eastAsia="he-IL"/>
        </w:rPr>
        <w:footnoteReference w:id="211"/>
      </w:r>
      <w:r w:rsidRPr="00FA6646">
        <w:rPr>
          <w:rFonts w:cs="FrankRuehl" w:hint="cs"/>
          <w:sz w:val="20"/>
          <w:szCs w:val="22"/>
          <w:rtl/>
          <w:lang w:eastAsia="he-IL"/>
        </w:rPr>
        <w:t>, תמ"א 2/6</w:t>
      </w:r>
      <w:r>
        <w:rPr>
          <w:rFonts w:cs="FrankRuehl"/>
          <w:sz w:val="20"/>
          <w:szCs w:val="22"/>
          <w:vertAlign w:val="superscript"/>
          <w:rtl/>
          <w:lang w:eastAsia="he-IL"/>
        </w:rPr>
        <w:footnoteReference w:id="212"/>
      </w:r>
      <w:r w:rsidRPr="00FA6646">
        <w:rPr>
          <w:rFonts w:cs="FrankRuehl" w:hint="cs"/>
          <w:sz w:val="20"/>
          <w:szCs w:val="22"/>
          <w:rtl/>
          <w:lang w:eastAsia="he-IL"/>
        </w:rPr>
        <w:t xml:space="preserve"> ותכנית האב לישראל לשנת 2020 וקווי היסוד של ממשלות ישראל - היא מדיניות הדוגלת בפיזור אוכלוסין. דהיינו, חיזוק הפריפריה ואכלוסה לצד מיתון מסוים בפיתוח מרכז הארץ. </w:t>
      </w:r>
    </w:p>
    <w:p w:rsidR="00D22B16" w:rsidRPr="00F41E78" w:rsidP="00D22B16">
      <w:pPr>
        <w:pStyle w:val="RESHET"/>
        <w:keepLines/>
        <w:rPr>
          <w:rtl/>
        </w:rPr>
      </w:pPr>
      <w:r w:rsidRPr="00F41E78">
        <w:rPr>
          <w:rFonts w:hint="cs"/>
          <w:rtl/>
        </w:rPr>
        <w:t>לפיכך, מדיניות התכנון הלאומית נדרשת לאזן בין שני אינטרסים - בין יעד פיזור האוכלוסין וההעדפה לפיתוח הפריפריה ובין השאיפה לצמיחה הכלכלית במרכז הארץ שהוא ה"קטר הכלכלי" המשרת חלק ניכר מהאוכלוסייה. צוות המעקב נאלץ לעדכן את יעדי פריסת האוכלוסייה בתמ"א 35 על פי פשרות שעשה בין היעדים שנקבעו בה מלכתחילה ובין גידול האוכלוסייה במחוזות השונים בפועל. בנוסף נדרש ליישב את הסתירה שבין תמ"א 35 ובין חלק מהחלטות הממשלה. הדבר מקשה על הוועדות המחוזיות מרכז ותל אביב להסדיר את הפיתוח במרכז הארץ על פי הוראות תמ"א 35 ולהשיג את יעדי האכלוס שנקבעו בה, ובה בעת להיענות להחלטות הממשלה על תכנון מכסות גדולות של יח"ד שמספרן כפול ויותר מהיעדים שבתמ"א</w:t>
      </w:r>
      <w:r>
        <w:rPr>
          <w:vertAlign w:val="superscript"/>
          <w:rtl/>
        </w:rPr>
        <w:footnoteReference w:id="213"/>
      </w:r>
      <w:r w:rsidRPr="00F41E78">
        <w:rPr>
          <w:rFonts w:hint="cs"/>
          <w:rtl/>
        </w:rPr>
        <w:t>.</w:t>
      </w:r>
    </w:p>
    <w:p w:rsidR="00D22B16" w:rsidRPr="00F41E78" w:rsidP="00D22B16">
      <w:pPr>
        <w:pStyle w:val="RESHET"/>
        <w:keepLines/>
        <w:rPr>
          <w:rtl/>
        </w:rPr>
      </w:pPr>
      <w:r w:rsidRPr="00F41E78">
        <w:rPr>
          <w:rFonts w:hint="cs"/>
          <w:rtl/>
        </w:rPr>
        <w:t xml:space="preserve">לדעת משרד מבקר המדינה, על הממשלה ליישב את הסתירה בין החלטותיה בדבר מכסות יחידות הדיור לתכנון ובין הוראות תמ"א 35 שאושרה גם היא בהחלטת ממשלה. </w:t>
      </w:r>
    </w:p>
    <w:p w:rsidR="006B0101" w:rsidRPr="00F41E78" w:rsidP="00A7557B">
      <w:pPr>
        <w:spacing w:after="120" w:line="230" w:lineRule="exact"/>
        <w:ind w:left="12"/>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פוטנציאל הבנייה בתכנון המתארי ועתודות הקרקע</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בקרב הגורמים העוסקים בתכנון למגורים קיימות הערכות שונות בנוגע להיצע הפוטנציאלי של דירות במרכז הארץ לטווח הארוך. השוני בהערכות מקורו בהבדלים שבהנחות יסוד הנוגעות בין </w:t>
      </w:r>
      <w:r w:rsidRPr="00F41E78">
        <w:rPr>
          <w:rFonts w:cs="FrankRuehl" w:hint="cs"/>
          <w:sz w:val="18"/>
          <w:szCs w:val="22"/>
          <w:rtl/>
          <w:lang w:eastAsia="he-IL"/>
        </w:rPr>
        <w:t>היתר לצפיפויות, לפחת תכנוני</w:t>
      </w:r>
      <w:r>
        <w:rPr>
          <w:rFonts w:cs="FrankRuehl"/>
          <w:sz w:val="18"/>
          <w:szCs w:val="22"/>
          <w:vertAlign w:val="superscript"/>
          <w:rtl/>
          <w:lang w:eastAsia="he-IL"/>
        </w:rPr>
        <w:footnoteReference w:id="214"/>
      </w:r>
      <w:r w:rsidRPr="00F41E78">
        <w:rPr>
          <w:rFonts w:cs="FrankRuehl" w:hint="cs"/>
          <w:sz w:val="18"/>
          <w:szCs w:val="22"/>
          <w:rtl/>
          <w:lang w:eastAsia="he-IL"/>
        </w:rPr>
        <w:t xml:space="preserve">, למשקלם של חסמים שונים ולאמצעי מדיניות לשינוי תהליכים קיימים. השונות בהערכות האמורות באה לידי ביטוי במידע הנמצא ברשויות המקומיות ובפרסומים של רמ"י, של החברה להגנת הטבע ושל משרד הפנים </w:t>
      </w:r>
      <w:r w:rsidRPr="00F41E78">
        <w:rPr>
          <w:rFonts w:cs="FrankRuehl" w:hint="eastAsia"/>
          <w:sz w:val="18"/>
          <w:szCs w:val="22"/>
          <w:rtl/>
          <w:lang w:eastAsia="he-IL"/>
        </w:rPr>
        <w:t>שגם</w:t>
      </w:r>
      <w:r w:rsidRPr="00F41E78">
        <w:rPr>
          <w:rFonts w:cs="FrankRuehl"/>
          <w:sz w:val="18"/>
          <w:szCs w:val="22"/>
          <w:rtl/>
          <w:lang w:eastAsia="he-IL"/>
        </w:rPr>
        <w:t xml:space="preserve"> </w:t>
      </w:r>
      <w:r w:rsidRPr="00F41E78">
        <w:rPr>
          <w:rFonts w:cs="FrankRuehl" w:hint="cs"/>
          <w:sz w:val="18"/>
          <w:szCs w:val="22"/>
          <w:rtl/>
          <w:lang w:eastAsia="he-IL"/>
        </w:rPr>
        <w:t xml:space="preserve">בתוכו </w:t>
      </w:r>
      <w:r w:rsidRPr="00F41E78">
        <w:rPr>
          <w:rFonts w:cs="FrankRuehl" w:hint="eastAsia"/>
          <w:sz w:val="18"/>
          <w:szCs w:val="22"/>
          <w:rtl/>
          <w:lang w:eastAsia="he-IL"/>
        </w:rPr>
        <w:t>יש</w:t>
      </w:r>
      <w:r w:rsidRPr="00F41E78">
        <w:rPr>
          <w:rFonts w:cs="FrankRuehl" w:hint="cs"/>
          <w:sz w:val="18"/>
          <w:szCs w:val="22"/>
          <w:rtl/>
          <w:lang w:eastAsia="he-IL"/>
        </w:rPr>
        <w:t>נן</w:t>
      </w:r>
      <w:r w:rsidRPr="00F41E78">
        <w:rPr>
          <w:rFonts w:cs="FrankRuehl"/>
          <w:sz w:val="18"/>
          <w:szCs w:val="22"/>
          <w:rtl/>
          <w:lang w:eastAsia="he-IL"/>
        </w:rPr>
        <w:t xml:space="preserve"> </w:t>
      </w:r>
      <w:r w:rsidRPr="00F41E78">
        <w:rPr>
          <w:rFonts w:cs="FrankRuehl" w:hint="eastAsia"/>
          <w:sz w:val="18"/>
          <w:szCs w:val="22"/>
          <w:rtl/>
          <w:lang w:eastAsia="he-IL"/>
        </w:rPr>
        <w:t>אי</w:t>
      </w:r>
      <w:r w:rsidRPr="00F41E78">
        <w:rPr>
          <w:rFonts w:cs="FrankRuehl"/>
          <w:sz w:val="18"/>
          <w:szCs w:val="22"/>
          <w:rtl/>
          <w:lang w:eastAsia="he-IL"/>
        </w:rPr>
        <w:t xml:space="preserve">-הסכמות </w:t>
      </w:r>
      <w:r w:rsidRPr="00F41E78">
        <w:rPr>
          <w:rFonts w:cs="FrankRuehl" w:hint="eastAsia"/>
          <w:sz w:val="18"/>
          <w:szCs w:val="22"/>
          <w:rtl/>
          <w:lang w:eastAsia="he-IL"/>
        </w:rPr>
        <w:t>בין</w:t>
      </w:r>
      <w:r w:rsidRPr="00F41E78">
        <w:rPr>
          <w:rFonts w:cs="FrankRuehl"/>
          <w:sz w:val="18"/>
          <w:szCs w:val="22"/>
          <w:rtl/>
          <w:lang w:eastAsia="he-IL"/>
        </w:rPr>
        <w:t xml:space="preserve"> </w:t>
      </w:r>
      <w:r w:rsidRPr="00F41E78">
        <w:rPr>
          <w:rFonts w:cs="FrankRuehl" w:hint="eastAsia"/>
          <w:sz w:val="18"/>
          <w:szCs w:val="22"/>
          <w:rtl/>
          <w:lang w:eastAsia="he-IL"/>
        </w:rPr>
        <w:t>מינהל</w:t>
      </w:r>
      <w:r w:rsidRPr="00F41E78">
        <w:rPr>
          <w:rFonts w:cs="FrankRuehl"/>
          <w:sz w:val="18"/>
          <w:szCs w:val="22"/>
          <w:rtl/>
          <w:lang w:eastAsia="he-IL"/>
        </w:rPr>
        <w:t xml:space="preserve"> </w:t>
      </w:r>
      <w:r w:rsidRPr="00F41E78">
        <w:rPr>
          <w:rFonts w:cs="FrankRuehl" w:hint="eastAsia"/>
          <w:sz w:val="18"/>
          <w:szCs w:val="22"/>
          <w:rtl/>
          <w:lang w:eastAsia="he-IL"/>
        </w:rPr>
        <w:t>התכנון</w:t>
      </w:r>
      <w:r w:rsidRPr="00F41E78">
        <w:rPr>
          <w:rFonts w:cs="FrankRuehl"/>
          <w:sz w:val="18"/>
          <w:szCs w:val="22"/>
          <w:rtl/>
          <w:lang w:eastAsia="he-IL"/>
        </w:rPr>
        <w:t xml:space="preserve"> </w:t>
      </w:r>
      <w:r w:rsidRPr="00F41E78">
        <w:rPr>
          <w:rFonts w:cs="FrankRuehl" w:hint="eastAsia"/>
          <w:sz w:val="18"/>
          <w:szCs w:val="22"/>
          <w:rtl/>
          <w:lang w:eastAsia="he-IL"/>
        </w:rPr>
        <w:t>ובין</w:t>
      </w:r>
      <w:r w:rsidRPr="00F41E78">
        <w:rPr>
          <w:rFonts w:cs="FrankRuehl"/>
          <w:sz w:val="18"/>
          <w:szCs w:val="22"/>
          <w:rtl/>
          <w:lang w:eastAsia="he-IL"/>
        </w:rPr>
        <w:t xml:space="preserve"> </w:t>
      </w:r>
      <w:r w:rsidRPr="00F41E78">
        <w:rPr>
          <w:rFonts w:cs="FrankRuehl" w:hint="eastAsia"/>
          <w:sz w:val="18"/>
          <w:szCs w:val="22"/>
          <w:rtl/>
          <w:lang w:eastAsia="he-IL"/>
        </w:rPr>
        <w:t>מחוז</w:t>
      </w:r>
      <w:r w:rsidRPr="00F41E78">
        <w:rPr>
          <w:rFonts w:cs="FrankRuehl"/>
          <w:sz w:val="18"/>
          <w:szCs w:val="22"/>
          <w:rtl/>
          <w:lang w:eastAsia="he-IL"/>
        </w:rPr>
        <w:t xml:space="preserve"> </w:t>
      </w:r>
      <w:r w:rsidRPr="00F41E78">
        <w:rPr>
          <w:rFonts w:cs="FrankRuehl" w:hint="eastAsia"/>
          <w:sz w:val="18"/>
          <w:szCs w:val="22"/>
          <w:rtl/>
          <w:lang w:eastAsia="he-IL"/>
        </w:rPr>
        <w:t>מרכז</w:t>
      </w:r>
      <w:r w:rsidRPr="00F41E78">
        <w:rPr>
          <w:rFonts w:cs="FrankRuehl" w:hint="cs"/>
          <w:sz w:val="18"/>
          <w:szCs w:val="22"/>
          <w:rtl/>
          <w:lang w:eastAsia="he-IL"/>
        </w:rPr>
        <w:t xml:space="preserve">. </w:t>
      </w:r>
    </w:p>
    <w:p w:rsidR="00E97EDA" w:rsidRPr="00F41E78" w:rsidP="00DD57EF">
      <w:pPr>
        <w:spacing w:after="240" w:line="230" w:lineRule="exact"/>
        <w:jc w:val="both"/>
        <w:rPr>
          <w:rFonts w:cs="FrankRuehl"/>
          <w:sz w:val="18"/>
          <w:szCs w:val="22"/>
          <w:rtl/>
          <w:lang w:eastAsia="he-IL"/>
        </w:rPr>
      </w:pPr>
      <w:r w:rsidRPr="00F41E78">
        <w:rPr>
          <w:rFonts w:cs="FrankRuehl" w:hint="cs"/>
          <w:sz w:val="18"/>
          <w:szCs w:val="22"/>
          <w:rtl/>
          <w:lang w:eastAsia="he-IL"/>
        </w:rPr>
        <w:t>מידע על פוטנציא</w:t>
      </w:r>
      <w:r w:rsidRPr="00F41E78">
        <w:rPr>
          <w:rFonts w:cs="FrankRuehl" w:hint="eastAsia"/>
          <w:sz w:val="18"/>
          <w:szCs w:val="22"/>
          <w:rtl/>
          <w:lang w:eastAsia="he-IL"/>
        </w:rPr>
        <w:t>ל</w:t>
      </w:r>
      <w:r w:rsidRPr="00F41E78">
        <w:rPr>
          <w:rFonts w:cs="FrankRuehl" w:hint="cs"/>
          <w:sz w:val="18"/>
          <w:szCs w:val="22"/>
          <w:rtl/>
          <w:lang w:eastAsia="he-IL"/>
        </w:rPr>
        <w:t xml:space="preserve"> לבנייה של יח"ד במרכז הארץ כבר נאסף בתכנית האב למטרופולין תל אביב שבה נקבע בשנת 1998 כי הפוטנציאל מגיע לכ-406,000 יח"ד הכלולות בתכניות מאושרות, בתכניות המצויות בתהליכי אישור ובתכניות רעיוניות. אשר לפוטנציאל הגלום בתהליכי שיקום ומחזור במרקמים עירוניים קבעה תכנית האב כי תוספת יחידות הדיור יכולה </w:t>
      </w:r>
      <w:r w:rsidRPr="00582A43">
        <w:rPr>
          <w:rFonts w:cs="FrankRuehl" w:hint="cs"/>
          <w:sz w:val="18"/>
          <w:szCs w:val="22"/>
          <w:rtl/>
          <w:lang w:eastAsia="he-IL"/>
        </w:rPr>
        <w:t>להגיע עד לכדי</w:t>
      </w:r>
      <w:r w:rsidRPr="00582A43" w:rsidR="0039006F">
        <w:rPr>
          <w:rFonts w:cs="FrankRuehl"/>
          <w:sz w:val="18"/>
          <w:szCs w:val="22"/>
          <w:rtl/>
          <w:lang w:eastAsia="he-IL"/>
        </w:rPr>
        <w:br/>
      </w:r>
      <w:r w:rsidRPr="00582A43">
        <w:rPr>
          <w:rFonts w:cs="FrankRuehl" w:hint="cs"/>
          <w:sz w:val="18"/>
          <w:szCs w:val="22"/>
          <w:rtl/>
          <w:lang w:eastAsia="he-IL"/>
        </w:rPr>
        <w:t>15%-10% מהבינוי הקיים.</w:t>
      </w:r>
      <w:r w:rsidRPr="00F41E78">
        <w:rPr>
          <w:rFonts w:cs="FrankRuehl" w:hint="cs"/>
          <w:sz w:val="18"/>
          <w:szCs w:val="22"/>
          <w:rtl/>
          <w:lang w:eastAsia="he-IL"/>
        </w:rPr>
        <w:t xml:space="preserve"> פוטנציאל נוסף שלא חושב בתכנית האב הזאת נמצא גם ביישובים כפריים העוברים תהליכי התרחבות. בתכנית המתאר המחוזית של מחוז תל אביב חושב פוטנציאל של כ-140,000 יח"ד חדשות שהיו בשלבי תכנון שונים. מספר זה כלל גם יח"ד שכבר אושרו בתהליכי ציפוף ושיקום במרקמים קיימים, שעל פי הניסיון הקיים בנייתן סבוכה וממושכת מאוד. בתכנית המתאר המחוזית של מחוז המרכז נקבע כי במחוז קיים פוטנציאל של כ-400,000 יח"ד. עוד נקבע בתכנית זו כי משנת 1995 עד השנה שבה תמנה אוכלוסיית ישראל 8 מיליון תושבים יש להוסיף 265,000 יח"ד במחוז </w:t>
      </w:r>
      <w:r w:rsidRPr="00F41E78">
        <w:rPr>
          <w:rFonts w:cs="FrankRuehl"/>
          <w:sz w:val="18"/>
          <w:szCs w:val="22"/>
          <w:rtl/>
          <w:lang w:eastAsia="he-IL"/>
        </w:rPr>
        <w:t xml:space="preserve">(הצפי </w:t>
      </w:r>
      <w:r w:rsidRPr="00F41E78">
        <w:rPr>
          <w:rFonts w:cs="FrankRuehl" w:hint="cs"/>
          <w:sz w:val="18"/>
          <w:szCs w:val="22"/>
          <w:rtl/>
          <w:lang w:eastAsia="he-IL"/>
        </w:rPr>
        <w:t>היה</w:t>
      </w:r>
      <w:r w:rsidRPr="00F41E78">
        <w:rPr>
          <w:rFonts w:cs="FrankRuehl"/>
          <w:sz w:val="18"/>
          <w:szCs w:val="22"/>
          <w:rtl/>
          <w:lang w:eastAsia="he-IL"/>
        </w:rPr>
        <w:t xml:space="preserve"> כי הדבר </w:t>
      </w:r>
      <w:r w:rsidRPr="00F41E78">
        <w:rPr>
          <w:rFonts w:cs="FrankRuehl" w:hint="eastAsia"/>
          <w:sz w:val="18"/>
          <w:szCs w:val="22"/>
          <w:rtl/>
          <w:lang w:eastAsia="he-IL"/>
        </w:rPr>
        <w:t>יקרה</w:t>
      </w:r>
      <w:r w:rsidRPr="00F41E78">
        <w:rPr>
          <w:rFonts w:cs="FrankRuehl"/>
          <w:sz w:val="18"/>
          <w:szCs w:val="22"/>
          <w:rtl/>
          <w:lang w:eastAsia="he-IL"/>
        </w:rPr>
        <w:t xml:space="preserve"> </w:t>
      </w:r>
      <w:r w:rsidRPr="00F41E78">
        <w:rPr>
          <w:rFonts w:cs="FrankRuehl" w:hint="eastAsia"/>
          <w:sz w:val="18"/>
          <w:szCs w:val="22"/>
          <w:rtl/>
          <w:lang w:eastAsia="he-IL"/>
        </w:rPr>
        <w:t>בשנת</w:t>
      </w:r>
      <w:r w:rsidRPr="00F41E78">
        <w:rPr>
          <w:rFonts w:cs="FrankRuehl"/>
          <w:sz w:val="18"/>
          <w:szCs w:val="22"/>
          <w:rtl/>
          <w:lang w:eastAsia="he-IL"/>
        </w:rPr>
        <w:t xml:space="preserve"> 2016)</w:t>
      </w:r>
      <w:r w:rsidRPr="00F41E78">
        <w:rPr>
          <w:rFonts w:cs="FrankRuehl" w:hint="cs"/>
          <w:sz w:val="18"/>
          <w:szCs w:val="22"/>
          <w:rtl/>
          <w:lang w:eastAsia="he-IL"/>
        </w:rPr>
        <w:t xml:space="preserve">. </w:t>
      </w:r>
    </w:p>
    <w:p w:rsidR="00D22B16" w:rsidRPr="00F41E78" w:rsidP="00D22B16">
      <w:pPr>
        <w:pStyle w:val="RESHET"/>
        <w:keepLines/>
        <w:rPr>
          <w:rtl/>
        </w:rPr>
      </w:pPr>
      <w:r w:rsidRPr="00F41E78">
        <w:rPr>
          <w:rFonts w:hint="cs"/>
          <w:rtl/>
        </w:rPr>
        <w:t xml:space="preserve">על פי חישובי משרד מבקר המדינה, מאחר שכבר בתחילת 2013 מנתה האוכלוסייה כ-8 מיליון תושבים, צריך היה להוסיף משנת 1995 ואילך כ-14,700 יח"ד בממוצע בכל שנה כדי לעמוד ביעד הבינוי שנקבע בתכנית המתאר המחוזית של מחוז המרכז. בפועל, על פי נתוני הלמ"ס, בשנים 2008-1995 נוספו במחוז כ-12,600 יח"ד בממוצע בכל שנה, ועל פי נתוני דוח המעקב לתמ"א 35, בשנים 2008-1999 נרשמו במחוז המרכז 10,190 התחלות בנייה בממוצע בכל שנה. יוצא אפוא שהפער בין הצרכים להיצע הוא כ-4,000-2,000 יח"ד בכל שנה, ובהתחשב בגידול האוכלוסייה שכבר היה מעבר למתוכנן במחוז המרכז, אף יותר מזה. </w:t>
      </w:r>
    </w:p>
    <w:p w:rsidR="00E97EDA" w:rsidRPr="00F41E78" w:rsidP="00B55C19">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צוות המעקב בדק את קצב מיצוי הקרקעות לבנייה במחוזות השונים. קצב זה מציין את אזילת עתודות הקרקע. הועלה כי בשנים 2007-1998 המיצוי של העתודות, כפי שנקבעו בתכניות המתאר המחוזיות של מחוזות המרכז ותל אביב, היה הגבוה ביותר לעומת המחוזות האחרים - 17.4% </w:t>
      </w:r>
      <w:r w:rsidR="00953D2F">
        <w:rPr>
          <w:rFonts w:cs="FrankRuehl"/>
          <w:sz w:val="18"/>
          <w:szCs w:val="22"/>
          <w:rtl/>
          <w:lang w:eastAsia="he-IL"/>
        </w:rPr>
        <w:br/>
      </w:r>
      <w:r w:rsidRPr="00F41E78">
        <w:rPr>
          <w:rFonts w:cs="FrankRuehl" w:hint="cs"/>
          <w:sz w:val="18"/>
          <w:szCs w:val="22"/>
          <w:rtl/>
          <w:lang w:eastAsia="he-IL"/>
        </w:rPr>
        <w:t xml:space="preserve">ו-13% בהתאמה לעומת ממוצע ארצי של 9.6%. עוד נמצא כי באותן השנים נבנו במחוז המרכז </w:t>
      </w:r>
      <w:r w:rsidR="00953D2F">
        <w:rPr>
          <w:rFonts w:cs="FrankRuehl"/>
          <w:sz w:val="18"/>
          <w:szCs w:val="22"/>
          <w:rtl/>
          <w:lang w:eastAsia="he-IL"/>
        </w:rPr>
        <w:br/>
      </w:r>
      <w:r w:rsidRPr="00F41E78">
        <w:rPr>
          <w:rFonts w:cs="FrankRuehl" w:hint="cs"/>
          <w:sz w:val="18"/>
          <w:szCs w:val="22"/>
          <w:rtl/>
          <w:lang w:eastAsia="he-IL"/>
        </w:rPr>
        <w:t xml:space="preserve">כ-17,380 </w:t>
      </w:r>
      <w:r w:rsidRPr="00F41E78">
        <w:rPr>
          <w:rFonts w:cs="FrankRuehl" w:hint="eastAsia"/>
          <w:sz w:val="18"/>
          <w:szCs w:val="22"/>
          <w:rtl/>
          <w:lang w:eastAsia="he-IL"/>
        </w:rPr>
        <w:t>יחידות</w:t>
      </w:r>
      <w:r w:rsidRPr="00F41E78">
        <w:rPr>
          <w:rFonts w:cs="FrankRuehl"/>
          <w:sz w:val="18"/>
          <w:szCs w:val="22"/>
          <w:rtl/>
          <w:lang w:eastAsia="he-IL"/>
        </w:rPr>
        <w:t xml:space="preserve"> </w:t>
      </w:r>
      <w:r w:rsidRPr="00F41E78">
        <w:rPr>
          <w:rFonts w:cs="FrankRuehl" w:hint="eastAsia"/>
          <w:sz w:val="18"/>
          <w:szCs w:val="22"/>
          <w:rtl/>
          <w:lang w:eastAsia="he-IL"/>
        </w:rPr>
        <w:t>דיור</w:t>
      </w:r>
      <w:r w:rsidRPr="00F41E78">
        <w:rPr>
          <w:rFonts w:cs="FrankRuehl"/>
          <w:sz w:val="18"/>
          <w:szCs w:val="22"/>
          <w:rtl/>
          <w:lang w:eastAsia="he-IL"/>
        </w:rPr>
        <w:t xml:space="preserve"> </w:t>
      </w:r>
      <w:r w:rsidRPr="00F41E78">
        <w:rPr>
          <w:rFonts w:cs="FrankRuehl" w:hint="eastAsia"/>
          <w:sz w:val="18"/>
          <w:szCs w:val="22"/>
          <w:rtl/>
          <w:lang w:eastAsia="he-IL"/>
        </w:rPr>
        <w:t>צמודות</w:t>
      </w:r>
      <w:r w:rsidRPr="00F41E78">
        <w:rPr>
          <w:rFonts w:cs="FrankRuehl"/>
          <w:sz w:val="18"/>
          <w:szCs w:val="22"/>
          <w:rtl/>
          <w:lang w:eastAsia="he-IL"/>
        </w:rPr>
        <w:t xml:space="preserve"> </w:t>
      </w:r>
      <w:r w:rsidRPr="00F41E78">
        <w:rPr>
          <w:rFonts w:cs="FrankRuehl" w:hint="eastAsia"/>
          <w:sz w:val="18"/>
          <w:szCs w:val="22"/>
          <w:rtl/>
          <w:lang w:eastAsia="he-IL"/>
        </w:rPr>
        <w:t>קרקע</w:t>
      </w:r>
      <w:r w:rsidRPr="00F41E78">
        <w:rPr>
          <w:rFonts w:cs="FrankRuehl" w:hint="cs"/>
          <w:sz w:val="18"/>
          <w:szCs w:val="22"/>
          <w:rtl/>
          <w:lang w:eastAsia="he-IL"/>
        </w:rPr>
        <w:t xml:space="preserve"> שהיו כ-24% מכלל יחידות הדיור שנבנו במרקמים עירוניים במחוז, וכ-14,140 יחידות דיור</w:t>
      </w:r>
      <w:r w:rsidRPr="00F41E78">
        <w:rPr>
          <w:rFonts w:cs="FrankRuehl"/>
          <w:sz w:val="18"/>
          <w:szCs w:val="22"/>
          <w:rtl/>
          <w:lang w:eastAsia="he-IL"/>
        </w:rPr>
        <w:t xml:space="preserve"> </w:t>
      </w:r>
      <w:r w:rsidRPr="00F41E78">
        <w:rPr>
          <w:rFonts w:cs="FrankRuehl" w:hint="eastAsia"/>
          <w:sz w:val="18"/>
          <w:szCs w:val="22"/>
          <w:rtl/>
          <w:lang w:eastAsia="he-IL"/>
        </w:rPr>
        <w:t>צמודות</w:t>
      </w:r>
      <w:r w:rsidRPr="00F41E78">
        <w:rPr>
          <w:rFonts w:cs="FrankRuehl"/>
          <w:sz w:val="18"/>
          <w:szCs w:val="22"/>
          <w:rtl/>
          <w:lang w:eastAsia="he-IL"/>
        </w:rPr>
        <w:t xml:space="preserve"> </w:t>
      </w:r>
      <w:r w:rsidRPr="00F41E78">
        <w:rPr>
          <w:rFonts w:cs="FrankRuehl" w:hint="eastAsia"/>
          <w:sz w:val="18"/>
          <w:szCs w:val="22"/>
          <w:rtl/>
          <w:lang w:eastAsia="he-IL"/>
        </w:rPr>
        <w:t>קרקע</w:t>
      </w:r>
      <w:r w:rsidRPr="00F41E78">
        <w:rPr>
          <w:rFonts w:cs="FrankRuehl" w:hint="cs"/>
          <w:sz w:val="18"/>
          <w:szCs w:val="22"/>
          <w:rtl/>
          <w:lang w:eastAsia="he-IL"/>
        </w:rPr>
        <w:t xml:space="preserve"> - כ-53% מיחידות הדיור שנבנו בשאר המרקמים</w:t>
      </w:r>
      <w:r>
        <w:rPr>
          <w:rFonts w:cs="FrankRuehl"/>
          <w:sz w:val="18"/>
          <w:szCs w:val="22"/>
          <w:vertAlign w:val="superscript"/>
          <w:rtl/>
          <w:lang w:eastAsia="he-IL"/>
        </w:rPr>
        <w:footnoteReference w:id="215"/>
      </w:r>
      <w:r w:rsidRPr="00F41E78">
        <w:rPr>
          <w:rFonts w:cs="FrankRuehl" w:hint="cs"/>
          <w:sz w:val="18"/>
          <w:szCs w:val="22"/>
          <w:rtl/>
          <w:lang w:eastAsia="he-IL"/>
        </w:rPr>
        <w:t>. עם זאת, נרשמה מגמה הפוכה - בנייה מרובה של יח"ד (כ-135,000 במחוז המרכז שהן כ-41% מסך כל הבנייה במחוז) תוך כדי הרוויית מרקמים בנויים קיימים; הדבר מעיד על ניצול טוב יותר מבעבר של משאב הקרקע. יוצא אפוא שקצב מיצוי הקרקעות היה נמוך מהתחזיות שבתמ"א 35 ועתודות הקרקע יספיקו לתקופה ארוכה יותר מהנחזה.</w:t>
      </w:r>
    </w:p>
    <w:p w:rsidR="006B0101" w:rsidRPr="00F41E78" w:rsidP="00A7557B">
      <w:pPr>
        <w:spacing w:after="120" w:line="230" w:lineRule="exact"/>
        <w:jc w:val="both"/>
        <w:rPr>
          <w:rFonts w:cs="FrankRuehl"/>
          <w:sz w:val="18"/>
          <w:szCs w:val="22"/>
          <w:lang w:eastAsia="he-IL"/>
        </w:rPr>
      </w:pPr>
    </w:p>
    <w:p w:rsidR="00E97EDA" w:rsidRPr="00CB33CD" w:rsidP="00A7557B">
      <w:pPr>
        <w:pStyle w:val="KOT5"/>
        <w:rPr>
          <w:rtl/>
          <w:lang w:eastAsia="he-IL"/>
        </w:rPr>
      </w:pPr>
      <w:r w:rsidRPr="00CB33CD">
        <w:rPr>
          <w:rFonts w:hint="cs"/>
          <w:rtl/>
          <w:lang w:eastAsia="he-IL"/>
        </w:rPr>
        <w:t>תכניות מתאר מקומיות</w:t>
      </w:r>
    </w:p>
    <w:p w:rsidR="00E97EDA" w:rsidRPr="00F41E78" w:rsidP="00A7557B">
      <w:pPr>
        <w:spacing w:after="120" w:line="230" w:lineRule="exact"/>
        <w:ind w:left="12"/>
        <w:jc w:val="both"/>
        <w:rPr>
          <w:rFonts w:cs="FrankRuehl"/>
          <w:sz w:val="18"/>
          <w:szCs w:val="22"/>
          <w:lang w:eastAsia="he-IL"/>
        </w:rPr>
      </w:pPr>
      <w:r w:rsidRPr="00F41E78">
        <w:rPr>
          <w:rFonts w:cs="FrankRuehl" w:hint="eastAsia"/>
          <w:sz w:val="18"/>
          <w:szCs w:val="22"/>
          <w:rtl/>
          <w:lang w:eastAsia="he-IL"/>
        </w:rPr>
        <w:t>תמ</w:t>
      </w:r>
      <w:r w:rsidRPr="00F41E78">
        <w:rPr>
          <w:rFonts w:cs="FrankRuehl"/>
          <w:sz w:val="18"/>
          <w:szCs w:val="22"/>
          <w:rtl/>
          <w:lang w:eastAsia="he-IL"/>
        </w:rPr>
        <w:t>"א</w:t>
      </w:r>
      <w:r w:rsidRPr="00F41E78">
        <w:rPr>
          <w:rFonts w:cs="FrankRuehl" w:hint="cs"/>
          <w:sz w:val="18"/>
          <w:szCs w:val="22"/>
          <w:rtl/>
          <w:lang w:eastAsia="he-IL"/>
        </w:rPr>
        <w:t xml:space="preserve"> 35 קובעת כי הוועדות המקומיות ביישובים שאוכלוסייתם גדולה מ-2,000 תושבים ותכניות המתאר החלות בתחומם אינן עדכניות, יכינו ויגישו לוועדות המחוזיות, לפי הצורך, תכניות מתאר שיפרטו ויישמו את ההוראות שבתמ"א ובתכניות המתאר המחוזיות. גם הצוות הבין-משרדי לרפורמה בחוק התכנון והבנייה קבע כי היעדר תכנון מתארי מקומי מעודכן הוא אחת הבעיות הקשות במערכת התכנון כיום.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במחוז המרכז ישנן 52 רשויות מקומיות (20 עיריות, 20 מועצות מקומיות ו-12 מועצות אזוריות), וב-22 מהן מכינים תכניות מתאר מקומיות כוללות (קרי, לכל היישוב). על פי חוק התכנון והבנייה, תכנית מתאר מקומית של יישוב מאושרת בידי הוועדה המחוזית, לאחר שהוועדה המקומית המליצה על הפקדתה בוועדה המחוזית. מבדיקת מצבן של 22 תכניות המתאר שבהכנה במחוז עולה כי 50% מהן מצויות בשלבים טרומיים של בחירת מתכנן או בתכנון ראשוני, וטרם הומלצו כאמור בוועדות המקומיות. מבין יתר 11 תכניות המתאר, רק 4 תכניות נמצאות בשלב שמיעת ההתנגדויות (קרי, לאחר הפקדה). </w:t>
      </w:r>
    </w:p>
    <w:p w:rsidR="00E97EDA" w:rsidRPr="00F41E78" w:rsidP="00B55C19">
      <w:pPr>
        <w:spacing w:after="240" w:line="230" w:lineRule="exact"/>
        <w:ind w:left="12"/>
        <w:jc w:val="both"/>
        <w:rPr>
          <w:rFonts w:cs="FrankRuehl"/>
          <w:sz w:val="18"/>
          <w:szCs w:val="22"/>
          <w:lang w:eastAsia="he-IL"/>
        </w:rPr>
      </w:pPr>
      <w:r w:rsidRPr="00F41E78">
        <w:rPr>
          <w:rFonts w:cs="FrankRuehl" w:hint="cs"/>
          <w:sz w:val="18"/>
          <w:szCs w:val="22"/>
          <w:rtl/>
          <w:lang w:eastAsia="he-IL"/>
        </w:rPr>
        <w:t>במחוז תל אביב ישנן 12 רשויות מקומיות (10 עיריות ו-2 מועצות מקומיות), וב-8 מהן מכינים תכניות מתאר כוללות. רק תכנית המתאר של העיר תל אביב הופקדה בנובמבר 2013 בוועדה המחוזית תל אביב (ומגולמת בה תוספת של 240,340 יח"ד חדשות); 3 תכניות הומלצו להפקדה בוועדה המחוזית ו-4 התכניות הנותרות מצויות בשלבי הכנה ראשוניים.</w:t>
      </w:r>
    </w:p>
    <w:p w:rsidR="00D22B16" w:rsidRPr="00F41E78" w:rsidP="00D22B16">
      <w:pPr>
        <w:pStyle w:val="RESHET"/>
        <w:keepLines/>
      </w:pPr>
      <w:r w:rsidRPr="00F41E78">
        <w:rPr>
          <w:rFonts w:hint="cs"/>
          <w:rtl/>
        </w:rPr>
        <w:t xml:space="preserve">יוצא אפוא שאישורן של רוב תכניות המתאר הכוללות שהרשויות המקומיות במרכז הארץ מכינות עלול להינתן רק בעוד שנים רבות. מאחר שקיומה של תכנית מתאר עדכנית תקפה הוא אחד התנאים לביזור נרחב של סמכויות מהוועדות המחוזיות לוועדות המקומיות, הרי היעדרן של תכניות מעודכנות יקשה על כך. </w:t>
      </w:r>
    </w:p>
    <w:p w:rsidR="00D22B16" w:rsidRPr="00F41E78" w:rsidP="00D22B16">
      <w:pPr>
        <w:pStyle w:val="RESHET"/>
        <w:keepLines/>
        <w:rPr>
          <w:rtl/>
        </w:rPr>
      </w:pPr>
      <w:r w:rsidRPr="00F41E78">
        <w:rPr>
          <w:rFonts w:hint="cs"/>
          <w:rtl/>
        </w:rPr>
        <w:t>בתכניות מתאר מקומיות כוללות מאושרות גלום פוטנציאל לאישור מהיר של תכניות מפורטות הנגזרות מהן, ובייחוד אם ניתן לאשרן בוועדות המקומיות שהוסמכו לכך, ללא כל צורך להביאן לדיון בוועדות המחוזיות. מעבר לתרומה להאצת התכנון למגורים, יתרונותיהן של התכניות הכוללות באים לידי ביטוי בעדכניותן ובגיבושן מתוך ראייה כוללת של צורכי היישוב שהיא החלופה לראייה צרה יותר הקיימת במצב הנוכחי הדוגלת בהוספת שכונות בדופן הבינוי הקיים.</w:t>
      </w:r>
    </w:p>
    <w:p w:rsidR="006B0101" w:rsidRPr="002A1D15"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המלאי התכנוני למגורים במרכז הארץ</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כאמור, במשרד הפנים אין כל מידע על גודלו של המלאי התכנוני אך ישנם נתונים על תכניות שאושרו בשנים האחרונות. בביקורת נמצא כי במחוז המרכז </w:t>
      </w:r>
      <w:r w:rsidRPr="00F41E78">
        <w:rPr>
          <w:rFonts w:cs="FrankRuehl"/>
          <w:sz w:val="18"/>
          <w:szCs w:val="22"/>
          <w:rtl/>
          <w:lang w:eastAsia="he-IL"/>
        </w:rPr>
        <w:t>נרשם</w:t>
      </w:r>
      <w:r w:rsidRPr="00F41E78">
        <w:rPr>
          <w:rFonts w:cs="FrankRuehl" w:hint="cs"/>
          <w:sz w:val="18"/>
          <w:szCs w:val="22"/>
          <w:rtl/>
          <w:lang w:eastAsia="he-IL"/>
        </w:rPr>
        <w:t xml:space="preserve"> לאורך השנים 2011-2007 פער גדל והולך בין מספר יחידות הדיור בתכניות שאושרו בשנים אלו ובין מספר התחלות הבנייה. פער זה הגיע בשנת 2011 לכדי 26,000 יח"ד שהן כ-70% מכמות יחידות הדיור שאושרו במחוז בתקופה האמורה; כלומר, המלאי התכנוני שנוצר במחוז נשחק ברובו הגדול. בשנת 2012 נבלמה המגמה. לעומת זאת, במחוז תל אביב לא נבלמה המגמה ועדיין נרשם פער של כ-14,000 יח"ד, דהיינו </w:t>
      </w:r>
      <w:r w:rsidR="008E6B36">
        <w:rPr>
          <w:rFonts w:cs="FrankRuehl"/>
          <w:sz w:val="18"/>
          <w:szCs w:val="22"/>
          <w:lang w:eastAsia="he-IL"/>
        </w:rPr>
        <w:br/>
      </w:r>
      <w:r w:rsidRPr="00F41E78">
        <w:rPr>
          <w:rFonts w:cs="FrankRuehl" w:hint="cs"/>
          <w:sz w:val="18"/>
          <w:szCs w:val="22"/>
          <w:rtl/>
          <w:lang w:eastAsia="he-IL"/>
        </w:rPr>
        <w:t>כ-50% ממספר יחידות הדיור שאושרו בשנים אלו במחוז. אם תימשך השחיקה הזאת, בתוך כמה שנים לא יימצא מלאי תכנוני</w:t>
      </w:r>
      <w:r w:rsidRPr="00F41E78">
        <w:rPr>
          <w:rFonts w:cs="FrankRuehl" w:hint="cs"/>
          <w:sz w:val="18"/>
          <w:szCs w:val="22"/>
          <w:rtl/>
          <w:lang w:eastAsia="he-IL"/>
        </w:rPr>
        <w:t xml:space="preserve"> </w:t>
      </w:r>
      <w:r w:rsidRPr="00F41E78">
        <w:rPr>
          <w:rFonts w:cs="FrankRuehl" w:hint="cs"/>
          <w:sz w:val="18"/>
          <w:szCs w:val="22"/>
          <w:rtl/>
          <w:lang w:eastAsia="he-IL"/>
        </w:rPr>
        <w:t>במחוז תל אביב.</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עתודות למלאי התכנוני</w:t>
      </w:r>
    </w:p>
    <w:p w:rsidR="00E97EDA" w:rsidRPr="00F41E78" w:rsidP="008E6B36">
      <w:pPr>
        <w:spacing w:after="240" w:line="230" w:lineRule="exact"/>
        <w:jc w:val="both"/>
        <w:rPr>
          <w:rFonts w:cs="FrankRuehl"/>
          <w:sz w:val="18"/>
          <w:szCs w:val="22"/>
          <w:rtl/>
          <w:lang w:eastAsia="he-IL"/>
        </w:rPr>
      </w:pPr>
      <w:r w:rsidRPr="00F41E78">
        <w:rPr>
          <w:rFonts w:cs="FrankRuehl" w:hint="cs"/>
          <w:sz w:val="18"/>
          <w:szCs w:val="22"/>
          <w:rtl/>
          <w:lang w:eastAsia="he-IL"/>
        </w:rPr>
        <w:t xml:space="preserve">על פי נתוני משרד הפנים מאפריל 2013 היו במחוז המרכז כ-84,000 יח"ד בהליכי תכנון ורובן </w:t>
      </w:r>
      <w:r w:rsidR="008E6B36">
        <w:rPr>
          <w:rFonts w:cs="FrankRuehl"/>
          <w:sz w:val="18"/>
          <w:szCs w:val="22"/>
          <w:lang w:eastAsia="he-IL"/>
        </w:rPr>
        <w:br/>
      </w:r>
      <w:r w:rsidRPr="00F41E78">
        <w:rPr>
          <w:rFonts w:cs="FrankRuehl" w:hint="cs"/>
          <w:sz w:val="18"/>
          <w:szCs w:val="22"/>
          <w:rtl/>
          <w:lang w:eastAsia="he-IL"/>
        </w:rPr>
        <w:t xml:space="preserve">(כ-55,000) היו בשלבי תכנון מוקדמים, ובמחוז תל אביב - כ-50,000 יח"ד ורובן (כ-40,000) בשלבי תכנון מתקדמים. בסך הכול נמצאו כ-134,000 יח"ד בהליכי תכנון במרכז הארץ מתוך </w:t>
      </w:r>
      <w:r w:rsidR="008E6B36">
        <w:rPr>
          <w:rFonts w:cs="FrankRuehl"/>
          <w:sz w:val="18"/>
          <w:szCs w:val="22"/>
          <w:lang w:eastAsia="he-IL"/>
        </w:rPr>
        <w:br/>
      </w:r>
      <w:r w:rsidRPr="00F41E78">
        <w:rPr>
          <w:rFonts w:cs="FrankRuehl" w:hint="cs"/>
          <w:sz w:val="18"/>
          <w:szCs w:val="22"/>
          <w:rtl/>
          <w:lang w:eastAsia="he-IL"/>
        </w:rPr>
        <w:t>כ-300,000 בכל הארץ.</w:t>
      </w:r>
    </w:p>
    <w:p w:rsidR="00D22B16" w:rsidRPr="00F41E78" w:rsidP="00D22B16">
      <w:pPr>
        <w:pStyle w:val="RESHET"/>
        <w:keepLines/>
        <w:rPr>
          <w:rtl/>
        </w:rPr>
      </w:pPr>
      <w:r w:rsidRPr="00F41E78">
        <w:rPr>
          <w:rFonts w:hint="cs"/>
          <w:rtl/>
        </w:rPr>
        <w:t xml:space="preserve">בשנת 2011 לא נקלטו תכניות גדולות חדשות למגורים בוועדות המחוזיות מרכז ותל אביב. בשנת 2012 נקלטו במחוז המרכז תכניות שקיבולתן רק 3,764 יח"ד ובמחוז תל אביב - 4,978 יח"ד. מצב זה מעלה חשש כבד כי יעדי הממשלה לא יושגו בשנים הבאות והמחסור בדירות ימשיך גם בעתיד. </w:t>
      </w:r>
    </w:p>
    <w:p w:rsidR="00D22B16" w:rsidRPr="00F41E78" w:rsidP="00D22B16">
      <w:pPr>
        <w:pStyle w:val="RESHET"/>
        <w:keepLines/>
        <w:rPr>
          <w:rtl/>
        </w:rPr>
      </w:pPr>
      <w:r w:rsidRPr="00F41E78">
        <w:rPr>
          <w:rFonts w:hint="cs"/>
          <w:rtl/>
        </w:rPr>
        <w:t xml:space="preserve">כבר בינואר 2010 </w:t>
      </w:r>
      <w:r w:rsidRPr="00F41E78">
        <w:rPr>
          <w:rFonts w:hint="eastAsia"/>
          <w:rtl/>
        </w:rPr>
        <w:t>קבע</w:t>
      </w:r>
      <w:r w:rsidRPr="00F41E78">
        <w:rPr>
          <w:rFonts w:hint="cs"/>
          <w:rtl/>
        </w:rPr>
        <w:t xml:space="preserve"> סמנכ"ל לתכנון ופיתוח ברמ"י בדוא"ל ששלח לאדריכלי מחוזות הרשות כי קיים מחסור בהתחלות </w:t>
      </w:r>
      <w:r w:rsidRPr="00F41E78">
        <w:rPr>
          <w:rFonts w:hint="eastAsia"/>
          <w:rtl/>
        </w:rPr>
        <w:t>תכנון</w:t>
      </w:r>
      <w:r w:rsidRPr="00F41E78">
        <w:rPr>
          <w:rFonts w:hint="cs"/>
          <w:rtl/>
        </w:rPr>
        <w:t xml:space="preserve"> ומחסור זה רק הולך ומחריף. באוקטובר 2012 התריעה מתכננת מחוז המרכז במשרד הפנים כי גורמי התכנון הממשלתיים (רמ"י ומשרד הבינוי) טרם הגישו תכניות חדשות שיאפשרו להשיג את היעד הממשלתי השנתי למחוז זה. זאת ועוד, חלק גדול מיחידות הדיור שאושרו בשנת 2012 ומאלו שיאושרו בשנת 2013 ייבנו על קרקעות פרטיות שבנוגע להן יכולת התערבותה של המדינה בתכנונן מוגבלת</w:t>
      </w:r>
      <w:r>
        <w:rPr>
          <w:rFonts w:hint="cs"/>
          <w:rtl/>
        </w:rPr>
        <w:t xml:space="preserve"> </w:t>
      </w:r>
      <w:r w:rsidRPr="00F41E78">
        <w:rPr>
          <w:rtl/>
        </w:rPr>
        <w:t xml:space="preserve">(ראו לעיל בפרק "ייזום </w:t>
      </w:r>
      <w:r w:rsidRPr="00F41E78">
        <w:rPr>
          <w:rFonts w:hint="eastAsia"/>
          <w:rtl/>
        </w:rPr>
        <w:t>התכנון</w:t>
      </w:r>
      <w:r w:rsidRPr="00F41E78">
        <w:rPr>
          <w:rtl/>
        </w:rPr>
        <w:t xml:space="preserve"> </w:t>
      </w:r>
      <w:r w:rsidRPr="00F41E78">
        <w:rPr>
          <w:rFonts w:hint="eastAsia"/>
          <w:rtl/>
        </w:rPr>
        <w:t>על</w:t>
      </w:r>
      <w:r w:rsidRPr="00F41E78">
        <w:rPr>
          <w:rtl/>
        </w:rPr>
        <w:t xml:space="preserve"> מקרקעי ישראל").</w:t>
      </w:r>
      <w:r w:rsidRPr="00F41E78">
        <w:rPr>
          <w:rFonts w:hint="cs"/>
          <w:rtl/>
        </w:rPr>
        <w:t xml:space="preserve"> </w:t>
      </w:r>
    </w:p>
    <w:p w:rsidR="00E97EDA" w:rsidRPr="00F41E78" w:rsidP="008E6B36">
      <w:pPr>
        <w:spacing w:before="180" w:after="120" w:line="230" w:lineRule="exact"/>
        <w:ind w:left="12"/>
        <w:jc w:val="both"/>
        <w:rPr>
          <w:rFonts w:cs="FrankRuehl"/>
          <w:sz w:val="18"/>
          <w:szCs w:val="22"/>
          <w:rtl/>
          <w:lang w:eastAsia="he-IL"/>
        </w:rPr>
      </w:pPr>
      <w:r w:rsidRPr="00F41E78">
        <w:rPr>
          <w:rFonts w:cs="FrankRuehl" w:hint="cs"/>
          <w:sz w:val="18"/>
          <w:szCs w:val="22"/>
          <w:rtl/>
          <w:lang w:eastAsia="he-IL"/>
        </w:rPr>
        <w:t>בדצמבר 2013 השיבה הממונה על מחוז תל אביב במשרד הפנים כי במחוז זה אושרו תכניות מכוח סעיף 23 בתמ"א 38 שבהן גלום פוטנציאל להוספה של כ-260,000 יח"ד במחוז בשנים הבאות. היא הוסיפה כי בהנחה ש-6,500 יח"ד ימומשו מדי שנה ניתן יהיה להשיג את יעדי הממשלה. משרד מבקר המדינה מציין כי על פי נתוני משרד הפנים</w:t>
      </w:r>
      <w:r>
        <w:rPr>
          <w:rFonts w:cs="FrankRuehl"/>
          <w:sz w:val="18"/>
          <w:szCs w:val="22"/>
          <w:vertAlign w:val="superscript"/>
          <w:rtl/>
          <w:lang w:eastAsia="he-IL"/>
        </w:rPr>
        <w:footnoteReference w:id="216"/>
      </w:r>
      <w:r w:rsidRPr="00F41E78">
        <w:rPr>
          <w:rFonts w:cs="FrankRuehl" w:hint="cs"/>
          <w:sz w:val="18"/>
          <w:szCs w:val="22"/>
          <w:rtl/>
          <w:lang w:eastAsia="he-IL"/>
        </w:rPr>
        <w:t>, בשנים 2013-2005 הוצאו בכל הארץ רק 426 היתרי בנייה מכוח תמ"א 38; ללא שינוי ניכר של "כללי המשחק" הקיימים קשה יהיה להתבסס בעתיד הקרוב על הפוטנציאל התיאורטי כדי לעמוד במכסה הממשלתית.</w:t>
      </w:r>
    </w:p>
    <w:p w:rsidR="006B0101" w:rsidRPr="00F41E78" w:rsidP="00A7557B">
      <w:pPr>
        <w:spacing w:after="120" w:line="230" w:lineRule="exact"/>
        <w:ind w:left="12"/>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גורמים המעכבים אישור תכניות ויישומן</w:t>
      </w:r>
    </w:p>
    <w:p w:rsidR="00E97EDA" w:rsidRPr="00F41E78" w:rsidP="008E6B36">
      <w:pPr>
        <w:spacing w:after="120" w:line="224" w:lineRule="exact"/>
        <w:ind w:left="12"/>
        <w:jc w:val="both"/>
        <w:rPr>
          <w:rFonts w:cs="FrankRuehl"/>
          <w:sz w:val="18"/>
          <w:szCs w:val="22"/>
          <w:rtl/>
          <w:lang w:eastAsia="he-IL"/>
        </w:rPr>
      </w:pPr>
      <w:r w:rsidRPr="00F41E78">
        <w:rPr>
          <w:rFonts w:cs="FrankRuehl" w:hint="cs"/>
          <w:sz w:val="18"/>
          <w:szCs w:val="22"/>
          <w:rtl/>
          <w:lang w:eastAsia="he-IL"/>
        </w:rPr>
        <w:t xml:space="preserve">בתחום התכנון והבנייה קיימים גורמים ניהוליים, ארגוניים ותקציביים המעכבים בטווחי זמן של שנים אישור תכניות ומימושן (להלן - חסמים). ישנם חסמים המעכבים את התכנון ואת ההליכים הסטטוטוריים עד לאישורה הסופי של תכנית מפורטת, וחסמים אחרים המעכבים ביצוע, לרבות שיווק קרקעות מתוכננות, פיתוחן והוצאת היתרי בנייה. כבר משנות התשעים של המאה העשרים החלו לפעול להסרת חסמים. לצורך זה הוקמה ועדה בין-משרדית בראשותו של מנכ"ל משרד ראש הממשלה. גם כיום פועלת ועדה כזאת ועיקר פעילותה הוא הסרת חסמים המעכבים ביצוע. </w:t>
      </w:r>
    </w:p>
    <w:p w:rsidR="00E97EDA" w:rsidRPr="00F41E78" w:rsidP="008E6B36">
      <w:pPr>
        <w:spacing w:after="120" w:line="224" w:lineRule="exact"/>
        <w:ind w:left="12"/>
        <w:jc w:val="both"/>
        <w:rPr>
          <w:rFonts w:cs="FrankRuehl"/>
          <w:sz w:val="18"/>
          <w:szCs w:val="22"/>
          <w:rtl/>
          <w:lang w:eastAsia="he-IL"/>
        </w:rPr>
      </w:pPr>
      <w:r w:rsidRPr="00F41E78">
        <w:rPr>
          <w:rFonts w:cs="FrankRuehl" w:hint="eastAsia"/>
          <w:bCs/>
          <w:spacing w:val="40"/>
          <w:sz w:val="18"/>
          <w:szCs w:val="22"/>
          <w:rtl/>
        </w:rPr>
        <w:t>מחסור</w:t>
      </w:r>
      <w:r w:rsidRPr="00F41E78">
        <w:rPr>
          <w:rFonts w:cs="FrankRuehl"/>
          <w:bCs/>
          <w:spacing w:val="40"/>
          <w:sz w:val="18"/>
          <w:szCs w:val="22"/>
          <w:rtl/>
        </w:rPr>
        <w:t xml:space="preserve"> </w:t>
      </w:r>
      <w:r w:rsidRPr="00F41E78">
        <w:rPr>
          <w:rFonts w:cs="FrankRuehl" w:hint="eastAsia"/>
          <w:bCs/>
          <w:spacing w:val="40"/>
          <w:sz w:val="18"/>
          <w:szCs w:val="22"/>
          <w:rtl/>
        </w:rPr>
        <w:t>בתשתיות</w:t>
      </w:r>
      <w:r w:rsidRPr="00F41E78">
        <w:rPr>
          <w:rFonts w:cs="FrankRuehl"/>
          <w:bCs/>
          <w:spacing w:val="40"/>
          <w:sz w:val="18"/>
          <w:szCs w:val="22"/>
          <w:rtl/>
        </w:rPr>
        <w:t xml:space="preserve">: </w:t>
      </w:r>
      <w:r w:rsidRPr="00F41E78">
        <w:rPr>
          <w:rFonts w:cs="FrankRuehl" w:hint="cs"/>
          <w:sz w:val="18"/>
          <w:szCs w:val="22"/>
          <w:rtl/>
          <w:lang w:eastAsia="he-IL"/>
        </w:rPr>
        <w:t>נמצא כי לא ניתן לשווק או לפתח או לבנות או לאכלס חלק מיחידות הדיור שכבר אושרו בתכניות מפורטות בשנים האחרונות. לא ניתן לעשות זאת בגלל התניות שנקבעו בתקנון התכניות המפורטות, המתנות את מימוש התכניות בביצועם של פרויקטים תשתיתיים שעלות כל אחד מהם גבוהה מאוד, לעתים עד כדי מאות מיליוני שקלים; לכן, עיקר הקושי לממש תכניות מאושרות שקיבולתן אלפי יח"ד הוא תקציבי. כפועל יוצא, גם אם הצליחו מוסדות התכנון לאשר תכניות לבניית יח"ד על פי היעד הכמותי שקבעה הממשלה לכל מחוז, רמת זמינותן למימוש פחותה מהמכסה. עם זאת, תכניות רבות המצויות בהליכי תכנון, הכוללות אלפי יח"ד פוטנציאליות, אינן מאושרות מאותה הסיבה (ראו להלן).</w:t>
      </w:r>
    </w:p>
    <w:p w:rsidR="00E97EDA" w:rsidRPr="00F41E78" w:rsidP="008E6B36">
      <w:pPr>
        <w:spacing w:after="240" w:line="224" w:lineRule="exact"/>
        <w:ind w:left="12"/>
        <w:jc w:val="both"/>
        <w:rPr>
          <w:rFonts w:cs="FrankRuehl"/>
          <w:sz w:val="18"/>
          <w:szCs w:val="22"/>
          <w:rtl/>
          <w:lang w:eastAsia="he-IL"/>
        </w:rPr>
      </w:pPr>
      <w:r w:rsidRPr="00F41E78">
        <w:rPr>
          <w:rFonts w:cs="FrankRuehl" w:hint="cs"/>
          <w:sz w:val="18"/>
          <w:szCs w:val="22"/>
          <w:rtl/>
          <w:lang w:eastAsia="he-IL"/>
        </w:rPr>
        <w:t xml:space="preserve">במחוז המרכז ישנם שני חסמים עיקריים לאישור תכניות ולביצוען - יישום פתרונות תחבורתיים (כמו בניית מחלף או כביש חדש) ופתרונות קצה לביוב, דהיינו חיבור למכוני טיהור שפכים </w:t>
      </w:r>
      <w:r w:rsidRPr="00F41E78">
        <w:rPr>
          <w:rFonts w:cs="FrankRuehl"/>
          <w:sz w:val="18"/>
          <w:szCs w:val="22"/>
          <w:rtl/>
          <w:lang w:eastAsia="he-IL"/>
        </w:rPr>
        <w:t>(</w:t>
      </w:r>
      <w:r w:rsidRPr="00F41E78">
        <w:rPr>
          <w:rFonts w:cs="FrankRuehl" w:hint="eastAsia"/>
          <w:sz w:val="18"/>
          <w:szCs w:val="22"/>
          <w:rtl/>
          <w:lang w:eastAsia="he-IL"/>
        </w:rPr>
        <w:t>מט</w:t>
      </w:r>
      <w:r w:rsidRPr="00F41E78">
        <w:rPr>
          <w:rFonts w:cs="FrankRuehl"/>
          <w:sz w:val="18"/>
          <w:szCs w:val="22"/>
          <w:rtl/>
          <w:lang w:eastAsia="he-IL"/>
        </w:rPr>
        <w:t>"שים</w:t>
      </w:r>
      <w:r w:rsidRPr="00F41E78">
        <w:rPr>
          <w:rFonts w:cs="FrankRuehl" w:hint="cs"/>
          <w:sz w:val="18"/>
          <w:szCs w:val="22"/>
          <w:rtl/>
          <w:lang w:eastAsia="he-IL"/>
        </w:rPr>
        <w:t>) או שדרוגם. במחוז תל אביב החסם העיקרי הוא חסם התחבורה. לדוגמה, בספטמבר 2012 עוכבו הליכי התכנון של כ-97,000 יח"ד ב-8 תכניות גדולות מאוד (מחנה סירקין, מחנה צריפין, מחנה תל השומר ותע"ש רמת השרון) בגלל חסמי תחבורה; במחוז המרכז לבדו עוכבו הליכי התכנון של כ-35,500 יח"ד עקב היעדר פתרונות קצה לביוב. יצוין כי בחלק מהמקרים אותן יח"ד מעוכבות בגלל שני החסמים האמורים.</w:t>
      </w:r>
    </w:p>
    <w:p w:rsidR="00D22B16" w:rsidRPr="00F41E78" w:rsidP="00D22B16">
      <w:pPr>
        <w:pStyle w:val="RESHET"/>
        <w:keepLines/>
        <w:spacing w:line="224" w:lineRule="exact"/>
        <w:rPr>
          <w:rtl/>
        </w:rPr>
      </w:pPr>
      <w:r w:rsidRPr="00F41E78">
        <w:rPr>
          <w:rFonts w:hint="cs"/>
          <w:rtl/>
        </w:rPr>
        <w:t xml:space="preserve">נמצא כי מחוז תל אביב במשרד הפנים לא אסף נתונים על יחידות הדיור שתכנונן או בנייתן מתעכבים בגין החסמים בתחומו. </w:t>
      </w:r>
    </w:p>
    <w:p w:rsidR="00E97EDA" w:rsidRPr="00F41E78" w:rsidP="008E6B36">
      <w:pPr>
        <w:spacing w:before="180" w:after="240" w:line="230" w:lineRule="exact"/>
        <w:ind w:left="12"/>
        <w:jc w:val="both"/>
        <w:rPr>
          <w:rFonts w:cs="FrankRuehl"/>
          <w:sz w:val="18"/>
          <w:szCs w:val="22"/>
          <w:rtl/>
          <w:lang w:eastAsia="he-IL"/>
        </w:rPr>
      </w:pPr>
      <w:r w:rsidRPr="00F41E78">
        <w:rPr>
          <w:rFonts w:cs="FrankRuehl" w:hint="cs"/>
          <w:sz w:val="18"/>
          <w:szCs w:val="22"/>
          <w:rtl/>
          <w:lang w:eastAsia="he-IL"/>
        </w:rPr>
        <w:t>בתשובתו של משרד האוצר ציין אג"ת כי אישור של תכניות מפורטות למתחמים גדולים, כמו מחנות צה"ל, כרוך במתן מענה לתשתיות הנלוות ולצורכי הרשויות המקומיות. הוועדות המחוזיות מתקשות לעתים בקבלת החלטות מסוג זה, לכן יזם המשרד שלושה מהלכים להקל את תהליך קבלת ההחלטות. המשרד הקים קבינט דיור המתכנס תכופות ופועל מתוך שיתוף פעולה בין-משרדי, הכין תכנית מתאר ארצית ברמה של תכנית מפורטת לשטחי מחנות צה"ל המתפנים</w:t>
      </w:r>
      <w:r>
        <w:rPr>
          <w:rFonts w:cs="FrankRuehl"/>
          <w:sz w:val="18"/>
          <w:szCs w:val="22"/>
          <w:vertAlign w:val="superscript"/>
          <w:rtl/>
          <w:lang w:eastAsia="he-IL"/>
        </w:rPr>
        <w:footnoteReference w:id="217"/>
      </w:r>
      <w:r w:rsidRPr="00F41E78">
        <w:rPr>
          <w:rFonts w:cs="FrankRuehl" w:hint="cs"/>
          <w:sz w:val="18"/>
          <w:szCs w:val="22"/>
          <w:rtl/>
          <w:lang w:eastAsia="he-IL"/>
        </w:rPr>
        <w:t xml:space="preserve"> וקידם חקיקה להקמת מוסד תכנון חדש שיתמקד בתכניות גדולות ומועדפות למגורים. עוד ציין אג"ת כי התניית יישומן של תכניות בביצוע תשתיות למיניהן מביאה לידי דחייה של כמה שנים בשיווק ובאכלוס של יח"ד חדשות. לכן, כדי לשמור על קצב השיווק הרצוי ועל איכות השכונות החדשות, יש לאפשר לשווק את הקרקע בשלבים. קביעת שלבי ביצוע השיווק ייקבעו בין הגורם הממשלתי המשווק ובין הרשות המקומית הרלוונטית.</w:t>
      </w:r>
    </w:p>
    <w:p w:rsidR="00D22B16" w:rsidRPr="00F41E78" w:rsidP="00D22B16">
      <w:pPr>
        <w:pStyle w:val="RESHET"/>
        <w:keepLines/>
        <w:rPr>
          <w:rtl/>
        </w:rPr>
      </w:pPr>
      <w:r w:rsidRPr="00F41E78">
        <w:rPr>
          <w:rFonts w:hint="cs"/>
          <w:rtl/>
        </w:rPr>
        <w:t>משרד מבקר המדינה מציין כי במקרים רבים התניות הפיתוח בתכניות גדולות נוגעות לתשתיות-על יקרות מאוד המצויות באחריותם של משרדי ממשלה אחדים (למשל, משרד התחבורה ומשרד התשתיות הלאומיות, האנרגיה והמים). לכן, בהקמת מוסד תכנון חדש אין כל מענה לבעיה זו. יתרה מזאת, לפעמים הפתרון התשתיתי נמצא מחוץ לתחום היישוב שהתכנית חלה עליו. במצב כזה, אין ביכולתם של הגורם המשווק ושל הרשות המקומית לפתור את קידום פתרון תשתיות-העל ואת בעיית המימון ללא סיועו של משרד האוצר.</w:t>
      </w:r>
    </w:p>
    <w:p w:rsidR="00E97EDA" w:rsidRPr="00F41E78" w:rsidP="008E6B36">
      <w:pPr>
        <w:spacing w:before="180" w:after="120" w:line="230" w:lineRule="exact"/>
        <w:ind w:left="12"/>
        <w:jc w:val="both"/>
        <w:rPr>
          <w:rFonts w:cs="FrankRuehl"/>
          <w:sz w:val="18"/>
          <w:szCs w:val="22"/>
          <w:rtl/>
          <w:lang w:eastAsia="he-IL"/>
        </w:rPr>
      </w:pPr>
      <w:r w:rsidRPr="00F41E78">
        <w:rPr>
          <w:rFonts w:cs="FrankRuehl" w:hint="cs"/>
          <w:sz w:val="18"/>
          <w:szCs w:val="22"/>
          <w:rtl/>
          <w:lang w:eastAsia="he-IL"/>
        </w:rPr>
        <w:t xml:space="preserve">בתשובתה מדצמבר 2013 מסרה רשות המים כי כדי להסיר את חסמי הביוב היא הגיעה לסיכומים עם משרד האוצר, ולפיהם הרשות, בשיתוף המינהל לפיתוח תשתיות ביוב, תיתן עדיפות לתקצוב </w:t>
      </w:r>
      <w:r w:rsidRPr="00F41E78">
        <w:rPr>
          <w:rFonts w:cs="FrankRuehl" w:hint="eastAsia"/>
          <w:sz w:val="18"/>
          <w:szCs w:val="22"/>
          <w:rtl/>
          <w:lang w:eastAsia="he-IL"/>
        </w:rPr>
        <w:t>פרויקטי</w:t>
      </w:r>
      <w:r w:rsidRPr="00F41E78">
        <w:rPr>
          <w:rFonts w:cs="FrankRuehl" w:hint="cs"/>
          <w:sz w:val="18"/>
          <w:szCs w:val="22"/>
          <w:rtl/>
          <w:lang w:eastAsia="he-IL"/>
        </w:rPr>
        <w:t>ם</w:t>
      </w:r>
      <w:r w:rsidRPr="00F41E78">
        <w:rPr>
          <w:rFonts w:cs="FrankRuehl"/>
          <w:sz w:val="18"/>
          <w:szCs w:val="22"/>
          <w:rtl/>
          <w:lang w:eastAsia="he-IL"/>
        </w:rPr>
        <w:t xml:space="preserve"> </w:t>
      </w:r>
      <w:r w:rsidRPr="00F41E78">
        <w:rPr>
          <w:rFonts w:cs="FrankRuehl" w:hint="cs"/>
          <w:sz w:val="18"/>
          <w:szCs w:val="22"/>
          <w:rtl/>
          <w:lang w:eastAsia="he-IL"/>
        </w:rPr>
        <w:t xml:space="preserve">שיאפשרו </w:t>
      </w:r>
      <w:r w:rsidRPr="00F41E78">
        <w:rPr>
          <w:rFonts w:cs="FrankRuehl" w:hint="eastAsia"/>
          <w:sz w:val="18"/>
          <w:szCs w:val="22"/>
          <w:rtl/>
          <w:lang w:eastAsia="he-IL"/>
        </w:rPr>
        <w:t>בניית</w:t>
      </w:r>
      <w:r w:rsidRPr="00F41E78">
        <w:rPr>
          <w:rFonts w:cs="FrankRuehl"/>
          <w:sz w:val="18"/>
          <w:szCs w:val="22"/>
          <w:rtl/>
          <w:lang w:eastAsia="he-IL"/>
        </w:rPr>
        <w:t xml:space="preserve"> </w:t>
      </w:r>
      <w:r w:rsidRPr="00F41E78">
        <w:rPr>
          <w:rFonts w:cs="FrankRuehl" w:hint="eastAsia"/>
          <w:sz w:val="18"/>
          <w:szCs w:val="22"/>
          <w:rtl/>
          <w:lang w:eastAsia="he-IL"/>
        </w:rPr>
        <w:t>דירות</w:t>
      </w:r>
      <w:r w:rsidRPr="00F41E78">
        <w:rPr>
          <w:rFonts w:cs="FrankRuehl" w:hint="cs"/>
          <w:sz w:val="18"/>
          <w:szCs w:val="22"/>
          <w:rtl/>
          <w:lang w:eastAsia="he-IL"/>
        </w:rPr>
        <w:t>. לדוגמה, בשנת 2013 פעלה רשות המים להסרת חסמי ביוב בראש העין, בשפרעם ובחריש.</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בתשובתו ציין משרד התחבורה כי הוא חתם על הסכמי גג עם </w:t>
      </w:r>
      <w:r w:rsidR="00FF71E2">
        <w:rPr>
          <w:rFonts w:cs="FrankRuehl" w:hint="cs"/>
          <w:sz w:val="18"/>
          <w:szCs w:val="22"/>
          <w:rtl/>
          <w:lang w:eastAsia="he-IL"/>
        </w:rPr>
        <w:t>משרדי הבינוי</w:t>
      </w:r>
      <w:r w:rsidRPr="00F41E78">
        <w:rPr>
          <w:rFonts w:cs="FrankRuehl" w:hint="cs"/>
          <w:sz w:val="18"/>
          <w:szCs w:val="22"/>
          <w:rtl/>
          <w:lang w:eastAsia="he-IL"/>
        </w:rPr>
        <w:t xml:space="preserve"> והאוצר ורמ"י למימון פרויקטים התומכים בבניית יח"ד. בתשובתה מינואר 2014 מסרה חברת נתיבי ישראל כי תכנית העבודה שלה נגזרת מסדרי העדיפויות של משרדי האוצר והתחבורה הנקבעים לפי הנהלים שעניינם בחינת כדאיות כלכלית ומתן מענה לצרכים בטיחותיים וחברתיים.</w:t>
      </w:r>
    </w:p>
    <w:p w:rsidR="00E97EDA" w:rsidRPr="00F41E78" w:rsidP="00A7557B">
      <w:pPr>
        <w:spacing w:after="120" w:line="230" w:lineRule="exact"/>
        <w:ind w:left="12"/>
        <w:jc w:val="both"/>
        <w:rPr>
          <w:rFonts w:cs="FrankRuehl"/>
          <w:sz w:val="18"/>
          <w:szCs w:val="22"/>
          <w:rtl/>
          <w:lang w:eastAsia="he-IL"/>
        </w:rPr>
      </w:pPr>
      <w:r w:rsidRPr="00F41E78">
        <w:rPr>
          <w:rFonts w:cs="FrankRuehl" w:hint="eastAsia"/>
          <w:bCs/>
          <w:spacing w:val="40"/>
          <w:sz w:val="18"/>
          <w:szCs w:val="22"/>
          <w:rtl/>
        </w:rPr>
        <w:t>היעדר</w:t>
      </w:r>
      <w:r w:rsidRPr="00F41E78">
        <w:rPr>
          <w:rFonts w:cs="FrankRuehl"/>
          <w:bCs/>
          <w:spacing w:val="40"/>
          <w:sz w:val="18"/>
          <w:szCs w:val="22"/>
          <w:rtl/>
        </w:rPr>
        <w:t xml:space="preserve"> תיאום </w:t>
      </w:r>
      <w:r w:rsidRPr="00F41E78">
        <w:rPr>
          <w:rFonts w:cs="FrankRuehl" w:hint="eastAsia"/>
          <w:bCs/>
          <w:spacing w:val="40"/>
          <w:sz w:val="18"/>
          <w:szCs w:val="22"/>
          <w:rtl/>
        </w:rPr>
        <w:t>בין</w:t>
      </w:r>
      <w:r w:rsidRPr="00F41E78">
        <w:rPr>
          <w:rFonts w:cs="FrankRuehl" w:hint="cs"/>
          <w:bCs/>
          <w:spacing w:val="40"/>
          <w:sz w:val="18"/>
          <w:szCs w:val="22"/>
          <w:rtl/>
        </w:rPr>
        <w:t>-</w:t>
      </w:r>
      <w:r w:rsidRPr="00F41E78">
        <w:rPr>
          <w:rFonts w:cs="FrankRuehl" w:hint="eastAsia"/>
          <w:bCs/>
          <w:spacing w:val="40"/>
          <w:sz w:val="18"/>
          <w:szCs w:val="22"/>
          <w:rtl/>
        </w:rPr>
        <w:t>משרדי</w:t>
      </w:r>
      <w:r w:rsidRPr="00F41E78">
        <w:rPr>
          <w:rFonts w:cs="FrankRuehl"/>
          <w:bCs/>
          <w:spacing w:val="40"/>
          <w:sz w:val="18"/>
          <w:szCs w:val="22"/>
          <w:rtl/>
        </w:rPr>
        <w:t xml:space="preserve">: </w:t>
      </w:r>
      <w:r w:rsidRPr="00F41E78">
        <w:rPr>
          <w:rFonts w:cs="FrankRuehl" w:hint="cs"/>
          <w:sz w:val="18"/>
          <w:szCs w:val="22"/>
          <w:rtl/>
          <w:lang w:eastAsia="he-IL"/>
        </w:rPr>
        <w:t>גורם מעכב נוסף לקידומן של תכניות הוא היעדר תיאום והסכמה בנושאים תכנוניים בין משרדי הממשלה הרלוונטיים, המביא לידי התמשכותו של הטיפול ופגיעה באיכות ההחלטות. בעבודת מטה שיזם מחוז מרכז שבמשרד הפנים בשנת 2003</w:t>
      </w:r>
      <w:r>
        <w:rPr>
          <w:rFonts w:cs="FrankRuehl"/>
          <w:sz w:val="18"/>
          <w:szCs w:val="22"/>
          <w:vertAlign w:val="superscript"/>
          <w:rtl/>
          <w:lang w:eastAsia="he-IL"/>
        </w:rPr>
        <w:footnoteReference w:id="218"/>
      </w:r>
      <w:r w:rsidRPr="00F41E78">
        <w:rPr>
          <w:rFonts w:cs="FrankRuehl" w:hint="cs"/>
          <w:sz w:val="18"/>
          <w:szCs w:val="22"/>
          <w:rtl/>
          <w:lang w:eastAsia="he-IL"/>
        </w:rPr>
        <w:t xml:space="preserve"> נקבע כי </w:t>
      </w:r>
      <w:r w:rsidRPr="00F41E78">
        <w:rPr>
          <w:rFonts w:cs="FrankRuehl" w:hint="cs"/>
          <w:sz w:val="18"/>
          <w:szCs w:val="22"/>
          <w:rtl/>
          <w:lang w:eastAsia="he-IL"/>
        </w:rPr>
        <w:t>התיאום בין משרדי הממשלה נחוץ בעיקר כדי לקדם תכניות שלמדינה עניין בהן שמקורו בשיקולים חברתיים או כלכליים. המחוז המליץ לקיים ישיבות מקצועיות עם מנכ"לי משרדי הממשלה במקרים שנדרשות מעורבותם וסמכותם במתן החלטות. מהדוגמאות שיובאו בהמשך ניתן להיווכח כי אף שהממשלה נקבה בשמות של פרויקטים ספציפיים שיש לקדמם כמענה למצוקת הדיור, רובם במחוז המרכז, לא נעשה תיאום כלשהו בין משרדי הממשלה או שניסיונות התיאום לא צלחו, בייחוד בנושא התחבורה, וזאת גם בחלוף עשר שנים מעבודת המטה האמורה.</w:t>
      </w:r>
    </w:p>
    <w:p w:rsidR="00E97EDA" w:rsidRPr="00F41E78" w:rsidP="00BE12D6">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בעקבות מסקנות ועדת טרכטנברג הקימו מנהלת מינהל התכנון, מנכ"ל רמ"י, מנכ"ל משרד הבינוי וסגן הממונה על </w:t>
      </w:r>
      <w:r w:rsidR="00B544FB">
        <w:rPr>
          <w:rFonts w:cs="FrankRuehl" w:hint="cs"/>
          <w:sz w:val="18"/>
          <w:szCs w:val="22"/>
          <w:rtl/>
          <w:lang w:eastAsia="he-IL"/>
        </w:rPr>
        <w:t xml:space="preserve">אגף התקציבים </w:t>
      </w:r>
      <w:r w:rsidRPr="00F41E78">
        <w:rPr>
          <w:rFonts w:cs="FrankRuehl" w:hint="cs"/>
          <w:sz w:val="18"/>
          <w:szCs w:val="22"/>
          <w:rtl/>
          <w:lang w:eastAsia="he-IL"/>
        </w:rPr>
        <w:t xml:space="preserve">במשרד האוצר, באוקטובר 2011, גוף שיקדם תכניות גדולות למגורים (להלן - הפורום המשותף). בתחילה הוחלט כי מטלותיו של הפורום המשותף יהיו ליצור שיתוף פעולה בין משרדי הממשלה, ללוות תכניות גדולות באופן אינטנסיבי - שתיים במחוז המרכז ושתיים במחוז תל אביב - ולקבוע אבני דרך לקידומן. בינואר 2012 החליט הפורום המשותף כי הוא ילווה 6-4 תכניות גדולות במרכז הארץ (תל השומר, סירקין, צריפין, מתחמים </w:t>
      </w:r>
      <w:r w:rsidRPr="00F41E78">
        <w:rPr>
          <w:rFonts w:cs="FrankRuehl"/>
          <w:sz w:val="18"/>
          <w:szCs w:val="22"/>
          <w:lang w:eastAsia="he-IL"/>
        </w:rPr>
        <w:t>P</w:t>
      </w:r>
      <w:r w:rsidRPr="00F41E78">
        <w:rPr>
          <w:rFonts w:cs="FrankRuehl" w:hint="cs"/>
          <w:sz w:val="18"/>
          <w:szCs w:val="22"/>
          <w:lang w:eastAsia="he-IL"/>
        </w:rPr>
        <w:t xml:space="preserve">, </w:t>
      </w:r>
      <w:r w:rsidRPr="00F41E78">
        <w:rPr>
          <w:rFonts w:cs="FrankRuehl"/>
          <w:sz w:val="18"/>
          <w:szCs w:val="22"/>
          <w:lang w:eastAsia="he-IL"/>
        </w:rPr>
        <w:t>L</w:t>
      </w:r>
      <w:r w:rsidRPr="00F41E78">
        <w:rPr>
          <w:rFonts w:cs="FrankRuehl" w:hint="cs"/>
          <w:sz w:val="18"/>
          <w:szCs w:val="22"/>
          <w:rtl/>
          <w:lang w:eastAsia="he-IL"/>
        </w:rPr>
        <w:t xml:space="preserve"> ו-</w:t>
      </w:r>
      <w:r w:rsidRPr="00F41E78">
        <w:rPr>
          <w:rFonts w:cs="FrankRuehl"/>
          <w:sz w:val="18"/>
          <w:szCs w:val="22"/>
          <w:lang w:eastAsia="he-IL"/>
        </w:rPr>
        <w:t>N</w:t>
      </w:r>
      <w:r w:rsidRPr="00F41E78">
        <w:rPr>
          <w:rFonts w:cs="FrankRuehl" w:hint="cs"/>
          <w:sz w:val="18"/>
          <w:szCs w:val="22"/>
          <w:rtl/>
          <w:lang w:eastAsia="he-IL"/>
        </w:rPr>
        <w:t xml:space="preserve"> במודיעין, שכונות </w:t>
      </w:r>
      <w:r w:rsidRPr="00F41E78">
        <w:rPr>
          <w:rFonts w:cs="FrankRuehl"/>
          <w:sz w:val="18"/>
          <w:szCs w:val="22"/>
          <w:lang w:eastAsia="he-IL"/>
        </w:rPr>
        <w:t>B</w:t>
      </w:r>
      <w:r w:rsidRPr="00F41E78">
        <w:rPr>
          <w:rFonts w:cs="FrankRuehl" w:hint="cs"/>
          <w:sz w:val="18"/>
          <w:szCs w:val="22"/>
          <w:rtl/>
          <w:lang w:eastAsia="he-IL"/>
        </w:rPr>
        <w:t xml:space="preserve"> ו-</w:t>
      </w:r>
      <w:r w:rsidRPr="00F41E78">
        <w:rPr>
          <w:rFonts w:cs="FrankRuehl"/>
          <w:sz w:val="18"/>
          <w:szCs w:val="22"/>
          <w:lang w:eastAsia="he-IL"/>
        </w:rPr>
        <w:t>C</w:t>
      </w:r>
      <w:r w:rsidRPr="00F41E78">
        <w:rPr>
          <w:rFonts w:cs="FrankRuehl" w:hint="cs"/>
          <w:sz w:val="18"/>
          <w:szCs w:val="22"/>
          <w:rtl/>
          <w:lang w:eastAsia="he-IL"/>
        </w:rPr>
        <w:t xml:space="preserve"> ביבנה </w:t>
      </w:r>
      <w:r w:rsidRPr="00F41E78">
        <w:rPr>
          <w:rFonts w:cs="FrankRuehl" w:hint="eastAsia"/>
          <w:sz w:val="18"/>
          <w:szCs w:val="22"/>
          <w:rtl/>
          <w:lang w:eastAsia="he-IL"/>
        </w:rPr>
        <w:t>ועוד</w:t>
      </w:r>
      <w:r w:rsidRPr="00F41E78">
        <w:rPr>
          <w:rFonts w:cs="FrankRuehl"/>
          <w:sz w:val="18"/>
          <w:szCs w:val="22"/>
          <w:rtl/>
          <w:lang w:eastAsia="he-IL"/>
        </w:rPr>
        <w:t xml:space="preserve"> </w:t>
      </w:r>
      <w:r w:rsidRPr="00F41E78">
        <w:rPr>
          <w:rFonts w:cs="FrankRuehl" w:hint="eastAsia"/>
          <w:sz w:val="18"/>
          <w:szCs w:val="22"/>
          <w:rtl/>
          <w:lang w:eastAsia="he-IL"/>
        </w:rPr>
        <w:t>תכנית</w:t>
      </w:r>
      <w:r w:rsidRPr="00F41E78">
        <w:rPr>
          <w:rFonts w:cs="FrankRuehl"/>
          <w:sz w:val="18"/>
          <w:szCs w:val="22"/>
          <w:rtl/>
          <w:lang w:eastAsia="he-IL"/>
        </w:rPr>
        <w:t xml:space="preserve"> </w:t>
      </w:r>
      <w:r w:rsidRPr="00F41E78">
        <w:rPr>
          <w:rFonts w:cs="FrankRuehl" w:hint="eastAsia"/>
          <w:sz w:val="18"/>
          <w:szCs w:val="22"/>
          <w:rtl/>
          <w:lang w:eastAsia="he-IL"/>
        </w:rPr>
        <w:t>גדולה</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פינוי</w:t>
      </w:r>
      <w:r w:rsidRPr="00F41E78">
        <w:rPr>
          <w:rFonts w:cs="FrankRuehl"/>
          <w:sz w:val="18"/>
          <w:szCs w:val="22"/>
          <w:rtl/>
          <w:lang w:eastAsia="he-IL"/>
        </w:rPr>
        <w:t>-בינוי</w:t>
      </w:r>
      <w:r w:rsidRPr="00F41E78">
        <w:rPr>
          <w:rFonts w:cs="FrankRuehl" w:hint="cs"/>
          <w:sz w:val="18"/>
          <w:szCs w:val="22"/>
          <w:rtl/>
          <w:lang w:eastAsia="he-IL"/>
        </w:rPr>
        <w:t xml:space="preserve">). אחר כך טיפל הפורום המשותף בתכניות גדולות רבות יותר שיזמה המדינה ובפיזור גאוגרפי רחב במטרה להסיר חסמים תכנוניים.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הועלה כי תכניות במחוז המרכז, כמו שכונות </w:t>
      </w:r>
      <w:r w:rsidRPr="00F41E78">
        <w:rPr>
          <w:rFonts w:cs="FrankRuehl"/>
          <w:sz w:val="18"/>
          <w:szCs w:val="22"/>
          <w:lang w:eastAsia="he-IL"/>
        </w:rPr>
        <w:t>B</w:t>
      </w:r>
      <w:r w:rsidRPr="00F41E78">
        <w:rPr>
          <w:rFonts w:cs="FrankRuehl" w:hint="cs"/>
          <w:sz w:val="18"/>
          <w:szCs w:val="22"/>
          <w:rtl/>
          <w:lang w:eastAsia="he-IL"/>
        </w:rPr>
        <w:t xml:space="preserve"> ו-</w:t>
      </w:r>
      <w:r w:rsidRPr="00F41E78">
        <w:rPr>
          <w:rFonts w:cs="FrankRuehl"/>
          <w:sz w:val="18"/>
          <w:szCs w:val="22"/>
          <w:lang w:eastAsia="he-IL"/>
        </w:rPr>
        <w:t>C</w:t>
      </w:r>
      <w:r w:rsidRPr="00F41E78">
        <w:rPr>
          <w:rFonts w:cs="FrankRuehl" w:hint="cs"/>
          <w:sz w:val="18"/>
          <w:szCs w:val="22"/>
          <w:rtl/>
          <w:lang w:eastAsia="he-IL"/>
        </w:rPr>
        <w:t xml:space="preserve"> ביבנה ומתחם </w:t>
      </w:r>
      <w:r w:rsidRPr="00F41E78">
        <w:rPr>
          <w:rFonts w:cs="FrankRuehl"/>
          <w:sz w:val="18"/>
          <w:szCs w:val="22"/>
          <w:lang w:eastAsia="he-IL"/>
        </w:rPr>
        <w:t>A</w:t>
      </w:r>
      <w:r w:rsidRPr="00F41E78">
        <w:rPr>
          <w:rFonts w:cs="FrankRuehl" w:hint="cs"/>
          <w:sz w:val="18"/>
          <w:szCs w:val="22"/>
          <w:rtl/>
          <w:lang w:eastAsia="he-IL"/>
        </w:rPr>
        <w:t xml:space="preserve"> בקדימה, שנועדו על פי פרסומי הפורום המשותף להיות מאושרות עד דצמבר 2012 לא אושרו עד מועד סיום הביקורת, דצמבר 2013. במחוז תל אביב, תכנית מפורטת לדרום גלילות שתוכננה לאישור בוועדה המחוזית עד סוף 2013 עדיין לא הופקדה; תכנית תע"ש רמת השרון שנועדה להיות מאושרת במהלך 2012 טרם אושרה; תכנית תל השומר צפון-מערב שהייתה אמורה להיות מופקדת בוועדה המחוזית תל אביב במהלך 2013 טרם נקלטה בלשכת התכנון המחוזית (ראו להלן). </w:t>
      </w:r>
    </w:p>
    <w:p w:rsidR="00E97EDA" w:rsidRPr="00F41E78" w:rsidP="008E6B36">
      <w:pPr>
        <w:spacing w:after="240" w:line="230" w:lineRule="exact"/>
        <w:jc w:val="both"/>
        <w:rPr>
          <w:rFonts w:cs="FrankRuehl"/>
          <w:sz w:val="18"/>
          <w:szCs w:val="22"/>
          <w:rtl/>
          <w:lang w:eastAsia="he-IL"/>
        </w:rPr>
      </w:pPr>
      <w:r w:rsidRPr="00F41E78">
        <w:rPr>
          <w:rFonts w:cs="FrankRuehl" w:hint="cs"/>
          <w:sz w:val="18"/>
          <w:szCs w:val="22"/>
          <w:rtl/>
          <w:lang w:eastAsia="he-IL"/>
        </w:rPr>
        <w:t xml:space="preserve">בתשובתו אמר משרד הפנים כי הפורום המשותף ליווה במהלך 2013 את אישורן של תכניות גדולות בקיבולת של כ-20,000 יח"ד. בימים אלו מינהל התכנון שוקד על הכנת תכנית עבודה לשנים </w:t>
      </w:r>
      <w:r w:rsidR="002A1D15">
        <w:rPr>
          <w:rFonts w:cs="FrankRuehl"/>
          <w:sz w:val="18"/>
          <w:szCs w:val="22"/>
          <w:rtl/>
          <w:lang w:eastAsia="he-IL"/>
        </w:rPr>
        <w:br/>
      </w:r>
      <w:r w:rsidRPr="00F41E78">
        <w:rPr>
          <w:rFonts w:cs="FrankRuehl" w:hint="cs"/>
          <w:sz w:val="18"/>
          <w:szCs w:val="22"/>
          <w:rtl/>
          <w:lang w:eastAsia="he-IL"/>
        </w:rPr>
        <w:t>2016-2015 המשותפת לו, לרמ"י, למשרד הבינוי ולאג"ת. משרד מבקר המדינה מעיר כי כבר בשנת 1995 הוחל בתכנון חלק מהתכניות שבשמן נקב משרד הפנים.</w:t>
      </w:r>
    </w:p>
    <w:p w:rsidR="00D22B16" w:rsidRPr="00F41E78" w:rsidP="00D22B16">
      <w:pPr>
        <w:pStyle w:val="RESHET"/>
        <w:keepLines/>
        <w:rPr>
          <w:rtl/>
        </w:rPr>
      </w:pPr>
      <w:r w:rsidRPr="00F41E78">
        <w:rPr>
          <w:rFonts w:hint="cs"/>
          <w:rtl/>
        </w:rPr>
        <w:t xml:space="preserve">הנתונים שהובאו לעיל מדגישים את הצורך בתיאום ובתזמון של פעולות משרדי הממשלה בכל הקשור לתכנון ולפיתוח הפיזי. התיאום צריך להיעשות בידי צוות רחב יותר מהפורום המשותף האמור; למשל, הוספת נציגים ממשרד התחבורה וממשרד התשתיות הלאומיות, האנרגיה והמים. לדעת משרד מבקר המדינה, על משרדי הממשלה הנוגעים בדבר להציג לממשלה תכנית פיתוח ארוכת טווח שתוביל לתיאום בסדרי העדיפויות שלהם ולהגברת התיאום התקציבי ביניהם. נוסף על כך, בהצגת מספרי יחידות הדיור שאישרו מוסדות התכנון מדי שנה לא סגי, משום שאין היא מציגה תמונת מצב מלאה. יש מקום להציג גם את מספר יחידות הדיור שאושרו על פי מועדי זמינותן המשוערים, ובהתבסס על תכניות העבודה והתקציבים של משרדי הממשלה הנוגעים בדבר. </w:t>
      </w:r>
    </w:p>
    <w:p w:rsidR="00E97EDA" w:rsidRPr="00F41E78" w:rsidP="008E6B36">
      <w:pPr>
        <w:spacing w:before="180" w:after="120" w:line="230" w:lineRule="exact"/>
        <w:jc w:val="both"/>
        <w:rPr>
          <w:rFonts w:cs="FrankRuehl"/>
          <w:sz w:val="18"/>
          <w:szCs w:val="22"/>
          <w:rtl/>
          <w:lang w:eastAsia="he-IL"/>
        </w:rPr>
      </w:pPr>
      <w:r w:rsidRPr="00F41E78">
        <w:rPr>
          <w:rFonts w:cs="FrankRuehl" w:hint="eastAsia"/>
          <w:bCs/>
          <w:spacing w:val="40"/>
          <w:sz w:val="18"/>
          <w:szCs w:val="22"/>
          <w:rtl/>
        </w:rPr>
        <w:t>מורכבות</w:t>
      </w:r>
      <w:r w:rsidRPr="00F41E78">
        <w:rPr>
          <w:rFonts w:cs="FrankRuehl"/>
          <w:bCs/>
          <w:spacing w:val="40"/>
          <w:sz w:val="18"/>
          <w:szCs w:val="22"/>
          <w:rtl/>
        </w:rPr>
        <w:t xml:space="preserve"> התכנון: </w:t>
      </w:r>
      <w:r w:rsidRPr="00F41E78">
        <w:rPr>
          <w:rFonts w:cs="FrankRuehl" w:hint="cs"/>
          <w:sz w:val="18"/>
          <w:szCs w:val="22"/>
          <w:rtl/>
          <w:lang w:eastAsia="he-IL"/>
        </w:rPr>
        <w:t>הליכי התכנון הממושכים, בייחוד במרכז הארץ, הם בין היתר התוצאה של הפיתוח המואץ, של ציפוף שימושי הקרקע ושל הקונפליקטים המרחביים המחריפים. התמשכות ההליכים פוגמת ברמת השירות הניתן ליזמים מהמגזרים הציבורי והפרטי כאחד ואף פוגעת בתכנון עצמו</w:t>
      </w:r>
      <w:r>
        <w:rPr>
          <w:rFonts w:cs="FrankRuehl"/>
          <w:sz w:val="18"/>
          <w:szCs w:val="22"/>
          <w:vertAlign w:val="superscript"/>
          <w:rtl/>
          <w:lang w:eastAsia="he-IL"/>
        </w:rPr>
        <w:footnoteReference w:id="219"/>
      </w:r>
      <w:r w:rsidRPr="00F41E78">
        <w:rPr>
          <w:rFonts w:cs="FrankRuehl" w:hint="cs"/>
          <w:sz w:val="18"/>
          <w:szCs w:val="22"/>
          <w:rtl/>
          <w:lang w:eastAsia="he-IL"/>
        </w:rPr>
        <w:t xml:space="preserve">. התמשכות הליכי התכנון טומנת בחובה גם מחיר כלכלי; מבדיקה שהזמין </w:t>
      </w:r>
      <w:r w:rsidRPr="00F41E78">
        <w:rPr>
          <w:rFonts w:cs="FrankRuehl" w:hint="cs"/>
          <w:sz w:val="18"/>
          <w:szCs w:val="22"/>
          <w:rtl/>
          <w:lang w:eastAsia="he-IL"/>
        </w:rPr>
        <w:t>מינהל התכנון בשנת 2007</w:t>
      </w:r>
      <w:r>
        <w:rPr>
          <w:rFonts w:cs="FrankRuehl"/>
          <w:sz w:val="18"/>
          <w:szCs w:val="22"/>
          <w:vertAlign w:val="superscript"/>
          <w:rtl/>
          <w:lang w:eastAsia="he-IL"/>
        </w:rPr>
        <w:footnoteReference w:id="220"/>
      </w:r>
      <w:r w:rsidRPr="00F41E78">
        <w:rPr>
          <w:rFonts w:cs="FrankRuehl" w:hint="cs"/>
          <w:sz w:val="18"/>
          <w:szCs w:val="22"/>
          <w:rtl/>
          <w:lang w:eastAsia="he-IL"/>
        </w:rPr>
        <w:t xml:space="preserve"> עלה כי קיצור הליכי התכנון יכול להקטין את עלות הבקרה התכנונית במוסדות התכנון בכ-150 מיליון ש"ח בשנה (בהתחשב בקצב אישור תכניות הנכון לאז).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בד בבד עם המאמץ של משרד הפנים לזרז את הליכי התכנון ולהסירם מרשימת הגורמים המעכבים תכנון של יח"ד </w:t>
      </w:r>
      <w:r w:rsidRPr="00582A43">
        <w:rPr>
          <w:rFonts w:cs="FrankRuehl" w:hint="cs"/>
          <w:sz w:val="18"/>
          <w:szCs w:val="22"/>
          <w:rtl/>
          <w:lang w:eastAsia="he-IL"/>
        </w:rPr>
        <w:t>ובנייתן</w:t>
      </w:r>
      <w:r w:rsidRPr="00582A43" w:rsidR="007650B6">
        <w:rPr>
          <w:rFonts w:cs="FrankRuehl" w:hint="cs"/>
          <w:sz w:val="18"/>
          <w:szCs w:val="22"/>
          <w:rtl/>
          <w:lang w:eastAsia="he-IL"/>
        </w:rPr>
        <w:t>,</w:t>
      </w:r>
      <w:r w:rsidRPr="00582A43">
        <w:rPr>
          <w:rFonts w:cs="FrankRuehl" w:hint="cs"/>
          <w:sz w:val="18"/>
          <w:szCs w:val="22"/>
          <w:rtl/>
          <w:lang w:eastAsia="he-IL"/>
        </w:rPr>
        <w:t xml:space="preserve"> חלו בהם</w:t>
      </w:r>
      <w:r w:rsidRPr="00F41E78">
        <w:rPr>
          <w:rFonts w:cs="FrankRuehl" w:hint="cs"/>
          <w:sz w:val="18"/>
          <w:szCs w:val="22"/>
          <w:rtl/>
          <w:lang w:eastAsia="he-IL"/>
        </w:rPr>
        <w:t xml:space="preserve"> שינויים שתרמו להתמשכותם. להלן הפרטים: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בעבר, תכנית מפורטת של שכונה חדשה, שמכוחה ניתן היה להוציא היתרי בנייה, כללה תשריט ותקנון, ולעתים גם כמה נספחים (למשל, נספח בינוי). בעשור האחרון נדרשת הכנה של סקרים נוספים. על פי הוראות תמ"א 35 שאושרה בשנת 2005, במקרה של תכנית מקומית המרחיבה יישוב במידה ניכרת, על מוסד התכנון לשקול את הצורך בנספחים נוספים ולחייב את צירופם לתכנית: </w:t>
      </w:r>
      <w:r w:rsidRPr="00F41E78">
        <w:rPr>
          <w:rFonts w:cs="FrankRuehl" w:hint="eastAsia"/>
          <w:sz w:val="18"/>
          <w:szCs w:val="22"/>
          <w:rtl/>
          <w:lang w:eastAsia="he-IL"/>
        </w:rPr>
        <w:t>נספח</w:t>
      </w:r>
      <w:r w:rsidRPr="00F41E78">
        <w:rPr>
          <w:rFonts w:cs="FrankRuehl"/>
          <w:sz w:val="18"/>
          <w:szCs w:val="22"/>
          <w:rtl/>
          <w:lang w:eastAsia="he-IL"/>
        </w:rPr>
        <w:t xml:space="preserve"> </w:t>
      </w:r>
      <w:r w:rsidRPr="00F41E78">
        <w:rPr>
          <w:rFonts w:cs="FrankRuehl" w:hint="eastAsia"/>
          <w:sz w:val="18"/>
          <w:szCs w:val="22"/>
          <w:rtl/>
          <w:lang w:eastAsia="he-IL"/>
        </w:rPr>
        <w:t>תחבורה</w:t>
      </w:r>
      <w:r w:rsidRPr="00F41E78">
        <w:rPr>
          <w:rFonts w:cs="FrankRuehl"/>
          <w:sz w:val="18"/>
          <w:szCs w:val="22"/>
          <w:rtl/>
          <w:lang w:eastAsia="he-IL"/>
        </w:rPr>
        <w:t xml:space="preserve">, </w:t>
      </w:r>
      <w:r w:rsidRPr="00F41E78">
        <w:rPr>
          <w:rFonts w:cs="FrankRuehl" w:hint="eastAsia"/>
          <w:sz w:val="18"/>
          <w:szCs w:val="22"/>
          <w:rtl/>
          <w:lang w:eastAsia="he-IL"/>
        </w:rPr>
        <w:t>נספח</w:t>
      </w:r>
      <w:r w:rsidRPr="00F41E78">
        <w:rPr>
          <w:rFonts w:cs="FrankRuehl"/>
          <w:sz w:val="18"/>
          <w:szCs w:val="22"/>
          <w:rtl/>
          <w:lang w:eastAsia="he-IL"/>
        </w:rPr>
        <w:t xml:space="preserve"> </w:t>
      </w:r>
      <w:r w:rsidRPr="00F41E78">
        <w:rPr>
          <w:rFonts w:cs="FrankRuehl" w:hint="eastAsia"/>
          <w:sz w:val="18"/>
          <w:szCs w:val="22"/>
          <w:rtl/>
          <w:lang w:eastAsia="he-IL"/>
        </w:rPr>
        <w:t>תשתיות</w:t>
      </w:r>
      <w:r w:rsidRPr="00F41E78">
        <w:rPr>
          <w:rFonts w:cs="FrankRuehl"/>
          <w:sz w:val="18"/>
          <w:szCs w:val="22"/>
          <w:rtl/>
          <w:lang w:eastAsia="he-IL"/>
        </w:rPr>
        <w:t xml:space="preserve"> </w:t>
      </w:r>
      <w:r w:rsidRPr="00F41E78">
        <w:rPr>
          <w:rFonts w:cs="FrankRuehl" w:hint="eastAsia"/>
          <w:sz w:val="18"/>
          <w:szCs w:val="22"/>
          <w:rtl/>
          <w:lang w:eastAsia="he-IL"/>
        </w:rPr>
        <w:t>לרבות</w:t>
      </w:r>
      <w:r w:rsidRPr="00F41E78">
        <w:rPr>
          <w:rFonts w:cs="FrankRuehl"/>
          <w:sz w:val="18"/>
          <w:szCs w:val="22"/>
          <w:rtl/>
          <w:lang w:eastAsia="he-IL"/>
        </w:rPr>
        <w:t xml:space="preserve"> </w:t>
      </w:r>
      <w:r w:rsidRPr="00F41E78">
        <w:rPr>
          <w:rFonts w:cs="FrankRuehl" w:hint="eastAsia"/>
          <w:sz w:val="18"/>
          <w:szCs w:val="22"/>
          <w:rtl/>
          <w:lang w:eastAsia="he-IL"/>
        </w:rPr>
        <w:t>ניקוז</w:t>
      </w:r>
      <w:r w:rsidRPr="00F41E78">
        <w:rPr>
          <w:rFonts w:cs="FrankRuehl"/>
          <w:sz w:val="18"/>
          <w:szCs w:val="22"/>
          <w:rtl/>
          <w:lang w:eastAsia="he-IL"/>
        </w:rPr>
        <w:t xml:space="preserve">, </w:t>
      </w:r>
      <w:r w:rsidRPr="00F41E78">
        <w:rPr>
          <w:rFonts w:cs="FrankRuehl" w:hint="eastAsia"/>
          <w:sz w:val="18"/>
          <w:szCs w:val="22"/>
          <w:rtl/>
          <w:lang w:eastAsia="he-IL"/>
        </w:rPr>
        <w:t>נספח</w:t>
      </w:r>
      <w:r w:rsidRPr="00F41E78">
        <w:rPr>
          <w:rFonts w:cs="FrankRuehl"/>
          <w:sz w:val="18"/>
          <w:szCs w:val="22"/>
          <w:rtl/>
          <w:lang w:eastAsia="he-IL"/>
        </w:rPr>
        <w:t xml:space="preserve"> </w:t>
      </w:r>
      <w:r w:rsidRPr="00F41E78">
        <w:rPr>
          <w:rFonts w:cs="FrankRuehl" w:hint="eastAsia"/>
          <w:sz w:val="18"/>
          <w:szCs w:val="22"/>
          <w:rtl/>
          <w:lang w:eastAsia="he-IL"/>
        </w:rPr>
        <w:t>ביוב</w:t>
      </w:r>
      <w:r w:rsidRPr="00F41E78">
        <w:rPr>
          <w:rFonts w:cs="FrankRuehl"/>
          <w:sz w:val="18"/>
          <w:szCs w:val="22"/>
          <w:rtl/>
          <w:lang w:eastAsia="he-IL"/>
        </w:rPr>
        <w:t xml:space="preserve">, </w:t>
      </w:r>
      <w:r w:rsidRPr="00F41E78">
        <w:rPr>
          <w:rFonts w:cs="FrankRuehl" w:hint="eastAsia"/>
          <w:sz w:val="18"/>
          <w:szCs w:val="22"/>
          <w:rtl/>
          <w:lang w:eastAsia="he-IL"/>
        </w:rPr>
        <w:t>נספח</w:t>
      </w:r>
      <w:r w:rsidRPr="00F41E78">
        <w:rPr>
          <w:rFonts w:cs="FrankRuehl"/>
          <w:sz w:val="18"/>
          <w:szCs w:val="22"/>
          <w:rtl/>
          <w:lang w:eastAsia="he-IL"/>
        </w:rPr>
        <w:t xml:space="preserve"> </w:t>
      </w:r>
      <w:r w:rsidRPr="00F41E78">
        <w:rPr>
          <w:rFonts w:cs="FrankRuehl" w:hint="eastAsia"/>
          <w:sz w:val="18"/>
          <w:szCs w:val="22"/>
          <w:rtl/>
          <w:lang w:eastAsia="he-IL"/>
        </w:rPr>
        <w:t>דרכים</w:t>
      </w:r>
      <w:r w:rsidRPr="00F41E78">
        <w:rPr>
          <w:rFonts w:cs="FrankRuehl"/>
          <w:sz w:val="18"/>
          <w:szCs w:val="22"/>
          <w:rtl/>
          <w:lang w:eastAsia="he-IL"/>
        </w:rPr>
        <w:t xml:space="preserve">, </w:t>
      </w:r>
      <w:r w:rsidRPr="00F41E78">
        <w:rPr>
          <w:rFonts w:cs="FrankRuehl" w:hint="eastAsia"/>
          <w:sz w:val="18"/>
          <w:szCs w:val="22"/>
          <w:rtl/>
          <w:lang w:eastAsia="he-IL"/>
        </w:rPr>
        <w:t>נספח</w:t>
      </w:r>
      <w:r w:rsidRPr="00F41E78">
        <w:rPr>
          <w:rFonts w:cs="FrankRuehl"/>
          <w:sz w:val="18"/>
          <w:szCs w:val="22"/>
          <w:rtl/>
          <w:lang w:eastAsia="he-IL"/>
        </w:rPr>
        <w:t xml:space="preserve"> </w:t>
      </w:r>
      <w:r w:rsidRPr="00F41E78">
        <w:rPr>
          <w:rFonts w:cs="FrankRuehl" w:hint="eastAsia"/>
          <w:sz w:val="18"/>
          <w:szCs w:val="22"/>
          <w:rtl/>
          <w:lang w:eastAsia="he-IL"/>
        </w:rPr>
        <w:t>חשמל</w:t>
      </w:r>
      <w:r w:rsidRPr="00F41E78">
        <w:rPr>
          <w:rFonts w:cs="FrankRuehl"/>
          <w:sz w:val="18"/>
          <w:szCs w:val="22"/>
          <w:rtl/>
          <w:lang w:eastAsia="he-IL"/>
        </w:rPr>
        <w:t xml:space="preserve">, </w:t>
      </w:r>
      <w:r w:rsidRPr="00F41E78">
        <w:rPr>
          <w:rFonts w:cs="FrankRuehl" w:hint="eastAsia"/>
          <w:sz w:val="18"/>
          <w:szCs w:val="22"/>
          <w:rtl/>
          <w:lang w:eastAsia="he-IL"/>
        </w:rPr>
        <w:t>נספח</w:t>
      </w:r>
      <w:r w:rsidRPr="00F41E78">
        <w:rPr>
          <w:rFonts w:cs="FrankRuehl"/>
          <w:sz w:val="18"/>
          <w:szCs w:val="22"/>
          <w:rtl/>
          <w:lang w:eastAsia="he-IL"/>
        </w:rPr>
        <w:t xml:space="preserve"> </w:t>
      </w:r>
      <w:r w:rsidRPr="00F41E78">
        <w:rPr>
          <w:rFonts w:cs="FrankRuehl" w:hint="eastAsia"/>
          <w:sz w:val="18"/>
          <w:szCs w:val="22"/>
          <w:rtl/>
          <w:lang w:eastAsia="he-IL"/>
        </w:rPr>
        <w:t>מים</w:t>
      </w:r>
      <w:r w:rsidRPr="00F41E78">
        <w:rPr>
          <w:rFonts w:cs="FrankRuehl"/>
          <w:sz w:val="18"/>
          <w:szCs w:val="22"/>
          <w:rtl/>
          <w:lang w:eastAsia="he-IL"/>
        </w:rPr>
        <w:t xml:space="preserve">, </w:t>
      </w:r>
      <w:r w:rsidRPr="00F41E78">
        <w:rPr>
          <w:rFonts w:cs="FrankRuehl" w:hint="eastAsia"/>
          <w:sz w:val="18"/>
          <w:szCs w:val="22"/>
          <w:rtl/>
          <w:lang w:eastAsia="he-IL"/>
        </w:rPr>
        <w:t>נספח</w:t>
      </w:r>
      <w:r w:rsidRPr="00F41E78">
        <w:rPr>
          <w:rFonts w:cs="FrankRuehl"/>
          <w:sz w:val="18"/>
          <w:szCs w:val="22"/>
          <w:rtl/>
          <w:lang w:eastAsia="he-IL"/>
        </w:rPr>
        <w:t xml:space="preserve"> </w:t>
      </w:r>
      <w:r w:rsidRPr="00F41E78">
        <w:rPr>
          <w:rFonts w:cs="FrankRuehl" w:hint="eastAsia"/>
          <w:sz w:val="18"/>
          <w:szCs w:val="22"/>
          <w:rtl/>
          <w:lang w:eastAsia="he-IL"/>
        </w:rPr>
        <w:t>פסולת</w:t>
      </w:r>
      <w:r w:rsidRPr="00F41E78">
        <w:rPr>
          <w:rFonts w:cs="FrankRuehl"/>
          <w:sz w:val="18"/>
          <w:szCs w:val="22"/>
          <w:rtl/>
          <w:lang w:eastAsia="he-IL"/>
        </w:rPr>
        <w:t xml:space="preserve"> ונספח פרוגרמט</w:t>
      </w:r>
      <w:r w:rsidRPr="00F41E78">
        <w:rPr>
          <w:rFonts w:cs="FrankRuehl" w:hint="eastAsia"/>
          <w:sz w:val="18"/>
          <w:szCs w:val="22"/>
          <w:rtl/>
          <w:lang w:eastAsia="he-IL"/>
        </w:rPr>
        <w:t>י</w:t>
      </w:r>
      <w:r w:rsidRPr="00F41E78">
        <w:rPr>
          <w:rFonts w:cs="FrankRuehl"/>
          <w:sz w:val="18"/>
          <w:szCs w:val="22"/>
          <w:rtl/>
          <w:lang w:eastAsia="he-IL"/>
        </w:rPr>
        <w:t xml:space="preserve"> המתייחס לדמוגרפיה ולשירותי הציבור בשכונה המתוכננת.</w:t>
      </w:r>
      <w:r w:rsidRPr="00F41E78">
        <w:rPr>
          <w:rFonts w:cs="FrankRuehl" w:hint="cs"/>
          <w:sz w:val="18"/>
          <w:szCs w:val="22"/>
          <w:rtl/>
          <w:lang w:eastAsia="he-IL"/>
        </w:rPr>
        <w:t xml:space="preserve"> הוועדה המחוזית היא הגורם המחליט על כמות הסקרים וסוגיהם שיצורפו לתשריט, בהתקיים התנאים שצוינו בתמ"א. סקרים רבים אחרים, בעיקר על פי דרישתו של המשרד להגנת הסביבה, מיועדים להצביע על מפגעים אפשריים, כמו רעש וזיהום אוויר, אך אין הם נדרשים במישרין מכוחם של חוקים סביבתיים העוסקים בכך, למשל החוק למניעת מפגעים, התשכ"א-1961. עם זאת, חלק מהסקרים הסביבתיים נועדו להבטיח שמירה על ערכים סביבתיים שהוגדרו בחוקים או בתקנות.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משרד מבקר המדינה העלה כי קיימים לפחות 30 סקרי רקע שרק כשליש מהם מתחייבים מהוראות של תכניות מתאר ארציות או מחוקים ומתקנות. הטלת החיוב בעשייתם </w:t>
      </w:r>
      <w:r w:rsidRPr="00F41E78">
        <w:rPr>
          <w:rFonts w:cs="FrankRuehl" w:hint="eastAsia"/>
          <w:sz w:val="18"/>
          <w:szCs w:val="22"/>
          <w:rtl/>
          <w:lang w:eastAsia="he-IL"/>
        </w:rPr>
        <w:t>ובדיקתם</w:t>
      </w:r>
      <w:r w:rsidRPr="00F41E78">
        <w:rPr>
          <w:rFonts w:cs="FrankRuehl" w:hint="cs"/>
          <w:sz w:val="18"/>
          <w:szCs w:val="22"/>
          <w:rtl/>
          <w:lang w:eastAsia="he-IL"/>
        </w:rPr>
        <w:t>, בדרך כלל בפרויקטים גדולים, נעשית בידי הוועדה המחוזית, המשרד להגנת הסביבה, משרדי התחבורה והבריאות, רשויות הניקוז, רשות העתיקות, רשות המים וגורמים אחרים.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סקרי הרקע חיוניים ותורמים להליך התכנוני. אולם מבדיקה פרטנית של פרויקטים גדולים ומורכבים במחוזות המרכז ותל אביב נראה כי תהליך הכנתם, הנעשה תוך כדי מעורבותם של מחוזות המשרד להגנת הסביבה ומשרד התחבורה, אינו קצוב בזמן ולעתים אינו יעיל ומעכב את הליכי התכנון. כמו כן קיימות גישות שונות בנוגע לשלב שבו עליהם להיות מוכנים; בחלק מהוועדות המחוזיות הסקרים נדרשים בעיצומו של ההליך התכנוני ובחלק מוועדות המחוזיות, למשל במחוזות מרכז ותל אביב, השלמת הסקרים ואישורם בידי משרדי ממשלה הנוגעים בדבר הם לפעמים תנאי לקליטת התכנית בלשכת התכנון. </w:t>
      </w:r>
    </w:p>
    <w:p w:rsidR="00E97EDA" w:rsidRPr="00F41E78" w:rsidP="008E6B36">
      <w:pPr>
        <w:spacing w:after="240" w:line="230" w:lineRule="exact"/>
        <w:jc w:val="both"/>
        <w:rPr>
          <w:rFonts w:cs="FrankRuehl"/>
          <w:sz w:val="18"/>
          <w:szCs w:val="22"/>
          <w:rtl/>
          <w:lang w:eastAsia="he-IL"/>
        </w:rPr>
      </w:pPr>
      <w:r w:rsidRPr="00F41E78">
        <w:rPr>
          <w:rFonts w:cs="FrankRuehl" w:hint="cs"/>
          <w:sz w:val="18"/>
          <w:szCs w:val="22"/>
          <w:rtl/>
          <w:lang w:eastAsia="he-IL"/>
        </w:rPr>
        <w:t>אם כך, נוצר מצב שבו כבר לפני קליטה של תכנית בוועדה המחוזית ולפני דיון בה ולפני קבלת החלטה אילו סקרים יש להכין, כפי שנקבע בחוק ובתמ"א 35, קיימים גורמים נוספים המהווים גוף המאשר או דוחה תכניות עד מילוי הדרישות. משרדי הממשלה והגופים הנוספים המאשרים את הסקרים גם מנחים את מתכנני התכניות בנוגע לדרישותיהם בסקרים ולאופן הכנתם. תהליך מסירת ההנחיות לעתים מסורבל ועשוי להימשך חודשים ואף שנים, וכולל לפעמים שינוי דרישות וצורך בתכנון מחודש. נוסף על כך, אם הליכי התכנון מתעכבים, בסיס הנתונים או הנורמות התכנוניות משתנים, ולפעמים עולה הצורך בהכנה מחודשת של הסקרים. ועדת ברנע הגיעה לידי מסקנה כי עם הסיבות העיקריות לחוסר היעילות נמנים גם מחסור בכוח אדם ועומס עבודה בגופים המאסדרים והמאשרים וכן היעדר היכולת להחליט בנושאים השנויים במחלוקת.</w:t>
      </w:r>
    </w:p>
    <w:p w:rsidR="00D22B16" w:rsidRPr="00F41E78" w:rsidP="00D22B16">
      <w:pPr>
        <w:pStyle w:val="RESHET"/>
        <w:keepLines/>
        <w:rPr>
          <w:rtl/>
        </w:rPr>
      </w:pPr>
      <w:r w:rsidRPr="00F41E78">
        <w:rPr>
          <w:rFonts w:hint="cs"/>
          <w:rtl/>
        </w:rPr>
        <w:t>יצוין כי העלאת דרישות חדשות בעיצומם של הליכי תכנון ממושכים מחייבת את משרד הבינוי ואת רמ"י לבצע עבודות תכנון נוספות או לשכור שירותי יועצים חיצוניים נוספים, והגדלה והסדרה של התקורות החדשות גורמת לשיהוי בהליכים. לדעת משרד מבקר המדינה, כדי למנוע מצב זה, על המשרד להגנת הסביבה לשקול להכין רשימה כוללת של כל הסקרים הסביבתיים ולקבוע בכל פרויקט, מלכתחילה וככל הניתן, אילו מהם חיוניים לאותו פרויקט ומהן ההנחיות להכנתם.</w:t>
      </w:r>
    </w:p>
    <w:p w:rsidR="00E97EDA" w:rsidRPr="00F41E78" w:rsidP="008E6B36">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בתשובתו הסביר המשרד להגנת הסביבה כי הוא פועל בתנאי מצוקת כוח אדם חריפה בכל הנוגע לליווי עבודתן של ועדות התכנון, ובכלל זה הכנת הנחיות לסקרים ובדיקתם. מבדיקה של המשרד להגנת הסביבה עלה כי במטה ובמחוזות חסרים כ-23 תקנים לעובדים בתחום התכנון, מחסור המקשה על עמידה בלוחות זמנים. כדי להתמודד בעתיד הקרוב עם הפרויקטים הגדולים של פינוי, כמו פינוי מחנות צה"ל ומפעלי חברת תע"ש, יש צורך בתגבור כוח האדם המקצועי. עוד הסביר כי בימים אלו הוא מכין, בסיועו של יועץ חיצוני, הנחיות חדשות לתסקירי השפעה על הסביבה ולחוות דעת סביבתיות. ההנחיות החדשות עתידות לקצר ולייעל הליכים בתכניות שאינן מורכבות. </w:t>
      </w:r>
    </w:p>
    <w:p w:rsidR="00D22B16" w:rsidRPr="00F41E78" w:rsidP="00D22B16">
      <w:pPr>
        <w:pStyle w:val="RESHET"/>
        <w:keepLines/>
        <w:rPr>
          <w:rtl/>
        </w:rPr>
      </w:pPr>
      <w:r w:rsidRPr="00F41E78">
        <w:rPr>
          <w:rFonts w:hint="cs"/>
          <w:rtl/>
        </w:rPr>
        <w:t xml:space="preserve">מהאמור עולה כי על המשרדים הנוגעים בדבר, ובייחוד המשרד להגנת הסביבה ומשרדי הפנים והתחבורה, לבחון מחדש את הנושאים האלו: לשקול לוח זמנים מחייב ומגביל לפעילותם של משרדי הממשלה בנוגע לקביעה מראש של הסקרים הנדרשים בכל פרויקט, למתן הנחיות לעשייתם ולקביעת פרקי הזמן להכנתם ולאישורם; לבחון אם אפשר לייעל את ההליכים באמצעות איחוד סקרים, למשל איחוד כל הסקרים הסביבתיים שבהנחייתו ובבדיקתו של המשרד להגנת הסביבה. </w:t>
      </w:r>
    </w:p>
    <w:p w:rsidR="00E97EDA" w:rsidRPr="00F41E78" w:rsidP="00270C29">
      <w:pPr>
        <w:spacing w:before="180" w:after="120" w:line="230" w:lineRule="exact"/>
        <w:jc w:val="both"/>
        <w:rPr>
          <w:rFonts w:cs="FrankRuehl"/>
          <w:sz w:val="18"/>
          <w:szCs w:val="22"/>
          <w:rtl/>
          <w:lang w:eastAsia="he-IL"/>
        </w:rPr>
      </w:pPr>
      <w:r w:rsidRPr="00F41E78">
        <w:rPr>
          <w:rFonts w:cs="FrankRuehl" w:hint="cs"/>
          <w:sz w:val="18"/>
          <w:szCs w:val="22"/>
          <w:rtl/>
          <w:lang w:eastAsia="he-IL"/>
        </w:rPr>
        <w:t>משרד הפנים השיב כי הוא מקבל את המלצת משרד מבקר המדינה בעניין בחינה מחודשת של דרישות טכניות ואיכותיות לקליטת תכניות בלשכות התכנון המחוזיות, ובין היתר בנושא סקרי הרקע הנדרשים לתכניות. עוד השיב כי יבחן, בכלים העומדים לרשותו, את האפשרות לקבוע לוחות זמנים להגשת סקרים, את איחוד הסקרים ואת נקיטת האמצעים להפסקת טיפול בתכניות שאין בהן כל התקדמות מצד יוזמן; והכול כדי לייעל את הליכי התכנון.</w:t>
      </w:r>
    </w:p>
    <w:p w:rsidR="006B0101"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דוגמאות להליכי תכנון של פרויקטים למגורים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בביקורת נבדקו במחוזות המרכז ותל אביב</w:t>
      </w:r>
      <w:r w:rsidRPr="00F41E78">
        <w:rPr>
          <w:rFonts w:cs="FrankRuehl" w:hint="cs"/>
          <w:sz w:val="18"/>
          <w:szCs w:val="22"/>
          <w:rtl/>
          <w:lang w:eastAsia="he-IL"/>
        </w:rPr>
        <w:t xml:space="preserve"> </w:t>
      </w:r>
      <w:r w:rsidRPr="00F41E78">
        <w:rPr>
          <w:rFonts w:cs="FrankRuehl" w:hint="cs"/>
          <w:sz w:val="18"/>
          <w:szCs w:val="22"/>
          <w:rtl/>
          <w:lang w:eastAsia="he-IL"/>
        </w:rPr>
        <w:t>כמה פרויקטים גדולים למגורים</w:t>
      </w:r>
      <w:r>
        <w:rPr>
          <w:rFonts w:cs="FrankRuehl"/>
          <w:sz w:val="18"/>
          <w:szCs w:val="22"/>
          <w:vertAlign w:val="superscript"/>
          <w:rtl/>
          <w:lang w:eastAsia="he-IL"/>
        </w:rPr>
        <w:footnoteReference w:id="221"/>
      </w:r>
      <w:r w:rsidRPr="00F41E78">
        <w:rPr>
          <w:rFonts w:cs="FrankRuehl" w:hint="cs"/>
          <w:sz w:val="18"/>
          <w:szCs w:val="22"/>
          <w:rtl/>
          <w:lang w:eastAsia="he-IL"/>
        </w:rPr>
        <w:t xml:space="preserve"> המעוכבים עקב חסמי תכנון. לרוב הפרויקטים האלו מכנה משותף - הקיבולת הגבוהה (אלפי יח"ד); הם הומלצו לקידום במסקנות ועדת טרכטנברג; </w:t>
      </w:r>
      <w:r w:rsidRPr="00F41E78">
        <w:rPr>
          <w:rFonts w:cs="FrankRuehl" w:hint="eastAsia"/>
          <w:sz w:val="18"/>
          <w:szCs w:val="22"/>
          <w:rtl/>
          <w:lang w:eastAsia="he-IL"/>
        </w:rPr>
        <w:t>חלקם</w:t>
      </w:r>
      <w:r w:rsidRPr="00F41E78">
        <w:rPr>
          <w:rFonts w:cs="FrankRuehl"/>
          <w:sz w:val="18"/>
          <w:szCs w:val="22"/>
          <w:rtl/>
          <w:lang w:eastAsia="he-IL"/>
        </w:rPr>
        <w:t xml:space="preserve"> נבחרו </w:t>
      </w:r>
      <w:r w:rsidRPr="00F41E78">
        <w:rPr>
          <w:rFonts w:cs="FrankRuehl" w:hint="eastAsia"/>
          <w:sz w:val="18"/>
          <w:szCs w:val="22"/>
          <w:rtl/>
          <w:lang w:eastAsia="he-IL"/>
        </w:rPr>
        <w:t>כפרויקטים</w:t>
      </w:r>
      <w:r w:rsidRPr="00F41E78">
        <w:rPr>
          <w:rFonts w:cs="FrankRuehl"/>
          <w:sz w:val="18"/>
          <w:szCs w:val="22"/>
          <w:rtl/>
          <w:lang w:eastAsia="he-IL"/>
        </w:rPr>
        <w:t xml:space="preserve"> </w:t>
      </w:r>
      <w:r w:rsidRPr="00F41E78">
        <w:rPr>
          <w:rFonts w:cs="FrankRuehl" w:hint="eastAsia"/>
          <w:sz w:val="18"/>
          <w:szCs w:val="22"/>
          <w:rtl/>
          <w:lang w:eastAsia="he-IL"/>
        </w:rPr>
        <w:t>במסלול</w:t>
      </w:r>
      <w:r w:rsidRPr="00F41E78">
        <w:rPr>
          <w:rFonts w:cs="FrankRuehl"/>
          <w:sz w:val="18"/>
          <w:szCs w:val="22"/>
          <w:rtl/>
          <w:lang w:eastAsia="he-IL"/>
        </w:rPr>
        <w:t xml:space="preserve"> </w:t>
      </w:r>
      <w:r w:rsidRPr="00F41E78">
        <w:rPr>
          <w:rFonts w:cs="FrankRuehl" w:hint="eastAsia"/>
          <w:sz w:val="18"/>
          <w:szCs w:val="22"/>
          <w:rtl/>
          <w:lang w:eastAsia="he-IL"/>
        </w:rPr>
        <w:t>לה</w:t>
      </w:r>
      <w:r w:rsidRPr="00F41E78">
        <w:rPr>
          <w:rFonts w:cs="FrankRuehl"/>
          <w:sz w:val="18"/>
          <w:szCs w:val="22"/>
          <w:rtl/>
          <w:lang w:eastAsia="he-IL"/>
        </w:rPr>
        <w:t>"ב</w:t>
      </w:r>
      <w:r w:rsidRPr="00F41E78">
        <w:rPr>
          <w:rFonts w:cs="FrankRuehl" w:hint="cs"/>
          <w:sz w:val="18"/>
          <w:szCs w:val="22"/>
          <w:rtl/>
          <w:lang w:eastAsia="he-IL"/>
        </w:rPr>
        <w:t xml:space="preserve">; שמם נזכר בהחלטות ממשלה שעניינן קידום מתואם בין-משרדי, ובייחוד בהחלטה 3756 מאוקטובר 2011; </w:t>
      </w:r>
      <w:r w:rsidRPr="00F41E78">
        <w:rPr>
          <w:rFonts w:cs="FrankRuehl" w:hint="eastAsia"/>
          <w:sz w:val="18"/>
          <w:szCs w:val="22"/>
          <w:rtl/>
          <w:lang w:eastAsia="he-IL"/>
        </w:rPr>
        <w:t>והם</w:t>
      </w:r>
      <w:r w:rsidRPr="00F41E78">
        <w:rPr>
          <w:rFonts w:cs="FrankRuehl"/>
          <w:sz w:val="18"/>
          <w:szCs w:val="22"/>
          <w:rtl/>
          <w:lang w:eastAsia="he-IL"/>
        </w:rPr>
        <w:t xml:space="preserve"> </w:t>
      </w:r>
      <w:r w:rsidRPr="00F41E78">
        <w:rPr>
          <w:rFonts w:cs="FrankRuehl" w:hint="eastAsia"/>
          <w:sz w:val="18"/>
          <w:szCs w:val="22"/>
          <w:rtl/>
          <w:lang w:eastAsia="he-IL"/>
        </w:rPr>
        <w:t>נבחרו</w:t>
      </w:r>
      <w:r w:rsidRPr="00F41E78">
        <w:rPr>
          <w:rFonts w:cs="FrankRuehl"/>
          <w:sz w:val="18"/>
          <w:szCs w:val="22"/>
          <w:rtl/>
          <w:lang w:eastAsia="he-IL"/>
        </w:rPr>
        <w:t xml:space="preserve"> </w:t>
      </w:r>
      <w:r w:rsidRPr="00F41E78">
        <w:rPr>
          <w:rFonts w:cs="FrankRuehl" w:hint="eastAsia"/>
          <w:sz w:val="18"/>
          <w:szCs w:val="22"/>
          <w:rtl/>
          <w:lang w:eastAsia="he-IL"/>
        </w:rPr>
        <w:t>בפורום</w:t>
      </w:r>
      <w:r w:rsidRPr="00F41E78">
        <w:rPr>
          <w:rFonts w:cs="FrankRuehl"/>
          <w:sz w:val="18"/>
          <w:szCs w:val="22"/>
          <w:rtl/>
          <w:lang w:eastAsia="he-IL"/>
        </w:rPr>
        <w:t xml:space="preserve"> </w:t>
      </w:r>
      <w:r w:rsidRPr="00F41E78">
        <w:rPr>
          <w:rFonts w:cs="FrankRuehl" w:hint="eastAsia"/>
          <w:sz w:val="18"/>
          <w:szCs w:val="22"/>
          <w:rtl/>
          <w:lang w:eastAsia="he-IL"/>
        </w:rPr>
        <w:t>המשותף</w:t>
      </w:r>
      <w:r w:rsidRPr="00F41E78">
        <w:rPr>
          <w:rFonts w:cs="FrankRuehl"/>
          <w:sz w:val="18"/>
          <w:szCs w:val="22"/>
          <w:rtl/>
          <w:lang w:eastAsia="he-IL"/>
        </w:rPr>
        <w:t xml:space="preserve"> </w:t>
      </w:r>
      <w:r w:rsidRPr="00F41E78">
        <w:rPr>
          <w:rFonts w:cs="FrankRuehl" w:hint="eastAsia"/>
          <w:sz w:val="18"/>
          <w:szCs w:val="22"/>
          <w:rtl/>
          <w:lang w:eastAsia="he-IL"/>
        </w:rPr>
        <w:t>כתכניות</w:t>
      </w:r>
      <w:r w:rsidRPr="00F41E78">
        <w:rPr>
          <w:rFonts w:cs="FrankRuehl"/>
          <w:sz w:val="18"/>
          <w:szCs w:val="22"/>
          <w:rtl/>
          <w:lang w:eastAsia="he-IL"/>
        </w:rPr>
        <w:t xml:space="preserve"> </w:t>
      </w:r>
      <w:r w:rsidRPr="00F41E78">
        <w:rPr>
          <w:rFonts w:cs="FrankRuehl" w:hint="eastAsia"/>
          <w:sz w:val="18"/>
          <w:szCs w:val="22"/>
          <w:rtl/>
          <w:lang w:eastAsia="he-IL"/>
        </w:rPr>
        <w:t>לקידום</w:t>
      </w:r>
      <w:r w:rsidRPr="00F41E78">
        <w:rPr>
          <w:rFonts w:cs="FrankRuehl"/>
          <w:sz w:val="18"/>
          <w:szCs w:val="22"/>
          <w:rtl/>
          <w:lang w:eastAsia="he-IL"/>
        </w:rPr>
        <w:t xml:space="preserve"> </w:t>
      </w:r>
      <w:r w:rsidRPr="00F41E78">
        <w:rPr>
          <w:rFonts w:cs="FrankRuehl" w:hint="eastAsia"/>
          <w:sz w:val="18"/>
          <w:szCs w:val="22"/>
          <w:rtl/>
          <w:lang w:eastAsia="he-IL"/>
        </w:rPr>
        <w:t>מואץ</w:t>
      </w:r>
      <w:r w:rsidRPr="00F41E78">
        <w:rPr>
          <w:rFonts w:cs="FrankRuehl" w:hint="cs"/>
          <w:sz w:val="18"/>
          <w:szCs w:val="22"/>
          <w:rtl/>
          <w:lang w:eastAsia="he-IL"/>
        </w:rPr>
        <w:t xml:space="preserve">. בפועל, התחזיות לקידום פרויקטים אלו לא התממשו. מהממצאים עולה כי האחריות לשיהוי בקידומם נחלקת בין היזמים - משרד הבינוי ורמ"י - ובין המשרדים המאסדרים, בייחוד המשרד להגנת הסביבה ומשרד התחבורה. להלן </w:t>
      </w:r>
      <w:r w:rsidRPr="00F41E78">
        <w:rPr>
          <w:rFonts w:cs="FrankRuehl" w:hint="eastAsia"/>
          <w:sz w:val="18"/>
          <w:szCs w:val="22"/>
          <w:rtl/>
          <w:lang w:eastAsia="he-IL"/>
        </w:rPr>
        <w:t>שלוש</w:t>
      </w:r>
      <w:r w:rsidRPr="00F41E78">
        <w:rPr>
          <w:rFonts w:cs="FrankRuehl"/>
          <w:sz w:val="18"/>
          <w:szCs w:val="22"/>
          <w:rtl/>
          <w:lang w:eastAsia="he-IL"/>
        </w:rPr>
        <w:t xml:space="preserve"> </w:t>
      </w:r>
      <w:r w:rsidRPr="00F41E78">
        <w:rPr>
          <w:rFonts w:cs="FrankRuehl" w:hint="eastAsia"/>
          <w:sz w:val="18"/>
          <w:szCs w:val="22"/>
          <w:rtl/>
          <w:lang w:eastAsia="he-IL"/>
        </w:rPr>
        <w:t>דוגמאות</w:t>
      </w:r>
      <w:r w:rsidRPr="00F41E78">
        <w:rPr>
          <w:rFonts w:cs="FrankRuehl"/>
          <w:sz w:val="18"/>
          <w:szCs w:val="22"/>
          <w:rtl/>
          <w:lang w:eastAsia="he-IL"/>
        </w:rPr>
        <w:t>:</w:t>
      </w:r>
      <w:r w:rsidRPr="00F41E78">
        <w:rPr>
          <w:rFonts w:cs="FrankRuehl" w:hint="cs"/>
          <w:sz w:val="18"/>
          <w:szCs w:val="22"/>
          <w:rtl/>
          <w:lang w:eastAsia="he-IL"/>
        </w:rPr>
        <w:t xml:space="preserve"> </w:t>
      </w:r>
    </w:p>
    <w:p w:rsidR="006B0101"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 xml:space="preserve">שכונה </w:t>
      </w:r>
      <w:r w:rsidRPr="00CB33CD">
        <w:rPr>
          <w:lang w:eastAsia="he-IL"/>
        </w:rPr>
        <w:t>N</w:t>
      </w:r>
      <w:r w:rsidRPr="00CB33CD">
        <w:rPr>
          <w:rFonts w:hint="cs"/>
          <w:rtl/>
          <w:lang w:eastAsia="he-IL"/>
        </w:rPr>
        <w:t xml:space="preserve"> במודיעין</w:t>
      </w:r>
    </w:p>
    <w:p w:rsidR="00E97EDA" w:rsidRPr="00F41E78" w:rsidP="002A1D15">
      <w:pPr>
        <w:spacing w:after="240" w:line="230" w:lineRule="exact"/>
        <w:jc w:val="both"/>
        <w:rPr>
          <w:rFonts w:cs="FrankRuehl"/>
          <w:sz w:val="18"/>
          <w:szCs w:val="22"/>
          <w:rtl/>
          <w:lang w:eastAsia="he-IL"/>
        </w:rPr>
      </w:pPr>
      <w:r w:rsidRPr="00F41E78">
        <w:rPr>
          <w:rFonts w:cs="FrankRuehl" w:hint="cs"/>
          <w:sz w:val="18"/>
          <w:szCs w:val="22"/>
          <w:rtl/>
          <w:lang w:eastAsia="he-IL"/>
        </w:rPr>
        <w:t xml:space="preserve">בשנת 2000 החל משרד הבינוי לתכנן שלוש שכונות חדשות במודיעין הנקראות </w:t>
      </w:r>
      <w:r w:rsidR="002A1D15">
        <w:rPr>
          <w:rFonts w:cs="FrankRuehl"/>
          <w:sz w:val="18"/>
          <w:szCs w:val="22"/>
          <w:lang w:eastAsia="he-IL"/>
        </w:rPr>
        <w:t>L</w:t>
      </w:r>
      <w:r w:rsidR="002A1D15">
        <w:rPr>
          <w:rFonts w:cs="FrankRuehl" w:hint="cs"/>
          <w:sz w:val="18"/>
          <w:szCs w:val="22"/>
          <w:rtl/>
          <w:lang w:eastAsia="he-IL"/>
        </w:rPr>
        <w:t xml:space="preserve"> (1,461</w:t>
      </w:r>
      <w:r w:rsidR="00FF1578">
        <w:rPr>
          <w:rFonts w:cs="FrankRuehl" w:hint="cs"/>
          <w:sz w:val="18"/>
          <w:szCs w:val="22"/>
          <w:rtl/>
          <w:lang w:eastAsia="he-IL"/>
        </w:rPr>
        <w:t xml:space="preserve"> </w:t>
      </w:r>
      <w:r w:rsidRPr="00F41E78">
        <w:rPr>
          <w:rFonts w:cs="FrankRuehl" w:hint="cs"/>
          <w:sz w:val="18"/>
          <w:szCs w:val="22"/>
          <w:rtl/>
          <w:lang w:eastAsia="he-IL"/>
        </w:rPr>
        <w:t xml:space="preserve">דונם </w:t>
      </w:r>
      <w:r w:rsidR="00270C29">
        <w:rPr>
          <w:rFonts w:cs="FrankRuehl"/>
          <w:sz w:val="18"/>
          <w:szCs w:val="22"/>
          <w:lang w:eastAsia="he-IL"/>
        </w:rPr>
        <w:br/>
      </w:r>
      <w:r w:rsidRPr="00F41E78">
        <w:rPr>
          <w:rFonts w:cs="FrankRuehl" w:hint="cs"/>
          <w:sz w:val="18"/>
          <w:szCs w:val="22"/>
          <w:rtl/>
          <w:lang w:eastAsia="he-IL"/>
        </w:rPr>
        <w:t>וכ-4,200 יח"ד),</w:t>
      </w:r>
      <w:r w:rsidR="002A1D15">
        <w:rPr>
          <w:rFonts w:cs="FrankRuehl" w:hint="cs"/>
          <w:sz w:val="18"/>
          <w:szCs w:val="22"/>
          <w:rtl/>
          <w:lang w:eastAsia="he-IL"/>
        </w:rPr>
        <w:t xml:space="preserve"> </w:t>
      </w:r>
      <w:r w:rsidR="002A1D15">
        <w:rPr>
          <w:rFonts w:cs="FrankRuehl"/>
          <w:sz w:val="18"/>
          <w:szCs w:val="22"/>
          <w:lang w:eastAsia="he-IL"/>
        </w:rPr>
        <w:t>P</w:t>
      </w:r>
      <w:r w:rsidR="002A1D15">
        <w:rPr>
          <w:rFonts w:cs="FrankRuehl" w:hint="cs"/>
          <w:sz w:val="18"/>
          <w:szCs w:val="22"/>
          <w:rtl/>
          <w:lang w:eastAsia="he-IL"/>
        </w:rPr>
        <w:t xml:space="preserve"> (1,575</w:t>
      </w:r>
      <w:r w:rsidR="00FF1578">
        <w:rPr>
          <w:rFonts w:cs="FrankRuehl" w:hint="cs"/>
          <w:sz w:val="18"/>
          <w:szCs w:val="22"/>
          <w:rtl/>
          <w:lang w:eastAsia="he-IL"/>
        </w:rPr>
        <w:t xml:space="preserve"> </w:t>
      </w:r>
      <w:r w:rsidRPr="00F41E78">
        <w:rPr>
          <w:rFonts w:cs="FrankRuehl" w:hint="cs"/>
          <w:sz w:val="18"/>
          <w:szCs w:val="22"/>
          <w:rtl/>
          <w:lang w:eastAsia="he-IL"/>
        </w:rPr>
        <w:t>דונם וכ-3,370 יח"ד) ו-</w:t>
      </w:r>
      <w:r w:rsidR="002A1D15">
        <w:rPr>
          <w:rFonts w:cs="FrankRuehl"/>
          <w:sz w:val="18"/>
          <w:szCs w:val="22"/>
          <w:lang w:eastAsia="he-IL"/>
        </w:rPr>
        <w:t>N</w:t>
      </w:r>
      <w:r w:rsidR="002A1D15">
        <w:rPr>
          <w:rFonts w:cs="FrankRuehl" w:hint="cs"/>
          <w:sz w:val="18"/>
          <w:szCs w:val="22"/>
          <w:rtl/>
          <w:lang w:eastAsia="he-IL"/>
        </w:rPr>
        <w:t xml:space="preserve"> (956</w:t>
      </w:r>
      <w:r w:rsidRPr="00F41E78">
        <w:rPr>
          <w:rFonts w:cs="FrankRuehl" w:hint="cs"/>
          <w:sz w:val="18"/>
          <w:szCs w:val="22"/>
          <w:rtl/>
          <w:lang w:eastAsia="he-IL"/>
        </w:rPr>
        <w:t xml:space="preserve"> דונם וכ-1,670 יח"ד). יצוין כי תכנון שלוש השכונות קודם בקצב איטי בידי מחוז מיוחד של משרד הבינוי שעסק במודיעין בלבד. התכניות לא הגיעו לשלב החלטה על הפקדה בוועדה המחוזית מרכז, אף שנבדקו באופן ראשוני בלשכת התכנון המחוזית כבר בתחילת 2002. באוגוסט 2008 כאמור החליטה הממשלה על הקפאת התכנון במרכז הארץ והטיפול בתכנון שלוש השכונות פסק. עם החלטת הממשלה מיולי 2010 על ביטול הקפאת התכנון במחוז המרכז חודשה פעילותו התכנונית של מחוז מרכז במשרד הבינוי לקידום שכונה </w:t>
      </w:r>
      <w:r w:rsidRPr="00F41E78">
        <w:rPr>
          <w:rFonts w:cs="FrankRuehl"/>
          <w:sz w:val="18"/>
          <w:szCs w:val="22"/>
          <w:lang w:eastAsia="he-IL"/>
        </w:rPr>
        <w:t>N</w:t>
      </w:r>
      <w:r w:rsidRPr="00F41E78">
        <w:rPr>
          <w:rFonts w:cs="FrankRuehl" w:hint="cs"/>
          <w:sz w:val="18"/>
          <w:szCs w:val="22"/>
          <w:rtl/>
          <w:lang w:eastAsia="he-IL"/>
        </w:rPr>
        <w:t xml:space="preserve"> תחילה.</w:t>
      </w:r>
    </w:p>
    <w:p w:rsidR="00D22B16" w:rsidRPr="00F41E78" w:rsidP="00D22B16">
      <w:pPr>
        <w:pStyle w:val="RESHET"/>
        <w:keepLines/>
        <w:rPr>
          <w:rtl/>
        </w:rPr>
      </w:pPr>
      <w:r w:rsidRPr="00F41E78">
        <w:rPr>
          <w:rFonts w:hint="cs"/>
          <w:rtl/>
        </w:rPr>
        <w:t xml:space="preserve">בפועל, אף שבהזדמנויות רבות הוחלט על קידום מואץ ועל ליווי ממשלתי לתכנית של שכונה </w:t>
      </w:r>
      <w:r w:rsidRPr="00F41E78">
        <w:t>N</w:t>
      </w:r>
      <w:r w:rsidRPr="00F41E78">
        <w:rPr>
          <w:rFonts w:hint="cs"/>
          <w:rtl/>
        </w:rPr>
        <w:t xml:space="preserve"> במודיעין, רק בנובמבר 2013 היא אושרה. השיהוי באישור מקורו היה בעיקר במחלוקת בין הוועדה המחוזית מרכז למשרד הבינוי על הצפיפות המתוכננת בשלוש השכונות החדשות, בהתמהמהותו של המשרד להגנת הסביבה בהגשת דרישותיו ובהתמהמהותו של משרד הבינוי בביצוע הדרישות שהעלתה הוועדה המחוזית. </w:t>
      </w:r>
    </w:p>
    <w:p w:rsidR="00E97EDA" w:rsidRPr="002A1D15" w:rsidP="00A7557B">
      <w:pPr>
        <w:spacing w:after="120" w:line="230" w:lineRule="exact"/>
        <w:ind w:left="12"/>
        <w:jc w:val="both"/>
        <w:rPr>
          <w:rFonts w:cs="FrankRuehl"/>
          <w:sz w:val="18"/>
          <w:szCs w:val="22"/>
          <w:rtl/>
          <w:lang w:eastAsia="he-IL"/>
        </w:rPr>
      </w:pPr>
    </w:p>
    <w:p w:rsidR="00E97EDA" w:rsidRPr="00CB33CD" w:rsidP="00A7557B">
      <w:pPr>
        <w:pStyle w:val="KOT7"/>
        <w:rPr>
          <w:rtl/>
          <w:lang w:eastAsia="he-IL"/>
        </w:rPr>
      </w:pPr>
      <w:r w:rsidRPr="00CB33CD">
        <w:rPr>
          <w:rFonts w:hint="cs"/>
          <w:rtl/>
          <w:lang w:eastAsia="he-IL"/>
        </w:rPr>
        <w:t>מחלוקת בעניין הצפיפות</w:t>
      </w:r>
    </w:p>
    <w:p w:rsidR="00FA6646" w:rsidRPr="00FA6646" w:rsidP="00A7557B">
      <w:pPr>
        <w:spacing w:after="120" w:line="230" w:lineRule="exact"/>
        <w:ind w:left="12"/>
        <w:jc w:val="both"/>
        <w:rPr>
          <w:rFonts w:cs="FrankRuehl"/>
          <w:color w:val="C4BC96"/>
          <w:sz w:val="20"/>
          <w:szCs w:val="22"/>
          <w:rtl/>
          <w:lang w:eastAsia="he-IL"/>
        </w:rPr>
      </w:pPr>
      <w:r w:rsidRPr="00F41E78">
        <w:rPr>
          <w:rFonts w:cs="FrankRuehl" w:hint="cs"/>
          <w:sz w:val="18"/>
          <w:szCs w:val="22"/>
          <w:rtl/>
          <w:lang w:eastAsia="he-IL"/>
        </w:rPr>
        <w:t xml:space="preserve">ועדת היגוי שהוקמה בלשכת התכנון המחוזית לקידום פרויקט זה, ביקשה ממשרד הבינוי להגדיל את צפיפות יחידות הדיור בתכנית, על פי החלטת המועצה הארצית מאפריל 2008. לבקשה זו הצטרף גם המשרד להגנת הסביבה. אולם משרד הבינוי ביקש לקדם את התכנית, כמו שהיא, לשלבי הפקדה ומתן תוקף כדי לספק במהירות פתרונות דיור, ולא שינה דבר בתכנית. הוועדה המקומית מודיעין צידדה בעמדתו של משרד הבינוי. נמצא כי המחלוקת בנושא הציפוף נמשכה יותר משנתיים. לדעת משרד מבקר המדינה, על משרד הבינוי ועל </w:t>
      </w:r>
      <w:r w:rsidRPr="00F41E78">
        <w:rPr>
          <w:rFonts w:cs="FrankRuehl" w:hint="eastAsia"/>
          <w:sz w:val="18"/>
          <w:szCs w:val="22"/>
          <w:rtl/>
          <w:lang w:eastAsia="he-IL"/>
        </w:rPr>
        <w:t>עיריית</w:t>
      </w:r>
      <w:r w:rsidRPr="00F41E78">
        <w:rPr>
          <w:rFonts w:cs="FrankRuehl"/>
          <w:sz w:val="18"/>
          <w:szCs w:val="22"/>
          <w:rtl/>
          <w:lang w:eastAsia="he-IL"/>
        </w:rPr>
        <w:t xml:space="preserve"> </w:t>
      </w:r>
      <w:r w:rsidRPr="00F41E78">
        <w:rPr>
          <w:rFonts w:cs="FrankRuehl" w:hint="eastAsia"/>
          <w:sz w:val="18"/>
          <w:szCs w:val="22"/>
          <w:rtl/>
          <w:lang w:eastAsia="he-IL"/>
        </w:rPr>
        <w:t>מודיעין</w:t>
      </w:r>
      <w:r w:rsidRPr="00F41E78">
        <w:rPr>
          <w:rFonts w:cs="FrankRuehl" w:hint="cs"/>
          <w:sz w:val="18"/>
          <w:szCs w:val="22"/>
          <w:rtl/>
          <w:lang w:eastAsia="he-IL"/>
        </w:rPr>
        <w:t xml:space="preserve"> מכבים-רעות (להלן - עיריית מודיעין)</w:t>
      </w:r>
      <w:r w:rsidRPr="00F41E78">
        <w:rPr>
          <w:rFonts w:cs="FrankRuehl"/>
          <w:sz w:val="18"/>
          <w:szCs w:val="22"/>
          <w:rtl/>
          <w:lang w:eastAsia="he-IL"/>
        </w:rPr>
        <w:t xml:space="preserve"> </w:t>
      </w:r>
      <w:r w:rsidRPr="00F41E78">
        <w:rPr>
          <w:rFonts w:cs="FrankRuehl" w:hint="eastAsia"/>
          <w:sz w:val="18"/>
          <w:szCs w:val="22"/>
          <w:rtl/>
          <w:lang w:eastAsia="he-IL"/>
        </w:rPr>
        <w:t>להתאים</w:t>
      </w:r>
      <w:r w:rsidRPr="00F41E78">
        <w:rPr>
          <w:rFonts w:cs="FrankRuehl"/>
          <w:sz w:val="18"/>
          <w:szCs w:val="22"/>
          <w:rtl/>
          <w:lang w:eastAsia="he-IL"/>
        </w:rPr>
        <w:t xml:space="preserve"> </w:t>
      </w:r>
      <w:r w:rsidRPr="00F41E78">
        <w:rPr>
          <w:rFonts w:cs="FrankRuehl" w:hint="eastAsia"/>
          <w:sz w:val="18"/>
          <w:szCs w:val="22"/>
          <w:rtl/>
          <w:lang w:eastAsia="he-IL"/>
        </w:rPr>
        <w:t>את</w:t>
      </w:r>
      <w:r w:rsidRPr="00F41E78">
        <w:rPr>
          <w:rFonts w:cs="FrankRuehl"/>
          <w:sz w:val="18"/>
          <w:szCs w:val="22"/>
          <w:rtl/>
          <w:lang w:eastAsia="he-IL"/>
        </w:rPr>
        <w:t xml:space="preserve"> </w:t>
      </w:r>
      <w:r w:rsidRPr="00F41E78">
        <w:rPr>
          <w:rFonts w:cs="FrankRuehl" w:hint="eastAsia"/>
          <w:sz w:val="18"/>
          <w:szCs w:val="22"/>
          <w:rtl/>
          <w:lang w:eastAsia="he-IL"/>
        </w:rPr>
        <w:t>גישתם</w:t>
      </w:r>
      <w:r w:rsidRPr="00F41E78">
        <w:rPr>
          <w:rFonts w:cs="FrankRuehl"/>
          <w:sz w:val="18"/>
          <w:szCs w:val="22"/>
          <w:rtl/>
          <w:lang w:eastAsia="he-IL"/>
        </w:rPr>
        <w:t xml:space="preserve"> </w:t>
      </w:r>
      <w:r w:rsidRPr="00F41E78">
        <w:rPr>
          <w:rFonts w:cs="FrankRuehl" w:hint="eastAsia"/>
          <w:sz w:val="18"/>
          <w:szCs w:val="22"/>
          <w:rtl/>
          <w:lang w:eastAsia="he-IL"/>
        </w:rPr>
        <w:t>לשינוי</w:t>
      </w:r>
      <w:r w:rsidRPr="00F41E78">
        <w:rPr>
          <w:rFonts w:cs="FrankRuehl"/>
          <w:sz w:val="18"/>
          <w:szCs w:val="22"/>
          <w:rtl/>
          <w:lang w:eastAsia="he-IL"/>
        </w:rPr>
        <w:t xml:space="preserve"> </w:t>
      </w:r>
      <w:r w:rsidRPr="00F41E78">
        <w:rPr>
          <w:rFonts w:cs="FrankRuehl" w:hint="cs"/>
          <w:sz w:val="18"/>
          <w:szCs w:val="22"/>
          <w:rtl/>
          <w:lang w:eastAsia="he-IL"/>
        </w:rPr>
        <w:t>שחל בתפישות התכנון</w:t>
      </w:r>
      <w:r w:rsidRPr="00F41E78">
        <w:rPr>
          <w:rFonts w:cs="FrankRuehl"/>
          <w:sz w:val="18"/>
          <w:szCs w:val="22"/>
          <w:rtl/>
          <w:lang w:eastAsia="he-IL"/>
        </w:rPr>
        <w:t xml:space="preserve"> </w:t>
      </w:r>
      <w:r w:rsidRPr="00F41E78">
        <w:rPr>
          <w:rFonts w:cs="FrankRuehl" w:hint="eastAsia"/>
          <w:sz w:val="18"/>
          <w:szCs w:val="22"/>
          <w:rtl/>
          <w:lang w:eastAsia="he-IL"/>
        </w:rPr>
        <w:t>בעניין</w:t>
      </w:r>
      <w:r w:rsidRPr="00F41E78">
        <w:rPr>
          <w:rFonts w:cs="FrankRuehl"/>
          <w:sz w:val="18"/>
          <w:szCs w:val="22"/>
          <w:rtl/>
          <w:lang w:eastAsia="he-IL"/>
        </w:rPr>
        <w:t xml:space="preserve"> </w:t>
      </w:r>
      <w:r w:rsidRPr="00F41E78">
        <w:rPr>
          <w:rFonts w:cs="FrankRuehl" w:hint="eastAsia"/>
          <w:sz w:val="18"/>
          <w:szCs w:val="22"/>
          <w:rtl/>
          <w:lang w:eastAsia="he-IL"/>
        </w:rPr>
        <w:t>הצפיפות</w:t>
      </w:r>
      <w:r w:rsidRPr="00F41E78">
        <w:rPr>
          <w:rFonts w:cs="FrankRuehl" w:hint="cs"/>
          <w:sz w:val="18"/>
          <w:szCs w:val="22"/>
          <w:rtl/>
          <w:lang w:eastAsia="he-IL"/>
        </w:rPr>
        <w:t xml:space="preserve">. כמו כן, יצירת הזיקה בדיונים בנושא הצפיפות בשלוש השכונות בעת ובעונה אחת פגעה בקידום התכנית של שכונה </w:t>
      </w:r>
      <w:r w:rsidRPr="00F41E78">
        <w:rPr>
          <w:rFonts w:cs="FrankRuehl"/>
          <w:sz w:val="18"/>
          <w:szCs w:val="22"/>
          <w:lang w:eastAsia="he-IL"/>
        </w:rPr>
        <w:t>N</w:t>
      </w:r>
      <w:r w:rsidRPr="00CB33CD">
        <w:rPr>
          <w:rFonts w:hint="cs"/>
          <w:szCs w:val="20"/>
          <w:rtl/>
          <w:lang w:eastAsia="he-IL"/>
        </w:rPr>
        <w:t xml:space="preserve"> </w:t>
      </w:r>
      <w:r w:rsidRPr="00FA6646">
        <w:rPr>
          <w:rFonts w:cs="FrankRuehl" w:hint="cs"/>
          <w:sz w:val="20"/>
          <w:szCs w:val="22"/>
          <w:rtl/>
          <w:lang w:eastAsia="he-IL"/>
        </w:rPr>
        <w:t>שהייתה "בשלה" יותר להפקדה</w:t>
      </w:r>
      <w:r w:rsidRPr="00CB33CD">
        <w:rPr>
          <w:rFonts w:hint="cs"/>
          <w:szCs w:val="20"/>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בתשובתו ציין משרד הבינוי כי התנגדותו להעלאת הצפיפות מקורה בכך שתוספת יח"ד כרוכה גם בתוספת שטחי ציבור ויהיה צורך בבנייה לגובה ובייקור עלויות הבנייה והתחזוקה לדיירים. לכן, שינוי התכנית חייב הארכה ניכרת בלוחות הזמנים ודחיית שיווקן של הקרקעות.</w:t>
      </w:r>
    </w:p>
    <w:p w:rsidR="00E97EDA" w:rsidRPr="00F41E78" w:rsidP="00A7557B">
      <w:pPr>
        <w:spacing w:after="120" w:line="230" w:lineRule="exact"/>
        <w:jc w:val="both"/>
        <w:rPr>
          <w:rFonts w:cs="FrankRuehl"/>
          <w:sz w:val="18"/>
          <w:szCs w:val="22"/>
          <w:rtl/>
          <w:lang w:eastAsia="he-IL"/>
        </w:rPr>
      </w:pPr>
      <w:r w:rsidRPr="00F41E78">
        <w:rPr>
          <w:rFonts w:cs="FrankRuehl" w:hint="eastAsia"/>
          <w:sz w:val="18"/>
          <w:szCs w:val="22"/>
          <w:rtl/>
          <w:lang w:eastAsia="he-IL"/>
        </w:rPr>
        <w:t>בתשובתה</w:t>
      </w:r>
      <w:r w:rsidRPr="00F41E78">
        <w:rPr>
          <w:rFonts w:cs="FrankRuehl"/>
          <w:sz w:val="18"/>
          <w:szCs w:val="22"/>
          <w:rtl/>
          <w:lang w:eastAsia="he-IL"/>
        </w:rPr>
        <w:t xml:space="preserve"> </w:t>
      </w:r>
      <w:r w:rsidRPr="00F41E78">
        <w:rPr>
          <w:rFonts w:cs="FrankRuehl" w:hint="eastAsia"/>
          <w:sz w:val="18"/>
          <w:szCs w:val="22"/>
          <w:rtl/>
          <w:lang w:eastAsia="he-IL"/>
        </w:rPr>
        <w:t>מינואר</w:t>
      </w:r>
      <w:r w:rsidRPr="00F41E78">
        <w:rPr>
          <w:rFonts w:cs="FrankRuehl"/>
          <w:sz w:val="18"/>
          <w:szCs w:val="22"/>
          <w:rtl/>
          <w:lang w:eastAsia="he-IL"/>
        </w:rPr>
        <w:t xml:space="preserve"> 2014</w:t>
      </w:r>
      <w:r w:rsidRPr="00F41E78">
        <w:rPr>
          <w:rFonts w:cs="FrankRuehl" w:hint="cs"/>
          <w:sz w:val="18"/>
          <w:szCs w:val="22"/>
          <w:rtl/>
          <w:lang w:eastAsia="he-IL"/>
        </w:rPr>
        <w:t xml:space="preserve"> מסרה</w:t>
      </w:r>
      <w:r w:rsidRPr="00F41E78">
        <w:rPr>
          <w:rFonts w:cs="FrankRuehl"/>
          <w:sz w:val="18"/>
          <w:szCs w:val="22"/>
          <w:rtl/>
          <w:lang w:eastAsia="he-IL"/>
        </w:rPr>
        <w:t xml:space="preserve"> </w:t>
      </w:r>
      <w:r w:rsidRPr="00F41E78">
        <w:rPr>
          <w:rFonts w:cs="FrankRuehl" w:hint="eastAsia"/>
          <w:sz w:val="18"/>
          <w:szCs w:val="22"/>
          <w:rtl/>
          <w:lang w:eastAsia="he-IL"/>
        </w:rPr>
        <w:t>עיריית</w:t>
      </w:r>
      <w:r w:rsidRPr="00F41E78">
        <w:rPr>
          <w:rFonts w:cs="FrankRuehl"/>
          <w:sz w:val="18"/>
          <w:szCs w:val="22"/>
          <w:rtl/>
          <w:lang w:eastAsia="he-IL"/>
        </w:rPr>
        <w:t xml:space="preserve"> </w:t>
      </w:r>
      <w:r w:rsidRPr="00F41E78">
        <w:rPr>
          <w:rFonts w:cs="FrankRuehl" w:hint="eastAsia"/>
          <w:sz w:val="18"/>
          <w:szCs w:val="22"/>
          <w:rtl/>
          <w:lang w:eastAsia="he-IL"/>
        </w:rPr>
        <w:t>מודיעין</w:t>
      </w:r>
      <w:r w:rsidRPr="00F41E78">
        <w:rPr>
          <w:rFonts w:cs="FrankRuehl" w:hint="cs"/>
          <w:sz w:val="18"/>
          <w:szCs w:val="22"/>
          <w:rtl/>
          <w:lang w:eastAsia="he-IL"/>
        </w:rPr>
        <w:t xml:space="preserve"> כי לא היה כל מקום להגדיל את הצפיפות בשלוש השכונות כי הן עמדו בדרישות של תכנית המתאר המחוזית החלקית ושל תכנית המתאר המקומית של מודיעין שאושרו בשנות התשעים של המאה העשרים. היא ציינה כי הוצאו כספי ציבור על תכנון שכונות אלו והתכנון החדש עשוי לשנות את אופייה של העיר. היא הוסיפה כי עקב הציפוף ייווצר צורך במוסדות חינוך רבים מהרגיל</w:t>
      </w:r>
      <w:r w:rsidRPr="00F41E78">
        <w:rPr>
          <w:rFonts w:cs="FrankRuehl" w:hint="cs"/>
          <w:sz w:val="18"/>
          <w:szCs w:val="22"/>
          <w:rtl/>
          <w:lang w:eastAsia="he-IL"/>
        </w:rPr>
        <w:t xml:space="preserve"> </w:t>
      </w:r>
      <w:r w:rsidRPr="00F41E78">
        <w:rPr>
          <w:rFonts w:cs="FrankRuehl" w:hint="cs"/>
          <w:sz w:val="18"/>
          <w:szCs w:val="22"/>
          <w:rtl/>
          <w:lang w:eastAsia="he-IL"/>
        </w:rPr>
        <w:t xml:space="preserve">בשל חתך הגילאים הצעיר המאפיין את העיר. </w:t>
      </w:r>
    </w:p>
    <w:p w:rsidR="00E97EDA" w:rsidRPr="00F41E78" w:rsidP="00270C29">
      <w:pPr>
        <w:spacing w:after="240" w:line="230" w:lineRule="exact"/>
        <w:jc w:val="both"/>
        <w:rPr>
          <w:rFonts w:cs="FrankRuehl"/>
          <w:sz w:val="18"/>
          <w:szCs w:val="22"/>
          <w:rtl/>
          <w:lang w:eastAsia="he-IL"/>
        </w:rPr>
      </w:pPr>
      <w:r w:rsidRPr="00F41E78">
        <w:rPr>
          <w:rFonts w:cs="FrankRuehl" w:hint="cs"/>
          <w:sz w:val="18"/>
          <w:szCs w:val="22"/>
          <w:rtl/>
          <w:lang w:eastAsia="he-IL"/>
        </w:rPr>
        <w:t xml:space="preserve">משרד מבקר המדינה מעיר לעיריית מודיעין כי שומה עליה לפעול בתחום התכנון על פי הוראות הוועדה המחוזית. הנורמות התכנוניות בעניין הצפיפות השתנו בשנים האחרונות והן מיושמות בכל ערי מטרופולין תל אביב. במודיעין, שלא כמו בערים רבות במרכז הארץ שבהן מצויות קרקעות פרטיות, נותרו רזרבות קרקעיות של המדינה שיש לנצלן באופן מיטבי. לכן, דווקא בשל חתך הגילאים המאפיין את העיר קבעה תכנית המתאר המקומית כי גודל משפחה ממוצע יחושב לפי 3.65 נפשות. דהיינו, העיר תמנה 120,000 תושבים כבר לאחר בנייה ואכלוס של כ-32,800 יח"ד, דבר המבהיר את דרישתה של הוועדה המחוזית מרכז בעניין הגדלת הצפיפות. </w:t>
      </w:r>
    </w:p>
    <w:p w:rsidR="00D22B16" w:rsidRPr="00F41E78" w:rsidP="00D22B16">
      <w:pPr>
        <w:pStyle w:val="RESHET"/>
        <w:keepLines/>
        <w:rPr>
          <w:rtl/>
        </w:rPr>
      </w:pPr>
      <w:r w:rsidRPr="00F41E78">
        <w:rPr>
          <w:rFonts w:hint="cs"/>
          <w:rtl/>
        </w:rPr>
        <w:t xml:space="preserve">בסוף יוני 2013, כשנתיים לאחר החלטת הוועדה המחוזית, הפקיד משרד הבינוי את התכנית וכאמור בנובמבר 2013, מקץ שנים רבות מתחילת התכנון, אושרה התכנית. </w:t>
      </w:r>
    </w:p>
    <w:p w:rsidR="00E97EDA" w:rsidRPr="00270C29" w:rsidP="00270C29">
      <w:pPr>
        <w:spacing w:after="120" w:line="230" w:lineRule="exact"/>
        <w:jc w:val="both"/>
        <w:rPr>
          <w:rFonts w:cs="FrankRuehl"/>
          <w:sz w:val="18"/>
          <w:szCs w:val="22"/>
          <w:rtl/>
          <w:lang w:eastAsia="he-IL"/>
        </w:rPr>
      </w:pPr>
    </w:p>
    <w:p w:rsidR="00E97EDA" w:rsidRPr="00CB33CD" w:rsidP="00A7557B">
      <w:pPr>
        <w:pStyle w:val="KOT7"/>
        <w:rPr>
          <w:rtl/>
          <w:lang w:eastAsia="he-IL"/>
        </w:rPr>
      </w:pPr>
      <w:r w:rsidRPr="00CB33CD">
        <w:rPr>
          <w:rFonts w:hint="cs"/>
          <w:rtl/>
          <w:lang w:eastAsia="he-IL"/>
        </w:rPr>
        <w:t>סוגיות של איכות הסביבה</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במאי 2011 שלח משרד הבינוי את התכנית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שכונה</w:t>
      </w:r>
      <w:r w:rsidRPr="00F41E78">
        <w:rPr>
          <w:rFonts w:cs="FrankRuehl" w:hint="cs"/>
          <w:sz w:val="18"/>
          <w:szCs w:val="22"/>
          <w:rtl/>
          <w:lang w:eastAsia="he-IL"/>
        </w:rPr>
        <w:t xml:space="preserve"> </w:t>
      </w:r>
      <w:r w:rsidRPr="00F41E78">
        <w:rPr>
          <w:rFonts w:cs="FrankRuehl"/>
          <w:sz w:val="18"/>
          <w:szCs w:val="22"/>
          <w:lang w:eastAsia="he-IL"/>
        </w:rPr>
        <w:t>N</w:t>
      </w:r>
      <w:r w:rsidRPr="00F41E78">
        <w:rPr>
          <w:rFonts w:cs="FrankRuehl" w:hint="cs"/>
          <w:sz w:val="18"/>
          <w:szCs w:val="22"/>
          <w:rtl/>
          <w:lang w:eastAsia="he-IL"/>
        </w:rPr>
        <w:t xml:space="preserve"> להתייחסותם של משרדי הממשלה הרלוונטיים. באותו חודש שלח מחוז המרכז במשרד להגנת הסביבה (להלן בפרק זה - המחוז) מכתב תגובה ובו דרש להוסיף למסמכי התכנית של השכונה נספח סביבתי שעיקרו הנושאים האקולוגיים והנופיים במתחם שיכלול סקר עצים, סקר גאופיטים</w:t>
      </w:r>
      <w:r>
        <w:rPr>
          <w:rFonts w:cs="FrankRuehl"/>
          <w:sz w:val="18"/>
          <w:szCs w:val="22"/>
          <w:vertAlign w:val="superscript"/>
          <w:rtl/>
          <w:lang w:eastAsia="he-IL"/>
        </w:rPr>
        <w:footnoteReference w:id="222"/>
      </w:r>
      <w:r w:rsidRPr="00F41E78">
        <w:rPr>
          <w:rFonts w:cs="FrankRuehl" w:hint="cs"/>
          <w:sz w:val="18"/>
          <w:szCs w:val="22"/>
          <w:rtl/>
          <w:lang w:eastAsia="he-IL"/>
        </w:rPr>
        <w:t>, סקר מבנים ועתיקות לשימור וכן נספח עודפי עפר ופסולת בניין. ביוני 2011 הוא הוסיף דרישה להכנת נספח לבנייה ירוקה. באותו חודש החליטה הוועדה המחוזית גם על הצורך בהשלמת נספח אקוסטי ונספח מי נגר. עוד החליטה הוועדה כי המחוז ימסור למשרד הבינוי הנחיות סביבתיות לשימור פארק ענאבה. באותו דיון אמרה נציגת המחוז כי נכון לערוך גם תכנית כוללת לנחל ענאבה שמצפון למתחם.</w:t>
      </w:r>
    </w:p>
    <w:p w:rsidR="00E97EDA" w:rsidRPr="00F41E78" w:rsidP="00270C29">
      <w:pPr>
        <w:spacing w:after="240" w:line="230" w:lineRule="exact"/>
        <w:ind w:left="12"/>
        <w:jc w:val="both"/>
        <w:rPr>
          <w:rFonts w:cs="FrankRuehl"/>
          <w:sz w:val="18"/>
          <w:szCs w:val="22"/>
          <w:rtl/>
          <w:lang w:eastAsia="he-IL"/>
        </w:rPr>
      </w:pPr>
      <w:r w:rsidRPr="00F41E78">
        <w:rPr>
          <w:rFonts w:cs="FrankRuehl" w:hint="cs"/>
          <w:sz w:val="18"/>
          <w:szCs w:val="22"/>
          <w:rtl/>
          <w:lang w:eastAsia="he-IL"/>
        </w:rPr>
        <w:t>רק בינואר 2012 שלח המחוז למשרד הבינוי הנחיות להכנת מסמך סביבתי ותחבורתי שישמור על המסדרון האקולוגי הארצי</w:t>
      </w:r>
      <w:r>
        <w:rPr>
          <w:rFonts w:cs="FrankRuehl"/>
          <w:sz w:val="18"/>
          <w:szCs w:val="22"/>
          <w:vertAlign w:val="superscript"/>
          <w:rtl/>
          <w:lang w:eastAsia="he-IL"/>
        </w:rPr>
        <w:footnoteReference w:id="223"/>
      </w:r>
      <w:r w:rsidRPr="00F41E78">
        <w:rPr>
          <w:rFonts w:cs="FrankRuehl" w:hint="cs"/>
          <w:sz w:val="18"/>
          <w:szCs w:val="22"/>
          <w:rtl/>
          <w:lang w:eastAsia="he-IL"/>
        </w:rPr>
        <w:t xml:space="preserve"> סביב העיר מודיעין. במאי 2012, כשנה לאחר שקיבל לראשונה את תכנית השכונה, עדיין לא מסר המחוז הנחיות סביבתיות לשימור פארק ענאבה והנחיות סביבתיות לנספח סביבתי-אקולוגי בדגש על פתרונות לממשק בין העיר ובין נחל ענאבה. באותו חודש ביקש המחוז מסמך חדש - נספח נופי שיתאר את עיצוב השכונה. עוד ביקש המחוז ממשרד הבינוי להכין מחדש את הנספח האקוסטי על פי מתודולוגיה חדשה, לאחר שזה כבר הושלם. רק בספטמבר 2012 העבירה רשות הטבע והגנים ליועץ סביבתי של משרד הבינוי את ההנחיות הסביבתיות להכנת סקר פיתוח שכונה </w:t>
      </w:r>
      <w:r w:rsidRPr="00F41E78">
        <w:rPr>
          <w:rFonts w:cs="FrankRuehl"/>
          <w:sz w:val="18"/>
          <w:szCs w:val="22"/>
          <w:lang w:eastAsia="he-IL"/>
        </w:rPr>
        <w:t>N</w:t>
      </w:r>
      <w:r w:rsidRPr="00F41E78">
        <w:rPr>
          <w:rFonts w:cs="FrankRuehl" w:hint="cs"/>
          <w:sz w:val="18"/>
          <w:szCs w:val="22"/>
          <w:rtl/>
          <w:lang w:eastAsia="he-IL"/>
        </w:rPr>
        <w:t xml:space="preserve"> עם דופן ידידותית לנחל ענאבה.</w:t>
      </w:r>
    </w:p>
    <w:p w:rsidR="00D22B16" w:rsidRPr="00F41E78" w:rsidP="00D22B16">
      <w:pPr>
        <w:pStyle w:val="RESHET"/>
        <w:keepLines/>
        <w:rPr>
          <w:rtl/>
        </w:rPr>
      </w:pPr>
      <w:r w:rsidRPr="00F41E78">
        <w:rPr>
          <w:rFonts w:hint="cs"/>
          <w:rtl/>
        </w:rPr>
        <w:t xml:space="preserve">לדעת משרד מבקר המדינה, על המשרד להגנת הסביבה או על רשות הניקוז הרלוונטית או על רשות הטבע והגנים לשקול אם במקרים דומים יש להטיל על היזם (משרד הבינוי ורמ"י) לספח שטחים ערכיים חיצוניים לתכניות למגורים, או לחלופין לתכנן אותם בעצמו באופן המיטבי מתוך נגיעה בפערי הידע וההתמחויות הקיימים ביניהם. </w:t>
      </w:r>
    </w:p>
    <w:p w:rsidR="00E97EDA" w:rsidRPr="00F41E78" w:rsidP="00270C29">
      <w:pPr>
        <w:spacing w:before="180" w:after="120" w:line="230" w:lineRule="exact"/>
        <w:ind w:left="12"/>
        <w:jc w:val="both"/>
        <w:rPr>
          <w:rFonts w:cs="FrankRuehl"/>
          <w:sz w:val="18"/>
          <w:szCs w:val="22"/>
          <w:rtl/>
          <w:lang w:eastAsia="he-IL"/>
        </w:rPr>
      </w:pPr>
      <w:r w:rsidRPr="00F41E78">
        <w:rPr>
          <w:rFonts w:cs="FrankRuehl" w:hint="cs"/>
          <w:sz w:val="18"/>
          <w:szCs w:val="22"/>
          <w:rtl/>
          <w:lang w:eastAsia="he-IL"/>
        </w:rPr>
        <w:t xml:space="preserve">בתשובתו הסביר המשרד להגנת הסביבה כי התכנית של שכונה </w:t>
      </w:r>
      <w:r w:rsidRPr="00F41E78">
        <w:rPr>
          <w:rFonts w:cs="FrankRuehl"/>
          <w:sz w:val="18"/>
          <w:szCs w:val="22"/>
          <w:lang w:eastAsia="he-IL"/>
        </w:rPr>
        <w:t>N</w:t>
      </w:r>
      <w:r w:rsidRPr="00F41E78">
        <w:rPr>
          <w:rFonts w:cs="FrankRuehl" w:hint="cs"/>
          <w:sz w:val="18"/>
          <w:szCs w:val="22"/>
          <w:rtl/>
          <w:lang w:eastAsia="he-IL"/>
        </w:rPr>
        <w:t xml:space="preserve"> חריגה מאוד במחוז המרכז ואין בה כדי לייצג תכניות אחרות שהוא מקדם. התכנית הזאת מורכבת מאוד בהיבטיה הסביבתיים והיא נדונה בוועדה המחוזית (או בוועדות משנה שלה) שבע פעמים לפני ההפקדה. היא הוצגה "לא בשלה" להפקדה, לכן ההחלטה על הפקדתה כללה 25 התניות, דבר שאינו שכיח. המשרד להגנת הסביבה ציין כי מבחינתו אין כל מניעה לאגד את כל הנספחים הסביבתיים בתוך מסגרת אחת. הוא הוסיף כי היה מצפה כי תכנית כזאת תכלול מראשיתה התייחסות, ולו ראשונית, לנושאים סביבתיים; מאחר שהדבר לא נעשה, מסמכים סביבתיים לקויים או חסרים הם גורם המעכב לא אחת את קידומן של תכניות. </w:t>
      </w:r>
    </w:p>
    <w:p w:rsidR="00E97EDA" w:rsidRPr="00F41E78" w:rsidP="000449EE">
      <w:pPr>
        <w:spacing w:after="120" w:line="230" w:lineRule="exact"/>
        <w:jc w:val="both"/>
        <w:rPr>
          <w:rFonts w:cs="FrankRuehl"/>
          <w:sz w:val="18"/>
          <w:szCs w:val="22"/>
          <w:rtl/>
          <w:lang w:eastAsia="he-IL"/>
        </w:rPr>
      </w:pPr>
      <w:r w:rsidRPr="00F41E78">
        <w:rPr>
          <w:rFonts w:cs="FrankRuehl" w:hint="cs"/>
          <w:sz w:val="18"/>
          <w:szCs w:val="22"/>
          <w:rtl/>
          <w:lang w:eastAsia="he-IL"/>
        </w:rPr>
        <w:t xml:space="preserve">יודגש כי גם משרד הבינוי מצדו לא הצליח לקדם במהירות את ההיבטים הסביבתיים של תכנון שכונה </w:t>
      </w:r>
      <w:r w:rsidRPr="00F41E78">
        <w:rPr>
          <w:rFonts w:cs="FrankRuehl"/>
          <w:sz w:val="18"/>
          <w:szCs w:val="22"/>
          <w:lang w:eastAsia="he-IL"/>
        </w:rPr>
        <w:t>N</w:t>
      </w:r>
      <w:r w:rsidRPr="00F41E78">
        <w:rPr>
          <w:rFonts w:cs="FrankRuehl" w:hint="cs"/>
          <w:sz w:val="18"/>
          <w:szCs w:val="22"/>
          <w:rtl/>
          <w:lang w:eastAsia="he-IL"/>
        </w:rPr>
        <w:t xml:space="preserve">: רק באוגוסט 2012, 14 חודשים לאחר החלטת הוועדה המחוזית הראשונה, הוא הכין נספח ניהול מי נגר לבדיקתו של המשרד להגנת הסביבה; במועד זה הוא טרם הזמין נספח עודפי עפר, לא הכין נספח לבנייה ירוקה ולא העביר נספח ניקוז לבדיקתם של רשות הניקוז, של משרד </w:t>
      </w:r>
      <w:r w:rsidRPr="00F41E78">
        <w:rPr>
          <w:rFonts w:cs="FrankRuehl" w:hint="cs"/>
          <w:sz w:val="18"/>
          <w:szCs w:val="22"/>
          <w:rtl/>
          <w:lang w:eastAsia="he-IL"/>
        </w:rPr>
        <w:t>החקלאות ושל המשרד להגנת הסביבה; רק בדצמבר 2012</w:t>
      </w:r>
      <w:r w:rsidR="000449EE">
        <w:rPr>
          <w:rFonts w:cs="FrankRuehl" w:hint="cs"/>
          <w:sz w:val="18"/>
          <w:szCs w:val="22"/>
          <w:rtl/>
          <w:lang w:eastAsia="he-IL"/>
        </w:rPr>
        <w:t xml:space="preserve">, </w:t>
      </w:r>
      <w:r w:rsidRPr="00F41E78">
        <w:rPr>
          <w:rFonts w:cs="FrankRuehl" w:hint="cs"/>
          <w:sz w:val="18"/>
          <w:szCs w:val="22"/>
          <w:rtl/>
          <w:lang w:eastAsia="he-IL"/>
        </w:rPr>
        <w:t>כשנה וחצי לאחר החלטת הוועדה המחוזית, השלים משרד הבינוי נספח אקולוגי וסקר עצים.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התכנון התחבורתי של השכונה היה צריך לתת מענה גם לסוגיות של איכות הסביבה. התוואי של שני כבישים פנימיים בתכנית היה צריך לאפשר את קיומו של מסדרון אקולוגי בנחל ענאבה, דבר שחייב את אישורו של המשרד להגנת הסביבה לפתרונות המוצעים והאריך את השלמת התכנון. לכן, ביוני 2011 הטילה הוועדה המחוזית על משרד הבינוי להציג לה חלופות לתוואי הכבישים באופן שיצמצם את הפגיעה בסביבה. רק ביוני 2012 הציג משרד הבינוי חלופה לתכנון כביש פנימי שהתקבלה על דעת כל המשרדים ועל דעתה של הרשות המקומית.</w:t>
      </w:r>
    </w:p>
    <w:p w:rsidR="006B0101" w:rsidRPr="00F41E78" w:rsidP="00A7557B">
      <w:pPr>
        <w:spacing w:after="120" w:line="230" w:lineRule="exact"/>
        <w:jc w:val="both"/>
        <w:rPr>
          <w:rFonts w:cs="FrankRuehl"/>
          <w:b/>
          <w:bCs/>
          <w:sz w:val="18"/>
          <w:szCs w:val="22"/>
          <w:rtl/>
          <w:lang w:eastAsia="he-IL"/>
        </w:rPr>
      </w:pPr>
    </w:p>
    <w:p w:rsidR="00E97EDA" w:rsidRPr="00CB33CD" w:rsidP="00A7557B">
      <w:pPr>
        <w:pStyle w:val="KOT6"/>
        <w:rPr>
          <w:lang w:eastAsia="he-IL"/>
        </w:rPr>
      </w:pPr>
      <w:r w:rsidRPr="00CB33CD">
        <w:rPr>
          <w:rFonts w:hint="eastAsia"/>
          <w:rtl/>
          <w:lang w:eastAsia="he-IL"/>
        </w:rPr>
        <w:t>שכונה</w:t>
      </w:r>
      <w:r w:rsidRPr="00CB33CD">
        <w:rPr>
          <w:rFonts w:hint="cs"/>
          <w:rtl/>
          <w:lang w:eastAsia="he-IL"/>
        </w:rPr>
        <w:t xml:space="preserve"> </w:t>
      </w:r>
      <w:r w:rsidRPr="00CB33CD">
        <w:rPr>
          <w:lang w:eastAsia="he-IL"/>
        </w:rPr>
        <w:t>B</w:t>
      </w:r>
      <w:r w:rsidRPr="00CB33CD">
        <w:rPr>
          <w:rFonts w:hint="cs"/>
          <w:rtl/>
          <w:lang w:eastAsia="he-IL"/>
        </w:rPr>
        <w:t xml:space="preserve"> ו-</w:t>
      </w:r>
      <w:r w:rsidRPr="00CB33CD">
        <w:rPr>
          <w:lang w:eastAsia="he-IL"/>
        </w:rPr>
        <w:t>C</w:t>
      </w:r>
      <w:r>
        <w:rPr>
          <w:rFonts w:hint="cs"/>
          <w:rtl/>
          <w:lang w:eastAsia="he-IL"/>
        </w:rPr>
        <w:t xml:space="preserve"> ביבנה</w:t>
      </w:r>
    </w:p>
    <w:p w:rsidR="00E97EDA" w:rsidRPr="00F41E78" w:rsidP="00A7557B">
      <w:pPr>
        <w:spacing w:after="120" w:line="230" w:lineRule="exact"/>
        <w:ind w:left="11"/>
        <w:jc w:val="both"/>
        <w:rPr>
          <w:rFonts w:cs="FrankRuehl"/>
          <w:sz w:val="18"/>
          <w:szCs w:val="22"/>
          <w:rtl/>
          <w:lang w:eastAsia="he-IL"/>
        </w:rPr>
      </w:pPr>
      <w:r w:rsidRPr="00F41E78">
        <w:rPr>
          <w:rFonts w:cs="FrankRuehl" w:hint="cs"/>
          <w:sz w:val="18"/>
          <w:szCs w:val="22"/>
          <w:rtl/>
          <w:lang w:eastAsia="he-IL"/>
        </w:rPr>
        <w:t xml:space="preserve">בשנת 2006 החל משרד הבינוי לתכנן </w:t>
      </w:r>
      <w:r w:rsidRPr="00F41E78">
        <w:rPr>
          <w:rFonts w:cs="FrankRuehl" w:hint="eastAsia"/>
          <w:sz w:val="18"/>
          <w:szCs w:val="22"/>
          <w:rtl/>
          <w:lang w:eastAsia="he-IL"/>
        </w:rPr>
        <w:t>שכונה</w:t>
      </w:r>
      <w:r w:rsidRPr="00F41E78">
        <w:rPr>
          <w:rFonts w:cs="FrankRuehl"/>
          <w:sz w:val="18"/>
          <w:szCs w:val="22"/>
          <w:rtl/>
          <w:lang w:eastAsia="he-IL"/>
        </w:rPr>
        <w:t xml:space="preserve"> </w:t>
      </w:r>
      <w:r w:rsidRPr="00F41E78">
        <w:rPr>
          <w:rFonts w:cs="FrankRuehl" w:hint="eastAsia"/>
          <w:sz w:val="18"/>
          <w:szCs w:val="22"/>
          <w:rtl/>
          <w:lang w:eastAsia="he-IL"/>
        </w:rPr>
        <w:t>חדשה</w:t>
      </w:r>
      <w:r w:rsidRPr="00F41E78">
        <w:rPr>
          <w:rFonts w:cs="FrankRuehl" w:hint="cs"/>
          <w:sz w:val="18"/>
          <w:szCs w:val="22"/>
          <w:rtl/>
          <w:lang w:eastAsia="he-IL"/>
        </w:rPr>
        <w:t xml:space="preserve"> בדרום-מערב יבנה. שטח התכנית כ-1,600 דונם וקיבולתה 2,300 יח"ד בצפיפות של כ-12 יח"ד לדונם, ועוד כ-27,000 מ"ר למסחר ולתעסוקה. בתחום התכנית נמצאים גם שמורת הטבע פארק החולות וערוץ נחל יבנה. הנגישות העיקרית ל</w:t>
      </w:r>
      <w:r w:rsidRPr="00F41E78">
        <w:rPr>
          <w:rFonts w:cs="FrankRuehl" w:hint="eastAsia"/>
          <w:sz w:val="18"/>
          <w:szCs w:val="22"/>
          <w:rtl/>
          <w:lang w:eastAsia="he-IL"/>
        </w:rPr>
        <w:t>שכונה</w:t>
      </w:r>
      <w:r w:rsidRPr="00F41E78">
        <w:rPr>
          <w:rFonts w:cs="FrankRuehl" w:hint="cs"/>
          <w:sz w:val="18"/>
          <w:szCs w:val="22"/>
          <w:rtl/>
          <w:lang w:eastAsia="he-IL"/>
        </w:rPr>
        <w:t xml:space="preserve"> אמורה להיות דרך מחלף שטרם נבנה - מחלף אשדוד צפון. </w:t>
      </w:r>
    </w:p>
    <w:p w:rsidR="00E97EDA" w:rsidRPr="00CB33CD" w:rsidP="00A7557B">
      <w:pPr>
        <w:pStyle w:val="KOT7"/>
        <w:rPr>
          <w:rtl/>
          <w:lang w:eastAsia="he-IL"/>
        </w:rPr>
      </w:pPr>
      <w:r w:rsidRPr="00CB33CD">
        <w:rPr>
          <w:rFonts w:hint="cs"/>
          <w:rtl/>
          <w:lang w:eastAsia="he-IL"/>
        </w:rPr>
        <w:t>קידום התכנון</w:t>
      </w:r>
    </w:p>
    <w:p w:rsidR="00D22B16" w:rsidRPr="00F41E78" w:rsidP="00D22B16">
      <w:pPr>
        <w:pStyle w:val="RESHET"/>
        <w:keepLines/>
        <w:rPr>
          <w:rtl/>
        </w:rPr>
      </w:pPr>
      <w:r w:rsidRPr="00F41E78">
        <w:rPr>
          <w:rFonts w:hint="cs"/>
          <w:rtl/>
        </w:rPr>
        <w:t xml:space="preserve">הוועדה המקומית יבנה המליצה לוועדה המחוזית מרכז על הפקדת התכנית כבר ביוני 2007 (ואשררה את המלצתה בפברואר 2010). באוקטובר 2007 הוגשה התכנית לקליטה בלשכת התכנון המחוזית מרכז. אולם משרד הבינוי לא השלים את התנאים שביקשה לשכת התכנון לקליטת התכנית, והיא </w:t>
      </w:r>
      <w:r w:rsidRPr="00F41E78">
        <w:rPr>
          <w:rFonts w:hint="eastAsia"/>
          <w:rtl/>
        </w:rPr>
        <w:t>נסגרה</w:t>
      </w:r>
      <w:r w:rsidRPr="00F41E78">
        <w:rPr>
          <w:rFonts w:hint="cs"/>
          <w:rtl/>
        </w:rPr>
        <w:t xml:space="preserve"> רשמית לאחר שנתיים, בנובמבר 2009.</w:t>
      </w:r>
    </w:p>
    <w:p w:rsidR="00E97EDA" w:rsidRPr="00F41E78" w:rsidP="00270C29">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לאחר חצי שנה, במאי 2010, הגיש משרד הבינוי את התכנית לקליטה מחודשת בלשכת התכנון המחוזית מרכז. באוקטובר 2010 הוקמה ועדת היגוי מחוזית לקידום התכנית ולקראת הדיון בה בוועדה המחוזית, וזו דרשה ממשרד הבינוי לערוך בדיקות תחבורתיות ולהכין נספחים סביבתיים. בדצמבר 2010 דנה הוועדה המחוזית בתכנית והחליטה על הפקדתה בתנאים שרובם עוסקים בנושאים סביבתיים. </w:t>
      </w:r>
    </w:p>
    <w:p w:rsidR="00D22B16" w:rsidRPr="00F41E78" w:rsidP="00D22B16">
      <w:pPr>
        <w:pStyle w:val="RESHET"/>
        <w:keepLines/>
        <w:rPr>
          <w:rtl/>
        </w:rPr>
      </w:pPr>
      <w:r w:rsidRPr="00F41E78">
        <w:rPr>
          <w:rFonts w:hint="cs"/>
          <w:rtl/>
        </w:rPr>
        <w:t xml:space="preserve">כדי לקדם את ההליכים הסטטוטוריים הועברה התכנית למסלול תכניות לה"ב. התברר כי גם בדצמבר 2011 עדיין לא הגיש משרד הבינוי למוסדות התכנון את המסמכים המתוקנים, כפי שהתבקש בידי הוועדה המחוזית מרכז שנה קודם לכן, וגם בסבב השני של קידום התכנית של </w:t>
      </w:r>
      <w:r w:rsidRPr="00F41E78">
        <w:rPr>
          <w:rFonts w:hint="eastAsia"/>
          <w:rtl/>
        </w:rPr>
        <w:t>שכונה</w:t>
      </w:r>
      <w:r w:rsidRPr="00F41E78">
        <w:rPr>
          <w:rtl/>
        </w:rPr>
        <w:t xml:space="preserve"> </w:t>
      </w:r>
      <w:r w:rsidRPr="00F41E78">
        <w:t>B</w:t>
      </w:r>
      <w:r w:rsidRPr="00F41E78">
        <w:rPr>
          <w:rtl/>
        </w:rPr>
        <w:t xml:space="preserve"> ו-</w:t>
      </w:r>
      <w:r w:rsidRPr="00F41E78">
        <w:t>C</w:t>
      </w:r>
      <w:r w:rsidRPr="00F41E78">
        <w:rPr>
          <w:rFonts w:hint="cs"/>
          <w:rtl/>
        </w:rPr>
        <w:t xml:space="preserve"> לא פעל נמרצות להגדלת המצאי התכנוני.</w:t>
      </w:r>
    </w:p>
    <w:p w:rsidR="00E97EDA" w:rsidRPr="00582A43" w:rsidP="00C11826">
      <w:pPr>
        <w:spacing w:before="180" w:after="240" w:line="230" w:lineRule="exact"/>
        <w:jc w:val="both"/>
        <w:rPr>
          <w:rFonts w:cs="FrankRuehl"/>
          <w:sz w:val="18"/>
          <w:szCs w:val="22"/>
          <w:rtl/>
          <w:lang w:eastAsia="he-IL"/>
        </w:rPr>
      </w:pPr>
      <w:r w:rsidRPr="00582A43">
        <w:rPr>
          <w:rFonts w:cs="FrankRuehl" w:hint="cs"/>
          <w:sz w:val="18"/>
          <w:szCs w:val="22"/>
          <w:rtl/>
          <w:lang w:eastAsia="he-IL"/>
        </w:rPr>
        <w:t xml:space="preserve">מאחר שהתכנית כוללת שטחי תעסוקה, לא ניתן היה לדון בה במסלול הווד"לים והיא שבה למסלול הרגיל של הוועדה המחוזית ונדונה בה רק בנובמבר 2012. בדיון עלה כי משרד הבינוי כבר מסר את הסקרים הסביבתיים שהתבקש להכין אך טרם השלים את בדיקת ההשפעות התחבורתיות, בתיאום עם משרד התחבורה. </w:t>
      </w:r>
    </w:p>
    <w:p w:rsidR="00D22B16" w:rsidRPr="00F41E78" w:rsidP="00D22B16">
      <w:pPr>
        <w:pStyle w:val="RESHET"/>
        <w:keepLines/>
        <w:rPr>
          <w:rtl/>
        </w:rPr>
      </w:pPr>
      <w:r w:rsidRPr="00F41E78">
        <w:rPr>
          <w:rFonts w:hint="cs"/>
          <w:rtl/>
        </w:rPr>
        <w:t>על אף הדיונים הרבים בוועדה המחוזית ובלשכת התכנון המחוזית במטרה לקדם את התכנית, עד מועד סיום הביקורת היא טרם אושרה ואין צפי למועד אישורה, בעיקר בשל חסמי תחבורה.</w:t>
      </w:r>
    </w:p>
    <w:p w:rsidR="008A3DFB" w:rsidRPr="00F41E78" w:rsidP="00A7557B">
      <w:pPr>
        <w:spacing w:after="120" w:line="230" w:lineRule="exact"/>
        <w:jc w:val="both"/>
        <w:rPr>
          <w:rFonts w:cs="FrankRuehl"/>
          <w:b/>
          <w:bCs/>
          <w:sz w:val="18"/>
          <w:szCs w:val="22"/>
          <w:rtl/>
          <w:lang w:eastAsia="he-IL"/>
        </w:rPr>
      </w:pPr>
    </w:p>
    <w:p w:rsidR="00E97EDA" w:rsidRPr="00CB33CD" w:rsidP="00A7557B">
      <w:pPr>
        <w:pStyle w:val="KOT7"/>
        <w:rPr>
          <w:rtl/>
          <w:lang w:eastAsia="he-IL"/>
        </w:rPr>
      </w:pPr>
      <w:r w:rsidRPr="00CB33CD">
        <w:rPr>
          <w:rFonts w:hint="cs"/>
          <w:rtl/>
          <w:lang w:eastAsia="he-IL"/>
        </w:rPr>
        <w:t>סוגיות תחבורה</w:t>
      </w:r>
    </w:p>
    <w:p w:rsidR="00E97EDA" w:rsidRPr="00F41E78" w:rsidP="00A7557B">
      <w:pPr>
        <w:spacing w:after="120" w:line="230" w:lineRule="exact"/>
        <w:jc w:val="both"/>
        <w:rPr>
          <w:rFonts w:cs="FrankRuehl"/>
          <w:b/>
          <w:bCs/>
          <w:sz w:val="18"/>
          <w:szCs w:val="22"/>
          <w:rtl/>
          <w:lang w:eastAsia="he-IL"/>
        </w:rPr>
      </w:pPr>
      <w:r w:rsidRPr="00F41E78">
        <w:rPr>
          <w:rFonts w:cs="FrankRuehl" w:hint="cs"/>
          <w:sz w:val="18"/>
          <w:szCs w:val="22"/>
          <w:rtl/>
          <w:lang w:eastAsia="he-IL"/>
        </w:rPr>
        <w:t xml:space="preserve">מדיון בנושא חסמי תחבורה שהתקיים במחוז מרכז במשרד הפנים בינואר 2012 עלה כי בניית </w:t>
      </w:r>
      <w:r w:rsidRPr="00F41E78">
        <w:rPr>
          <w:rFonts w:cs="FrankRuehl" w:hint="eastAsia"/>
          <w:sz w:val="18"/>
          <w:szCs w:val="22"/>
          <w:rtl/>
          <w:lang w:eastAsia="he-IL"/>
        </w:rPr>
        <w:t>שכונה</w:t>
      </w:r>
      <w:r w:rsidRPr="00F41E78">
        <w:rPr>
          <w:rFonts w:cs="FrankRuehl"/>
          <w:sz w:val="18"/>
          <w:szCs w:val="22"/>
          <w:rtl/>
          <w:lang w:eastAsia="he-IL"/>
        </w:rPr>
        <w:t xml:space="preserve"> </w:t>
      </w:r>
      <w:r w:rsidRPr="00F41E78">
        <w:rPr>
          <w:rFonts w:cs="FrankRuehl"/>
          <w:sz w:val="18"/>
          <w:szCs w:val="22"/>
          <w:lang w:eastAsia="he-IL"/>
        </w:rPr>
        <w:t>B</w:t>
      </w:r>
      <w:r w:rsidRPr="00F41E78">
        <w:rPr>
          <w:rFonts w:cs="FrankRuehl"/>
          <w:sz w:val="18"/>
          <w:szCs w:val="22"/>
          <w:rtl/>
          <w:lang w:eastAsia="he-IL"/>
        </w:rPr>
        <w:t xml:space="preserve"> ו-</w:t>
      </w:r>
      <w:r w:rsidRPr="00F41E78">
        <w:rPr>
          <w:rFonts w:cs="FrankRuehl"/>
          <w:sz w:val="18"/>
          <w:szCs w:val="22"/>
          <w:lang w:eastAsia="he-IL"/>
        </w:rPr>
        <w:t>C</w:t>
      </w:r>
      <w:r w:rsidRPr="00F41E78">
        <w:rPr>
          <w:rFonts w:cs="FrankRuehl" w:hint="cs"/>
          <w:sz w:val="18"/>
          <w:szCs w:val="22"/>
          <w:rtl/>
          <w:lang w:eastAsia="he-IL"/>
        </w:rPr>
        <w:t xml:space="preserve"> ביבנה (ו-2,700 יח"ד נוספות) מותנית בהקמת מחלף אשדוד צפון וכביש ממנו לכיוון יבנה. הקמת המחלף תלויה במועד פיתוח נמל אשדוד (שטרם נקבע) ואין תכנונו מאפשר שלביות בביצוע (קרי, יש להקים את כולו). עוד נקבע בדיון כי "אם לא יימצא פיתרון תחבורתי ישים יש לשקול האם ריאלי להמשיך ולקדם את מתחמים </w:t>
      </w:r>
      <w:r w:rsidRPr="00F41E78">
        <w:rPr>
          <w:rFonts w:cs="FrankRuehl"/>
          <w:sz w:val="18"/>
          <w:szCs w:val="22"/>
          <w:lang w:eastAsia="he-IL"/>
        </w:rPr>
        <w:t>B</w:t>
      </w:r>
      <w:r w:rsidRPr="00F41E78">
        <w:rPr>
          <w:rFonts w:cs="FrankRuehl" w:hint="cs"/>
          <w:b/>
          <w:bCs/>
          <w:sz w:val="18"/>
          <w:szCs w:val="22"/>
          <w:rtl/>
          <w:lang w:eastAsia="he-IL"/>
        </w:rPr>
        <w:t xml:space="preserve"> </w:t>
      </w:r>
      <w:r w:rsidRPr="00F41E78">
        <w:rPr>
          <w:rFonts w:cs="FrankRuehl" w:hint="cs"/>
          <w:sz w:val="18"/>
          <w:szCs w:val="22"/>
          <w:rtl/>
          <w:lang w:eastAsia="he-IL"/>
        </w:rPr>
        <w:t>ו-</w:t>
      </w:r>
      <w:r w:rsidRPr="00F41E78">
        <w:rPr>
          <w:rFonts w:cs="FrankRuehl"/>
          <w:sz w:val="18"/>
          <w:szCs w:val="22"/>
          <w:lang w:eastAsia="he-IL"/>
        </w:rPr>
        <w:t>C</w:t>
      </w:r>
      <w:r w:rsidRPr="00F41E78">
        <w:rPr>
          <w:rFonts w:cs="FrankRuehl" w:hint="cs"/>
          <w:b/>
          <w:bCs/>
          <w:sz w:val="18"/>
          <w:szCs w:val="22"/>
          <w:rtl/>
          <w:lang w:eastAsia="he-IL"/>
        </w:rPr>
        <w:t>"</w:t>
      </w:r>
      <w:r w:rsidRPr="00F41E78">
        <w:rPr>
          <w:rFonts w:cs="FrankRuehl"/>
          <w:sz w:val="18"/>
          <w:szCs w:val="22"/>
          <w:rtl/>
          <w:lang w:eastAsia="he-IL"/>
        </w:rPr>
        <w:t>.</w:t>
      </w:r>
      <w:r w:rsidRPr="00F41E78">
        <w:rPr>
          <w:rFonts w:cs="FrankRuehl" w:hint="cs"/>
          <w:b/>
          <w:bCs/>
          <w:sz w:val="18"/>
          <w:szCs w:val="22"/>
          <w:rtl/>
          <w:lang w:eastAsia="he-IL"/>
        </w:rPr>
        <w:t xml:space="preserve"> </w:t>
      </w:r>
    </w:p>
    <w:p w:rsidR="00E97EDA" w:rsidRPr="00F41E78" w:rsidP="00270C29">
      <w:pPr>
        <w:spacing w:after="240" w:line="230" w:lineRule="exact"/>
        <w:ind w:left="12"/>
        <w:jc w:val="both"/>
        <w:rPr>
          <w:rFonts w:cs="FrankRuehl"/>
          <w:sz w:val="18"/>
          <w:szCs w:val="22"/>
          <w:lang w:eastAsia="he-IL"/>
        </w:rPr>
      </w:pPr>
      <w:r w:rsidRPr="00F41E78">
        <w:rPr>
          <w:rFonts w:cs="FrankRuehl" w:hint="cs"/>
          <w:sz w:val="18"/>
          <w:szCs w:val="22"/>
          <w:rtl/>
          <w:lang w:eastAsia="he-IL"/>
        </w:rPr>
        <w:t xml:space="preserve">במרץ 2010 שלח משרד הבינוי את הבדיקות התחבורתיות של </w:t>
      </w:r>
      <w:r w:rsidRPr="00F41E78">
        <w:rPr>
          <w:rFonts w:cs="FrankRuehl" w:hint="eastAsia"/>
          <w:sz w:val="18"/>
          <w:szCs w:val="22"/>
          <w:rtl/>
          <w:lang w:eastAsia="he-IL"/>
        </w:rPr>
        <w:t>שכונה</w:t>
      </w:r>
      <w:r w:rsidRPr="00F41E78">
        <w:rPr>
          <w:rFonts w:cs="FrankRuehl"/>
          <w:sz w:val="18"/>
          <w:szCs w:val="22"/>
          <w:rtl/>
          <w:lang w:eastAsia="he-IL"/>
        </w:rPr>
        <w:t xml:space="preserve"> </w:t>
      </w:r>
      <w:r w:rsidRPr="00F41E78">
        <w:rPr>
          <w:rFonts w:cs="FrankRuehl"/>
          <w:sz w:val="18"/>
          <w:szCs w:val="22"/>
          <w:lang w:eastAsia="he-IL"/>
        </w:rPr>
        <w:t>B</w:t>
      </w:r>
      <w:r w:rsidRPr="00F41E78">
        <w:rPr>
          <w:rFonts w:cs="FrankRuehl"/>
          <w:sz w:val="18"/>
          <w:szCs w:val="22"/>
          <w:rtl/>
          <w:lang w:eastAsia="he-IL"/>
        </w:rPr>
        <w:t xml:space="preserve"> ו-</w:t>
      </w:r>
      <w:r w:rsidRPr="00F41E78">
        <w:rPr>
          <w:rFonts w:cs="FrankRuehl"/>
          <w:sz w:val="18"/>
          <w:szCs w:val="22"/>
          <w:lang w:eastAsia="he-IL"/>
        </w:rPr>
        <w:t>C</w:t>
      </w:r>
      <w:r w:rsidRPr="00F41E78">
        <w:rPr>
          <w:rFonts w:cs="FrankRuehl" w:hint="cs"/>
          <w:sz w:val="18"/>
          <w:szCs w:val="22"/>
          <w:rtl/>
          <w:lang w:eastAsia="he-IL"/>
        </w:rPr>
        <w:t xml:space="preserve"> להערותיהם של מחוזות מרכז ותל אביב במשרד התחבורה. ביוני 2010 השיב משרד התחבורה למשרד הבינוי כי הפקדת התכנית מותנית בהפקדת תכנית מפורטת נוספת לכביש שיחבר את </w:t>
      </w:r>
      <w:r w:rsidRPr="00F41E78">
        <w:rPr>
          <w:rFonts w:cs="FrankRuehl" w:hint="eastAsia"/>
          <w:sz w:val="18"/>
          <w:szCs w:val="22"/>
          <w:rtl/>
          <w:lang w:eastAsia="he-IL"/>
        </w:rPr>
        <w:t>השכונה</w:t>
      </w:r>
      <w:r w:rsidRPr="00F41E78">
        <w:rPr>
          <w:rFonts w:cs="FrankRuehl" w:hint="cs"/>
          <w:sz w:val="18"/>
          <w:szCs w:val="22"/>
          <w:rtl/>
          <w:lang w:eastAsia="he-IL"/>
        </w:rPr>
        <w:t xml:space="preserve"> עם מחלף אשדוד צפון העתידי. מאחר שתכנון כביש זה נעשה בידי חברת נתיבי ישראל ומשרד התחבורה משרד הבינוי היה תלוי למעשה בקצב תכנון הנעשה בידי אחרים. </w:t>
      </w:r>
    </w:p>
    <w:p w:rsidR="00D22B16" w:rsidRPr="00F41E78" w:rsidP="00D22B16">
      <w:pPr>
        <w:pStyle w:val="RESHET"/>
        <w:keepNext/>
        <w:keepLines/>
        <w:rPr>
          <w:rtl/>
        </w:rPr>
      </w:pPr>
      <w:r w:rsidRPr="00F41E78">
        <w:rPr>
          <w:rFonts w:hint="cs"/>
          <w:rtl/>
        </w:rPr>
        <w:t>מדיונים בלשכת התכנון המחוזית מרכז במרץ 2012 עלה כי לטענת חברת נתיבי ישראל הקמת המחלף אינה מצויה בתכנית החומש שלה, לכן אין היא מקדמת את התכנית המפורטת של דרך הגישה למחלף. לדעת משרד מבקר המדינה, עמדת חברת נתיבי ישראל מלמדת על היעדר תיאום בין תכניות העבודה של משרדי ממשלה; הדבר אינו עולה בקנה אחד עם החלטות הממשלה הרבות על הקידום המואץ של הבנייה למגורים בכלל ושל הבנייה למגורים ב</w:t>
      </w:r>
      <w:r w:rsidRPr="00F41E78">
        <w:rPr>
          <w:rFonts w:hint="eastAsia"/>
          <w:rtl/>
        </w:rPr>
        <w:t>שכונה</w:t>
      </w:r>
      <w:r w:rsidRPr="00F41E78">
        <w:rPr>
          <w:rtl/>
        </w:rPr>
        <w:t xml:space="preserve"> </w:t>
      </w:r>
      <w:r w:rsidRPr="00F41E78">
        <w:rPr>
          <w:rFonts w:hint="eastAsia"/>
          <w:rtl/>
        </w:rPr>
        <w:t>זו</w:t>
      </w:r>
      <w:r w:rsidRPr="00F41E78">
        <w:rPr>
          <w:rFonts w:hint="cs"/>
          <w:rtl/>
        </w:rPr>
        <w:t xml:space="preserve"> בפרט. משרד התחבורה, כמאסדר של חברת נתיבי ישראל, צריך היה להתערב בקביעת סדרי העדיפויות של החברה וההלימה ליעדים הלאומיים, ולמצער בשכונות שאוזכרו בהחלטות הממשלה.</w:t>
      </w:r>
    </w:p>
    <w:p w:rsidR="00E97EDA" w:rsidRPr="00F41E78" w:rsidP="00270C29">
      <w:pPr>
        <w:spacing w:before="180" w:after="120" w:line="230" w:lineRule="exact"/>
        <w:jc w:val="both"/>
        <w:rPr>
          <w:rFonts w:cs="FrankRuehl"/>
          <w:b/>
          <w:bCs/>
          <w:sz w:val="18"/>
          <w:szCs w:val="22"/>
          <w:rtl/>
          <w:lang w:eastAsia="he-IL"/>
        </w:rPr>
      </w:pPr>
      <w:r w:rsidRPr="00F41E78">
        <w:rPr>
          <w:rFonts w:cs="FrankRuehl" w:hint="cs"/>
          <w:sz w:val="18"/>
          <w:szCs w:val="22"/>
          <w:rtl/>
          <w:lang w:eastAsia="he-IL"/>
        </w:rPr>
        <w:t xml:space="preserve">בפועל, תכנית כביש הגישה המחבר את </w:t>
      </w:r>
      <w:r w:rsidRPr="00F41E78">
        <w:rPr>
          <w:rFonts w:cs="FrankRuehl" w:hint="eastAsia"/>
          <w:sz w:val="18"/>
          <w:szCs w:val="22"/>
          <w:rtl/>
          <w:lang w:eastAsia="he-IL"/>
        </w:rPr>
        <w:t>השכונה</w:t>
      </w:r>
      <w:r w:rsidRPr="00F41E78">
        <w:rPr>
          <w:rFonts w:cs="FrankRuehl"/>
          <w:sz w:val="18"/>
          <w:szCs w:val="22"/>
          <w:rtl/>
          <w:lang w:eastAsia="he-IL"/>
        </w:rPr>
        <w:t xml:space="preserve"> </w:t>
      </w:r>
      <w:r w:rsidRPr="00F41E78">
        <w:rPr>
          <w:rFonts w:cs="FrankRuehl" w:hint="eastAsia"/>
          <w:sz w:val="18"/>
          <w:szCs w:val="22"/>
          <w:rtl/>
          <w:lang w:eastAsia="he-IL"/>
        </w:rPr>
        <w:t>החדשה</w:t>
      </w:r>
      <w:r w:rsidRPr="00F41E78">
        <w:rPr>
          <w:rFonts w:cs="FrankRuehl" w:hint="cs"/>
          <w:sz w:val="18"/>
          <w:szCs w:val="22"/>
          <w:rtl/>
          <w:lang w:eastAsia="he-IL"/>
        </w:rPr>
        <w:t xml:space="preserve"> עם המחלף העתידי הוצגה בלשכת התכנון המחוזית מרכז רק בפברואר 2013.</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בתשובתו מסר מנכ"ל משרד ראש הממשלה כי בוועדת החסמים הגיעו לסיכומים בדבר פתרונות תחבורתיים. עם זאת, לאחר הסיכומים החל להתגבש פתרון אחר להקמה נרחבת של תשתיות תחבורה באזור כדי לתת מענה לשיווקים עתידיים של קרקעות באזור.</w:t>
      </w:r>
    </w:p>
    <w:p w:rsidR="00E97EDA" w:rsidRPr="00F41E78" w:rsidP="00A7557B">
      <w:pPr>
        <w:spacing w:after="120" w:line="230" w:lineRule="exact"/>
        <w:jc w:val="both"/>
        <w:rPr>
          <w:rFonts w:cs="FrankRuehl"/>
          <w:b/>
          <w:bCs/>
          <w:sz w:val="18"/>
          <w:szCs w:val="22"/>
          <w:rtl/>
          <w:lang w:eastAsia="he-IL"/>
        </w:rPr>
      </w:pPr>
    </w:p>
    <w:p w:rsidR="00E97EDA" w:rsidRPr="00CB33CD" w:rsidP="00A7557B">
      <w:pPr>
        <w:pStyle w:val="KOT7"/>
        <w:rPr>
          <w:rtl/>
          <w:lang w:eastAsia="he-IL"/>
        </w:rPr>
      </w:pPr>
      <w:r w:rsidRPr="00CB33CD">
        <w:rPr>
          <w:rFonts w:hint="cs"/>
          <w:rtl/>
          <w:lang w:eastAsia="he-IL"/>
        </w:rPr>
        <w:t xml:space="preserve">יחסי הגומלין עם השלטון המקומי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בדיון בלשכת התכנון המחוזית מרכז באוקטובר 2011 ביקשו נציגי עיריית יבנה לשנות את התכנית המוצעת (שאושרה פעמיים בעבר) שינוי של ממש. דהיינו, להוסיף 30 דונם למסחר על-שכונתי על חשבון שטח ציבורי פתוח</w:t>
      </w:r>
      <w:r>
        <w:rPr>
          <w:rFonts w:cs="FrankRuehl"/>
          <w:sz w:val="18"/>
          <w:szCs w:val="22"/>
          <w:vertAlign w:val="superscript"/>
          <w:rtl/>
          <w:lang w:eastAsia="he-IL"/>
        </w:rPr>
        <w:footnoteReference w:id="224"/>
      </w:r>
      <w:r w:rsidRPr="00F41E78">
        <w:rPr>
          <w:rFonts w:cs="FrankRuehl" w:hint="cs"/>
          <w:sz w:val="18"/>
          <w:szCs w:val="22"/>
          <w:rtl/>
          <w:lang w:eastAsia="he-IL"/>
        </w:rPr>
        <w:t xml:space="preserve"> וכן שטח למכללה בתחום שנועד בתכנית לבית ספר יסודי. שינויים אלו, שיושמו לבסוף בשלב מתקדם של תכנון </w:t>
      </w:r>
      <w:r w:rsidRPr="00F41E78">
        <w:rPr>
          <w:rFonts w:cs="FrankRuehl" w:hint="eastAsia"/>
          <w:sz w:val="18"/>
          <w:szCs w:val="22"/>
          <w:rtl/>
          <w:lang w:eastAsia="he-IL"/>
        </w:rPr>
        <w:t>השכונה</w:t>
      </w:r>
      <w:r w:rsidRPr="00F41E78">
        <w:rPr>
          <w:rFonts w:cs="FrankRuehl" w:hint="cs"/>
          <w:sz w:val="18"/>
          <w:szCs w:val="22"/>
          <w:rtl/>
          <w:lang w:eastAsia="he-IL"/>
        </w:rPr>
        <w:t xml:space="preserve">, גרמו לעיכוב בין היתר בגלל הדרישה לתכנון קניון חדש שחייבה את שינוי התכנון התחבורתי.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בדצמבר 2012 פנה מהנדס העירייה למשרד הבינוי בבקשה להרחיב באופן ניכר את גבול בדיקת ההשפעות התחבורתיות של הבנייה </w:t>
      </w:r>
      <w:r w:rsidRPr="00F41E78">
        <w:rPr>
          <w:rFonts w:cs="FrankRuehl" w:hint="eastAsia"/>
          <w:sz w:val="18"/>
          <w:szCs w:val="22"/>
          <w:rtl/>
          <w:lang w:eastAsia="he-IL"/>
        </w:rPr>
        <w:t>בשכונה</w:t>
      </w:r>
      <w:r w:rsidRPr="00F41E78">
        <w:rPr>
          <w:rFonts w:cs="FrankRuehl"/>
          <w:sz w:val="18"/>
          <w:szCs w:val="22"/>
          <w:rtl/>
          <w:lang w:eastAsia="he-IL"/>
        </w:rPr>
        <w:t xml:space="preserve"> </w:t>
      </w:r>
      <w:r w:rsidRPr="00F41E78">
        <w:rPr>
          <w:rFonts w:cs="FrankRuehl"/>
          <w:sz w:val="18"/>
          <w:szCs w:val="22"/>
          <w:lang w:eastAsia="he-IL"/>
        </w:rPr>
        <w:t>B</w:t>
      </w:r>
      <w:r w:rsidRPr="00F41E78">
        <w:rPr>
          <w:rFonts w:cs="FrankRuehl"/>
          <w:sz w:val="18"/>
          <w:szCs w:val="22"/>
          <w:rtl/>
          <w:lang w:eastAsia="he-IL"/>
        </w:rPr>
        <w:t xml:space="preserve"> ו-</w:t>
      </w:r>
      <w:r w:rsidRPr="00F41E78">
        <w:rPr>
          <w:rFonts w:cs="FrankRuehl"/>
          <w:sz w:val="18"/>
          <w:szCs w:val="22"/>
          <w:lang w:eastAsia="he-IL"/>
        </w:rPr>
        <w:t>C</w:t>
      </w:r>
      <w:r w:rsidRPr="00F41E78">
        <w:rPr>
          <w:rFonts w:cs="FrankRuehl" w:hint="cs"/>
          <w:sz w:val="18"/>
          <w:szCs w:val="22"/>
          <w:rtl/>
          <w:lang w:eastAsia="he-IL"/>
        </w:rPr>
        <w:t xml:space="preserve"> באופן שיילקח בחשבון צפי לאלפי מ"ר של מסחר ותעסוקה; לבניית מוסדות ציבור; ולבניית עוד כ-11,500 יח"ד מכוח תכניות מאושרות או תכניות בהכנה, לרבות תכניות פינוי בינוי שמימושן נמשך שנים רבות. כל זאת, לאחר שבמועד מוקדם יותר שלחה העירייה למשרד הבינוי נתונים לחישוב ההשפעות התחבורתיות ששיעורם היה </w:t>
      </w:r>
      <w:r w:rsidRPr="00F41E78">
        <w:rPr>
          <w:rFonts w:cs="FrankRuehl" w:hint="cs"/>
          <w:sz w:val="18"/>
          <w:szCs w:val="22"/>
          <w:rtl/>
          <w:lang w:eastAsia="he-IL"/>
        </w:rPr>
        <w:t xml:space="preserve">נמוך בהרבה מהנטען בפנייה החדשה. המחלוקת בין משרד הבינוי לעירייה על היקף השטח שייבדק גרמה אף היא לעיכוב בהשלמת התכנית לקראת הפקדתה.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בתשובתה מינואר 2014 מסרה עיריית יבנה כי פנייתו של מהנדס העיר להרחיב את הבדיקות התחבורתיות הרחבה של ממש באה בהמשך להערותיהן של יועצת התחבורה של הוועדה המחוזית, של יועצת התנועה של העירייה ושל מתכננת תחבורה ממשרד התחבורה. משרד מבקר המדינה מעיר כי ההערות של יועצות התחבורה האמורות נגעו בעיקר לאי-דיוקים ולהשלמות הנדרשות בבדיקה התחבורתית. הן לא נגעו כלל לדרישה להרחבת הבדיקה בקשר לבניית אלפי יח"ד מכוח תכניות פינוי בינוי ותכניות שחלקן אינן מאושרות. </w:t>
      </w:r>
    </w:p>
    <w:p w:rsidR="00E97EDA" w:rsidRPr="00F41E78" w:rsidP="00A7557B">
      <w:pPr>
        <w:spacing w:after="120" w:line="230" w:lineRule="exact"/>
        <w:jc w:val="both"/>
        <w:outlineLvl w:val="5"/>
        <w:rPr>
          <w:rFonts w:cs="FrankRuehl"/>
          <w:spacing w:val="40"/>
          <w:sz w:val="18"/>
          <w:szCs w:val="22"/>
          <w:rtl/>
          <w:lang w:eastAsia="he-IL"/>
        </w:rPr>
      </w:pPr>
    </w:p>
    <w:p w:rsidR="00E97EDA" w:rsidRPr="00CB33CD" w:rsidP="00A7557B">
      <w:pPr>
        <w:pStyle w:val="KOT7"/>
        <w:rPr>
          <w:rtl/>
          <w:lang w:eastAsia="he-IL"/>
        </w:rPr>
      </w:pPr>
      <w:r w:rsidRPr="00CB33CD">
        <w:rPr>
          <w:rFonts w:hint="cs"/>
          <w:rtl/>
          <w:lang w:eastAsia="he-IL"/>
        </w:rPr>
        <w:t>סוגיות בנושא איכות הסביבה</w:t>
      </w:r>
    </w:p>
    <w:p w:rsidR="00E97EDA" w:rsidRPr="00F41E78" w:rsidP="00270C29">
      <w:pPr>
        <w:spacing w:after="240" w:line="230" w:lineRule="exact"/>
        <w:jc w:val="both"/>
        <w:rPr>
          <w:rFonts w:cs="FrankRuehl"/>
          <w:sz w:val="18"/>
          <w:szCs w:val="22"/>
          <w:rtl/>
          <w:lang w:eastAsia="he-IL"/>
        </w:rPr>
      </w:pPr>
      <w:r w:rsidRPr="00F41E78">
        <w:rPr>
          <w:rFonts w:cs="FrankRuehl" w:hint="cs"/>
          <w:sz w:val="18"/>
          <w:szCs w:val="22"/>
          <w:rtl/>
          <w:lang w:eastAsia="he-IL"/>
        </w:rPr>
        <w:t xml:space="preserve">בדצמבר 2010 התנתה הוועדה המחוזית את הפקדת התכנית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שכונה</w:t>
      </w:r>
      <w:r w:rsidRPr="00F41E78">
        <w:rPr>
          <w:rFonts w:cs="FrankRuehl"/>
          <w:sz w:val="18"/>
          <w:szCs w:val="22"/>
          <w:rtl/>
          <w:lang w:eastAsia="he-IL"/>
        </w:rPr>
        <w:t xml:space="preserve"> </w:t>
      </w:r>
      <w:r w:rsidRPr="00F41E78">
        <w:rPr>
          <w:rFonts w:cs="FrankRuehl"/>
          <w:sz w:val="18"/>
          <w:szCs w:val="22"/>
          <w:lang w:eastAsia="he-IL"/>
        </w:rPr>
        <w:t>B</w:t>
      </w:r>
      <w:r w:rsidRPr="00F41E78">
        <w:rPr>
          <w:rFonts w:cs="FrankRuehl"/>
          <w:sz w:val="18"/>
          <w:szCs w:val="22"/>
          <w:rtl/>
          <w:lang w:eastAsia="he-IL"/>
        </w:rPr>
        <w:t xml:space="preserve"> ו-</w:t>
      </w:r>
      <w:r w:rsidRPr="00F41E78">
        <w:rPr>
          <w:rFonts w:cs="FrankRuehl"/>
          <w:sz w:val="18"/>
          <w:szCs w:val="22"/>
          <w:lang w:eastAsia="he-IL"/>
        </w:rPr>
        <w:t>C</w:t>
      </w:r>
      <w:r w:rsidRPr="00F41E78">
        <w:rPr>
          <w:rFonts w:cs="FrankRuehl" w:hint="cs"/>
          <w:sz w:val="18"/>
          <w:szCs w:val="22"/>
          <w:rtl/>
          <w:lang w:eastAsia="he-IL"/>
        </w:rPr>
        <w:t xml:space="preserve"> בין היתר בתנאים אלו: צירוף נספח ניהול ושיקום של השטחים הפתוחים בפארק החולות, הכנת סקר עצים, עדכון המסמך הנופי-סביבתי לרבות התייחסות לעודפי העפר, הכנת נספח מים וביוב, הכנת מסמך ניהול מי נגר עילי ועדכון נספח הניקוז. </w:t>
      </w:r>
    </w:p>
    <w:p w:rsidR="00D22B16" w:rsidRPr="00F41E78" w:rsidP="00D22B16">
      <w:pPr>
        <w:pStyle w:val="RESHET"/>
        <w:keepLines/>
        <w:rPr>
          <w:rtl/>
        </w:rPr>
      </w:pPr>
      <w:r w:rsidRPr="00F41E78">
        <w:rPr>
          <w:rFonts w:hint="cs"/>
          <w:rtl/>
        </w:rPr>
        <w:t xml:space="preserve">יצוין כי משרד הבינוי כבר מילא בעבר חלק מן ההתניות האמורות, אך הוא עשה זאת על בסיס ההערות שקיבל לתכניתו כבר בשנת 2006 (למשל, נספח הניקוז). יוצא אפוא שהעיכובים שגרם להם המשרד בסבב הראשון של הגשת התכנית הביאו לידי כך שהוא חויב להכין מחדש את הסקרים והנספחים לתכנית. </w:t>
      </w:r>
    </w:p>
    <w:p w:rsidR="00E97EDA" w:rsidRPr="00F41E78" w:rsidP="00270C29">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הועלה כי רק בספטמבר 2012, כשנה ותשעה חודשים ממועד החלטת הוועדה המחוזית על ההפקדה בתנאים, השלים משרד הבינוי את תיקון המסמכים הסביבתיים בתיאום עם המשרד להגנת הסביבה שאישר את תכניתו. בנובמבר 2012 אישרה גם הקרן הקימת לישראל את התכנית. אולם במקרה של פרויקט זה אחת הסיבות להשתהות של משרד הבינוי בקידום התכנון נעוצה בדרישה שתכנון </w:t>
      </w:r>
      <w:r w:rsidRPr="00F41E78">
        <w:rPr>
          <w:rFonts w:cs="FrankRuehl" w:hint="eastAsia"/>
          <w:sz w:val="18"/>
          <w:szCs w:val="22"/>
          <w:rtl/>
          <w:lang w:eastAsia="he-IL"/>
        </w:rPr>
        <w:t>השכונה</w:t>
      </w:r>
      <w:r w:rsidRPr="00F41E78">
        <w:rPr>
          <w:rFonts w:cs="FrankRuehl" w:hint="cs"/>
          <w:sz w:val="18"/>
          <w:szCs w:val="22"/>
          <w:rtl/>
          <w:lang w:eastAsia="he-IL"/>
        </w:rPr>
        <w:t xml:space="preserve"> יכלול את התכנון וההסדרה של נחל יבנה הסמוך ואת תכנון פארק החולות. </w:t>
      </w:r>
    </w:p>
    <w:p w:rsidR="00D22B16" w:rsidRPr="00F41E78" w:rsidP="00D22B16">
      <w:pPr>
        <w:pStyle w:val="RESHET"/>
        <w:keepLines/>
        <w:rPr>
          <w:rtl/>
        </w:rPr>
      </w:pPr>
      <w:r w:rsidRPr="00F41E78">
        <w:rPr>
          <w:rFonts w:hint="cs"/>
          <w:rtl/>
        </w:rPr>
        <w:t xml:space="preserve">לדעת משרד מבקר המדינה, בדומה למקרה של שכונה </w:t>
      </w:r>
      <w:r w:rsidRPr="00F41E78">
        <w:t>N</w:t>
      </w:r>
      <w:r w:rsidRPr="00F41E78">
        <w:rPr>
          <w:rFonts w:hint="cs"/>
          <w:rtl/>
        </w:rPr>
        <w:t xml:space="preserve"> במודיעין, על המשרד להגנת הסביבה או על רשות הניקוז הרלוונטית או על רשות הטבע והגנים לשקול אם במקרים דומים יש להטיל על היזם (משרד הבינוי ורמ"י) לספח שטחים ערכיים חיצוניים לתכניות למגורים, או לחלופין לתכנן אותם בעצמו באופן המיטבי, מתוך נגיעה לפערי הידע וההתמחויות הקיימים ביניהם. </w:t>
      </w:r>
    </w:p>
    <w:p w:rsidR="00E97EDA" w:rsidRPr="00F41E78" w:rsidP="00A7557B">
      <w:pPr>
        <w:spacing w:after="120" w:line="230" w:lineRule="exact"/>
        <w:jc w:val="both"/>
        <w:rPr>
          <w:rFonts w:cs="FrankRuehl"/>
          <w:b/>
          <w:bCs/>
          <w:sz w:val="18"/>
          <w:szCs w:val="22"/>
          <w:rtl/>
          <w:lang w:eastAsia="he-IL"/>
        </w:rPr>
      </w:pPr>
    </w:p>
    <w:p w:rsidR="00E97EDA" w:rsidRPr="00E97EDA" w:rsidP="00A7557B">
      <w:pPr>
        <w:pStyle w:val="KOT6"/>
        <w:rPr>
          <w:rtl/>
        </w:rPr>
      </w:pPr>
      <w:r w:rsidRPr="00E97EDA">
        <w:rPr>
          <w:rFonts w:hint="cs"/>
          <w:rtl/>
        </w:rPr>
        <w:t>שכונת יבנה מזרח</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בשנת 2005 יזמה רמ"י את תכנון שכונת יבנה מזרח. תחום התכנית כ-1,200 דונם וקיבולתה 3,600 יח"ד בצפיפות של 15-13 יח"ד לדונם נטו, ועוד כ-200,000 מ"ר לתעסוקה. כביש 42 ששימש בעבר דרך גישה עיקרית ליבנה מפריד בין השכונה החדשה המתוכננת ובין העיר. </w:t>
      </w:r>
    </w:p>
    <w:p w:rsidR="00E97EDA" w:rsidRPr="00F41E78" w:rsidP="00A7557B">
      <w:pPr>
        <w:spacing w:after="120" w:line="230" w:lineRule="exact"/>
        <w:jc w:val="both"/>
        <w:outlineLvl w:val="5"/>
        <w:rPr>
          <w:rFonts w:cs="FrankRuehl"/>
          <w:b/>
          <w:bCs/>
          <w:spacing w:val="40"/>
          <w:sz w:val="18"/>
          <w:szCs w:val="22"/>
          <w:rtl/>
          <w:lang w:eastAsia="he-IL"/>
        </w:rPr>
      </w:pPr>
    </w:p>
    <w:p w:rsidR="00E97EDA" w:rsidRPr="00CB33CD" w:rsidP="00A7557B">
      <w:pPr>
        <w:pStyle w:val="KOT7"/>
        <w:rPr>
          <w:rtl/>
          <w:lang w:eastAsia="he-IL"/>
        </w:rPr>
      </w:pPr>
      <w:r w:rsidRPr="00CB33CD">
        <w:rPr>
          <w:rFonts w:hint="cs"/>
          <w:rtl/>
          <w:lang w:eastAsia="he-IL"/>
        </w:rPr>
        <w:t>קידום התכנון</w:t>
      </w:r>
    </w:p>
    <w:p w:rsidR="00E97EDA" w:rsidRPr="00F41E78" w:rsidP="00A7557B">
      <w:pPr>
        <w:spacing w:after="120" w:line="230" w:lineRule="exact"/>
        <w:jc w:val="both"/>
        <w:rPr>
          <w:rFonts w:cs="FrankRuehl"/>
          <w:b/>
          <w:bCs/>
          <w:sz w:val="18"/>
          <w:szCs w:val="22"/>
          <w:rtl/>
          <w:lang w:eastAsia="he-IL"/>
        </w:rPr>
      </w:pPr>
      <w:r w:rsidRPr="00F41E78">
        <w:rPr>
          <w:rFonts w:cs="FrankRuehl" w:hint="cs"/>
          <w:sz w:val="18"/>
          <w:szCs w:val="22"/>
          <w:rtl/>
          <w:lang w:eastAsia="he-IL"/>
        </w:rPr>
        <w:t>הרציונל התכנוני של שכונת יבנה מזרח היה להמשיך את הרצף העירוני הקיים ממערב לשכונה החדשה. כדי לאפשר את הרצף במפלס הקרקע נדרש שיקועם של כביש 42 ושל מסילת הברזל לאורך של כ-1,700 מ'.</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התכנית נדונה לראשונה בינואר 2007 בלשכת התכנון המחוזית מרכז. בדיון התברר כי תחום התכנית חרג ב-96 דונם מהתחום המותר לבינוי העירוני, הקבוע בתכנית המתאר המחוזית מרכז. לכן החליטה לשכת התכנון המחוזית כי על רמ"י להגיש בקשה לשינוי התכנית המחוזית במוסדות הארציים. בנובמבר 2009 דנה הוועדה לנושאים תכנוניים עקרוניים</w:t>
      </w:r>
      <w:r>
        <w:rPr>
          <w:rFonts w:cs="FrankRuehl"/>
          <w:sz w:val="18"/>
          <w:szCs w:val="22"/>
          <w:vertAlign w:val="superscript"/>
          <w:rtl/>
          <w:lang w:eastAsia="he-IL"/>
        </w:rPr>
        <w:footnoteReference w:id="225"/>
      </w:r>
      <w:r w:rsidRPr="00F41E78">
        <w:rPr>
          <w:rFonts w:cs="FrankRuehl" w:hint="cs"/>
          <w:sz w:val="18"/>
          <w:szCs w:val="22"/>
          <w:rtl/>
          <w:lang w:eastAsia="he-IL"/>
        </w:rPr>
        <w:t xml:space="preserve"> </w:t>
      </w:r>
      <w:r w:rsidRPr="00F41E78">
        <w:rPr>
          <w:rFonts w:cs="FrankRuehl"/>
          <w:sz w:val="18"/>
          <w:szCs w:val="22"/>
          <w:rtl/>
          <w:lang w:eastAsia="he-IL"/>
        </w:rPr>
        <w:t>(</w:t>
      </w:r>
      <w:r w:rsidRPr="00F41E78">
        <w:rPr>
          <w:rFonts w:cs="FrankRuehl" w:hint="cs"/>
          <w:sz w:val="18"/>
          <w:szCs w:val="22"/>
          <w:rtl/>
          <w:lang w:eastAsia="he-IL"/>
        </w:rPr>
        <w:t xml:space="preserve">להלן - </w:t>
      </w:r>
      <w:r w:rsidRPr="00F41E78">
        <w:rPr>
          <w:rFonts w:cs="FrankRuehl"/>
          <w:sz w:val="18"/>
          <w:szCs w:val="22"/>
          <w:rtl/>
          <w:lang w:eastAsia="he-IL"/>
        </w:rPr>
        <w:t>הו</w:t>
      </w:r>
      <w:r w:rsidRPr="00F41E78">
        <w:rPr>
          <w:rFonts w:cs="FrankRuehl" w:hint="eastAsia"/>
          <w:sz w:val="18"/>
          <w:szCs w:val="22"/>
          <w:rtl/>
          <w:lang w:eastAsia="he-IL"/>
        </w:rPr>
        <w:t>ולנת</w:t>
      </w:r>
      <w:r w:rsidRPr="00F41E78">
        <w:rPr>
          <w:rFonts w:cs="FrankRuehl"/>
          <w:sz w:val="18"/>
          <w:szCs w:val="22"/>
          <w:rtl/>
          <w:lang w:eastAsia="he-IL"/>
        </w:rPr>
        <w:t>"ע)</w:t>
      </w:r>
      <w:r w:rsidRPr="00F41E78">
        <w:rPr>
          <w:rFonts w:cs="FrankRuehl" w:hint="cs"/>
          <w:sz w:val="18"/>
          <w:szCs w:val="22"/>
          <w:rtl/>
          <w:lang w:eastAsia="he-IL"/>
        </w:rPr>
        <w:t xml:space="preserve"> בשינוי המוצע וסירבה לאשרו מנימוקים אלו: יש לשמור על גבולות הפיתוח העירוני שנקבעו בתכנית המתאר המחוזית; ישנו צורך בתכנון כולל לנחל שורק</w:t>
      </w:r>
      <w:r>
        <w:rPr>
          <w:rFonts w:cs="FrankRuehl"/>
          <w:sz w:val="18"/>
          <w:szCs w:val="22"/>
          <w:vertAlign w:val="superscript"/>
          <w:rtl/>
          <w:lang w:eastAsia="he-IL"/>
        </w:rPr>
        <w:footnoteReference w:id="226"/>
      </w:r>
      <w:r w:rsidRPr="00F41E78">
        <w:rPr>
          <w:rFonts w:cs="FrankRuehl" w:hint="cs"/>
          <w:sz w:val="18"/>
          <w:szCs w:val="22"/>
          <w:rtl/>
          <w:lang w:eastAsia="he-IL"/>
        </w:rPr>
        <w:t xml:space="preserve">; יש לשמור על שלביות פיתוח העיר יבנה; וקיומה של הגבלת הפיתוח במרכז הארץ במדיניות התכנון הלאומית. </w:t>
      </w:r>
    </w:p>
    <w:p w:rsidR="00E97EDA" w:rsidRPr="00F41E78" w:rsidP="00270C29">
      <w:pPr>
        <w:spacing w:after="240" w:line="230" w:lineRule="exact"/>
        <w:jc w:val="both"/>
        <w:rPr>
          <w:rFonts w:cs="FrankRuehl"/>
          <w:sz w:val="18"/>
          <w:szCs w:val="22"/>
          <w:rtl/>
          <w:lang w:eastAsia="he-IL"/>
        </w:rPr>
      </w:pPr>
      <w:r w:rsidRPr="00F41E78">
        <w:rPr>
          <w:rFonts w:cs="FrankRuehl" w:hint="cs"/>
          <w:sz w:val="18"/>
          <w:szCs w:val="22"/>
          <w:rtl/>
          <w:lang w:eastAsia="he-IL"/>
        </w:rPr>
        <w:t xml:space="preserve">בינואר 2010 התקיים במינהל התכנון דיון על החלטת הוולנת"ע. בדיון העלתה נציגת מחוז מרכז את הצורך בהגשת תכנית להסטתם של כביש 42 ושל מסילת הרכבת "שאינה מקודמת ע"י המשרדים הנוגעים בדבר". בסיכום הדיון נקבע בין היתר כי "מדיניות המשרד היא ככל שקיימים חסמים שאינם באחריות משרד הפנים, אין לאשר את התכנון שכן אין מקום להתניית קידום התכנון בחסמים". </w:t>
      </w:r>
    </w:p>
    <w:p w:rsidR="00D22B16" w:rsidRPr="00F41E78" w:rsidP="00D22B16">
      <w:pPr>
        <w:pStyle w:val="RESHET"/>
        <w:keepLines/>
        <w:rPr>
          <w:rtl/>
        </w:rPr>
      </w:pPr>
      <w:r w:rsidRPr="00F41E78">
        <w:rPr>
          <w:rFonts w:hint="cs"/>
          <w:rtl/>
        </w:rPr>
        <w:t>ממדיניות משרד הפנים האמורה ניתן להסיק כי לנוכח העובדה שלא קודם פתרון תחבורתי בנוגע לכביש 42 ולמסילת הרכבת המקבילה לו, היה מקום לשקול את עצירת תכנון שכונת יבנה מזרח.</w:t>
      </w:r>
    </w:p>
    <w:p w:rsidR="00E97EDA" w:rsidRPr="00F41E78" w:rsidP="00270C29">
      <w:pPr>
        <w:spacing w:before="180" w:after="120" w:line="230" w:lineRule="exact"/>
        <w:jc w:val="both"/>
        <w:rPr>
          <w:rFonts w:cs="FrankRuehl"/>
          <w:sz w:val="18"/>
          <w:szCs w:val="22"/>
          <w:rtl/>
          <w:lang w:eastAsia="he-IL"/>
        </w:rPr>
      </w:pPr>
      <w:r w:rsidRPr="00F41E78">
        <w:rPr>
          <w:rFonts w:cs="FrankRuehl" w:hint="cs"/>
          <w:sz w:val="18"/>
          <w:szCs w:val="22"/>
          <w:rtl/>
          <w:lang w:eastAsia="he-IL"/>
        </w:rPr>
        <w:t>באפריל 2010, לאחר חמש שנים מאז יזמה רמ"י את תכנון שכונת יבנה מזרח, היא הציגה למתכנן מחוז מרכז דאז תכנון חדש של השכונה החורג רק במעט מהתחום המותר לבינוי. כמו כן תוכנן</w:t>
      </w:r>
      <w:r w:rsidRPr="00F41E78">
        <w:rPr>
          <w:rFonts w:cs="FrankRuehl" w:hint="cs"/>
          <w:sz w:val="18"/>
          <w:szCs w:val="22"/>
          <w:rtl/>
          <w:lang w:eastAsia="he-IL"/>
        </w:rPr>
        <w:t xml:space="preserve"> </w:t>
      </w:r>
      <w:r w:rsidRPr="00F41E78">
        <w:rPr>
          <w:rFonts w:cs="FrankRuehl" w:hint="cs"/>
          <w:sz w:val="18"/>
          <w:szCs w:val="22"/>
          <w:rtl/>
          <w:lang w:eastAsia="he-IL"/>
        </w:rPr>
        <w:t xml:space="preserve">כביש 42 כמשוקע באופן שלא ייפגע הקשר עם צדה המערבי של העיר ויתאפשר רצף עירוני במפלס הקרקע שישמש הולכי רגל וכלי רכב. </w:t>
      </w:r>
    </w:p>
    <w:p w:rsidR="00E97EDA" w:rsidRPr="00F41E78" w:rsidP="00270C29">
      <w:pPr>
        <w:spacing w:after="240" w:line="230" w:lineRule="exact"/>
        <w:ind w:left="12"/>
        <w:jc w:val="both"/>
        <w:rPr>
          <w:rFonts w:cs="FrankRuehl"/>
          <w:sz w:val="18"/>
          <w:szCs w:val="22"/>
          <w:lang w:eastAsia="he-IL"/>
        </w:rPr>
      </w:pPr>
      <w:r w:rsidRPr="00F41E78">
        <w:rPr>
          <w:rFonts w:cs="FrankRuehl" w:hint="cs"/>
          <w:sz w:val="18"/>
          <w:szCs w:val="22"/>
          <w:rtl/>
          <w:lang w:eastAsia="he-IL"/>
        </w:rPr>
        <w:t xml:space="preserve">במהלך החודשים ספטמבר 2007-אוקטובר 2011 נדונה התכנית של שכונת יבנה מזרח חמש פעמים בוועדה המחוזית. בדיון הראשון נדרשה רמ"י להכין נספחים שונים לתכנית. הדיונים השני והשלישי עסקו בחריגה מגבולות תכנית המתאר המחוזית ובהחלטת הוולנת"ע בעניין זה. בדיון הרביעי, שהיה בוועדת לה"ב בספטמבר 2011, התברר כי רמ"י עדיין לא הגישה את כל התכניות והנספחים המתוקנים לדיון בוועדה כפי שהתבקשה כשנתיים קודם לכן. בדיון החמישי באוקטובר 2011 החליטה הוועדה המחוזית לתת לרמ"י ארכה של שבועיים למסור את כל הנספחים הסביבתיים שהתבקשה להם. </w:t>
      </w:r>
    </w:p>
    <w:p w:rsidR="00D22B16" w:rsidRPr="00F41E78" w:rsidP="00D22B16">
      <w:pPr>
        <w:pStyle w:val="RESHET"/>
        <w:keepLines/>
        <w:rPr>
          <w:rtl/>
        </w:rPr>
      </w:pPr>
      <w:r w:rsidRPr="00F41E78">
        <w:rPr>
          <w:rFonts w:hint="cs"/>
          <w:rtl/>
        </w:rPr>
        <w:t xml:space="preserve">התברר כי גם במהלך 2013 לא העבירה רמ"י את כל המסמכים המתוקנים לבדיקתם של משרדי הממשלה הנוגעים בדבר, והתכנון נעצר בעיקר עקב חסמי תחבורה. </w:t>
      </w:r>
    </w:p>
    <w:p w:rsidR="00E97EDA" w:rsidRPr="00F41E78" w:rsidP="00A7557B">
      <w:pPr>
        <w:spacing w:after="120" w:line="230" w:lineRule="exact"/>
        <w:ind w:left="12"/>
        <w:jc w:val="both"/>
        <w:rPr>
          <w:rFonts w:cs="FrankRuehl"/>
          <w:sz w:val="18"/>
          <w:szCs w:val="22"/>
          <w:rtl/>
          <w:lang w:eastAsia="he-IL"/>
        </w:rPr>
      </w:pPr>
    </w:p>
    <w:p w:rsidR="00E97EDA" w:rsidRPr="00CB33CD" w:rsidP="00A7557B">
      <w:pPr>
        <w:pStyle w:val="KOT7"/>
        <w:rPr>
          <w:rtl/>
          <w:lang w:eastAsia="he-IL"/>
        </w:rPr>
      </w:pPr>
      <w:r w:rsidRPr="00CB33CD">
        <w:rPr>
          <w:rFonts w:hint="cs"/>
          <w:rtl/>
          <w:lang w:eastAsia="he-IL"/>
        </w:rPr>
        <w:t>סוגיות תחבורה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כאמור, כדי לאפשר את הרצף העירוני במפלס הקרקע נדרש שיקועם של כביש 42 ושל מסילת הברזל לאורך של כ-1,700 מ'. רמ"י הכינה תכנית לשיקוע הכביש והיא אושרה כתשריט עקרוני (שאינו סטטוטורי) לדרך כבר באוגוסט 2006 בלשכת התכנון המחוזית. אולם קידום תכנית זו עוכב בשל מחלוקת בין רמ"י לחברת נתיבי ישראל בנושא מימון השיקוע. יצוין כי תכנית החומש של חברת נתיבי ישראל לשנים 2011-2006 לא כללה עבודות בכביש 42. לעומת זאת, בהיעדר כל תיאום, קידמה חברת רכבת ישראל תכנית להכפלת המסילה במפלס הקרקע במקביל לכביש 42 והיא אושרה. אישורה של התכנית האמורה אפשר ביצוע מידי בידי חברת הרכבת.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כבר בינואר 2007 בדיון הראשון על תכנית יבנה מזרח הבהירה לשכת התכנון המחוזית לרמ"י כי קיימת בעיה לקדם את התכנית ללא פתרונות תחבורה. בנובמבר 2011 התקיימה ישיבת תיאום התכנון בהשתתפות יזם התכנית ונציגים ממשרד התחבורה, מחברת נתיבי ישראל, מחברת הרכבת, מעיריית יבנה ומלשכת התכנון. בישיבה הועלתה האפשרות למצוא חלופה תכנונית שלא תכלול את שיקועם של הכביש ושל מסילת הרכבת, ו"במידה ולא יימצא פתרון תכנוני ראוי, יש לשקול את המשך קידום התכנית".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בדיון של הפורום המשותף שהתקיים ביוני 2012 עלה כי לוחות הזמנים של הכפלת מסילת הרכבת בידי חברת הרכבת ושל השיקוע אינם מסונכרנים. בדיון נוסף של הפורום המשותף שהתקיים באוקטובר 2012 עלה כי תכנון כביש 42 אינו נמצא בסדר העדיפויות של משרד התחבורה שיצטרך לממן ולקדם את תכנון השיקוע. בדיון הזה הציע משרד התחבורה לשקול פתרון חדש שעניינו גריעת הכביש מתכנית המתאר הארצית לדרכים מכיוון שאין בו צורך ברמה הארצית</w:t>
      </w:r>
      <w:r>
        <w:rPr>
          <w:rFonts w:cs="FrankRuehl"/>
          <w:sz w:val="18"/>
          <w:szCs w:val="22"/>
          <w:vertAlign w:val="superscript"/>
          <w:rtl/>
          <w:lang w:eastAsia="he-IL"/>
        </w:rPr>
        <w:footnoteReference w:id="227"/>
      </w:r>
      <w:r w:rsidRPr="00F41E78">
        <w:rPr>
          <w:rFonts w:cs="FrankRuehl" w:hint="cs"/>
          <w:sz w:val="18"/>
          <w:szCs w:val="22"/>
          <w:rtl/>
          <w:lang w:eastAsia="he-IL"/>
        </w:rPr>
        <w:t xml:space="preserve">. </w:t>
      </w:r>
    </w:p>
    <w:p w:rsidR="00E97EDA" w:rsidRPr="00F41E78" w:rsidP="00270C29">
      <w:pPr>
        <w:spacing w:after="240" w:line="230" w:lineRule="exact"/>
        <w:ind w:left="12"/>
        <w:jc w:val="both"/>
        <w:rPr>
          <w:rFonts w:cs="FrankRuehl"/>
          <w:sz w:val="18"/>
          <w:szCs w:val="22"/>
          <w:rtl/>
          <w:lang w:eastAsia="he-IL"/>
        </w:rPr>
      </w:pPr>
      <w:r w:rsidRPr="00F41E78">
        <w:rPr>
          <w:rFonts w:cs="FrankRuehl" w:hint="cs"/>
          <w:sz w:val="18"/>
          <w:szCs w:val="22"/>
          <w:rtl/>
          <w:lang w:eastAsia="he-IL"/>
        </w:rPr>
        <w:t xml:space="preserve">בינואר 2013 התקיימה ישיבה בלשכת התכנון ובה נקבע כי התכנית אינה מקודמת בגלל היעדר קידומה של התשתית התחבורתית שהיא נשענת עליה. נציגי משרד התחבורה אמרו בדיון כי עדיין לא קיבלו החלטות בדבר מעמדו של כביש 42 והבדיקה בעיצומה. גם באפריל 2013, לאחר שנה של בדיקות, לא החליט משרד התחבורה על מעמדו של כביש 42 ככביש ארצי או ככביש פנים-עירוני. כדי לקדם בכל זאת את התכנית החליטה מתכננת המחוז באפריל 2013 שכביש 42 יוצג בתכנית כרחוב עירוני ורק מסילת הרכבת תשוקע; באופן הזה תכלול התכנית של השכונה עוד יח"ד במתכונת זו היא תידון בוועדה המחוזית. </w:t>
      </w:r>
    </w:p>
    <w:p w:rsidR="00D22B16" w:rsidRPr="00F41E78" w:rsidP="00D22B16">
      <w:pPr>
        <w:pStyle w:val="RESHET"/>
        <w:keepLines/>
        <w:rPr>
          <w:rtl/>
        </w:rPr>
      </w:pPr>
      <w:r w:rsidRPr="00F41E78">
        <w:rPr>
          <w:rFonts w:hint="cs"/>
          <w:rtl/>
        </w:rPr>
        <w:t xml:space="preserve">על אף מגוון הפתרונות שהועלו והזמן הממושך לבדיקתם לא החליט משרד התחבורה על מעמדו התחבורתי של כביש 42, דהיינו אם יהפוך לכביש פנים-עירוני או ישוקע, או אם השכונה תישען על כביש עוקף חדש. </w:t>
      </w:r>
    </w:p>
    <w:p w:rsidR="00D22B16" w:rsidRPr="00F41E78" w:rsidP="00D22B16">
      <w:pPr>
        <w:pStyle w:val="RESHET"/>
        <w:keepLines/>
        <w:rPr>
          <w:rtl/>
        </w:rPr>
      </w:pPr>
      <w:r w:rsidRPr="00F41E78">
        <w:rPr>
          <w:rFonts w:hint="cs"/>
          <w:rtl/>
        </w:rPr>
        <w:t>לדעת משרד מבקר המדינה, אין זה סביר שמשרד הבינוי ורמ"י יקדמו במשך שנים תכנון של אלפי יח"ד ביבנה בלי לבדוק עד תום את היתכנות הקמתן, על אחת כמה וכמה שחסמי התחבורה כבר היו ידועים מתחילת התכנון. אף על פי כן, התכנון לא נתן מענה לוודאות המימוש בעתיד והתוצאה היא שגם בחלוף כשבע שנים מתחילת התכנון לא אושרו התכניות ובנייתן של כ-6,000 יח"ד ביבנה מעוכבת.</w:t>
      </w:r>
    </w:p>
    <w:p w:rsidR="00E97EDA" w:rsidRPr="00F41E78" w:rsidP="00A7557B">
      <w:pPr>
        <w:spacing w:after="120" w:line="230" w:lineRule="exact"/>
        <w:jc w:val="both"/>
        <w:rPr>
          <w:rFonts w:cs="FrankRuehl"/>
          <w:sz w:val="18"/>
          <w:szCs w:val="22"/>
          <w:rtl/>
          <w:lang w:eastAsia="he-IL"/>
        </w:rPr>
      </w:pPr>
    </w:p>
    <w:p w:rsidR="008A3DFB" w:rsidRPr="00F41E78" w:rsidP="00A7557B">
      <w:pPr>
        <w:spacing w:after="120" w:line="230" w:lineRule="exact"/>
        <w:jc w:val="both"/>
        <w:rPr>
          <w:rFonts w:cs="FrankRuehl"/>
          <w:sz w:val="18"/>
          <w:szCs w:val="22"/>
          <w:rtl/>
          <w:lang w:eastAsia="he-IL"/>
        </w:rPr>
      </w:pPr>
    </w:p>
    <w:p w:rsidR="00E97EDA" w:rsidRPr="00CB33CD" w:rsidP="00A7557B">
      <w:pPr>
        <w:pStyle w:val="KOT4"/>
        <w:rPr>
          <w:rtl/>
          <w:lang w:eastAsia="he-IL"/>
        </w:rPr>
      </w:pPr>
      <w:r w:rsidRPr="00CB33CD">
        <w:rPr>
          <w:rFonts w:hint="eastAsia"/>
          <w:rtl/>
          <w:lang w:eastAsia="he-IL"/>
        </w:rPr>
        <w:t>היבטים</w:t>
      </w:r>
      <w:r w:rsidRPr="00CB33CD">
        <w:rPr>
          <w:rtl/>
          <w:lang w:eastAsia="he-IL"/>
        </w:rPr>
        <w:t xml:space="preserve"> </w:t>
      </w:r>
      <w:r w:rsidRPr="00CB33CD">
        <w:rPr>
          <w:rFonts w:hint="eastAsia"/>
          <w:rtl/>
          <w:lang w:eastAsia="he-IL"/>
        </w:rPr>
        <w:t>של</w:t>
      </w:r>
      <w:r w:rsidRPr="00CB33CD">
        <w:rPr>
          <w:rtl/>
          <w:lang w:eastAsia="he-IL"/>
        </w:rPr>
        <w:t xml:space="preserve"> </w:t>
      </w:r>
      <w:r w:rsidRPr="00CB33CD">
        <w:rPr>
          <w:rFonts w:hint="eastAsia"/>
          <w:rtl/>
          <w:lang w:eastAsia="he-IL"/>
        </w:rPr>
        <w:t>תכנון</w:t>
      </w:r>
      <w:r w:rsidRPr="00CB33CD">
        <w:rPr>
          <w:rtl/>
          <w:lang w:eastAsia="he-IL"/>
        </w:rPr>
        <w:t xml:space="preserve"> </w:t>
      </w:r>
      <w:r w:rsidRPr="00CB33CD">
        <w:rPr>
          <w:rFonts w:hint="eastAsia"/>
          <w:rtl/>
          <w:lang w:eastAsia="he-IL"/>
        </w:rPr>
        <w:t>למגורים</w:t>
      </w:r>
      <w:r w:rsidRPr="00CB33CD">
        <w:rPr>
          <w:rtl/>
          <w:lang w:eastAsia="he-IL"/>
        </w:rPr>
        <w:t xml:space="preserve"> </w:t>
      </w:r>
      <w:r w:rsidRPr="00CB33CD">
        <w:rPr>
          <w:rFonts w:hint="eastAsia"/>
          <w:rtl/>
          <w:lang w:eastAsia="he-IL"/>
        </w:rPr>
        <w:t>במחוז</w:t>
      </w:r>
      <w:r w:rsidRPr="00CB33CD">
        <w:rPr>
          <w:rtl/>
          <w:lang w:eastAsia="he-IL"/>
        </w:rPr>
        <w:t xml:space="preserve"> </w:t>
      </w:r>
      <w:r w:rsidRPr="00CB33CD">
        <w:rPr>
          <w:rFonts w:hint="eastAsia"/>
          <w:rtl/>
          <w:lang w:eastAsia="he-IL"/>
        </w:rPr>
        <w:t>הדרום</w:t>
      </w:r>
    </w:p>
    <w:p w:rsidR="00E97EDA" w:rsidRPr="00F41E78" w:rsidP="00270C29">
      <w:pPr>
        <w:spacing w:after="120" w:line="230" w:lineRule="exact"/>
        <w:jc w:val="both"/>
        <w:rPr>
          <w:rFonts w:cs="FrankRuehl"/>
          <w:sz w:val="18"/>
          <w:szCs w:val="22"/>
          <w:rtl/>
          <w:lang w:eastAsia="he-IL"/>
        </w:rPr>
      </w:pPr>
      <w:r w:rsidRPr="00F41E78">
        <w:rPr>
          <w:rFonts w:cs="FrankRuehl"/>
          <w:sz w:val="18"/>
          <w:szCs w:val="22"/>
          <w:rtl/>
          <w:lang w:eastAsia="he-IL"/>
        </w:rPr>
        <w:t>מחוז הדרום</w:t>
      </w:r>
      <w:r w:rsidRPr="00F41E78">
        <w:rPr>
          <w:rFonts w:cs="FrankRuehl" w:hint="cs"/>
          <w:sz w:val="18"/>
          <w:szCs w:val="22"/>
          <w:rtl/>
          <w:lang w:eastAsia="he-IL"/>
        </w:rPr>
        <w:t xml:space="preserve"> </w:t>
      </w:r>
      <w:r w:rsidRPr="00F41E78">
        <w:rPr>
          <w:rFonts w:cs="FrankRuehl"/>
          <w:sz w:val="18"/>
          <w:szCs w:val="22"/>
          <w:rtl/>
          <w:lang w:eastAsia="he-IL"/>
        </w:rPr>
        <w:t>משתרע על</w:t>
      </w:r>
      <w:r w:rsidRPr="00F41E78">
        <w:rPr>
          <w:rFonts w:cs="FrankRuehl" w:hint="cs"/>
          <w:sz w:val="18"/>
          <w:szCs w:val="22"/>
          <w:rtl/>
          <w:lang w:eastAsia="he-IL"/>
        </w:rPr>
        <w:t xml:space="preserve"> פני</w:t>
      </w:r>
      <w:r w:rsidRPr="00F41E78">
        <w:rPr>
          <w:rFonts w:cs="FrankRuehl"/>
          <w:sz w:val="18"/>
          <w:szCs w:val="22"/>
          <w:rtl/>
          <w:lang w:eastAsia="he-IL"/>
        </w:rPr>
        <w:t xml:space="preserve"> שטח של כ-14,230 קמ"ר</w:t>
      </w:r>
      <w:r w:rsidRPr="00F41E78">
        <w:rPr>
          <w:rFonts w:cs="FrankRuehl" w:hint="cs"/>
          <w:sz w:val="18"/>
          <w:szCs w:val="22"/>
          <w:rtl/>
          <w:lang w:eastAsia="he-IL"/>
        </w:rPr>
        <w:t>, כשני שלישים משטח המדינה. הוא מחולק לשתי נפות, נפת אשקלון ונפת באר שבע, ומ</w:t>
      </w:r>
      <w:r w:rsidRPr="00F41E78">
        <w:rPr>
          <w:rFonts w:cs="FrankRuehl"/>
          <w:sz w:val="18"/>
          <w:szCs w:val="22"/>
          <w:rtl/>
          <w:lang w:eastAsia="he-IL"/>
        </w:rPr>
        <w:t>תגוררים</w:t>
      </w:r>
      <w:r w:rsidRPr="00F41E78">
        <w:rPr>
          <w:rFonts w:cs="FrankRuehl" w:hint="cs"/>
          <w:sz w:val="18"/>
          <w:szCs w:val="22"/>
          <w:rtl/>
          <w:lang w:eastAsia="he-IL"/>
        </w:rPr>
        <w:t xml:space="preserve"> בו </w:t>
      </w:r>
      <w:r w:rsidRPr="00F41E78">
        <w:rPr>
          <w:rFonts w:cs="FrankRuehl"/>
          <w:sz w:val="18"/>
          <w:szCs w:val="22"/>
          <w:rtl/>
          <w:lang w:eastAsia="he-IL"/>
        </w:rPr>
        <w:t>כ-</w:t>
      </w:r>
      <w:r w:rsidRPr="00F41E78">
        <w:rPr>
          <w:rFonts w:cs="FrankRuehl" w:hint="cs"/>
          <w:sz w:val="18"/>
          <w:szCs w:val="22"/>
          <w:rtl/>
          <w:lang w:eastAsia="he-IL"/>
        </w:rPr>
        <w:t>1.2</w:t>
      </w:r>
      <w:r w:rsidRPr="00F41E78">
        <w:rPr>
          <w:rFonts w:cs="FrankRuehl"/>
          <w:sz w:val="18"/>
          <w:szCs w:val="22"/>
          <w:rtl/>
          <w:lang w:eastAsia="he-IL"/>
        </w:rPr>
        <w:t xml:space="preserve"> מיליון תושבים</w:t>
      </w:r>
      <w:r w:rsidRPr="00F41E78">
        <w:rPr>
          <w:rFonts w:cs="FrankRuehl" w:hint="cs"/>
          <w:sz w:val="18"/>
          <w:szCs w:val="22"/>
          <w:rtl/>
          <w:lang w:eastAsia="he-IL"/>
        </w:rPr>
        <w:t xml:space="preserve"> שמהם כ-83% יהודים וכ-17% בדואים. בתחום המחוז, המשתרע מאשדוד בצפון עד אילת בדרום, מצויות 38 </w:t>
      </w:r>
      <w:r w:rsidRPr="00F41E78">
        <w:rPr>
          <w:rFonts w:cs="FrankRuehl"/>
          <w:sz w:val="18"/>
          <w:szCs w:val="22"/>
          <w:rtl/>
          <w:lang w:eastAsia="he-IL"/>
        </w:rPr>
        <w:t>רשויות מקומיות - 12 עיריות, 1</w:t>
      </w:r>
      <w:r w:rsidRPr="00F41E78">
        <w:rPr>
          <w:rFonts w:cs="FrankRuehl" w:hint="cs"/>
          <w:sz w:val="18"/>
          <w:szCs w:val="22"/>
          <w:rtl/>
          <w:lang w:eastAsia="he-IL"/>
        </w:rPr>
        <w:t>1</w:t>
      </w:r>
      <w:r w:rsidRPr="00F41E78">
        <w:rPr>
          <w:rFonts w:cs="FrankRuehl"/>
          <w:sz w:val="18"/>
          <w:szCs w:val="22"/>
          <w:rtl/>
          <w:lang w:eastAsia="he-IL"/>
        </w:rPr>
        <w:t xml:space="preserve"> מועצות מקומיות</w:t>
      </w:r>
      <w:r w:rsidRPr="00F41E78">
        <w:rPr>
          <w:rFonts w:cs="FrankRuehl" w:hint="cs"/>
          <w:sz w:val="18"/>
          <w:szCs w:val="22"/>
          <w:rtl/>
          <w:lang w:eastAsia="he-IL"/>
        </w:rPr>
        <w:t xml:space="preserve"> ו-</w:t>
      </w:r>
      <w:r w:rsidRPr="00F41E78">
        <w:rPr>
          <w:rFonts w:cs="FrankRuehl"/>
          <w:sz w:val="18"/>
          <w:szCs w:val="22"/>
          <w:rtl/>
          <w:lang w:eastAsia="he-IL"/>
        </w:rPr>
        <w:t>15 מועצות</w:t>
      </w:r>
      <w:r w:rsidRPr="00F41E78">
        <w:rPr>
          <w:rFonts w:cs="FrankRuehl" w:hint="cs"/>
          <w:sz w:val="18"/>
          <w:szCs w:val="22"/>
          <w:rtl/>
          <w:lang w:eastAsia="he-IL"/>
        </w:rPr>
        <w:t xml:space="preserve"> אזוריות. </w:t>
      </w:r>
    </w:p>
    <w:p w:rsidR="008A3DFB" w:rsidRPr="00270C29" w:rsidP="00270C29">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 xml:space="preserve">השגת יעדי האוכלוסייה שנקבעו בתמ"א 35 </w:t>
      </w:r>
    </w:p>
    <w:p w:rsidR="00E97EDA" w:rsidRPr="00F41E78" w:rsidP="00270C29">
      <w:pPr>
        <w:spacing w:after="120" w:line="230" w:lineRule="exact"/>
        <w:jc w:val="both"/>
        <w:rPr>
          <w:rFonts w:cs="FrankRuehl"/>
          <w:sz w:val="18"/>
          <w:szCs w:val="22"/>
          <w:rtl/>
          <w:lang w:eastAsia="he-IL"/>
        </w:rPr>
      </w:pPr>
      <w:r w:rsidRPr="00F41E78">
        <w:rPr>
          <w:rFonts w:cs="FrankRuehl" w:hint="cs"/>
          <w:sz w:val="18"/>
          <w:szCs w:val="22"/>
          <w:rtl/>
          <w:lang w:eastAsia="he-IL"/>
        </w:rPr>
        <w:t>על פי תמ"א 35, מחוז הדרום הוא יעד להכוונת הפיתוח ולהרחבה ניכרת של האוכלוסייה בתחומו, עד כדי הכפלת מספר התושבים הקיימים בו עד שנת היעד, כדי לממש את מדיניות פיזור האוכלוסייה ולפתח את מטרופולין באר שבע.</w:t>
      </w:r>
    </w:p>
    <w:p w:rsidR="00E97EDA" w:rsidRPr="00F41E78" w:rsidP="00270C29">
      <w:pPr>
        <w:spacing w:after="240" w:line="230" w:lineRule="exact"/>
        <w:jc w:val="both"/>
        <w:rPr>
          <w:rFonts w:cs="FrankRuehl"/>
          <w:sz w:val="18"/>
          <w:szCs w:val="22"/>
          <w:rtl/>
          <w:lang w:eastAsia="he-IL"/>
        </w:rPr>
      </w:pPr>
      <w:r w:rsidRPr="00F41E78">
        <w:rPr>
          <w:rFonts w:cs="FrankRuehl" w:hint="cs"/>
          <w:sz w:val="18"/>
          <w:szCs w:val="22"/>
          <w:rtl/>
          <w:lang w:eastAsia="he-IL"/>
        </w:rPr>
        <w:t>צוות המעקב של תמ"א 35 מצא כי בשנים 2007-1995 (התקופה שבין הכנת התמ"א למעקב אחר יישומה) גדלה אוכלוסיית מחוז הדרום ב-2.7% בממוצע לשנה. אולם חשוב להבין כי אין נתון זה משקף את המגמות מאז 2000, משום שעד אותה שנה התאפיין מחוז הדרום במאזן הגירה חיובי (בעיקר בשל קליטת עולים רבים), ועיקר הגידול באוכלוסייה חל בתקופה זו. לאחר 2000 התמתנה מאוד קליטת העלייה והואט באופן ניכר קצב גידול האוכלוסייה. למעשה, מאז אותה שנה משתנה הקצב באופן מהיר וגידול האוכלוסייה היהודית ירד מ-7.4% ל-1.6%</w:t>
      </w:r>
      <w:r>
        <w:rPr>
          <w:rFonts w:cs="FrankRuehl"/>
          <w:sz w:val="18"/>
          <w:szCs w:val="22"/>
          <w:vertAlign w:val="superscript"/>
          <w:rtl/>
          <w:lang w:eastAsia="he-IL"/>
        </w:rPr>
        <w:footnoteReference w:id="228"/>
      </w:r>
      <w:r w:rsidRPr="00F41E78">
        <w:rPr>
          <w:rFonts w:cs="FrankRuehl" w:hint="cs"/>
          <w:sz w:val="18"/>
          <w:szCs w:val="22"/>
          <w:rtl/>
          <w:lang w:eastAsia="he-IL"/>
        </w:rPr>
        <w:t xml:space="preserve">. מאז 2000 מתאפיין אפוא מחוז הדרום במאזן הגירה שלילי. אם יימשכו מגמות הגידול השליליות של אוכלוסיית מחוז הדרום עד 2020, היא לא תגיע ליעד הרצוי והפער בין היעדים לתחזית יעמוד על כ-200,000 תושבים (במגזר היהודי). </w:t>
      </w:r>
    </w:p>
    <w:p w:rsidR="00D22B16" w:rsidRPr="00F41E78" w:rsidP="00D22B16">
      <w:pPr>
        <w:pStyle w:val="RESHET"/>
        <w:keepLines/>
        <w:rPr>
          <w:rtl/>
        </w:rPr>
      </w:pPr>
      <w:r w:rsidRPr="00F41E78">
        <w:rPr>
          <w:rFonts w:hint="cs"/>
          <w:rtl/>
        </w:rPr>
        <w:t xml:space="preserve">כמו כן נמצא שדווקא נפת באר שבע, שחלקה יועד להתפתח כמטרופולין, נמצאה בשנת 2007 בפיגור של כ-20% מהיעדים שנקבעו לה בתמ"א 35, וקצב גידול האוכלוסייה, בפרט האוכלוסייה היהודית, נמוך יותר מהתחזיות. למרות הגידול המסוים באוכלוסיית מחוז הדרום, הנתונים מצביעים על הגירה פנימית שלילית ומלמדים על חוסר הצלחתה של הממשלה </w:t>
      </w:r>
      <w:r w:rsidRPr="00F41E78">
        <w:rPr>
          <w:rFonts w:hint="eastAsia"/>
          <w:rtl/>
        </w:rPr>
        <w:t>להכווין</w:t>
      </w:r>
      <w:r w:rsidRPr="00F41E78">
        <w:rPr>
          <w:rFonts w:hint="cs"/>
          <w:rtl/>
        </w:rPr>
        <w:t xml:space="preserve"> את הפיתוח לדרום הארץ. </w:t>
      </w:r>
    </w:p>
    <w:p w:rsidR="00E97EDA" w:rsidRPr="00F41E78" w:rsidP="00270C29">
      <w:pPr>
        <w:spacing w:before="180" w:after="120" w:line="230" w:lineRule="exact"/>
        <w:ind w:left="12"/>
        <w:jc w:val="both"/>
        <w:rPr>
          <w:rFonts w:cs="FrankRuehl"/>
          <w:sz w:val="18"/>
          <w:szCs w:val="22"/>
          <w:rtl/>
          <w:lang w:eastAsia="he-IL"/>
        </w:rPr>
      </w:pPr>
      <w:r w:rsidRPr="00F41E78">
        <w:rPr>
          <w:rFonts w:cs="FrankRuehl" w:hint="cs"/>
          <w:sz w:val="18"/>
          <w:szCs w:val="22"/>
          <w:rtl/>
          <w:lang w:eastAsia="he-IL"/>
        </w:rPr>
        <w:t xml:space="preserve">בשנים האחרונות נמצאים בעיצומם מהלכים לפיתוחו של הנגב. הממשלה מקדמת ארבעה מיזמים של העתקת בסיסי צבא ומרכזי פיתוח מאזור המרכז לנגב, המלווים בהכנת תכניות לפיתוח התשתיות ושדרוגן - תשתיות מים וביוב, תשתיות דרכים ומסילות ברזל - ולאישור תכניות מפורטות למגורים. אולם עדיין קיים חוסר ודאות בנוגע למידת השפעתם של מהלכים אלו על נתוני ההגירה הפנימית אל הנגב.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בעיצומה של הביקורת, ביולי 2013, בעקבות העתקת חלק מבסיסי הצבא אל הנגב, החליטה הממשלה (החלטה מס' 546) לאשר תכנית חומש ייעודית לפיתוח הנגב. עלות התכנית כחצי מיליארד ש"ח ושותפים לה משרדי ממשלה רבים. במסגרת התכנית הוחלט לנקוט כמה וכמה אמצעים לעידוד ההתיישבות בנגב ולפיתוחו הכלכלי. מטרות התכנית הן האצת הפיתוח הכלכלי של הנגב, לרבות עידוד הגירה, הגדלת היצע הדיור, שיפור התדמית, חיזוק השלטון המקומי, הגדלת היצע התרבות וצמצום פערים כלכליים.</w:t>
      </w:r>
    </w:p>
    <w:p w:rsidR="008A3DFB" w:rsidRPr="00F41E78" w:rsidP="00A7557B">
      <w:pPr>
        <w:spacing w:after="120" w:line="230" w:lineRule="exact"/>
        <w:ind w:left="12"/>
        <w:jc w:val="both"/>
        <w:rPr>
          <w:rFonts w:cs="FrankRuehl"/>
          <w:b/>
          <w:bCs/>
          <w:sz w:val="18"/>
          <w:szCs w:val="22"/>
          <w:rtl/>
          <w:lang w:eastAsia="he-IL"/>
        </w:rPr>
      </w:pPr>
    </w:p>
    <w:p w:rsidR="00E97EDA" w:rsidRPr="00CB33CD" w:rsidP="00A7557B">
      <w:pPr>
        <w:pStyle w:val="KOT5"/>
        <w:rPr>
          <w:rtl/>
          <w:lang w:eastAsia="he-IL"/>
        </w:rPr>
      </w:pPr>
      <w:r w:rsidRPr="00CB33CD">
        <w:rPr>
          <w:rFonts w:hint="cs"/>
          <w:rtl/>
          <w:lang w:eastAsia="he-IL"/>
        </w:rPr>
        <w:t xml:space="preserve">עתודות הקרקע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צוות המעקב של תמ"א 35 בחן את עתודות הקרקע לפיתוח במחוז הדרום (עתודות קרקע המצויות מחוץ לשטחים הבנויים ומיועדות בתכניות המתאר המחוזיות לפיתוח). הצוות מצא שלפי תכניות המתאר המחוזיות ישנם במחוז הדרום כ-400,000 דונם המיועדים לפיתוח עירוני וכפרי (פיתוח המיועד בעיקר לשכונות מגורים); כ-25% מהם מוצו ונותרו כ-300,000 דונם פנויים לפיתוח. עתודות אלו הן 30% מכלל עתודות הקרקע של המדינה. בדיקת הנפות מראה כי עיקר העתודות מצויות בנפת באר שבע (כ-250,000 דונם שהם 83% מהעתודות במחוז הדרום). </w:t>
      </w:r>
    </w:p>
    <w:p w:rsidR="00E97EDA" w:rsidRPr="00F41E78" w:rsidP="00270C29">
      <w:pPr>
        <w:spacing w:after="240" w:line="230" w:lineRule="exact"/>
        <w:ind w:left="12"/>
        <w:jc w:val="both"/>
        <w:rPr>
          <w:rFonts w:cs="FrankRuehl"/>
          <w:sz w:val="18"/>
          <w:szCs w:val="22"/>
          <w:rtl/>
          <w:lang w:eastAsia="he-IL"/>
        </w:rPr>
      </w:pPr>
      <w:r w:rsidRPr="00F41E78">
        <w:rPr>
          <w:rFonts w:cs="FrankRuehl" w:hint="cs"/>
          <w:sz w:val="18"/>
          <w:szCs w:val="22"/>
          <w:rtl/>
          <w:lang w:eastAsia="he-IL"/>
        </w:rPr>
        <w:t xml:space="preserve">צוות המעקב הניח שרק 50% מעתודות הקרקע לפיתוח עירוני וכפרי במחוז הדרום אכן ריאליות לפיתוח, וזאת בשל מגבלות שונות כמו שיפועי קרקע חדים מדי או קרבה לתשתיות. הוא מצא </w:t>
      </w:r>
      <w:r w:rsidR="00270C29">
        <w:rPr>
          <w:rFonts w:cs="FrankRuehl"/>
          <w:sz w:val="18"/>
          <w:szCs w:val="22"/>
          <w:lang w:eastAsia="he-IL"/>
        </w:rPr>
        <w:br/>
      </w:r>
      <w:r w:rsidRPr="00F41E78">
        <w:rPr>
          <w:rFonts w:cs="FrankRuehl" w:hint="cs"/>
          <w:sz w:val="18"/>
          <w:szCs w:val="22"/>
          <w:rtl/>
          <w:lang w:eastAsia="he-IL"/>
        </w:rPr>
        <w:t xml:space="preserve">שכ-146,000 דונם ריאליים לפיתוח (לעומת כ-90,000 במחוז המרכז) וחישב את קצב המימוש של עתודות הקרקע במחוז הדרום מאז 1998. על פי הממצאים, בשנים 2007-1998 נרשמה בנייה על </w:t>
      </w:r>
      <w:r w:rsidR="00270C29">
        <w:rPr>
          <w:rFonts w:cs="FrankRuehl"/>
          <w:sz w:val="18"/>
          <w:szCs w:val="22"/>
          <w:lang w:eastAsia="he-IL"/>
        </w:rPr>
        <w:br/>
      </w:r>
      <w:r w:rsidRPr="00F41E78">
        <w:rPr>
          <w:rFonts w:cs="FrankRuehl" w:hint="cs"/>
          <w:sz w:val="18"/>
          <w:szCs w:val="22"/>
          <w:rtl/>
          <w:lang w:eastAsia="he-IL"/>
        </w:rPr>
        <w:t xml:space="preserve">כ-9,000 דונם מהשטחים המיועדים לפיתוח בתכניות המתאר המחוזיות, שהם 6% מהעתודות הריאליות לפיתוח (לעומת קצב מימוש של 17.4% במחוז המרכז). </w:t>
      </w:r>
    </w:p>
    <w:p w:rsidR="00D22B16" w:rsidRPr="00F41E78" w:rsidP="00D22B16">
      <w:pPr>
        <w:pStyle w:val="RESHET"/>
        <w:keepLines/>
        <w:rPr>
          <w:rtl/>
        </w:rPr>
      </w:pPr>
      <w:r w:rsidRPr="00F41E78">
        <w:rPr>
          <w:rFonts w:hint="cs"/>
          <w:rtl/>
        </w:rPr>
        <w:t xml:space="preserve">אם יימשכו המגמות הקיימות, בתוך כמה עשורים לא יהיו עוד עתודות קרקע ריאליות לפיתוח במחוז המרכז. עובדה זו מחייבת נקיטת פעולות לעידוד הפיתוח וההתיישבות במחוז הדרום, על פי מדיניותה של הממשלה. </w:t>
      </w:r>
    </w:p>
    <w:p w:rsidR="00E97EDA" w:rsidRPr="00F41E78" w:rsidP="00D976D7">
      <w:pPr>
        <w:spacing w:after="240" w:line="230" w:lineRule="exact"/>
        <w:ind w:left="12"/>
        <w:jc w:val="both"/>
        <w:rPr>
          <w:rFonts w:cs="FrankRuehl"/>
          <w:sz w:val="18"/>
          <w:szCs w:val="22"/>
          <w:rtl/>
          <w:lang w:eastAsia="he-IL"/>
        </w:rPr>
      </w:pPr>
      <w:r w:rsidRPr="00F41E78">
        <w:rPr>
          <w:rFonts w:cs="FrankRuehl" w:hint="cs"/>
          <w:sz w:val="18"/>
          <w:szCs w:val="22"/>
          <w:rtl/>
          <w:lang w:eastAsia="he-IL"/>
        </w:rPr>
        <w:t>צוות המעקב ציין כי בנפת באר שבע ישנן עתודות קרקע זמינות בהיקפים עצומים וקצב מיצוין נמוך. למרות ההיצע לא גדלה האוכלוסייה בנפת באר שבע במידה הרצויה. במחוז הדרום, ובפרט בנפת באר שבע, ישנן גם עתודות קרקע גדולות לפיתוח תעשייה (פיתוח המאפשר קליטת תושבים חדשים). למעשה, על פי הנתונים בנפת באר שבע מצויים 85% מכלל עתודות הקרקע של המדינה לפיתוח תעשייה.</w:t>
      </w:r>
    </w:p>
    <w:p w:rsidR="00D22B16" w:rsidRPr="00F41E78" w:rsidP="00D22B16">
      <w:pPr>
        <w:pStyle w:val="RESHET"/>
        <w:keepLines/>
        <w:rPr>
          <w:rtl/>
        </w:rPr>
      </w:pPr>
      <w:r w:rsidRPr="00F41E78">
        <w:rPr>
          <w:rFonts w:hint="cs"/>
          <w:rtl/>
        </w:rPr>
        <w:t xml:space="preserve">נתונים אלו מלמדים על פוטנציאל הפיתוח הגדול הקיים במחוז הדרום ובתכנון המתארי שלו, בייחוד בנפת באר שבע. אף שעל פי התכניות מצויים תנאים לפיתוח, אין הפוטנציאל מתממש בקצב הרצוי לפי מדיניות התכנון הלאומית, משום שגורמים נוספים משפיעים עליו ובראשם הביקושים. </w:t>
      </w:r>
    </w:p>
    <w:p w:rsidR="00D22B16" w:rsidRPr="00F41E78" w:rsidP="00D22B16">
      <w:pPr>
        <w:pStyle w:val="RESHET"/>
        <w:keepLines/>
        <w:rPr>
          <w:rtl/>
        </w:rPr>
      </w:pPr>
      <w:r w:rsidRPr="00F41E78">
        <w:rPr>
          <w:rFonts w:hint="cs"/>
          <w:rtl/>
        </w:rPr>
        <w:t xml:space="preserve">ללא עידוד ההתיישבות במחוז הדרום תימשך ההגירה השלילית, והדבר יגדיל את הפערים בין המרכז לדרום ויחריף את הקושי בוויסות מחירי הדיור. </w:t>
      </w:r>
    </w:p>
    <w:p w:rsidR="00E97EDA" w:rsidRPr="00F41E78" w:rsidP="00D976D7">
      <w:pPr>
        <w:spacing w:before="180" w:after="120" w:line="230" w:lineRule="exact"/>
        <w:ind w:left="12"/>
        <w:jc w:val="both"/>
        <w:rPr>
          <w:rFonts w:cs="FrankRuehl"/>
          <w:sz w:val="18"/>
          <w:szCs w:val="22"/>
          <w:rtl/>
          <w:lang w:eastAsia="he-IL"/>
        </w:rPr>
      </w:pPr>
      <w:r w:rsidRPr="00F41E78">
        <w:rPr>
          <w:rFonts w:cs="FrankRuehl" w:hint="cs"/>
          <w:sz w:val="18"/>
          <w:szCs w:val="22"/>
          <w:rtl/>
          <w:lang w:eastAsia="he-IL"/>
        </w:rPr>
        <w:t>מסקנה זו מקבלת משנה תוקף לנוכח העובדה כי באזורי הביקוש הקרקעות שבשליטת המדינה מצומצמות יותר מאלו שבדרום, לכן גם ההשפעה של הממשלה על יזמות תכנון ועל שיווק קרקעות, לרבות על היצע הדירות באזורים אלו, מוגבלת יותר. במחוז הדרום בכלל ובנפת באר שבע בפרט המציאות הפוכה; אולם עד כה לא השכילה הממשלה לעודד הגירת אוכלוסייה למחוז הדרום באופן שיהלום את פוטנציאל הפיתוח הקיים בו.</w:t>
      </w:r>
    </w:p>
    <w:p w:rsidR="008A3DFB" w:rsidRPr="00F41E78" w:rsidP="00270C29">
      <w:pPr>
        <w:spacing w:after="120" w:line="230" w:lineRule="exact"/>
        <w:ind w:left="12"/>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תכניות מתאר מקומיות של יישובי הדרום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תכניות מתאר מקומיות של יישובים הן בסיס חשוב וראוי לקבלת החלטות בשלב הכנת התכניות המפורטות, וקיומן עשוי לסייע בייעול הליכי התכנון ובפישוטם. כפי שצוין, משרד מבקר המדינה </w:t>
      </w:r>
      <w:r w:rsidRPr="00F41E78">
        <w:rPr>
          <w:rFonts w:cs="FrankRuehl" w:hint="cs"/>
          <w:sz w:val="18"/>
          <w:szCs w:val="22"/>
          <w:rtl/>
          <w:lang w:eastAsia="he-IL"/>
        </w:rPr>
        <w:t>התייחס בעבר להיבטים הנוגעים לתכנון המתארי המקומי הכולל</w:t>
      </w:r>
      <w:r>
        <w:rPr>
          <w:rFonts w:cs="FrankRuehl"/>
          <w:sz w:val="18"/>
          <w:szCs w:val="22"/>
          <w:vertAlign w:val="superscript"/>
          <w:rtl/>
          <w:lang w:eastAsia="he-IL"/>
        </w:rPr>
        <w:footnoteReference w:id="229"/>
      </w:r>
      <w:r w:rsidRPr="00F41E78">
        <w:rPr>
          <w:rFonts w:cs="FrankRuehl" w:hint="cs"/>
          <w:sz w:val="18"/>
          <w:szCs w:val="22"/>
          <w:rtl/>
          <w:lang w:eastAsia="he-IL"/>
        </w:rPr>
        <w:t>, ובדוח על הוועדה המחוזית דרום</w:t>
      </w:r>
      <w:r>
        <w:rPr>
          <w:rFonts w:cs="FrankRuehl"/>
          <w:sz w:val="18"/>
          <w:szCs w:val="22"/>
          <w:vertAlign w:val="superscript"/>
          <w:rtl/>
          <w:lang w:eastAsia="he-IL"/>
        </w:rPr>
        <w:footnoteReference w:id="230"/>
      </w:r>
      <w:r w:rsidRPr="00F41E78">
        <w:rPr>
          <w:rFonts w:cs="FrankRuehl" w:hint="cs"/>
          <w:sz w:val="18"/>
          <w:szCs w:val="22"/>
          <w:rtl/>
          <w:lang w:eastAsia="he-IL"/>
        </w:rPr>
        <w:t xml:space="preserve"> פורטו ממצאים על עדכניות נדבך התכנון המקומי.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להלן נתונים מעודכנים על מצב קידומן של תכניות מתאר מקומיות ביישובים במחוז הדרום (נכון ליולי 2013). הנתונים נוגעים הן לתכניות של רשויות מקומיות הן לתכניות של יישובים (ועדים מקומיים) בתחומי מועצות אזוריות:</w:t>
      </w:r>
    </w:p>
    <w:p w:rsidR="00E97EDA" w:rsidRPr="00873FEC" w:rsidP="006B6CD7">
      <w:pPr>
        <w:pStyle w:val="tab-name"/>
        <w:rPr>
          <w:rtl/>
          <w:lang w:eastAsia="he-IL"/>
        </w:rPr>
      </w:pPr>
      <w:r w:rsidRPr="006B6CD7">
        <w:rPr>
          <w:rFonts w:hint="cs"/>
          <w:b w:val="0"/>
          <w:bCs w:val="0"/>
          <w:sz w:val="20"/>
          <w:szCs w:val="20"/>
          <w:rtl/>
          <w:lang w:eastAsia="he-IL"/>
        </w:rPr>
        <w:t xml:space="preserve">לוח </w:t>
      </w:r>
      <w:r w:rsidRPr="006B6CD7" w:rsidR="006B6CD7">
        <w:rPr>
          <w:rFonts w:hint="cs"/>
          <w:b w:val="0"/>
          <w:bCs w:val="0"/>
          <w:sz w:val="20"/>
          <w:szCs w:val="20"/>
          <w:rtl/>
          <w:lang w:eastAsia="he-IL"/>
        </w:rPr>
        <w:t>1</w:t>
      </w:r>
      <w:r w:rsidRPr="006B6CD7" w:rsidR="006B6CD7">
        <w:rPr>
          <w:b w:val="0"/>
          <w:bCs w:val="0"/>
          <w:sz w:val="20"/>
          <w:szCs w:val="20"/>
          <w:rtl/>
          <w:lang w:eastAsia="he-IL"/>
        </w:rPr>
        <w:br/>
      </w:r>
      <w:r w:rsidRPr="00873FEC">
        <w:rPr>
          <w:rFonts w:hint="cs"/>
          <w:rtl/>
          <w:lang w:eastAsia="he-IL"/>
        </w:rPr>
        <w:t>מצבן של תכניות המתאר המקומיות במחוז הדרום, יולי 2013</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
      <w:tblGrid>
        <w:gridCol w:w="1834"/>
        <w:gridCol w:w="1018"/>
        <w:gridCol w:w="871"/>
        <w:gridCol w:w="1012"/>
        <w:gridCol w:w="986"/>
        <w:gridCol w:w="970"/>
      </w:tblGrid>
      <w:tr w:rsidTr="006B6CD7">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Ex>
        <w:trPr>
          <w:cantSplit/>
          <w:jc w:val="center"/>
        </w:trPr>
        <w:tc>
          <w:tcPr>
            <w:tcW w:w="1370" w:type="pct"/>
            <w:tcBorders>
              <w:top w:val="single" w:sz="12" w:space="0" w:color="auto"/>
              <w:bottom w:val="single" w:sz="12" w:space="0" w:color="auto"/>
            </w:tcBorders>
            <w:shd w:val="pct10" w:color="auto" w:fill="auto"/>
            <w:vAlign w:val="bottom"/>
          </w:tcPr>
          <w:p w:rsidR="00E97EDA" w:rsidRPr="006B6CD7" w:rsidP="006B6CD7">
            <w:pPr>
              <w:spacing w:before="40" w:after="40" w:line="200" w:lineRule="exact"/>
              <w:jc w:val="center"/>
              <w:rPr>
                <w:rFonts w:cs="FrankRuehl"/>
                <w:b/>
                <w:bCs/>
                <w:szCs w:val="20"/>
                <w:rtl/>
                <w:lang w:eastAsia="he-IL"/>
              </w:rPr>
            </w:pPr>
          </w:p>
        </w:tc>
        <w:tc>
          <w:tcPr>
            <w:tcW w:w="761" w:type="pct"/>
            <w:tcBorders>
              <w:top w:val="single" w:sz="12" w:space="0" w:color="auto"/>
              <w:bottom w:val="single" w:sz="12" w:space="0" w:color="auto"/>
            </w:tcBorders>
            <w:shd w:val="pct10" w:color="auto" w:fill="auto"/>
            <w:vAlign w:val="bottom"/>
          </w:tcPr>
          <w:p w:rsidR="00E97EDA" w:rsidRPr="006B6CD7" w:rsidP="006B6CD7">
            <w:pPr>
              <w:spacing w:before="40" w:after="40" w:line="200" w:lineRule="exact"/>
              <w:jc w:val="center"/>
              <w:rPr>
                <w:rFonts w:cs="FrankRuehl"/>
                <w:b/>
                <w:bCs/>
                <w:szCs w:val="20"/>
                <w:rtl/>
                <w:lang w:eastAsia="he-IL"/>
              </w:rPr>
            </w:pPr>
            <w:r w:rsidRPr="006B6CD7">
              <w:rPr>
                <w:rFonts w:cs="FrankRuehl" w:hint="cs"/>
                <w:b/>
                <w:bCs/>
                <w:szCs w:val="20"/>
                <w:rtl/>
                <w:lang w:eastAsia="he-IL"/>
              </w:rPr>
              <w:t>ועד מקומי</w:t>
            </w:r>
          </w:p>
        </w:tc>
        <w:tc>
          <w:tcPr>
            <w:tcW w:w="651" w:type="pct"/>
            <w:tcBorders>
              <w:top w:val="single" w:sz="12" w:space="0" w:color="auto"/>
              <w:bottom w:val="single" w:sz="12" w:space="0" w:color="auto"/>
            </w:tcBorders>
            <w:shd w:val="pct10" w:color="auto" w:fill="auto"/>
            <w:vAlign w:val="bottom"/>
          </w:tcPr>
          <w:p w:rsidR="00E97EDA" w:rsidRPr="006B6CD7" w:rsidP="006B6CD7">
            <w:pPr>
              <w:spacing w:before="40" w:after="40" w:line="200" w:lineRule="exact"/>
              <w:jc w:val="center"/>
              <w:rPr>
                <w:rFonts w:cs="FrankRuehl"/>
                <w:b/>
                <w:bCs/>
                <w:szCs w:val="20"/>
                <w:rtl/>
                <w:lang w:eastAsia="he-IL"/>
              </w:rPr>
            </w:pPr>
            <w:r w:rsidRPr="006B6CD7">
              <w:rPr>
                <w:rFonts w:cs="FrankRuehl" w:hint="cs"/>
                <w:b/>
                <w:bCs/>
                <w:szCs w:val="20"/>
                <w:rtl/>
                <w:lang w:eastAsia="he-IL"/>
              </w:rPr>
              <w:t xml:space="preserve">מועצות </w:t>
            </w:r>
            <w:r w:rsidR="006B6CD7">
              <w:rPr>
                <w:rFonts w:cs="FrankRuehl"/>
                <w:b/>
                <w:bCs/>
                <w:szCs w:val="20"/>
                <w:lang w:eastAsia="he-IL"/>
              </w:rPr>
              <w:br/>
            </w:r>
            <w:r w:rsidRPr="006B6CD7">
              <w:rPr>
                <w:rFonts w:cs="FrankRuehl" w:hint="cs"/>
                <w:b/>
                <w:bCs/>
                <w:szCs w:val="20"/>
                <w:rtl/>
                <w:lang w:eastAsia="he-IL"/>
              </w:rPr>
              <w:t>אזוריות</w:t>
            </w:r>
            <w:r w:rsidR="00382334">
              <w:rPr>
                <w:rFonts w:cs="FrankRuehl" w:hint="cs"/>
                <w:b/>
                <w:bCs/>
                <w:szCs w:val="20"/>
                <w:rtl/>
                <w:lang w:eastAsia="he-IL"/>
              </w:rPr>
              <w:t>*</w:t>
            </w:r>
          </w:p>
        </w:tc>
        <w:tc>
          <w:tcPr>
            <w:tcW w:w="756" w:type="pct"/>
            <w:tcBorders>
              <w:top w:val="single" w:sz="12" w:space="0" w:color="auto"/>
              <w:bottom w:val="single" w:sz="12" w:space="0" w:color="auto"/>
            </w:tcBorders>
            <w:shd w:val="pct10" w:color="auto" w:fill="auto"/>
            <w:vAlign w:val="bottom"/>
          </w:tcPr>
          <w:p w:rsidR="00E97EDA" w:rsidRPr="006B6CD7" w:rsidP="006B6CD7">
            <w:pPr>
              <w:spacing w:before="40" w:after="40" w:line="200" w:lineRule="exact"/>
              <w:jc w:val="center"/>
              <w:rPr>
                <w:rFonts w:cs="FrankRuehl"/>
                <w:b/>
                <w:bCs/>
                <w:szCs w:val="20"/>
                <w:rtl/>
                <w:lang w:eastAsia="he-IL"/>
              </w:rPr>
            </w:pPr>
            <w:r w:rsidRPr="006B6CD7">
              <w:rPr>
                <w:rFonts w:cs="FrankRuehl" w:hint="cs"/>
                <w:b/>
                <w:bCs/>
                <w:szCs w:val="20"/>
                <w:rtl/>
                <w:lang w:eastAsia="he-IL"/>
              </w:rPr>
              <w:t xml:space="preserve">מועצות </w:t>
            </w:r>
            <w:r w:rsidR="006B6CD7">
              <w:rPr>
                <w:rFonts w:cs="FrankRuehl"/>
                <w:b/>
                <w:bCs/>
                <w:szCs w:val="20"/>
                <w:lang w:eastAsia="he-IL"/>
              </w:rPr>
              <w:br/>
            </w:r>
            <w:r w:rsidRPr="006B6CD7">
              <w:rPr>
                <w:rFonts w:cs="FrankRuehl" w:hint="cs"/>
                <w:b/>
                <w:bCs/>
                <w:szCs w:val="20"/>
                <w:rtl/>
                <w:lang w:eastAsia="he-IL"/>
              </w:rPr>
              <w:t>מקומיות</w:t>
            </w:r>
          </w:p>
        </w:tc>
        <w:tc>
          <w:tcPr>
            <w:tcW w:w="737" w:type="pct"/>
            <w:tcBorders>
              <w:top w:val="single" w:sz="12" w:space="0" w:color="auto"/>
              <w:bottom w:val="single" w:sz="12" w:space="0" w:color="auto"/>
            </w:tcBorders>
            <w:shd w:val="pct10" w:color="auto" w:fill="auto"/>
            <w:vAlign w:val="bottom"/>
          </w:tcPr>
          <w:p w:rsidR="00E97EDA" w:rsidRPr="006B6CD7" w:rsidP="006B6CD7">
            <w:pPr>
              <w:spacing w:before="40" w:after="40" w:line="200" w:lineRule="exact"/>
              <w:jc w:val="center"/>
              <w:rPr>
                <w:rFonts w:cs="FrankRuehl"/>
                <w:b/>
                <w:bCs/>
                <w:szCs w:val="20"/>
                <w:rtl/>
                <w:lang w:eastAsia="he-IL"/>
              </w:rPr>
            </w:pPr>
            <w:r w:rsidRPr="006B6CD7">
              <w:rPr>
                <w:rFonts w:cs="FrankRuehl" w:hint="cs"/>
                <w:b/>
                <w:bCs/>
                <w:szCs w:val="20"/>
                <w:rtl/>
                <w:lang w:eastAsia="he-IL"/>
              </w:rPr>
              <w:t>עיריות</w:t>
            </w:r>
          </w:p>
        </w:tc>
        <w:tc>
          <w:tcPr>
            <w:tcW w:w="725" w:type="pct"/>
            <w:tcBorders>
              <w:top w:val="single" w:sz="12" w:space="0" w:color="auto"/>
              <w:bottom w:val="single" w:sz="12" w:space="0" w:color="auto"/>
            </w:tcBorders>
            <w:shd w:val="pct10" w:color="auto" w:fill="auto"/>
            <w:vAlign w:val="bottom"/>
          </w:tcPr>
          <w:p w:rsidR="00E97EDA" w:rsidRPr="006B6CD7" w:rsidP="006B6CD7">
            <w:pPr>
              <w:spacing w:before="40" w:after="40" w:line="200" w:lineRule="exact"/>
              <w:jc w:val="center"/>
              <w:rPr>
                <w:rFonts w:cs="FrankRuehl"/>
                <w:b/>
                <w:bCs/>
                <w:szCs w:val="20"/>
                <w:rtl/>
                <w:lang w:eastAsia="he-IL"/>
              </w:rPr>
            </w:pPr>
            <w:r w:rsidRPr="006B6CD7">
              <w:rPr>
                <w:rFonts w:cs="FrankRuehl" w:hint="cs"/>
                <w:b/>
                <w:bCs/>
                <w:szCs w:val="20"/>
                <w:rtl/>
                <w:lang w:eastAsia="he-IL"/>
              </w:rPr>
              <w:t>סך הכול</w:t>
            </w:r>
          </w:p>
        </w:tc>
      </w:tr>
      <w:tr w:rsidTr="006B6CD7">
        <w:tblPrEx>
          <w:tblW w:w="6691" w:type="dxa"/>
          <w:jc w:val="center"/>
          <w:tblLook w:val="01E0"/>
        </w:tblPrEx>
        <w:trPr>
          <w:cantSplit/>
          <w:jc w:val="center"/>
        </w:trPr>
        <w:tc>
          <w:tcPr>
            <w:tcW w:w="1370" w:type="pct"/>
            <w:tcBorders>
              <w:top w:val="single" w:sz="12" w:space="0" w:color="auto"/>
            </w:tcBorders>
            <w:shd w:val="clear" w:color="auto" w:fill="auto"/>
            <w:vAlign w:val="center"/>
          </w:tcPr>
          <w:p w:rsidR="00E97EDA" w:rsidRPr="006B6CD7" w:rsidP="006B6CD7">
            <w:pPr>
              <w:pStyle w:val="FootnoteText"/>
              <w:spacing w:before="40" w:after="40" w:line="200" w:lineRule="exact"/>
              <w:rPr>
                <w:rFonts w:cs="FrankRuehl"/>
                <w:sz w:val="24"/>
                <w:rtl/>
                <w:lang w:eastAsia="he-IL"/>
              </w:rPr>
            </w:pPr>
            <w:r w:rsidRPr="006B6CD7">
              <w:rPr>
                <w:rFonts w:cs="FrankRuehl" w:hint="cs"/>
                <w:sz w:val="24"/>
                <w:rtl/>
                <w:lang w:eastAsia="he-IL"/>
              </w:rPr>
              <w:t>אין תכנית מתאר עדכנית או אין תכנית כלל</w:t>
            </w:r>
          </w:p>
        </w:tc>
        <w:tc>
          <w:tcPr>
            <w:tcW w:w="761" w:type="pct"/>
            <w:tcBorders>
              <w:top w:val="single" w:sz="12" w:space="0" w:color="auto"/>
            </w:tcBorders>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w:t>
            </w:r>
          </w:p>
        </w:tc>
        <w:tc>
          <w:tcPr>
            <w:tcW w:w="651" w:type="pct"/>
            <w:tcBorders>
              <w:top w:val="single" w:sz="12" w:space="0" w:color="auto"/>
            </w:tcBorders>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11</w:t>
            </w:r>
          </w:p>
        </w:tc>
        <w:tc>
          <w:tcPr>
            <w:tcW w:w="756" w:type="pct"/>
            <w:tcBorders>
              <w:top w:val="single" w:sz="12" w:space="0" w:color="auto"/>
            </w:tcBorders>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7</w:t>
            </w:r>
          </w:p>
        </w:tc>
        <w:tc>
          <w:tcPr>
            <w:tcW w:w="737" w:type="pct"/>
            <w:tcBorders>
              <w:top w:val="single" w:sz="12" w:space="0" w:color="auto"/>
            </w:tcBorders>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w:t>
            </w:r>
          </w:p>
        </w:tc>
        <w:tc>
          <w:tcPr>
            <w:tcW w:w="725" w:type="pct"/>
            <w:tcBorders>
              <w:top w:val="single" w:sz="12" w:space="0" w:color="auto"/>
            </w:tcBorders>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18</w:t>
            </w:r>
          </w:p>
        </w:tc>
      </w:tr>
      <w:tr w:rsidTr="006B6CD7">
        <w:tblPrEx>
          <w:tblW w:w="6691" w:type="dxa"/>
          <w:jc w:val="center"/>
          <w:tblLook w:val="01E0"/>
        </w:tblPrEx>
        <w:trPr>
          <w:cantSplit/>
          <w:jc w:val="center"/>
        </w:trPr>
        <w:tc>
          <w:tcPr>
            <w:tcW w:w="1370" w:type="pct"/>
            <w:shd w:val="clear" w:color="auto" w:fill="auto"/>
            <w:vAlign w:val="center"/>
          </w:tcPr>
          <w:p w:rsidR="00E97EDA" w:rsidRPr="006B6CD7" w:rsidP="006B6CD7">
            <w:pPr>
              <w:spacing w:before="40" w:after="40" w:line="200" w:lineRule="exact"/>
              <w:rPr>
                <w:rFonts w:ascii="Calibri" w:hAnsi="Calibri" w:cs="FrankRuehl"/>
                <w:sz w:val="22"/>
                <w:szCs w:val="20"/>
                <w:rtl/>
                <w:lang w:eastAsia="he-IL"/>
              </w:rPr>
            </w:pPr>
            <w:r w:rsidRPr="006B6CD7">
              <w:rPr>
                <w:rFonts w:cs="FrankRuehl" w:hint="cs"/>
                <w:szCs w:val="20"/>
                <w:rtl/>
                <w:lang w:eastAsia="he-IL"/>
              </w:rPr>
              <w:t>תכנית בהכנה</w:t>
            </w:r>
          </w:p>
        </w:tc>
        <w:tc>
          <w:tcPr>
            <w:tcW w:w="761" w:type="pct"/>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1</w:t>
            </w:r>
          </w:p>
        </w:tc>
        <w:tc>
          <w:tcPr>
            <w:tcW w:w="651" w:type="pct"/>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w:t>
            </w:r>
          </w:p>
        </w:tc>
        <w:tc>
          <w:tcPr>
            <w:tcW w:w="756" w:type="pct"/>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1</w:t>
            </w:r>
          </w:p>
        </w:tc>
        <w:tc>
          <w:tcPr>
            <w:tcW w:w="737" w:type="pct"/>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5</w:t>
            </w:r>
          </w:p>
        </w:tc>
        <w:tc>
          <w:tcPr>
            <w:tcW w:w="725" w:type="pct"/>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7</w:t>
            </w:r>
          </w:p>
        </w:tc>
      </w:tr>
      <w:tr w:rsidTr="006B6CD7">
        <w:tblPrEx>
          <w:tblW w:w="6691" w:type="dxa"/>
          <w:jc w:val="center"/>
          <w:tblLook w:val="01E0"/>
        </w:tblPrEx>
        <w:trPr>
          <w:cantSplit/>
          <w:jc w:val="center"/>
        </w:trPr>
        <w:tc>
          <w:tcPr>
            <w:tcW w:w="1370" w:type="pct"/>
            <w:shd w:val="clear" w:color="auto" w:fill="auto"/>
            <w:vAlign w:val="center"/>
          </w:tcPr>
          <w:p w:rsidR="00E97EDA" w:rsidRPr="006B6CD7" w:rsidP="006B6CD7">
            <w:pPr>
              <w:spacing w:before="40" w:after="40" w:line="200" w:lineRule="exact"/>
              <w:rPr>
                <w:rFonts w:ascii="Calibri" w:hAnsi="Calibri" w:cs="FrankRuehl"/>
                <w:sz w:val="22"/>
                <w:szCs w:val="20"/>
                <w:rtl/>
                <w:lang w:eastAsia="he-IL"/>
              </w:rPr>
            </w:pPr>
            <w:r w:rsidRPr="006B6CD7">
              <w:rPr>
                <w:rFonts w:cs="FrankRuehl" w:hint="cs"/>
                <w:szCs w:val="20"/>
                <w:rtl/>
                <w:lang w:eastAsia="he-IL"/>
              </w:rPr>
              <w:t>תכנית בתהליכי אישור בוועדה המחוזית</w:t>
            </w:r>
          </w:p>
        </w:tc>
        <w:tc>
          <w:tcPr>
            <w:tcW w:w="761" w:type="pct"/>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1</w:t>
            </w:r>
          </w:p>
        </w:tc>
        <w:tc>
          <w:tcPr>
            <w:tcW w:w="651" w:type="pct"/>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2</w:t>
            </w:r>
          </w:p>
        </w:tc>
        <w:tc>
          <w:tcPr>
            <w:tcW w:w="756" w:type="pct"/>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w:t>
            </w:r>
          </w:p>
        </w:tc>
        <w:tc>
          <w:tcPr>
            <w:tcW w:w="737" w:type="pct"/>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6</w:t>
            </w:r>
          </w:p>
        </w:tc>
        <w:tc>
          <w:tcPr>
            <w:tcW w:w="725" w:type="pct"/>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9</w:t>
            </w:r>
          </w:p>
        </w:tc>
      </w:tr>
      <w:tr w:rsidTr="006B6CD7">
        <w:tblPrEx>
          <w:tblW w:w="6691" w:type="dxa"/>
          <w:jc w:val="center"/>
          <w:tblLook w:val="01E0"/>
        </w:tblPrEx>
        <w:trPr>
          <w:cantSplit/>
          <w:jc w:val="center"/>
        </w:trPr>
        <w:tc>
          <w:tcPr>
            <w:tcW w:w="1370" w:type="pct"/>
            <w:tcBorders>
              <w:bottom w:val="single" w:sz="12" w:space="0" w:color="auto"/>
            </w:tcBorders>
            <w:shd w:val="clear" w:color="auto" w:fill="auto"/>
            <w:vAlign w:val="center"/>
          </w:tcPr>
          <w:p w:rsidR="00E97EDA" w:rsidRPr="006B6CD7" w:rsidP="006B6CD7">
            <w:pPr>
              <w:spacing w:before="40" w:after="40" w:line="200" w:lineRule="exact"/>
              <w:rPr>
                <w:rFonts w:ascii="Calibri" w:hAnsi="Calibri" w:cs="FrankRuehl"/>
                <w:sz w:val="22"/>
                <w:szCs w:val="20"/>
                <w:rtl/>
                <w:lang w:eastAsia="he-IL"/>
              </w:rPr>
            </w:pPr>
            <w:r w:rsidRPr="006B6CD7">
              <w:rPr>
                <w:rFonts w:cs="FrankRuehl" w:hint="cs"/>
                <w:szCs w:val="20"/>
                <w:rtl/>
                <w:lang w:eastAsia="he-IL"/>
              </w:rPr>
              <w:t>תכנית עדכנית בתוקף (אושרה לאחר 2000)</w:t>
            </w:r>
          </w:p>
        </w:tc>
        <w:tc>
          <w:tcPr>
            <w:tcW w:w="761" w:type="pct"/>
            <w:tcBorders>
              <w:bottom w:val="single" w:sz="12" w:space="0" w:color="auto"/>
            </w:tcBorders>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11</w:t>
            </w:r>
          </w:p>
        </w:tc>
        <w:tc>
          <w:tcPr>
            <w:tcW w:w="651" w:type="pct"/>
            <w:tcBorders>
              <w:bottom w:val="single" w:sz="12" w:space="0" w:color="auto"/>
            </w:tcBorders>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1</w:t>
            </w:r>
          </w:p>
        </w:tc>
        <w:tc>
          <w:tcPr>
            <w:tcW w:w="756" w:type="pct"/>
            <w:tcBorders>
              <w:bottom w:val="single" w:sz="12" w:space="0" w:color="auto"/>
            </w:tcBorders>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3</w:t>
            </w:r>
          </w:p>
        </w:tc>
        <w:tc>
          <w:tcPr>
            <w:tcW w:w="737" w:type="pct"/>
            <w:tcBorders>
              <w:bottom w:val="single" w:sz="12" w:space="0" w:color="auto"/>
            </w:tcBorders>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1</w:t>
            </w:r>
          </w:p>
        </w:tc>
        <w:tc>
          <w:tcPr>
            <w:tcW w:w="725" w:type="pct"/>
            <w:tcBorders>
              <w:bottom w:val="single" w:sz="12" w:space="0" w:color="auto"/>
            </w:tcBorders>
            <w:shd w:val="clear" w:color="auto" w:fill="auto"/>
            <w:vAlign w:val="center"/>
          </w:tcPr>
          <w:p w:rsidR="00E97EDA" w:rsidRPr="006B6CD7" w:rsidP="006B6CD7">
            <w:pPr>
              <w:spacing w:before="40" w:after="40" w:line="200" w:lineRule="exact"/>
              <w:ind w:left="340"/>
              <w:rPr>
                <w:rFonts w:cs="FrankRuehl"/>
                <w:szCs w:val="20"/>
                <w:rtl/>
                <w:lang w:eastAsia="he-IL"/>
              </w:rPr>
            </w:pPr>
            <w:r w:rsidRPr="006B6CD7">
              <w:rPr>
                <w:rFonts w:cs="FrankRuehl" w:hint="cs"/>
                <w:szCs w:val="20"/>
                <w:rtl/>
                <w:lang w:eastAsia="he-IL"/>
              </w:rPr>
              <w:t>16</w:t>
            </w:r>
          </w:p>
        </w:tc>
      </w:tr>
      <w:tr w:rsidTr="006B6CD7">
        <w:tblPrEx>
          <w:tblW w:w="6691" w:type="dxa"/>
          <w:jc w:val="center"/>
          <w:tblLook w:val="01E0"/>
        </w:tblPrEx>
        <w:trPr>
          <w:cantSplit/>
          <w:jc w:val="center"/>
        </w:trPr>
        <w:tc>
          <w:tcPr>
            <w:tcW w:w="1370" w:type="pct"/>
            <w:tcBorders>
              <w:top w:val="single" w:sz="12" w:space="0" w:color="auto"/>
              <w:bottom w:val="single" w:sz="12" w:space="0" w:color="auto"/>
            </w:tcBorders>
            <w:shd w:val="pct10" w:color="auto" w:fill="auto"/>
            <w:vAlign w:val="center"/>
          </w:tcPr>
          <w:p w:rsidR="00E97EDA" w:rsidRPr="006B6CD7" w:rsidP="006B6CD7">
            <w:pPr>
              <w:spacing w:before="40" w:after="40" w:line="200" w:lineRule="exact"/>
              <w:jc w:val="right"/>
              <w:rPr>
                <w:rFonts w:cs="FrankRuehl"/>
                <w:b/>
                <w:bCs/>
                <w:szCs w:val="20"/>
                <w:rtl/>
                <w:lang w:eastAsia="he-IL"/>
              </w:rPr>
            </w:pPr>
            <w:r w:rsidRPr="006B6CD7">
              <w:rPr>
                <w:rFonts w:cs="FrankRuehl" w:hint="cs"/>
                <w:b/>
                <w:bCs/>
                <w:szCs w:val="20"/>
                <w:rtl/>
                <w:lang w:eastAsia="he-IL"/>
              </w:rPr>
              <w:t>סך הכול</w:t>
            </w:r>
          </w:p>
        </w:tc>
        <w:tc>
          <w:tcPr>
            <w:tcW w:w="761" w:type="pct"/>
            <w:tcBorders>
              <w:top w:val="single" w:sz="12" w:space="0" w:color="auto"/>
              <w:bottom w:val="single" w:sz="12" w:space="0" w:color="auto"/>
            </w:tcBorders>
            <w:shd w:val="pct10" w:color="auto" w:fill="auto"/>
            <w:vAlign w:val="center"/>
          </w:tcPr>
          <w:p w:rsidR="00E97EDA" w:rsidRPr="006B6CD7" w:rsidP="006B6CD7">
            <w:pPr>
              <w:spacing w:before="40" w:after="40" w:line="200" w:lineRule="exact"/>
              <w:ind w:left="340"/>
              <w:rPr>
                <w:rFonts w:cs="FrankRuehl"/>
                <w:b/>
                <w:bCs/>
                <w:szCs w:val="20"/>
                <w:rtl/>
                <w:lang w:eastAsia="he-IL"/>
              </w:rPr>
            </w:pPr>
            <w:r w:rsidRPr="006B6CD7">
              <w:rPr>
                <w:rFonts w:cs="FrankRuehl" w:hint="cs"/>
                <w:b/>
                <w:bCs/>
                <w:szCs w:val="20"/>
                <w:rtl/>
                <w:lang w:eastAsia="he-IL"/>
              </w:rPr>
              <w:t>13</w:t>
            </w:r>
          </w:p>
        </w:tc>
        <w:tc>
          <w:tcPr>
            <w:tcW w:w="651" w:type="pct"/>
            <w:tcBorders>
              <w:top w:val="single" w:sz="12" w:space="0" w:color="auto"/>
              <w:bottom w:val="single" w:sz="12" w:space="0" w:color="auto"/>
            </w:tcBorders>
            <w:shd w:val="pct10" w:color="auto" w:fill="auto"/>
            <w:vAlign w:val="center"/>
          </w:tcPr>
          <w:p w:rsidR="00E97EDA" w:rsidRPr="006B6CD7" w:rsidP="006B6CD7">
            <w:pPr>
              <w:spacing w:before="40" w:after="40" w:line="200" w:lineRule="exact"/>
              <w:ind w:left="340"/>
              <w:rPr>
                <w:rFonts w:cs="FrankRuehl"/>
                <w:b/>
                <w:bCs/>
                <w:szCs w:val="20"/>
                <w:rtl/>
                <w:lang w:eastAsia="he-IL"/>
              </w:rPr>
            </w:pPr>
            <w:r w:rsidRPr="006B6CD7">
              <w:rPr>
                <w:rFonts w:cs="FrankRuehl" w:hint="cs"/>
                <w:b/>
                <w:bCs/>
                <w:szCs w:val="20"/>
                <w:rtl/>
                <w:lang w:eastAsia="he-IL"/>
              </w:rPr>
              <w:t>14</w:t>
            </w:r>
          </w:p>
        </w:tc>
        <w:tc>
          <w:tcPr>
            <w:tcW w:w="756" w:type="pct"/>
            <w:tcBorders>
              <w:top w:val="single" w:sz="12" w:space="0" w:color="auto"/>
              <w:bottom w:val="single" w:sz="12" w:space="0" w:color="auto"/>
            </w:tcBorders>
            <w:shd w:val="pct10" w:color="auto" w:fill="auto"/>
            <w:vAlign w:val="center"/>
          </w:tcPr>
          <w:p w:rsidR="00E97EDA" w:rsidRPr="006B6CD7" w:rsidP="006B6CD7">
            <w:pPr>
              <w:spacing w:before="40" w:after="40" w:line="200" w:lineRule="exact"/>
              <w:ind w:left="340"/>
              <w:rPr>
                <w:rFonts w:cs="FrankRuehl"/>
                <w:b/>
                <w:bCs/>
                <w:szCs w:val="20"/>
                <w:rtl/>
                <w:lang w:eastAsia="he-IL"/>
              </w:rPr>
            </w:pPr>
            <w:r w:rsidRPr="006B6CD7">
              <w:rPr>
                <w:rFonts w:cs="FrankRuehl" w:hint="cs"/>
                <w:b/>
                <w:bCs/>
                <w:szCs w:val="20"/>
                <w:rtl/>
                <w:lang w:eastAsia="he-IL"/>
              </w:rPr>
              <w:t>11</w:t>
            </w:r>
          </w:p>
        </w:tc>
        <w:tc>
          <w:tcPr>
            <w:tcW w:w="737" w:type="pct"/>
            <w:tcBorders>
              <w:top w:val="single" w:sz="12" w:space="0" w:color="auto"/>
              <w:bottom w:val="single" w:sz="12" w:space="0" w:color="auto"/>
            </w:tcBorders>
            <w:shd w:val="pct10" w:color="auto" w:fill="auto"/>
            <w:vAlign w:val="center"/>
          </w:tcPr>
          <w:p w:rsidR="00E97EDA" w:rsidRPr="006B6CD7" w:rsidP="006B6CD7">
            <w:pPr>
              <w:spacing w:before="40" w:after="40" w:line="200" w:lineRule="exact"/>
              <w:ind w:left="340"/>
              <w:rPr>
                <w:rFonts w:cs="FrankRuehl"/>
                <w:b/>
                <w:bCs/>
                <w:szCs w:val="20"/>
                <w:rtl/>
                <w:lang w:eastAsia="he-IL"/>
              </w:rPr>
            </w:pPr>
            <w:r w:rsidRPr="006B6CD7">
              <w:rPr>
                <w:rFonts w:cs="FrankRuehl" w:hint="cs"/>
                <w:b/>
                <w:bCs/>
                <w:szCs w:val="20"/>
                <w:rtl/>
                <w:lang w:eastAsia="he-IL"/>
              </w:rPr>
              <w:t>12</w:t>
            </w:r>
          </w:p>
        </w:tc>
        <w:tc>
          <w:tcPr>
            <w:tcW w:w="725" w:type="pct"/>
            <w:tcBorders>
              <w:top w:val="single" w:sz="12" w:space="0" w:color="auto"/>
              <w:bottom w:val="single" w:sz="12" w:space="0" w:color="auto"/>
            </w:tcBorders>
            <w:shd w:val="pct10" w:color="auto" w:fill="auto"/>
            <w:vAlign w:val="center"/>
          </w:tcPr>
          <w:p w:rsidR="00E97EDA" w:rsidRPr="006B6CD7" w:rsidP="006B6CD7">
            <w:pPr>
              <w:spacing w:before="40" w:after="40" w:line="200" w:lineRule="exact"/>
              <w:ind w:left="340"/>
              <w:rPr>
                <w:rFonts w:cs="FrankRuehl"/>
                <w:b/>
                <w:bCs/>
                <w:szCs w:val="20"/>
                <w:rtl/>
                <w:lang w:eastAsia="he-IL"/>
              </w:rPr>
            </w:pPr>
            <w:r w:rsidRPr="006B6CD7">
              <w:rPr>
                <w:rFonts w:cs="FrankRuehl" w:hint="cs"/>
                <w:b/>
                <w:bCs/>
                <w:szCs w:val="20"/>
                <w:rtl/>
                <w:lang w:eastAsia="he-IL"/>
              </w:rPr>
              <w:t>50</w:t>
            </w:r>
          </w:p>
        </w:tc>
      </w:tr>
    </w:tbl>
    <w:p w:rsidR="00382334" w:rsidRPr="00F802DB" w:rsidP="00382334">
      <w:pPr>
        <w:spacing w:before="120" w:after="120" w:line="200" w:lineRule="exact"/>
        <w:ind w:left="397" w:hanging="397"/>
        <w:jc w:val="both"/>
        <w:rPr>
          <w:rFonts w:cs="FrankRuehl"/>
          <w:sz w:val="20"/>
          <w:szCs w:val="20"/>
          <w:rtl/>
        </w:rPr>
      </w:pPr>
      <w:r w:rsidRPr="00F802DB">
        <w:rPr>
          <w:rFonts w:cs="FrankRuehl" w:hint="cs"/>
          <w:sz w:val="20"/>
          <w:szCs w:val="20"/>
          <w:rtl/>
        </w:rPr>
        <w:t>*</w:t>
      </w:r>
      <w:r w:rsidRPr="00F802DB">
        <w:rPr>
          <w:rFonts w:cs="FrankRuehl" w:hint="cs"/>
          <w:sz w:val="20"/>
          <w:szCs w:val="20"/>
          <w:rtl/>
        </w:rPr>
        <w:tab/>
      </w:r>
      <w:r>
        <w:rPr>
          <w:rFonts w:cs="FrankRuehl" w:hint="cs"/>
          <w:sz w:val="20"/>
          <w:szCs w:val="20"/>
          <w:rtl/>
        </w:rPr>
        <w:t>לא כולל את המועצה האזורית אבו סבמה שפורקה</w:t>
      </w:r>
      <w:r w:rsidRPr="00F802DB">
        <w:rPr>
          <w:rFonts w:cs="FrankRuehl" w:hint="cs"/>
          <w:sz w:val="20"/>
          <w:szCs w:val="20"/>
          <w:rtl/>
        </w:rPr>
        <w:t>.</w:t>
      </w:r>
    </w:p>
    <w:p w:rsidR="00E97EDA" w:rsidRPr="00F41E78" w:rsidP="002A1D15">
      <w:pPr>
        <w:spacing w:after="120" w:line="230" w:lineRule="exact"/>
        <w:jc w:val="both"/>
        <w:rPr>
          <w:rFonts w:cs="FrankRuehl"/>
          <w:sz w:val="18"/>
          <w:szCs w:val="22"/>
          <w:rtl/>
          <w:lang w:eastAsia="he-IL"/>
        </w:rPr>
      </w:pPr>
      <w:r w:rsidRPr="00F41E78">
        <w:rPr>
          <w:rFonts w:cs="FrankRuehl" w:hint="cs"/>
          <w:sz w:val="18"/>
          <w:szCs w:val="22"/>
          <w:rtl/>
          <w:lang w:eastAsia="he-IL"/>
        </w:rPr>
        <w:t xml:space="preserve">על פי נתוני </w:t>
      </w:r>
      <w:r w:rsidR="002A1D15">
        <w:rPr>
          <w:rFonts w:cs="FrankRuehl" w:hint="cs"/>
          <w:sz w:val="18"/>
          <w:szCs w:val="22"/>
          <w:rtl/>
          <w:lang w:eastAsia="he-IL"/>
        </w:rPr>
        <w:t>הלוח</w:t>
      </w:r>
      <w:r w:rsidRPr="00F41E78">
        <w:rPr>
          <w:rFonts w:cs="FrankRuehl" w:hint="cs"/>
          <w:sz w:val="18"/>
          <w:szCs w:val="22"/>
          <w:rtl/>
          <w:lang w:eastAsia="he-IL"/>
        </w:rPr>
        <w:t>, ל-11 עיריות (מתוך 12) אין בנמצא תכניות עדכניות אבל יש להן תכניות בהכנה או בתהליכי אישור הנמשכים כאמור שנים ארוכות. יצוין כי מטבע הדברים הערים משמשות מרחבי תכנון רלוונטיים יותר מהמועצות המקומיות לצורך תכנון ופיתוח שכונות מגורים גדולות וקליטה גדולה של אוכלוסייה.</w:t>
      </w:r>
    </w:p>
    <w:p w:rsidR="00E97EDA" w:rsidRPr="00F41E78" w:rsidP="006B6CD7">
      <w:pPr>
        <w:spacing w:after="240" w:line="230" w:lineRule="exact"/>
        <w:jc w:val="both"/>
        <w:rPr>
          <w:rFonts w:cs="FrankRuehl"/>
          <w:sz w:val="18"/>
          <w:szCs w:val="22"/>
          <w:rtl/>
          <w:lang w:eastAsia="he-IL"/>
        </w:rPr>
      </w:pPr>
      <w:r w:rsidRPr="00F41E78">
        <w:rPr>
          <w:rFonts w:cs="FrankRuehl" w:hint="cs"/>
          <w:sz w:val="18"/>
          <w:szCs w:val="22"/>
          <w:rtl/>
          <w:lang w:eastAsia="he-IL"/>
        </w:rPr>
        <w:t xml:space="preserve">אשר למועצות המקומיות, העשויות גם הן להיות יעד לפיתוח שכונות מגורים, נמצא כי ל-3 מתוך 11 ישנה תכנית עדכנית, ורק תכנית אחת נמצאת בהכנה. </w:t>
      </w:r>
    </w:p>
    <w:p w:rsidR="00D22B16" w:rsidRPr="00F41E78" w:rsidP="00D22B16">
      <w:pPr>
        <w:pStyle w:val="RESHET"/>
        <w:keepLines/>
        <w:rPr>
          <w:rtl/>
        </w:rPr>
      </w:pPr>
      <w:r w:rsidRPr="00F41E78">
        <w:rPr>
          <w:rFonts w:hint="cs"/>
          <w:rtl/>
        </w:rPr>
        <w:t>ממצאים אלו מלמדים על נקודת תורפה של התכנון המתארי. בעוד בנדבכים הארצי והמחוזי קיימות תכניות היוצרות תנאים לפיתוח מקיף של מחוז הדרום, תכניות המתאר המקומיות של רוב העיריות והמועצות המקומיות במחוז אינן עדכניות. מצב דברים זה עלול להביא לידי פיתוח מקומי שייעשה באופן בלתי מושכל ולידי עיכובים בהליכי התכנון של תכניות מפורטות.</w:t>
      </w:r>
    </w:p>
    <w:p w:rsidR="008A3DFB" w:rsidRPr="00F41E78" w:rsidP="00A7557B">
      <w:pPr>
        <w:spacing w:after="120" w:line="230" w:lineRule="exact"/>
        <w:jc w:val="both"/>
        <w:rPr>
          <w:rFonts w:cs="FrankRuehl"/>
          <w:b/>
          <w:bCs/>
          <w:sz w:val="18"/>
          <w:szCs w:val="22"/>
          <w:rtl/>
          <w:lang w:eastAsia="he-IL"/>
        </w:rPr>
      </w:pPr>
    </w:p>
    <w:p w:rsidR="00E97EDA" w:rsidRPr="00CB33CD" w:rsidP="00A7557B">
      <w:pPr>
        <w:pStyle w:val="KOT5"/>
        <w:rPr>
          <w:rtl/>
          <w:lang w:eastAsia="he-IL"/>
        </w:rPr>
      </w:pPr>
      <w:r w:rsidRPr="00CB33CD">
        <w:rPr>
          <w:rFonts w:hint="cs"/>
          <w:rtl/>
          <w:lang w:eastAsia="he-IL"/>
        </w:rPr>
        <w:t>המלאי התכנוני במחוז הדרום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משרד מבקר המדינה בדק את המלאי התכנוני במחוז הדרום (יח"ד בתכניות מפורטות מאושרות). כאמור, אין בנמצא מידע מהימן על המלאי התכנוני בארץ, והדברים נכונים גם למחוז הדרום.</w:t>
      </w:r>
    </w:p>
    <w:p w:rsidR="00E97EDA" w:rsidRPr="006B6CD7" w:rsidP="006B6CD7">
      <w:pPr>
        <w:pStyle w:val="BodyText"/>
        <w:spacing w:before="0"/>
        <w:rPr>
          <w:sz w:val="18"/>
          <w:rtl/>
          <w:lang w:eastAsia="he-IL"/>
        </w:rPr>
      </w:pPr>
      <w:r w:rsidRPr="006B6CD7">
        <w:rPr>
          <w:rFonts w:hint="cs"/>
          <w:sz w:val="18"/>
          <w:rtl/>
          <w:lang w:eastAsia="he-IL"/>
        </w:rPr>
        <w:t>להלן נתונים על אישור יח"ד בתכניות מפורטות בשנים 2012-2007 במחוז הדרום:</w:t>
      </w:r>
    </w:p>
    <w:p w:rsidR="00E97EDA" w:rsidRPr="00873FEC" w:rsidP="006B6CD7">
      <w:pPr>
        <w:pStyle w:val="tab-name"/>
        <w:rPr>
          <w:rtl/>
          <w:lang w:eastAsia="he-IL"/>
        </w:rPr>
      </w:pPr>
      <w:r w:rsidRPr="006B6CD7">
        <w:rPr>
          <w:rFonts w:hint="cs"/>
          <w:b w:val="0"/>
          <w:bCs w:val="0"/>
          <w:sz w:val="20"/>
          <w:szCs w:val="20"/>
          <w:rtl/>
          <w:lang w:eastAsia="he-IL"/>
        </w:rPr>
        <w:t xml:space="preserve">לוח </w:t>
      </w:r>
      <w:r w:rsidRPr="006B6CD7" w:rsidR="006B6CD7">
        <w:rPr>
          <w:rFonts w:hint="cs"/>
          <w:b w:val="0"/>
          <w:bCs w:val="0"/>
          <w:sz w:val="20"/>
          <w:szCs w:val="20"/>
          <w:rtl/>
          <w:lang w:eastAsia="he-IL"/>
        </w:rPr>
        <w:t>2</w:t>
      </w:r>
      <w:r w:rsidRPr="006B6CD7" w:rsidR="006B6CD7">
        <w:rPr>
          <w:b w:val="0"/>
          <w:bCs w:val="0"/>
          <w:sz w:val="20"/>
          <w:szCs w:val="20"/>
          <w:lang w:eastAsia="he-IL"/>
        </w:rPr>
        <w:br/>
      </w:r>
      <w:r w:rsidRPr="00873FEC">
        <w:rPr>
          <w:rFonts w:hint="cs"/>
          <w:rtl/>
          <w:lang w:eastAsia="he-IL"/>
        </w:rPr>
        <w:t xml:space="preserve">יח"ד מאושרות בתכניות מפורטות של מחוז הדרום ובכל המחוזות, 2012-2007 </w:t>
      </w:r>
    </w:p>
    <w:tbl>
      <w:tblPr>
        <w:bidiVisual/>
        <w:tblW w:w="6691"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57" w:type="dxa"/>
          <w:right w:w="57" w:type="dxa"/>
        </w:tblCellMar>
        <w:tblLook w:val="0000"/>
      </w:tblPr>
      <w:tblGrid>
        <w:gridCol w:w="900"/>
        <w:gridCol w:w="801"/>
        <w:gridCol w:w="813"/>
        <w:gridCol w:w="813"/>
        <w:gridCol w:w="814"/>
        <w:gridCol w:w="868"/>
        <w:gridCol w:w="868"/>
        <w:gridCol w:w="814"/>
      </w:tblGrid>
      <w:tr w:rsidTr="002A1D15">
        <w:tblPrEx>
          <w:tblW w:w="6691"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57" w:type="dxa"/>
            <w:right w:w="57" w:type="dxa"/>
          </w:tblCellMar>
          <w:tblLook w:val="0000"/>
        </w:tblPrEx>
        <w:trPr>
          <w:jc w:val="center"/>
        </w:trPr>
        <w:tc>
          <w:tcPr>
            <w:tcW w:w="893" w:type="dxa"/>
            <w:shd w:val="pct10" w:color="auto" w:fill="auto"/>
            <w:vAlign w:val="bottom"/>
          </w:tcPr>
          <w:p w:rsidR="002A1D15" w:rsidRPr="006B6CD7" w:rsidP="006B6CD7">
            <w:pPr>
              <w:bidi w:val="0"/>
              <w:spacing w:before="40" w:after="40" w:line="200" w:lineRule="exact"/>
              <w:ind w:left="-36" w:firstLine="36"/>
              <w:jc w:val="center"/>
              <w:rPr>
                <w:rFonts w:ascii="Arial" w:hAnsi="Arial" w:cs="FrankRuehl"/>
                <w:sz w:val="20"/>
                <w:szCs w:val="20"/>
              </w:rPr>
            </w:pPr>
          </w:p>
        </w:tc>
        <w:tc>
          <w:tcPr>
            <w:tcW w:w="794" w:type="dxa"/>
            <w:shd w:val="pct10" w:color="auto" w:fill="auto"/>
            <w:vAlign w:val="bottom"/>
          </w:tcPr>
          <w:p w:rsidR="002A1D15" w:rsidRPr="006B6CD7" w:rsidP="002A1D15">
            <w:pPr>
              <w:spacing w:before="40" w:after="40" w:line="200" w:lineRule="exact"/>
              <w:jc w:val="center"/>
              <w:rPr>
                <w:rFonts w:ascii="Arial" w:hAnsi="Arial" w:cs="FrankRuehl"/>
                <w:b/>
                <w:bCs/>
                <w:sz w:val="20"/>
                <w:szCs w:val="20"/>
              </w:rPr>
            </w:pPr>
            <w:r w:rsidRPr="006B6CD7">
              <w:rPr>
                <w:rFonts w:ascii="Arial" w:hAnsi="Arial" w:cs="FrankRuehl" w:hint="cs"/>
                <w:b/>
                <w:bCs/>
                <w:sz w:val="20"/>
                <w:szCs w:val="20"/>
                <w:rtl/>
              </w:rPr>
              <w:t>יח"ד</w:t>
            </w:r>
            <w:r w:rsidRPr="006B6CD7">
              <w:rPr>
                <w:rFonts w:ascii="Arial" w:hAnsi="Arial" w:cs="FrankRuehl"/>
                <w:b/>
                <w:bCs/>
                <w:sz w:val="20"/>
                <w:szCs w:val="20"/>
                <w:rtl/>
              </w:rPr>
              <w:t xml:space="preserve"> </w:t>
            </w:r>
            <w:r>
              <w:rPr>
                <w:rFonts w:ascii="Arial" w:hAnsi="Arial" w:cs="FrankRuehl" w:hint="cs"/>
                <w:b/>
                <w:bCs/>
                <w:sz w:val="20"/>
                <w:szCs w:val="20"/>
                <w:rtl/>
              </w:rPr>
              <w:br/>
              <w:t>שאושרו</w:t>
            </w:r>
          </w:p>
        </w:tc>
        <w:tc>
          <w:tcPr>
            <w:tcW w:w="806" w:type="dxa"/>
            <w:shd w:val="pct10" w:color="auto" w:fill="auto"/>
            <w:vAlign w:val="bottom"/>
          </w:tcPr>
          <w:p w:rsidR="002A1D15" w:rsidRPr="006B6CD7" w:rsidP="006B6CD7">
            <w:pPr>
              <w:spacing w:before="40" w:after="40" w:line="200" w:lineRule="exact"/>
              <w:jc w:val="center"/>
              <w:rPr>
                <w:rFonts w:ascii="Arial" w:hAnsi="Arial" w:cs="FrankRuehl"/>
                <w:b/>
                <w:bCs/>
                <w:sz w:val="20"/>
                <w:szCs w:val="20"/>
              </w:rPr>
            </w:pPr>
            <w:r w:rsidRPr="006B6CD7">
              <w:rPr>
                <w:rFonts w:ascii="Arial" w:hAnsi="Arial" w:cs="FrankRuehl"/>
                <w:b/>
                <w:bCs/>
                <w:sz w:val="20"/>
                <w:szCs w:val="20"/>
                <w:rtl/>
              </w:rPr>
              <w:t>יעדי תמ"א 35 לתקופה (מספרים מעוגלים)</w:t>
            </w:r>
          </w:p>
        </w:tc>
        <w:tc>
          <w:tcPr>
            <w:tcW w:w="806" w:type="dxa"/>
            <w:shd w:val="pct10" w:color="auto" w:fill="auto"/>
            <w:vAlign w:val="bottom"/>
          </w:tcPr>
          <w:p w:rsidR="002A1D15" w:rsidRPr="006B6CD7" w:rsidP="006B6CD7">
            <w:pPr>
              <w:spacing w:before="40" w:after="40" w:line="200" w:lineRule="exact"/>
              <w:jc w:val="center"/>
              <w:rPr>
                <w:rFonts w:ascii="Arial" w:hAnsi="Arial" w:cs="FrankRuehl"/>
                <w:b/>
                <w:bCs/>
                <w:sz w:val="20"/>
                <w:szCs w:val="20"/>
              </w:rPr>
            </w:pPr>
            <w:r w:rsidRPr="006B6CD7">
              <w:rPr>
                <w:rFonts w:ascii="Arial" w:hAnsi="Arial" w:cs="FrankRuehl"/>
                <w:b/>
                <w:bCs/>
                <w:sz w:val="20"/>
                <w:szCs w:val="20"/>
                <w:rtl/>
              </w:rPr>
              <w:t xml:space="preserve">פער בין </w:t>
            </w:r>
            <w:r w:rsidRPr="006B6CD7">
              <w:rPr>
                <w:rFonts w:ascii="Arial" w:hAnsi="Arial" w:cs="FrankRuehl" w:hint="cs"/>
                <w:b/>
                <w:bCs/>
                <w:sz w:val="20"/>
                <w:szCs w:val="20"/>
                <w:rtl/>
              </w:rPr>
              <w:t>יח"ד</w:t>
            </w:r>
            <w:r w:rsidRPr="006B6CD7">
              <w:rPr>
                <w:rFonts w:ascii="Arial" w:hAnsi="Arial" w:cs="FrankRuehl"/>
                <w:b/>
                <w:bCs/>
                <w:sz w:val="20"/>
                <w:szCs w:val="20"/>
                <w:rtl/>
              </w:rPr>
              <w:t xml:space="preserve"> שאושרו ליעדי התמ"א</w:t>
            </w:r>
          </w:p>
        </w:tc>
        <w:tc>
          <w:tcPr>
            <w:tcW w:w="807" w:type="dxa"/>
            <w:shd w:val="pct10" w:color="auto" w:fill="auto"/>
            <w:vAlign w:val="bottom"/>
          </w:tcPr>
          <w:p w:rsidR="002A1D15" w:rsidRPr="006B6CD7" w:rsidP="006B6CD7">
            <w:pPr>
              <w:spacing w:before="40" w:after="40" w:line="200" w:lineRule="exact"/>
              <w:jc w:val="center"/>
              <w:rPr>
                <w:rFonts w:ascii="Arial" w:hAnsi="Arial" w:cs="FrankRuehl"/>
                <w:b/>
                <w:bCs/>
                <w:sz w:val="20"/>
                <w:szCs w:val="20"/>
              </w:rPr>
            </w:pPr>
            <w:r w:rsidRPr="006B6CD7">
              <w:rPr>
                <w:rFonts w:ascii="Arial" w:hAnsi="Arial" w:cs="FrankRuehl"/>
                <w:b/>
                <w:bCs/>
                <w:sz w:val="20"/>
                <w:szCs w:val="20"/>
                <w:rtl/>
              </w:rPr>
              <w:t>התחלות בנייה</w:t>
            </w:r>
          </w:p>
        </w:tc>
        <w:tc>
          <w:tcPr>
            <w:tcW w:w="861" w:type="dxa"/>
            <w:shd w:val="pct10" w:color="auto" w:fill="auto"/>
            <w:vAlign w:val="bottom"/>
          </w:tcPr>
          <w:p w:rsidR="002A1D15" w:rsidRPr="006B6CD7" w:rsidP="006B6CD7">
            <w:pPr>
              <w:spacing w:before="40" w:after="40" w:line="200" w:lineRule="exact"/>
              <w:jc w:val="center"/>
              <w:rPr>
                <w:rFonts w:ascii="Arial" w:hAnsi="Arial" w:cs="FrankRuehl"/>
                <w:b/>
                <w:bCs/>
                <w:sz w:val="20"/>
                <w:szCs w:val="20"/>
              </w:rPr>
            </w:pPr>
            <w:r w:rsidRPr="006B6CD7">
              <w:rPr>
                <w:rFonts w:ascii="Arial" w:hAnsi="Arial" w:cs="FrankRuehl"/>
                <w:b/>
                <w:bCs/>
                <w:sz w:val="20"/>
                <w:szCs w:val="20"/>
                <w:rtl/>
              </w:rPr>
              <w:t xml:space="preserve">פער בין </w:t>
            </w:r>
            <w:r w:rsidRPr="006B6CD7">
              <w:rPr>
                <w:rFonts w:ascii="Arial" w:hAnsi="Arial" w:cs="FrankRuehl" w:hint="cs"/>
                <w:b/>
                <w:bCs/>
                <w:sz w:val="20"/>
                <w:szCs w:val="20"/>
                <w:rtl/>
              </w:rPr>
              <w:t>יח"ד</w:t>
            </w:r>
            <w:r w:rsidRPr="006B6CD7">
              <w:rPr>
                <w:rFonts w:ascii="Arial" w:hAnsi="Arial" w:cs="FrankRuehl"/>
                <w:b/>
                <w:bCs/>
                <w:sz w:val="20"/>
                <w:szCs w:val="20"/>
                <w:rtl/>
              </w:rPr>
              <w:t xml:space="preserve"> שאושרו להתחלות בנייה</w:t>
            </w:r>
          </w:p>
        </w:tc>
        <w:tc>
          <w:tcPr>
            <w:tcW w:w="861" w:type="dxa"/>
            <w:shd w:val="pct10" w:color="auto" w:fill="auto"/>
            <w:vAlign w:val="bottom"/>
          </w:tcPr>
          <w:p w:rsidR="002A1D15" w:rsidRPr="006B6CD7" w:rsidP="006B6CD7">
            <w:pPr>
              <w:spacing w:before="40" w:after="40" w:line="200" w:lineRule="exact"/>
              <w:jc w:val="center"/>
              <w:rPr>
                <w:rFonts w:ascii="Arial" w:hAnsi="Arial" w:cs="FrankRuehl"/>
                <w:b/>
                <w:bCs/>
                <w:sz w:val="20"/>
                <w:szCs w:val="20"/>
              </w:rPr>
            </w:pPr>
            <w:r w:rsidRPr="006B6CD7">
              <w:rPr>
                <w:rFonts w:ascii="Arial" w:hAnsi="Arial" w:cs="FrankRuehl"/>
                <w:b/>
                <w:bCs/>
                <w:sz w:val="20"/>
                <w:szCs w:val="20"/>
                <w:rtl/>
              </w:rPr>
              <w:t>משקי בית שנוספו (הערכה)</w:t>
            </w:r>
          </w:p>
        </w:tc>
        <w:tc>
          <w:tcPr>
            <w:tcW w:w="807" w:type="dxa"/>
            <w:shd w:val="pct10" w:color="auto" w:fill="auto"/>
            <w:vAlign w:val="bottom"/>
          </w:tcPr>
          <w:p w:rsidR="002A1D15" w:rsidRPr="006B6CD7" w:rsidP="006B6CD7">
            <w:pPr>
              <w:spacing w:before="40" w:after="40" w:line="200" w:lineRule="exact"/>
              <w:jc w:val="center"/>
              <w:rPr>
                <w:rFonts w:ascii="Arial" w:hAnsi="Arial" w:cs="FrankRuehl"/>
                <w:b/>
                <w:bCs/>
                <w:sz w:val="20"/>
                <w:szCs w:val="20"/>
              </w:rPr>
            </w:pPr>
            <w:r w:rsidRPr="006B6CD7">
              <w:rPr>
                <w:rFonts w:ascii="Arial" w:hAnsi="Arial" w:cs="FrankRuehl"/>
                <w:b/>
                <w:bCs/>
                <w:sz w:val="20"/>
                <w:szCs w:val="20"/>
                <w:rtl/>
              </w:rPr>
              <w:t xml:space="preserve">פער בין </w:t>
            </w:r>
            <w:r w:rsidRPr="006B6CD7">
              <w:rPr>
                <w:rFonts w:ascii="Arial" w:hAnsi="Arial" w:cs="FrankRuehl" w:hint="cs"/>
                <w:b/>
                <w:bCs/>
                <w:sz w:val="20"/>
                <w:szCs w:val="20"/>
                <w:rtl/>
              </w:rPr>
              <w:t>יח"ד</w:t>
            </w:r>
            <w:r w:rsidRPr="006B6CD7">
              <w:rPr>
                <w:rFonts w:ascii="Arial" w:hAnsi="Arial" w:cs="FrankRuehl"/>
                <w:b/>
                <w:bCs/>
                <w:sz w:val="20"/>
                <w:szCs w:val="20"/>
                <w:rtl/>
              </w:rPr>
              <w:t xml:space="preserve"> שאושרו לתוספת משקי הבית</w:t>
            </w:r>
          </w:p>
        </w:tc>
      </w:tr>
      <w:tr w:rsidTr="002A1D15">
        <w:tblPrEx>
          <w:tblW w:w="6691" w:type="dxa"/>
          <w:jc w:val="center"/>
          <w:tblLayout w:type="fixed"/>
          <w:tblCellMar>
            <w:left w:w="57" w:type="dxa"/>
            <w:right w:w="57" w:type="dxa"/>
          </w:tblCellMar>
          <w:tblLook w:val="0000"/>
        </w:tblPrEx>
        <w:trPr>
          <w:jc w:val="center"/>
        </w:trPr>
        <w:tc>
          <w:tcPr>
            <w:tcW w:w="893" w:type="dxa"/>
            <w:tcBorders>
              <w:bottom w:val="single" w:sz="12" w:space="0" w:color="auto"/>
            </w:tcBorders>
            <w:shd w:val="clear" w:color="auto" w:fill="auto"/>
          </w:tcPr>
          <w:p w:rsidR="002A1D15" w:rsidRPr="000968CF" w:rsidP="006915B8">
            <w:pPr>
              <w:spacing w:before="40" w:after="40" w:line="200" w:lineRule="exact"/>
              <w:rPr>
                <w:rFonts w:ascii="Arial" w:hAnsi="Arial" w:cs="FrankRuehl"/>
                <w:sz w:val="20"/>
                <w:szCs w:val="20"/>
              </w:rPr>
            </w:pPr>
            <w:r w:rsidRPr="000968CF">
              <w:rPr>
                <w:rFonts w:ascii="Arial" w:hAnsi="Arial" w:cs="FrankRuehl"/>
                <w:sz w:val="20"/>
                <w:szCs w:val="20"/>
                <w:rtl/>
              </w:rPr>
              <w:t>מחוז הדרום</w:t>
            </w:r>
          </w:p>
        </w:tc>
        <w:tc>
          <w:tcPr>
            <w:tcW w:w="794" w:type="dxa"/>
            <w:tcBorders>
              <w:bottom w:val="single" w:sz="12" w:space="0" w:color="auto"/>
            </w:tcBorders>
          </w:tcPr>
          <w:p w:rsidR="002A1D15" w:rsidRPr="006915B8" w:rsidP="000968CF">
            <w:pPr>
              <w:spacing w:before="40" w:after="40" w:line="200" w:lineRule="exact"/>
              <w:ind w:left="57"/>
              <w:rPr>
                <w:rFonts w:ascii="FrankRuehl" w:hAnsi="FrankRuehl" w:cs="FrankRuehl"/>
                <w:sz w:val="20"/>
                <w:szCs w:val="20"/>
              </w:rPr>
            </w:pPr>
            <w:r w:rsidRPr="006915B8">
              <w:rPr>
                <w:rFonts w:ascii="FrankRuehl" w:hAnsi="FrankRuehl" w:cs="FrankRuehl"/>
                <w:sz w:val="20"/>
                <w:szCs w:val="20"/>
              </w:rPr>
              <w:t>31,078</w:t>
            </w:r>
          </w:p>
        </w:tc>
        <w:tc>
          <w:tcPr>
            <w:tcW w:w="806" w:type="dxa"/>
            <w:tcBorders>
              <w:bottom w:val="single" w:sz="12" w:space="0" w:color="auto"/>
            </w:tcBorders>
          </w:tcPr>
          <w:p w:rsidR="002A1D15" w:rsidRPr="006915B8" w:rsidP="000968CF">
            <w:pPr>
              <w:spacing w:before="40" w:after="40" w:line="200" w:lineRule="exact"/>
              <w:ind w:left="57"/>
              <w:rPr>
                <w:rFonts w:ascii="FrankRuehl" w:hAnsi="FrankRuehl" w:cs="FrankRuehl"/>
                <w:sz w:val="20"/>
                <w:szCs w:val="20"/>
              </w:rPr>
            </w:pPr>
            <w:r w:rsidRPr="006915B8">
              <w:rPr>
                <w:rFonts w:ascii="FrankRuehl" w:hAnsi="FrankRuehl" w:cs="FrankRuehl"/>
                <w:sz w:val="20"/>
                <w:szCs w:val="20"/>
              </w:rPr>
              <w:t>48,000</w:t>
            </w:r>
          </w:p>
        </w:tc>
        <w:tc>
          <w:tcPr>
            <w:tcW w:w="806" w:type="dxa"/>
            <w:tcBorders>
              <w:bottom w:val="single" w:sz="12" w:space="0" w:color="auto"/>
            </w:tcBorders>
            <w:shd w:val="clear" w:color="auto" w:fill="auto"/>
          </w:tcPr>
          <w:p w:rsidR="002A1D15" w:rsidRPr="006915B8" w:rsidP="000968CF">
            <w:pPr>
              <w:spacing w:before="40" w:after="40" w:line="200" w:lineRule="exact"/>
              <w:ind w:left="57"/>
              <w:rPr>
                <w:rFonts w:ascii="FrankRuehl" w:hAnsi="FrankRuehl" w:cs="FrankRuehl"/>
                <w:sz w:val="20"/>
                <w:szCs w:val="20"/>
              </w:rPr>
            </w:pPr>
            <w:r w:rsidRPr="006915B8">
              <w:rPr>
                <w:rFonts w:ascii="FrankRuehl" w:hAnsi="FrankRuehl" w:cs="FrankRuehl"/>
                <w:sz w:val="20"/>
                <w:szCs w:val="20"/>
              </w:rPr>
              <w:t>-16,922</w:t>
            </w:r>
          </w:p>
        </w:tc>
        <w:tc>
          <w:tcPr>
            <w:tcW w:w="807" w:type="dxa"/>
            <w:tcBorders>
              <w:bottom w:val="single" w:sz="12" w:space="0" w:color="auto"/>
            </w:tcBorders>
            <w:shd w:val="clear" w:color="auto" w:fill="auto"/>
          </w:tcPr>
          <w:p w:rsidR="002A1D15" w:rsidRPr="006915B8" w:rsidP="000968CF">
            <w:pPr>
              <w:spacing w:before="40" w:after="40" w:line="200" w:lineRule="exact"/>
              <w:ind w:left="57"/>
              <w:rPr>
                <w:rFonts w:ascii="FrankRuehl" w:hAnsi="FrankRuehl" w:cs="FrankRuehl"/>
                <w:sz w:val="20"/>
                <w:szCs w:val="20"/>
              </w:rPr>
            </w:pPr>
            <w:r w:rsidRPr="006915B8">
              <w:rPr>
                <w:rFonts w:ascii="FrankRuehl" w:hAnsi="FrankRuehl" w:cs="FrankRuehl"/>
                <w:sz w:val="20"/>
                <w:szCs w:val="20"/>
              </w:rPr>
              <w:t>27,747</w:t>
            </w:r>
          </w:p>
        </w:tc>
        <w:tc>
          <w:tcPr>
            <w:tcW w:w="861" w:type="dxa"/>
            <w:tcBorders>
              <w:bottom w:val="single" w:sz="12" w:space="0" w:color="auto"/>
            </w:tcBorders>
            <w:shd w:val="clear" w:color="auto" w:fill="auto"/>
          </w:tcPr>
          <w:p w:rsidR="002A1D15" w:rsidRPr="006915B8" w:rsidP="000968CF">
            <w:pPr>
              <w:spacing w:before="40" w:after="40" w:line="200" w:lineRule="exact"/>
              <w:ind w:left="57"/>
              <w:rPr>
                <w:rFonts w:ascii="FrankRuehl" w:hAnsi="FrankRuehl" w:cs="FrankRuehl"/>
                <w:sz w:val="20"/>
                <w:szCs w:val="20"/>
              </w:rPr>
            </w:pPr>
            <w:r w:rsidRPr="006915B8">
              <w:rPr>
                <w:rFonts w:ascii="FrankRuehl" w:hAnsi="FrankRuehl" w:cs="FrankRuehl"/>
                <w:sz w:val="20"/>
                <w:szCs w:val="20"/>
              </w:rPr>
              <w:t>3,331</w:t>
            </w:r>
          </w:p>
        </w:tc>
        <w:tc>
          <w:tcPr>
            <w:tcW w:w="861" w:type="dxa"/>
            <w:tcBorders>
              <w:bottom w:val="single" w:sz="12" w:space="0" w:color="auto"/>
            </w:tcBorders>
            <w:shd w:val="clear" w:color="auto" w:fill="auto"/>
          </w:tcPr>
          <w:p w:rsidR="002A1D15" w:rsidRPr="006915B8" w:rsidP="000968CF">
            <w:pPr>
              <w:spacing w:before="40" w:after="40" w:line="200" w:lineRule="exact"/>
              <w:ind w:left="57"/>
              <w:rPr>
                <w:rFonts w:ascii="FrankRuehl" w:hAnsi="FrankRuehl" w:cs="FrankRuehl"/>
                <w:sz w:val="20"/>
                <w:szCs w:val="20"/>
              </w:rPr>
            </w:pPr>
            <w:r w:rsidRPr="006915B8">
              <w:rPr>
                <w:rFonts w:ascii="FrankRuehl" w:hAnsi="FrankRuehl" w:cs="FrankRuehl"/>
                <w:sz w:val="20"/>
                <w:szCs w:val="20"/>
              </w:rPr>
              <w:t>31,753</w:t>
            </w:r>
          </w:p>
        </w:tc>
        <w:tc>
          <w:tcPr>
            <w:tcW w:w="807" w:type="dxa"/>
            <w:tcBorders>
              <w:bottom w:val="single" w:sz="12" w:space="0" w:color="auto"/>
            </w:tcBorders>
            <w:shd w:val="clear" w:color="auto" w:fill="auto"/>
          </w:tcPr>
          <w:p w:rsidR="002A1D15" w:rsidRPr="006915B8" w:rsidP="000968CF">
            <w:pPr>
              <w:spacing w:before="40" w:after="40" w:line="200" w:lineRule="exact"/>
              <w:ind w:left="57"/>
              <w:rPr>
                <w:rFonts w:ascii="FrankRuehl" w:hAnsi="FrankRuehl" w:cs="FrankRuehl"/>
                <w:sz w:val="20"/>
                <w:szCs w:val="20"/>
              </w:rPr>
            </w:pPr>
            <w:r w:rsidRPr="006915B8">
              <w:rPr>
                <w:rFonts w:ascii="FrankRuehl" w:hAnsi="FrankRuehl" w:cs="FrankRuehl"/>
                <w:sz w:val="20"/>
                <w:szCs w:val="20"/>
              </w:rPr>
              <w:t>-675</w:t>
            </w:r>
          </w:p>
        </w:tc>
      </w:tr>
      <w:tr w:rsidTr="002A1D15">
        <w:tblPrEx>
          <w:tblW w:w="6691" w:type="dxa"/>
          <w:jc w:val="center"/>
          <w:tblLayout w:type="fixed"/>
          <w:tblCellMar>
            <w:left w:w="57" w:type="dxa"/>
            <w:right w:w="57" w:type="dxa"/>
          </w:tblCellMar>
          <w:tblLook w:val="0000"/>
        </w:tblPrEx>
        <w:trPr>
          <w:jc w:val="center"/>
        </w:trPr>
        <w:tc>
          <w:tcPr>
            <w:tcW w:w="893" w:type="dxa"/>
            <w:shd w:val="pct10" w:color="auto" w:fill="auto"/>
          </w:tcPr>
          <w:p w:rsidR="002A1D15" w:rsidRPr="006B6CD7" w:rsidP="006915B8">
            <w:pPr>
              <w:spacing w:before="40" w:after="40" w:line="200" w:lineRule="exact"/>
              <w:rPr>
                <w:rFonts w:ascii="Arial" w:hAnsi="Arial" w:cs="FrankRuehl"/>
                <w:b/>
                <w:bCs/>
                <w:sz w:val="20"/>
                <w:szCs w:val="20"/>
              </w:rPr>
            </w:pPr>
            <w:r w:rsidRPr="006B6CD7">
              <w:rPr>
                <w:rFonts w:ascii="Arial" w:hAnsi="Arial" w:cs="FrankRuehl"/>
                <w:b/>
                <w:bCs/>
                <w:sz w:val="20"/>
                <w:szCs w:val="20"/>
                <w:rtl/>
              </w:rPr>
              <w:t>כל המחוזות</w:t>
            </w:r>
          </w:p>
        </w:tc>
        <w:tc>
          <w:tcPr>
            <w:tcW w:w="794" w:type="dxa"/>
            <w:shd w:val="pct10" w:color="auto" w:fill="auto"/>
          </w:tcPr>
          <w:p w:rsidR="002A1D15" w:rsidRPr="006915B8" w:rsidP="000968CF">
            <w:pPr>
              <w:spacing w:before="40" w:after="40" w:line="200" w:lineRule="exact"/>
              <w:ind w:left="57"/>
              <w:rPr>
                <w:rFonts w:ascii="FrankRuehl" w:hAnsi="FrankRuehl" w:cs="FrankRuehl"/>
                <w:b/>
                <w:bCs/>
                <w:sz w:val="20"/>
                <w:szCs w:val="20"/>
              </w:rPr>
            </w:pPr>
            <w:r w:rsidRPr="006915B8">
              <w:rPr>
                <w:rFonts w:ascii="FrankRuehl" w:hAnsi="FrankRuehl" w:cs="FrankRuehl"/>
                <w:b/>
                <w:bCs/>
                <w:sz w:val="20"/>
                <w:szCs w:val="20"/>
              </w:rPr>
              <w:t>193,482</w:t>
            </w:r>
          </w:p>
        </w:tc>
        <w:tc>
          <w:tcPr>
            <w:tcW w:w="806" w:type="dxa"/>
            <w:shd w:val="pct10" w:color="auto" w:fill="auto"/>
          </w:tcPr>
          <w:p w:rsidR="002A1D15" w:rsidRPr="006915B8" w:rsidP="000968CF">
            <w:pPr>
              <w:spacing w:before="40" w:after="40" w:line="200" w:lineRule="exact"/>
              <w:ind w:left="57"/>
              <w:rPr>
                <w:rFonts w:ascii="FrankRuehl" w:hAnsi="FrankRuehl" w:cs="FrankRuehl"/>
                <w:b/>
                <w:bCs/>
                <w:sz w:val="20"/>
                <w:szCs w:val="20"/>
              </w:rPr>
            </w:pPr>
            <w:r w:rsidRPr="006915B8">
              <w:rPr>
                <w:rFonts w:ascii="FrankRuehl" w:hAnsi="FrankRuehl" w:cs="FrankRuehl"/>
                <w:b/>
                <w:bCs/>
                <w:sz w:val="20"/>
                <w:szCs w:val="20"/>
              </w:rPr>
              <w:t>270,000</w:t>
            </w:r>
          </w:p>
        </w:tc>
        <w:tc>
          <w:tcPr>
            <w:tcW w:w="806" w:type="dxa"/>
            <w:shd w:val="pct10" w:color="auto" w:fill="auto"/>
          </w:tcPr>
          <w:p w:rsidR="002A1D15" w:rsidRPr="006915B8" w:rsidP="000968CF">
            <w:pPr>
              <w:spacing w:before="40" w:after="40" w:line="200" w:lineRule="exact"/>
              <w:ind w:left="57"/>
              <w:rPr>
                <w:rFonts w:ascii="FrankRuehl" w:hAnsi="FrankRuehl" w:cs="FrankRuehl"/>
                <w:b/>
                <w:bCs/>
                <w:sz w:val="20"/>
                <w:szCs w:val="20"/>
              </w:rPr>
            </w:pPr>
            <w:r w:rsidRPr="006915B8">
              <w:rPr>
                <w:rFonts w:ascii="FrankRuehl" w:hAnsi="FrankRuehl" w:cs="FrankRuehl"/>
                <w:b/>
                <w:bCs/>
                <w:sz w:val="20"/>
                <w:szCs w:val="20"/>
              </w:rPr>
              <w:t>-76,518</w:t>
            </w:r>
          </w:p>
        </w:tc>
        <w:tc>
          <w:tcPr>
            <w:tcW w:w="807" w:type="dxa"/>
            <w:shd w:val="pct10" w:color="auto" w:fill="auto"/>
          </w:tcPr>
          <w:p w:rsidR="002A1D15" w:rsidRPr="006915B8" w:rsidP="000968CF">
            <w:pPr>
              <w:spacing w:before="40" w:after="40" w:line="200" w:lineRule="exact"/>
              <w:ind w:left="57"/>
              <w:rPr>
                <w:rFonts w:ascii="FrankRuehl" w:hAnsi="FrankRuehl" w:cs="FrankRuehl"/>
                <w:b/>
                <w:bCs/>
                <w:sz w:val="20"/>
                <w:szCs w:val="20"/>
              </w:rPr>
            </w:pPr>
            <w:r w:rsidRPr="006915B8">
              <w:rPr>
                <w:rFonts w:ascii="FrankRuehl" w:hAnsi="FrankRuehl" w:cs="FrankRuehl"/>
                <w:b/>
                <w:bCs/>
                <w:sz w:val="20"/>
                <w:szCs w:val="20"/>
              </w:rPr>
              <w:t>216,463</w:t>
            </w:r>
          </w:p>
        </w:tc>
        <w:tc>
          <w:tcPr>
            <w:tcW w:w="861" w:type="dxa"/>
            <w:shd w:val="pct10" w:color="auto" w:fill="auto"/>
          </w:tcPr>
          <w:p w:rsidR="002A1D15" w:rsidRPr="006915B8" w:rsidP="000968CF">
            <w:pPr>
              <w:spacing w:before="40" w:after="40" w:line="200" w:lineRule="exact"/>
              <w:ind w:left="57"/>
              <w:rPr>
                <w:rFonts w:ascii="FrankRuehl" w:hAnsi="FrankRuehl" w:cs="FrankRuehl"/>
                <w:b/>
                <w:bCs/>
                <w:sz w:val="20"/>
                <w:szCs w:val="20"/>
              </w:rPr>
            </w:pPr>
            <w:r w:rsidRPr="006915B8">
              <w:rPr>
                <w:rFonts w:ascii="FrankRuehl" w:hAnsi="FrankRuehl" w:cs="FrankRuehl"/>
                <w:b/>
                <w:bCs/>
                <w:sz w:val="20"/>
                <w:szCs w:val="20"/>
              </w:rPr>
              <w:t>-22,981</w:t>
            </w:r>
          </w:p>
        </w:tc>
        <w:tc>
          <w:tcPr>
            <w:tcW w:w="861" w:type="dxa"/>
            <w:shd w:val="pct10" w:color="auto" w:fill="auto"/>
          </w:tcPr>
          <w:p w:rsidR="002A1D15" w:rsidRPr="006915B8" w:rsidP="000968CF">
            <w:pPr>
              <w:spacing w:before="40" w:after="40" w:line="200" w:lineRule="exact"/>
              <w:ind w:left="57"/>
              <w:rPr>
                <w:rFonts w:ascii="FrankRuehl" w:hAnsi="FrankRuehl" w:cs="FrankRuehl"/>
                <w:b/>
                <w:bCs/>
                <w:sz w:val="20"/>
                <w:szCs w:val="20"/>
              </w:rPr>
            </w:pPr>
            <w:r w:rsidRPr="006915B8">
              <w:rPr>
                <w:rFonts w:ascii="FrankRuehl" w:hAnsi="FrankRuehl" w:cs="FrankRuehl"/>
                <w:b/>
                <w:bCs/>
                <w:sz w:val="20"/>
                <w:szCs w:val="20"/>
              </w:rPr>
              <w:t>222,632</w:t>
            </w:r>
          </w:p>
        </w:tc>
        <w:tc>
          <w:tcPr>
            <w:tcW w:w="807" w:type="dxa"/>
            <w:shd w:val="pct10" w:color="auto" w:fill="auto"/>
          </w:tcPr>
          <w:p w:rsidR="002A1D15" w:rsidRPr="006915B8" w:rsidP="000968CF">
            <w:pPr>
              <w:spacing w:before="40" w:after="40" w:line="200" w:lineRule="exact"/>
              <w:ind w:left="57"/>
              <w:rPr>
                <w:rFonts w:ascii="FrankRuehl" w:hAnsi="FrankRuehl" w:cs="FrankRuehl"/>
                <w:b/>
                <w:bCs/>
                <w:sz w:val="20"/>
                <w:szCs w:val="20"/>
              </w:rPr>
            </w:pPr>
            <w:r w:rsidRPr="006915B8">
              <w:rPr>
                <w:rFonts w:ascii="FrankRuehl" w:hAnsi="FrankRuehl" w:cs="FrankRuehl"/>
                <w:b/>
                <w:bCs/>
                <w:sz w:val="20"/>
                <w:szCs w:val="20"/>
              </w:rPr>
              <w:t>-29,150</w:t>
            </w:r>
          </w:p>
        </w:tc>
      </w:tr>
    </w:tbl>
    <w:p w:rsidR="00E97EDA" w:rsidRPr="006915B8" w:rsidP="006915B8">
      <w:pPr>
        <w:pStyle w:val="BodyText"/>
        <w:spacing w:before="240"/>
        <w:rPr>
          <w:sz w:val="18"/>
          <w:rtl/>
          <w:lang w:eastAsia="he-IL"/>
        </w:rPr>
      </w:pPr>
      <w:r w:rsidRPr="006915B8">
        <w:rPr>
          <w:rFonts w:hint="cs"/>
          <w:sz w:val="18"/>
          <w:rtl/>
          <w:lang w:eastAsia="he-IL"/>
        </w:rPr>
        <w:t xml:space="preserve">בתקופה זו אושרו במחוז הדרום כ-31,000 יח"ד. התכנון המפורט, בדומה ליעדי האוכלוסייה, לא נעשה בהיקפים הרצויים על פי תמ"א 35 (בשל היעדר ביקושים), ונוצר פער של כ-17,000 יח"ד בין היעדים ובין יחידות הדיור שאושרו בפועל, דהיינו 22% מהפערים שנוצרו בכל הארץ בין יעדי התמ"א לתכנון בפועל. </w:t>
      </w:r>
    </w:p>
    <w:p w:rsidR="00E97EDA" w:rsidRPr="00F41E78" w:rsidP="00A52F4A">
      <w:pPr>
        <w:spacing w:after="120" w:line="230" w:lineRule="exact"/>
        <w:jc w:val="both"/>
        <w:rPr>
          <w:rFonts w:cs="FrankRuehl"/>
          <w:sz w:val="18"/>
          <w:szCs w:val="22"/>
          <w:rtl/>
          <w:lang w:eastAsia="he-IL"/>
        </w:rPr>
      </w:pPr>
      <w:r w:rsidRPr="00F41E78">
        <w:rPr>
          <w:rFonts w:cs="FrankRuehl" w:hint="cs"/>
          <w:sz w:val="18"/>
          <w:szCs w:val="22"/>
          <w:rtl/>
          <w:lang w:eastAsia="he-IL"/>
        </w:rPr>
        <w:t xml:space="preserve">בשונה מהממצאים הכלל-ארציים המצביעים על שחיקה במלאי התכנוני, במחוז הדרום נרשם עודף קטן של יח"ד מאושרות ביחס להתחלות הבנייה ונמצא פער קטן בין תוספת משקי הבית לכמות יחידות הדיור שאושרו. בביקורת נמצא גם כי רמ"י וכמה מהרשויות המקומיות העלו הצעה לתקן חלק מתכניות המתאר המפורטות שאושרו לבנייה רוויה (כלומר בצפיפות גבוהה), להקטין את מספר יחידות הדיור הכלולות בהן ולתכנן יח"ד צמודות קרקע שהביקושים להן גדולים. בנייה צמודת </w:t>
      </w:r>
      <w:r w:rsidRPr="00582A43">
        <w:rPr>
          <w:rFonts w:cs="FrankRuehl" w:hint="cs"/>
          <w:sz w:val="18"/>
          <w:szCs w:val="22"/>
          <w:rtl/>
          <w:lang w:eastAsia="he-IL"/>
        </w:rPr>
        <w:t>קרקע אמנם אינה משקפת שימוש יעיל בקרקע,</w:t>
      </w:r>
      <w:r w:rsidRPr="00F41E78">
        <w:rPr>
          <w:rFonts w:cs="FrankRuehl" w:hint="cs"/>
          <w:sz w:val="18"/>
          <w:szCs w:val="22"/>
          <w:rtl/>
          <w:lang w:eastAsia="he-IL"/>
        </w:rPr>
        <w:t xml:space="preserve"> אך כדי לתת מענה לביקוש, לשפר את רווחת הדיור ואיכותו ולהפוך את מחוז הדרום ליעד מועדף להתיישבות, מוסדות התכנון נוקטים בשנה האחרונה מדיניות מקלה ביחס לצפיפות המינימלי</w:t>
      </w:r>
      <w:r w:rsidRPr="00F41E78">
        <w:rPr>
          <w:rFonts w:cs="FrankRuehl" w:hint="eastAsia"/>
          <w:sz w:val="18"/>
          <w:szCs w:val="22"/>
          <w:rtl/>
          <w:lang w:eastAsia="he-IL"/>
        </w:rPr>
        <w:t>ת</w:t>
      </w:r>
      <w:r w:rsidRPr="00F41E78">
        <w:rPr>
          <w:rFonts w:cs="FrankRuehl" w:hint="cs"/>
          <w:sz w:val="18"/>
          <w:szCs w:val="22"/>
          <w:rtl/>
          <w:lang w:eastAsia="he-IL"/>
        </w:rPr>
        <w:t xml:space="preserve"> של הבנייה.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בנייר עמדה</w:t>
      </w:r>
      <w:r>
        <w:rPr>
          <w:rFonts w:cs="FrankRuehl"/>
          <w:sz w:val="18"/>
          <w:szCs w:val="22"/>
          <w:vertAlign w:val="superscript"/>
          <w:rtl/>
          <w:lang w:eastAsia="he-IL"/>
        </w:rPr>
        <w:footnoteReference w:id="231"/>
      </w:r>
      <w:r w:rsidRPr="00F41E78">
        <w:rPr>
          <w:rFonts w:cs="FrankRuehl" w:hint="cs"/>
          <w:sz w:val="18"/>
          <w:szCs w:val="22"/>
          <w:rtl/>
          <w:lang w:eastAsia="he-IL"/>
        </w:rPr>
        <w:t xml:space="preserve"> של מכון דש"א נותחו כאמור החסמים המונעים את מימושן של תכניות מפורטות על קרקעות של המדינה. בנוגע למחוז הדרום צוין שישנן כ-37,400 יח"ד בתכניות מפורטות מאושרות (כרבע מהמלאי התכנוני בכל הארץ) ועל שליש מהן ישנו מידע על חסמים המונעים את מימושן. אחד החסמים המונעים את מימושן של לפחות 3,700 יח"ד במחוז הדרום הוא הכישלון בשיווק הקרקע בשל היעדר ביקושים. בביקורת נמצא כי ישנן תכניות מפורטות שאושרו בעבר שאינן עולות בקנה אחד עם תפיסות תכנון מקומיות עדכניות, לכן מימושן מתעכב ואף נצפית יזמה לבטלן. למשל, בעיריית באר שבע התגבשה מדיניות לציפוף מרכז העיר ולמניעת התפרסות על פני מרחבים גדולים כדי לחזק את מרכז העיר ולחסוך בעלות הפיתוח ובאחזקת התשתיות. בעקבות זאת יזמה העירייה ביטול של תכניות מפורטות בחלקים מרוחקים של העיר. על פי נתוני רמ"י משנת 2010 ולפי מספר יחידות הדיור שאושרו בשנים 2012-2011, ישנן במחוז הדרום יותר מ-40,000 יח"ד ורובן זמינות לבנייה, אך ישנו קושי לשווקן.</w:t>
      </w:r>
    </w:p>
    <w:p w:rsidR="00E97EDA" w:rsidRPr="00F41E78" w:rsidP="006915B8">
      <w:pPr>
        <w:spacing w:after="240" w:line="230" w:lineRule="exact"/>
        <w:jc w:val="both"/>
        <w:rPr>
          <w:rFonts w:cs="FrankRuehl"/>
          <w:sz w:val="18"/>
          <w:szCs w:val="22"/>
          <w:rtl/>
          <w:lang w:eastAsia="he-IL"/>
        </w:rPr>
      </w:pPr>
      <w:r w:rsidRPr="00F41E78">
        <w:rPr>
          <w:rFonts w:cs="FrankRuehl" w:hint="cs"/>
          <w:sz w:val="18"/>
          <w:szCs w:val="22"/>
          <w:rtl/>
          <w:lang w:eastAsia="he-IL"/>
        </w:rPr>
        <w:t xml:space="preserve">לפי מגמות הגידול של מחוז הדרום נדרשת תוספת של כ-5,000 יח"ד מדי שנה. המלצות צוות המעקב בדבר עדכון יעדי התמ"א הרצויים למחוז הדרום מלמדות על צורך בתוספת של כ-6,000 יח"ד. יוצא אפוא שהמלאי התכנוני במחוז הדרום אמור להספיק לשבע או שמונה שנים, כל עוד יימשכו מגמות הגידול הקיימות. </w:t>
      </w:r>
    </w:p>
    <w:p w:rsidR="00D22B16" w:rsidRPr="00F41E78" w:rsidP="00D22B16">
      <w:pPr>
        <w:pStyle w:val="RESHET"/>
        <w:keepLines/>
        <w:rPr>
          <w:rtl/>
        </w:rPr>
      </w:pPr>
      <w:r w:rsidRPr="00F41E78">
        <w:rPr>
          <w:rFonts w:hint="cs"/>
          <w:rtl/>
        </w:rPr>
        <w:t>בתכניות המפורטות למגורים מושקעים משאבים רבים. כדי להפוך אותן מועילות וניתנות למימוש, על הממשלה לנקוט צעדים מעשיים לעידוד הביקושים בכלל ובנפת באר שבע בפרט בד בבד עם הגדלת המלאי התכנוני.</w:t>
      </w:r>
    </w:p>
    <w:p w:rsidR="00D77393" w:rsidRPr="00F41E78" w:rsidP="00A7557B">
      <w:pPr>
        <w:spacing w:after="120" w:line="230" w:lineRule="exact"/>
        <w:jc w:val="both"/>
        <w:rPr>
          <w:rFonts w:cs="FrankRuehl"/>
          <w:b/>
          <w:bCs/>
          <w:sz w:val="18"/>
          <w:szCs w:val="22"/>
          <w:rtl/>
          <w:lang w:eastAsia="he-IL"/>
        </w:rPr>
      </w:pPr>
    </w:p>
    <w:p w:rsidR="00D77393" w:rsidRPr="00F41E78" w:rsidP="00A7557B">
      <w:pPr>
        <w:spacing w:after="120" w:line="230" w:lineRule="exact"/>
        <w:jc w:val="both"/>
        <w:rPr>
          <w:rFonts w:cs="FrankRuehl"/>
          <w:b/>
          <w:bCs/>
          <w:sz w:val="18"/>
          <w:szCs w:val="22"/>
          <w:rtl/>
          <w:lang w:eastAsia="he-IL"/>
        </w:rPr>
      </w:pPr>
    </w:p>
    <w:p w:rsidR="00E97EDA" w:rsidRPr="00CB33CD" w:rsidP="00A7557B">
      <w:pPr>
        <w:pStyle w:val="KOT4"/>
        <w:rPr>
          <w:rtl/>
          <w:lang w:eastAsia="he-IL"/>
        </w:rPr>
      </w:pPr>
      <w:r w:rsidRPr="00CB33CD">
        <w:rPr>
          <w:rFonts w:hint="cs"/>
          <w:rtl/>
          <w:lang w:eastAsia="he-IL"/>
        </w:rPr>
        <w:t>התמשכות הליכי התכנון במחוז הדרום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משרד מבקר המדינה בדק את התמשכות השלבים השונים באישורן של חמש תכניות מפורטות שהוועדה המחוזית דרום אישרה בשנים 2012-2011. חמש התכניות אושרו לאחר תהליכי אישור ארוכים שנמשכו כמה שנים</w:t>
      </w:r>
      <w:r>
        <w:rPr>
          <w:rFonts w:cs="FrankRuehl"/>
          <w:sz w:val="18"/>
          <w:szCs w:val="22"/>
          <w:vertAlign w:val="superscript"/>
          <w:rtl/>
          <w:lang w:eastAsia="he-IL"/>
        </w:rPr>
        <w:footnoteReference w:id="232"/>
      </w:r>
      <w:r w:rsidRPr="00F41E78">
        <w:rPr>
          <w:rFonts w:cs="FrankRuehl" w:hint="cs"/>
          <w:sz w:val="18"/>
          <w:szCs w:val="22"/>
          <w:rtl/>
          <w:lang w:eastAsia="he-IL"/>
        </w:rPr>
        <w:t>, אף שעל פי החוק נדרש היה להשלים את ההליכים בתוך כשנתיים. בביקורת נבדקו הסיבות לעיכוב באישורן של התכניות, והיא נעשתה בהמשך לביקורת שהתקיימה בחודשים נובמבר 2011-מאי 2012 בוועדה המחוזית</w:t>
      </w:r>
      <w:r>
        <w:rPr>
          <w:rFonts w:cs="FrankRuehl"/>
          <w:sz w:val="18"/>
          <w:szCs w:val="22"/>
          <w:vertAlign w:val="superscript"/>
          <w:rtl/>
          <w:lang w:eastAsia="he-IL"/>
        </w:rPr>
        <w:footnoteReference w:id="233"/>
      </w:r>
      <w:r w:rsidRPr="00F41E78">
        <w:rPr>
          <w:rFonts w:cs="FrankRuehl" w:hint="cs"/>
          <w:sz w:val="18"/>
          <w:szCs w:val="22"/>
          <w:rtl/>
          <w:lang w:eastAsia="he-IL"/>
        </w:rPr>
        <w:t xml:space="preserve">. בשתי הביקורות נמצאו ליקויים בהזנת חלק מהנתונים הקשורים למועדי קידום התכניות, ומשרד מבקר המדינה העיר ללשכת התכנון המחוזית כי מהימנות הנתונים הכרחית לטיפול מיטבי בעיכובים ולהפקת לקחים.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בביקורת נמצא כי היו עיכובים בשלבים השונים של קידום התכניות. בדיקת תנאי הסף, שהיא שלב מקדמי וטכני, נמשכה כמה חודשים בעיקר בגלל </w:t>
      </w:r>
      <w:r w:rsidRPr="00F41E78">
        <w:rPr>
          <w:rFonts w:cs="FrankRuehl"/>
          <w:sz w:val="18"/>
          <w:szCs w:val="22"/>
          <w:rtl/>
          <w:lang w:eastAsia="he-IL"/>
        </w:rPr>
        <w:t>עיכובים בתיקון התכניות על ידי מגישיהן.</w:t>
      </w:r>
      <w:r w:rsidRPr="00F41E78">
        <w:rPr>
          <w:rFonts w:cs="FrankRuehl" w:hint="cs"/>
          <w:sz w:val="18"/>
          <w:szCs w:val="22"/>
          <w:rtl/>
          <w:lang w:eastAsia="he-IL"/>
        </w:rPr>
        <w:t xml:space="preserve"> בארבע תכניות מתוך החמש שנבדקו נמשכו שלב הבדיקה התכנונית המוקדמת ותיקון התכניות חודשים ארוכים בגלל עיכובים של לשכת התכנון בבדיקת התכניות ושל מגישי התכנית בתיקונן.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גם הליכי הפקדת התכניות נמשכו פרק זמן ממושך. </w:t>
      </w:r>
      <w:r w:rsidRPr="00F41E78">
        <w:rPr>
          <w:rFonts w:cs="FrankRuehl"/>
          <w:sz w:val="18"/>
          <w:szCs w:val="22"/>
          <w:rtl/>
          <w:lang w:eastAsia="he-IL"/>
        </w:rPr>
        <w:t xml:space="preserve">נמצא כי בחמש התכניות שנבדקו חרג </w:t>
      </w:r>
      <w:r w:rsidRPr="00F41E78">
        <w:rPr>
          <w:rFonts w:cs="FrankRuehl" w:hint="cs"/>
          <w:sz w:val="18"/>
          <w:szCs w:val="22"/>
          <w:rtl/>
          <w:lang w:eastAsia="he-IL"/>
        </w:rPr>
        <w:t xml:space="preserve">משך שלב ההפקדה </w:t>
      </w:r>
      <w:r w:rsidRPr="00F41E78">
        <w:rPr>
          <w:rFonts w:cs="FrankRuehl"/>
          <w:sz w:val="18"/>
          <w:szCs w:val="22"/>
          <w:rtl/>
          <w:lang w:eastAsia="he-IL"/>
        </w:rPr>
        <w:t xml:space="preserve">הרבה מעבר לשישה חודשים </w:t>
      </w:r>
      <w:r w:rsidRPr="00F41E78">
        <w:rPr>
          <w:rFonts w:cs="FrankRuehl" w:hint="cs"/>
          <w:sz w:val="18"/>
          <w:szCs w:val="22"/>
          <w:rtl/>
          <w:lang w:eastAsia="he-IL"/>
        </w:rPr>
        <w:t xml:space="preserve">וחצי </w:t>
      </w:r>
      <w:r w:rsidRPr="00F41E78">
        <w:rPr>
          <w:rFonts w:cs="FrankRuehl"/>
          <w:sz w:val="18"/>
          <w:szCs w:val="22"/>
          <w:rtl/>
          <w:lang w:eastAsia="he-IL"/>
        </w:rPr>
        <w:t>הקבועים בחוק. בשלוש תכניות הוא נמשך כשלוש שנים</w:t>
      </w:r>
      <w:r>
        <w:rPr>
          <w:rFonts w:cs="FrankRuehl"/>
          <w:sz w:val="18"/>
          <w:szCs w:val="22"/>
          <w:vertAlign w:val="superscript"/>
          <w:rtl/>
          <w:lang w:eastAsia="he-IL"/>
        </w:rPr>
        <w:footnoteReference w:id="234"/>
      </w:r>
      <w:r w:rsidRPr="00F41E78">
        <w:rPr>
          <w:rFonts w:cs="FrankRuehl"/>
          <w:sz w:val="18"/>
          <w:szCs w:val="22"/>
          <w:rtl/>
          <w:lang w:eastAsia="he-IL"/>
        </w:rPr>
        <w:t xml:space="preserve"> </w:t>
      </w:r>
      <w:r w:rsidRPr="00F41E78">
        <w:rPr>
          <w:rFonts w:cs="FrankRuehl" w:hint="cs"/>
          <w:sz w:val="18"/>
          <w:szCs w:val="22"/>
          <w:rtl/>
          <w:lang w:eastAsia="he-IL"/>
        </w:rPr>
        <w:t>ו</w:t>
      </w:r>
      <w:r w:rsidRPr="00F41E78">
        <w:rPr>
          <w:rFonts w:cs="FrankRuehl"/>
          <w:sz w:val="18"/>
          <w:szCs w:val="22"/>
          <w:rtl/>
          <w:lang w:eastAsia="he-IL"/>
        </w:rPr>
        <w:t>בתכנית אחת כשנתיים</w:t>
      </w:r>
      <w:r w:rsidRPr="00F41E78">
        <w:rPr>
          <w:rFonts w:cs="FrankRuehl" w:hint="cs"/>
          <w:sz w:val="18"/>
          <w:szCs w:val="22"/>
          <w:rtl/>
          <w:lang w:eastAsia="he-IL"/>
        </w:rPr>
        <w:t xml:space="preserve"> </w:t>
      </w:r>
      <w:r w:rsidRPr="00F41E78">
        <w:rPr>
          <w:rFonts w:cs="FrankRuehl"/>
          <w:sz w:val="18"/>
          <w:szCs w:val="22"/>
          <w:rtl/>
          <w:lang w:eastAsia="he-IL"/>
        </w:rPr>
        <w:t xml:space="preserve">(התכנית </w:t>
      </w:r>
      <w:r w:rsidRPr="00F41E78">
        <w:rPr>
          <w:rFonts w:cs="FrankRuehl" w:hint="eastAsia"/>
          <w:sz w:val="18"/>
          <w:szCs w:val="22"/>
          <w:rtl/>
          <w:lang w:eastAsia="he-IL"/>
        </w:rPr>
        <w:t>להרחבת</w:t>
      </w:r>
      <w:r w:rsidRPr="00F41E78">
        <w:rPr>
          <w:rFonts w:cs="FrankRuehl"/>
          <w:sz w:val="18"/>
          <w:szCs w:val="22"/>
          <w:rtl/>
          <w:lang w:eastAsia="he-IL"/>
        </w:rPr>
        <w:t xml:space="preserve"> </w:t>
      </w:r>
      <w:r w:rsidRPr="00F41E78">
        <w:rPr>
          <w:rFonts w:cs="FrankRuehl" w:hint="eastAsia"/>
          <w:sz w:val="18"/>
          <w:szCs w:val="22"/>
          <w:rtl/>
          <w:lang w:eastAsia="he-IL"/>
        </w:rPr>
        <w:t>לקיה</w:t>
      </w:r>
      <w:r w:rsidRPr="00F41E78">
        <w:rPr>
          <w:rFonts w:cs="FrankRuehl"/>
          <w:sz w:val="18"/>
          <w:szCs w:val="22"/>
          <w:rtl/>
          <w:lang w:eastAsia="he-IL"/>
        </w:rPr>
        <w:t xml:space="preserve">). התארכות תקופת מילוי תנאי ההפקדה מעבר לקבוע בחוק היא אחת הסיבות העיקריות להתמשכות </w:t>
      </w:r>
      <w:r w:rsidRPr="00F41E78">
        <w:rPr>
          <w:rFonts w:cs="FrankRuehl" w:hint="cs"/>
          <w:sz w:val="18"/>
          <w:szCs w:val="22"/>
          <w:rtl/>
          <w:lang w:eastAsia="he-IL"/>
        </w:rPr>
        <w:t>ת</w:t>
      </w:r>
      <w:r w:rsidRPr="00F41E78">
        <w:rPr>
          <w:rFonts w:cs="FrankRuehl"/>
          <w:sz w:val="18"/>
          <w:szCs w:val="22"/>
          <w:rtl/>
          <w:lang w:eastAsia="he-IL"/>
        </w:rPr>
        <w:t>הליך אישור התכניות</w:t>
      </w:r>
      <w:r w:rsidRPr="00F41E78">
        <w:rPr>
          <w:rFonts w:cs="FrankRuehl" w:hint="cs"/>
          <w:sz w:val="18"/>
          <w:szCs w:val="22"/>
          <w:rtl/>
          <w:lang w:eastAsia="he-IL"/>
        </w:rPr>
        <w:t>;</w:t>
      </w:r>
      <w:r w:rsidRPr="00F41E78">
        <w:rPr>
          <w:rFonts w:cs="FrankRuehl"/>
          <w:sz w:val="18"/>
          <w:szCs w:val="22"/>
          <w:rtl/>
          <w:lang w:eastAsia="he-IL"/>
        </w:rPr>
        <w:t xml:space="preserve"> במקרים שנבדקו </w:t>
      </w:r>
      <w:r w:rsidRPr="00F41E78">
        <w:rPr>
          <w:rFonts w:cs="FrankRuehl" w:hint="cs"/>
          <w:sz w:val="18"/>
          <w:szCs w:val="22"/>
          <w:rtl/>
          <w:lang w:eastAsia="he-IL"/>
        </w:rPr>
        <w:t>נמשך</w:t>
      </w:r>
      <w:r w:rsidRPr="00F41E78">
        <w:rPr>
          <w:rFonts w:cs="FrankRuehl"/>
          <w:sz w:val="18"/>
          <w:szCs w:val="22"/>
          <w:rtl/>
          <w:lang w:eastAsia="he-IL"/>
        </w:rPr>
        <w:t xml:space="preserve"> שלב זה בין שליש לחצי מהזמן </w:t>
      </w:r>
      <w:r w:rsidRPr="00F41E78">
        <w:rPr>
          <w:rFonts w:cs="FrankRuehl" w:hint="cs"/>
          <w:sz w:val="18"/>
          <w:szCs w:val="22"/>
          <w:rtl/>
          <w:lang w:eastAsia="he-IL"/>
        </w:rPr>
        <w:t>ה</w:t>
      </w:r>
      <w:r w:rsidRPr="00F41E78">
        <w:rPr>
          <w:rFonts w:cs="FrankRuehl"/>
          <w:sz w:val="18"/>
          <w:szCs w:val="22"/>
          <w:rtl/>
          <w:lang w:eastAsia="he-IL"/>
        </w:rPr>
        <w:t>דרוש להשלמת ה</w:t>
      </w:r>
      <w:r w:rsidRPr="00F41E78">
        <w:rPr>
          <w:rFonts w:cs="FrankRuehl" w:hint="cs"/>
          <w:sz w:val="18"/>
          <w:szCs w:val="22"/>
          <w:rtl/>
          <w:lang w:eastAsia="he-IL"/>
        </w:rPr>
        <w:t>ת</w:t>
      </w:r>
      <w:r w:rsidRPr="00F41E78">
        <w:rPr>
          <w:rFonts w:cs="FrankRuehl"/>
          <w:sz w:val="18"/>
          <w:szCs w:val="22"/>
          <w:rtl/>
          <w:lang w:eastAsia="he-IL"/>
        </w:rPr>
        <w:t>הליך כולו.</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הרשות להסדרת התיישבות הבדואים בנגב שקידמה את התכנית להרחבת לקיה הסבירה בתשובתה למשרד מבקר המדינה בדצמבר 2013 כי מילוי התנאים נמשך כשנתיים בשל מורכבות התכנית והצורך להתאימה לתכניות מתאר מחוזיות. היא מסרה כי גם עלה צורך לתאם הסטה של תשתיות דרכים ומסילות ברזל ולקחת חלק בדיונים על שינוי תחומי שיפוט של הרשויות הנוגעות בדבר.</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בחמש התכניות שנבדקו נמצא כי הוועדה המחוזית החליטה לאשר אותן בתנאים. גם שלב זה - מילוי התנאים לקראת אישור התכניות - נמשך פרקי זמן ממושכים. באחד המקרים </w:t>
      </w:r>
      <w:r w:rsidRPr="00F41E78">
        <w:rPr>
          <w:rFonts w:cs="FrankRuehl"/>
          <w:sz w:val="18"/>
          <w:szCs w:val="22"/>
          <w:rtl/>
          <w:lang w:eastAsia="he-IL"/>
        </w:rPr>
        <w:t xml:space="preserve">(התכנית </w:t>
      </w:r>
      <w:r w:rsidRPr="00F41E78">
        <w:rPr>
          <w:rFonts w:cs="FrankRuehl" w:hint="eastAsia"/>
          <w:sz w:val="18"/>
          <w:szCs w:val="22"/>
          <w:rtl/>
          <w:lang w:eastAsia="he-IL"/>
        </w:rPr>
        <w:t>בלקיה</w:t>
      </w:r>
      <w:r w:rsidRPr="00F41E78">
        <w:rPr>
          <w:rFonts w:cs="FrankRuehl"/>
          <w:sz w:val="18"/>
          <w:szCs w:val="22"/>
          <w:rtl/>
          <w:lang w:eastAsia="he-IL"/>
        </w:rPr>
        <w:t>)</w:t>
      </w:r>
      <w:r w:rsidRPr="00F41E78">
        <w:rPr>
          <w:rFonts w:cs="FrankRuehl" w:hint="cs"/>
          <w:sz w:val="18"/>
          <w:szCs w:val="22"/>
          <w:rtl/>
          <w:lang w:eastAsia="he-IL"/>
        </w:rPr>
        <w:t xml:space="preserve"> נדרשו כשלוש שנים וחצי להשלמת התנאים, במקרה אחר </w:t>
      </w:r>
      <w:r w:rsidRPr="00F41E78">
        <w:rPr>
          <w:rFonts w:cs="FrankRuehl"/>
          <w:sz w:val="18"/>
          <w:szCs w:val="22"/>
          <w:rtl/>
          <w:lang w:eastAsia="he-IL"/>
        </w:rPr>
        <w:t xml:space="preserve">(תכנית </w:t>
      </w:r>
      <w:r w:rsidRPr="00F41E78">
        <w:rPr>
          <w:rFonts w:cs="FrankRuehl" w:hint="eastAsia"/>
          <w:sz w:val="18"/>
          <w:szCs w:val="22"/>
          <w:rtl/>
          <w:lang w:eastAsia="he-IL"/>
        </w:rPr>
        <w:t>המרינה</w:t>
      </w:r>
      <w:r w:rsidRPr="00F41E78">
        <w:rPr>
          <w:rFonts w:cs="FrankRuehl"/>
          <w:sz w:val="18"/>
          <w:szCs w:val="22"/>
          <w:rtl/>
          <w:lang w:eastAsia="he-IL"/>
        </w:rPr>
        <w:t>)</w:t>
      </w:r>
      <w:r w:rsidRPr="00F41E78">
        <w:rPr>
          <w:rFonts w:cs="FrankRuehl" w:hint="cs"/>
          <w:sz w:val="18"/>
          <w:szCs w:val="22"/>
          <w:rtl/>
          <w:lang w:eastAsia="he-IL"/>
        </w:rPr>
        <w:t xml:space="preserve"> כשנתיים וחצי ובמקרה שלישי </w:t>
      </w:r>
      <w:r w:rsidRPr="00F41E78">
        <w:rPr>
          <w:rFonts w:cs="FrankRuehl"/>
          <w:sz w:val="18"/>
          <w:szCs w:val="22"/>
          <w:rtl/>
          <w:lang w:eastAsia="he-IL"/>
        </w:rPr>
        <w:t xml:space="preserve">(הרחבת </w:t>
      </w:r>
      <w:r w:rsidRPr="00F41E78">
        <w:rPr>
          <w:rFonts w:cs="FrankRuehl" w:hint="eastAsia"/>
          <w:sz w:val="18"/>
          <w:szCs w:val="22"/>
          <w:rtl/>
          <w:lang w:eastAsia="he-IL"/>
        </w:rPr>
        <w:t>קיבוץ</w:t>
      </w:r>
      <w:r w:rsidRPr="00F41E78">
        <w:rPr>
          <w:rFonts w:cs="FrankRuehl"/>
          <w:sz w:val="18"/>
          <w:szCs w:val="22"/>
          <w:rtl/>
          <w:lang w:eastAsia="he-IL"/>
        </w:rPr>
        <w:t xml:space="preserve"> </w:t>
      </w:r>
      <w:r w:rsidRPr="00F41E78">
        <w:rPr>
          <w:rFonts w:cs="FrankRuehl" w:hint="eastAsia"/>
          <w:sz w:val="18"/>
          <w:szCs w:val="22"/>
          <w:rtl/>
          <w:lang w:eastAsia="he-IL"/>
        </w:rPr>
        <w:t>ניר</w:t>
      </w:r>
      <w:r w:rsidRPr="00F41E78">
        <w:rPr>
          <w:rFonts w:cs="FrankRuehl"/>
          <w:sz w:val="18"/>
          <w:szCs w:val="22"/>
          <w:rtl/>
          <w:lang w:eastAsia="he-IL"/>
        </w:rPr>
        <w:t xml:space="preserve"> </w:t>
      </w:r>
      <w:r w:rsidRPr="00F41E78">
        <w:rPr>
          <w:rFonts w:cs="FrankRuehl" w:hint="eastAsia"/>
          <w:sz w:val="18"/>
          <w:szCs w:val="22"/>
          <w:rtl/>
          <w:lang w:eastAsia="he-IL"/>
        </w:rPr>
        <w:t>יצחק</w:t>
      </w:r>
      <w:r w:rsidRPr="00F41E78">
        <w:rPr>
          <w:rFonts w:cs="FrankRuehl"/>
          <w:sz w:val="18"/>
          <w:szCs w:val="22"/>
          <w:rtl/>
          <w:lang w:eastAsia="he-IL"/>
        </w:rPr>
        <w:t>)</w:t>
      </w:r>
      <w:r w:rsidRPr="00F41E78">
        <w:rPr>
          <w:rFonts w:cs="FrankRuehl" w:hint="cs"/>
          <w:sz w:val="18"/>
          <w:szCs w:val="22"/>
          <w:rtl/>
          <w:lang w:eastAsia="he-IL"/>
        </w:rPr>
        <w:t xml:space="preserve"> שנה וחודשיים.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בתשובתה הוסיפה הרשות להסדרת התיישבות הבדואים בנגב כי מילוי התנאים לאישור התכנית להרחבת לקיה נמשך זמן רב משום שהוועדה המחוזית דרום התנתה את אישור התכנית באישור תכנית אחרת שקידמו גורמים אחרים (ללא מעורבותה שלה).</w:t>
      </w:r>
    </w:p>
    <w:p w:rsidR="00E97EDA" w:rsidRPr="00F41E78" w:rsidP="00A7557B">
      <w:pPr>
        <w:spacing w:after="120" w:line="230" w:lineRule="exact"/>
        <w:jc w:val="both"/>
        <w:rPr>
          <w:rFonts w:cs="FrankRuehl"/>
          <w:sz w:val="18"/>
          <w:szCs w:val="22"/>
          <w:rtl/>
          <w:lang w:eastAsia="he-IL"/>
        </w:rPr>
      </w:pPr>
      <w:r w:rsidRPr="00F41E78">
        <w:rPr>
          <w:rFonts w:cs="FrankRuehl"/>
          <w:sz w:val="18"/>
          <w:szCs w:val="22"/>
          <w:rtl/>
          <w:lang w:eastAsia="he-IL"/>
        </w:rPr>
        <w:t>להלן פירוט ממצאים הנו</w:t>
      </w:r>
      <w:r w:rsidRPr="00F41E78">
        <w:rPr>
          <w:rFonts w:cs="FrankRuehl" w:hint="cs"/>
          <w:sz w:val="18"/>
          <w:szCs w:val="22"/>
          <w:rtl/>
          <w:lang w:eastAsia="he-IL"/>
        </w:rPr>
        <w:t>ג</w:t>
      </w:r>
      <w:r w:rsidRPr="00F41E78">
        <w:rPr>
          <w:rFonts w:cs="FrankRuehl"/>
          <w:sz w:val="18"/>
          <w:szCs w:val="22"/>
          <w:rtl/>
          <w:lang w:eastAsia="he-IL"/>
        </w:rPr>
        <w:t>עים ל</w:t>
      </w:r>
      <w:r w:rsidRPr="00F41E78">
        <w:rPr>
          <w:rFonts w:cs="FrankRuehl" w:hint="cs"/>
          <w:sz w:val="18"/>
          <w:szCs w:val="22"/>
          <w:rtl/>
          <w:lang w:eastAsia="he-IL"/>
        </w:rPr>
        <w:t>ת</w:t>
      </w:r>
      <w:r w:rsidRPr="00F41E78">
        <w:rPr>
          <w:rFonts w:cs="FrankRuehl"/>
          <w:sz w:val="18"/>
          <w:szCs w:val="22"/>
          <w:rtl/>
          <w:lang w:eastAsia="he-IL"/>
        </w:rPr>
        <w:t>הליך אישור</w:t>
      </w:r>
      <w:r w:rsidRPr="00F41E78">
        <w:rPr>
          <w:rFonts w:cs="FrankRuehl" w:hint="cs"/>
          <w:sz w:val="18"/>
          <w:szCs w:val="22"/>
          <w:rtl/>
          <w:lang w:eastAsia="he-IL"/>
        </w:rPr>
        <w:t xml:space="preserve">ן </w:t>
      </w:r>
      <w:r w:rsidRPr="00F41E78">
        <w:rPr>
          <w:rFonts w:cs="FrankRuehl"/>
          <w:sz w:val="18"/>
          <w:szCs w:val="22"/>
          <w:rtl/>
          <w:lang w:eastAsia="he-IL"/>
        </w:rPr>
        <w:t xml:space="preserve">של </w:t>
      </w:r>
      <w:r w:rsidRPr="00F41E78">
        <w:rPr>
          <w:rFonts w:cs="FrankRuehl" w:hint="cs"/>
          <w:sz w:val="18"/>
          <w:szCs w:val="22"/>
          <w:rtl/>
          <w:lang w:eastAsia="he-IL"/>
        </w:rPr>
        <w:t>שתי</w:t>
      </w:r>
      <w:r w:rsidRPr="00F41E78">
        <w:rPr>
          <w:rFonts w:cs="FrankRuehl"/>
          <w:sz w:val="18"/>
          <w:szCs w:val="22"/>
          <w:rtl/>
          <w:lang w:eastAsia="he-IL"/>
        </w:rPr>
        <w:t xml:space="preserve"> תכניות</w:t>
      </w:r>
      <w:r w:rsidRPr="00F41E78">
        <w:rPr>
          <w:rFonts w:cs="FrankRuehl" w:hint="cs"/>
          <w:sz w:val="18"/>
          <w:szCs w:val="22"/>
          <w:rtl/>
          <w:lang w:eastAsia="he-IL"/>
        </w:rPr>
        <w:t xml:space="preserve"> מתוך החמש שנבדקו:</w:t>
      </w:r>
    </w:p>
    <w:p w:rsidR="00E97EDA" w:rsidRPr="00F41E78" w:rsidP="00A7557B">
      <w:pPr>
        <w:spacing w:after="120" w:line="230" w:lineRule="exact"/>
        <w:jc w:val="both"/>
        <w:rPr>
          <w:rFonts w:cs="FrankRuehl"/>
          <w:sz w:val="18"/>
          <w:szCs w:val="22"/>
          <w:rtl/>
          <w:lang w:eastAsia="he-IL"/>
        </w:rPr>
      </w:pPr>
      <w:r w:rsidRPr="00F41E78">
        <w:rPr>
          <w:rFonts w:cs="FrankRuehl" w:hint="eastAsia"/>
          <w:bCs/>
          <w:spacing w:val="40"/>
          <w:sz w:val="18"/>
          <w:szCs w:val="22"/>
          <w:rtl/>
        </w:rPr>
        <w:t>תכנית</w:t>
      </w:r>
      <w:r w:rsidRPr="00F41E78">
        <w:rPr>
          <w:rFonts w:cs="FrankRuehl"/>
          <w:bCs/>
          <w:spacing w:val="40"/>
          <w:sz w:val="18"/>
          <w:szCs w:val="22"/>
          <w:rtl/>
        </w:rPr>
        <w:t xml:space="preserve"> </w:t>
      </w:r>
      <w:r w:rsidRPr="00F41E78">
        <w:rPr>
          <w:rFonts w:cs="FrankRuehl" w:hint="eastAsia"/>
          <w:bCs/>
          <w:spacing w:val="40"/>
          <w:sz w:val="18"/>
          <w:szCs w:val="22"/>
          <w:rtl/>
        </w:rPr>
        <w:t>לשכונת</w:t>
      </w:r>
      <w:r w:rsidRPr="00F41E78">
        <w:rPr>
          <w:rFonts w:cs="FrankRuehl"/>
          <w:bCs/>
          <w:spacing w:val="40"/>
          <w:sz w:val="18"/>
          <w:szCs w:val="22"/>
          <w:rtl/>
        </w:rPr>
        <w:t xml:space="preserve"> </w:t>
      </w:r>
      <w:r w:rsidRPr="00F41E78">
        <w:rPr>
          <w:rFonts w:cs="FrankRuehl" w:hint="eastAsia"/>
          <w:bCs/>
          <w:spacing w:val="40"/>
          <w:sz w:val="18"/>
          <w:szCs w:val="22"/>
          <w:rtl/>
        </w:rPr>
        <w:t>מגורים</w:t>
      </w:r>
      <w:r w:rsidRPr="00F41E78">
        <w:rPr>
          <w:rFonts w:cs="FrankRuehl"/>
          <w:bCs/>
          <w:spacing w:val="40"/>
          <w:sz w:val="18"/>
          <w:szCs w:val="22"/>
          <w:rtl/>
        </w:rPr>
        <w:t xml:space="preserve"> </w:t>
      </w:r>
      <w:r w:rsidRPr="00F41E78">
        <w:rPr>
          <w:rFonts w:cs="FrankRuehl" w:hint="eastAsia"/>
          <w:bCs/>
          <w:spacing w:val="40"/>
          <w:sz w:val="18"/>
          <w:szCs w:val="22"/>
          <w:rtl/>
        </w:rPr>
        <w:t>באופקים</w:t>
      </w:r>
      <w:r w:rsidRPr="00F41E78">
        <w:rPr>
          <w:rFonts w:cs="FrankRuehl"/>
          <w:bCs/>
          <w:spacing w:val="40"/>
          <w:sz w:val="18"/>
          <w:szCs w:val="22"/>
          <w:rtl/>
        </w:rPr>
        <w:t>:</w:t>
      </w:r>
      <w:r w:rsidRPr="00F41E78">
        <w:rPr>
          <w:rFonts w:cs="FrankRuehl" w:hint="cs"/>
          <w:sz w:val="18"/>
          <w:szCs w:val="22"/>
          <w:rtl/>
          <w:lang w:eastAsia="he-IL"/>
        </w:rPr>
        <w:t xml:space="preserve"> </w:t>
      </w:r>
      <w:r w:rsidRPr="00F41E78">
        <w:rPr>
          <w:rFonts w:cs="FrankRuehl"/>
          <w:sz w:val="18"/>
          <w:szCs w:val="22"/>
          <w:rtl/>
          <w:lang w:eastAsia="he-IL"/>
        </w:rPr>
        <w:t>משך הזמן שנדרש לתכנית שהגיש יזם פרטי לעמוד בתנאי הסף היה יותר משנה, בעיקר בשל עיכובים מצד היזם.</w:t>
      </w:r>
      <w:r w:rsidRPr="00F41E78">
        <w:rPr>
          <w:rFonts w:cs="FrankRuehl" w:hint="cs"/>
          <w:sz w:val="18"/>
          <w:szCs w:val="22"/>
          <w:rtl/>
          <w:lang w:eastAsia="he-IL"/>
        </w:rPr>
        <w:t xml:space="preserve"> </w:t>
      </w:r>
      <w:r w:rsidRPr="00F41E78">
        <w:rPr>
          <w:rFonts w:cs="FrankRuehl" w:hint="eastAsia"/>
          <w:sz w:val="18"/>
          <w:szCs w:val="22"/>
          <w:rtl/>
          <w:lang w:eastAsia="he-IL"/>
        </w:rPr>
        <w:t>עוד</w:t>
      </w:r>
      <w:r w:rsidRPr="00F41E78">
        <w:rPr>
          <w:rFonts w:cs="FrankRuehl"/>
          <w:sz w:val="18"/>
          <w:szCs w:val="22"/>
          <w:rtl/>
          <w:lang w:eastAsia="he-IL"/>
        </w:rPr>
        <w:t xml:space="preserve"> נמצא כי לשכת התכנון קבעה </w:t>
      </w:r>
      <w:r w:rsidRPr="00F41E78">
        <w:rPr>
          <w:rFonts w:cs="FrankRuehl" w:hint="eastAsia"/>
          <w:sz w:val="18"/>
          <w:szCs w:val="22"/>
          <w:rtl/>
          <w:lang w:eastAsia="he-IL"/>
        </w:rPr>
        <w:t>שהתכנית</w:t>
      </w:r>
      <w:r w:rsidRPr="00F41E78">
        <w:rPr>
          <w:rFonts w:cs="FrankRuehl"/>
          <w:sz w:val="18"/>
          <w:szCs w:val="22"/>
          <w:rtl/>
          <w:lang w:eastAsia="he-IL"/>
        </w:rPr>
        <w:t xml:space="preserve"> </w:t>
      </w:r>
      <w:r w:rsidRPr="00F41E78">
        <w:rPr>
          <w:rFonts w:cs="FrankRuehl" w:hint="eastAsia"/>
          <w:sz w:val="18"/>
          <w:szCs w:val="22"/>
          <w:rtl/>
          <w:lang w:eastAsia="he-IL"/>
        </w:rPr>
        <w:t>עומדת</w:t>
      </w:r>
      <w:r w:rsidRPr="00F41E78">
        <w:rPr>
          <w:rFonts w:cs="FrankRuehl"/>
          <w:sz w:val="18"/>
          <w:szCs w:val="22"/>
          <w:rtl/>
          <w:lang w:eastAsia="he-IL"/>
        </w:rPr>
        <w:t xml:space="preserve"> </w:t>
      </w:r>
      <w:r w:rsidRPr="00F41E78">
        <w:rPr>
          <w:rFonts w:cs="FrankRuehl" w:hint="eastAsia"/>
          <w:sz w:val="18"/>
          <w:szCs w:val="22"/>
          <w:rtl/>
          <w:lang w:eastAsia="he-IL"/>
        </w:rPr>
        <w:t>בתנאי</w:t>
      </w:r>
      <w:r w:rsidRPr="00F41E78">
        <w:rPr>
          <w:rFonts w:cs="FrankRuehl"/>
          <w:sz w:val="18"/>
          <w:szCs w:val="22"/>
          <w:rtl/>
          <w:lang w:eastAsia="he-IL"/>
        </w:rPr>
        <w:t xml:space="preserve"> </w:t>
      </w:r>
      <w:r w:rsidRPr="00F41E78">
        <w:rPr>
          <w:rFonts w:cs="FrankRuehl" w:hint="eastAsia"/>
          <w:sz w:val="18"/>
          <w:szCs w:val="22"/>
          <w:rtl/>
          <w:lang w:eastAsia="he-IL"/>
        </w:rPr>
        <w:t>הסף</w:t>
      </w:r>
      <w:r w:rsidRPr="00F41E78">
        <w:rPr>
          <w:rFonts w:cs="FrankRuehl"/>
          <w:sz w:val="18"/>
          <w:szCs w:val="22"/>
          <w:rtl/>
          <w:lang w:eastAsia="he-IL"/>
        </w:rPr>
        <w:t xml:space="preserve"> אף ש</w:t>
      </w:r>
      <w:r w:rsidRPr="00F41E78">
        <w:rPr>
          <w:rFonts w:cs="FrankRuehl" w:hint="eastAsia"/>
          <w:sz w:val="18"/>
          <w:szCs w:val="22"/>
          <w:rtl/>
          <w:lang w:eastAsia="he-IL"/>
        </w:rPr>
        <w:t>לא</w:t>
      </w:r>
      <w:r w:rsidRPr="00F41E78">
        <w:rPr>
          <w:rFonts w:cs="FrankRuehl"/>
          <w:sz w:val="18"/>
          <w:szCs w:val="22"/>
          <w:rtl/>
          <w:lang w:eastAsia="he-IL"/>
        </w:rPr>
        <w:t xml:space="preserve"> </w:t>
      </w:r>
      <w:r w:rsidRPr="00F41E78">
        <w:rPr>
          <w:rFonts w:cs="FrankRuehl" w:hint="eastAsia"/>
          <w:sz w:val="18"/>
          <w:szCs w:val="22"/>
          <w:rtl/>
          <w:lang w:eastAsia="he-IL"/>
        </w:rPr>
        <w:t>מולאו</w:t>
      </w:r>
      <w:r w:rsidRPr="00F41E78">
        <w:rPr>
          <w:rFonts w:cs="FrankRuehl"/>
          <w:sz w:val="18"/>
          <w:szCs w:val="22"/>
          <w:rtl/>
          <w:lang w:eastAsia="he-IL"/>
        </w:rPr>
        <w:t xml:space="preserve"> בה </w:t>
      </w:r>
      <w:r w:rsidRPr="00F41E78">
        <w:rPr>
          <w:rFonts w:cs="FrankRuehl" w:hint="eastAsia"/>
          <w:sz w:val="18"/>
          <w:szCs w:val="22"/>
          <w:rtl/>
          <w:lang w:eastAsia="he-IL"/>
        </w:rPr>
        <w:t>כל</w:t>
      </w:r>
      <w:r w:rsidRPr="00F41E78">
        <w:rPr>
          <w:rFonts w:cs="FrankRuehl"/>
          <w:sz w:val="18"/>
          <w:szCs w:val="22"/>
          <w:rtl/>
          <w:lang w:eastAsia="he-IL"/>
        </w:rPr>
        <w:t xml:space="preserve"> הדרישות לקליטת התכנית, ובין היתר </w:t>
      </w:r>
      <w:r w:rsidRPr="00F41E78">
        <w:rPr>
          <w:rFonts w:cs="FrankRuehl" w:hint="eastAsia"/>
          <w:sz w:val="18"/>
          <w:szCs w:val="22"/>
          <w:rtl/>
          <w:lang w:eastAsia="he-IL"/>
        </w:rPr>
        <w:t>חסרו</w:t>
      </w:r>
      <w:r w:rsidRPr="00F41E78">
        <w:rPr>
          <w:rFonts w:cs="FrankRuehl"/>
          <w:sz w:val="18"/>
          <w:szCs w:val="22"/>
          <w:rtl/>
          <w:lang w:eastAsia="he-IL"/>
        </w:rPr>
        <w:t xml:space="preserve"> </w:t>
      </w:r>
      <w:r w:rsidRPr="00F41E78">
        <w:rPr>
          <w:rFonts w:cs="FrankRuehl" w:hint="eastAsia"/>
          <w:sz w:val="18"/>
          <w:szCs w:val="22"/>
          <w:rtl/>
          <w:lang w:eastAsia="he-IL"/>
        </w:rPr>
        <w:t>בה</w:t>
      </w:r>
      <w:r w:rsidRPr="00F41E78">
        <w:rPr>
          <w:rFonts w:cs="FrankRuehl"/>
          <w:sz w:val="18"/>
          <w:szCs w:val="22"/>
          <w:rtl/>
          <w:lang w:eastAsia="he-IL"/>
        </w:rPr>
        <w:t xml:space="preserve"> תרשים סביבה ותשריט מצב קיים המשקפים את מלוא התכניות החלות על השטח. נמצא כי אי-מילוי תנאי הסף גרם לעיכוב בקידום התכנית גם בשלבים </w:t>
      </w:r>
      <w:r w:rsidRPr="00F41E78">
        <w:rPr>
          <w:rFonts w:cs="FrankRuehl" w:hint="eastAsia"/>
          <w:sz w:val="18"/>
          <w:szCs w:val="22"/>
          <w:rtl/>
          <w:lang w:eastAsia="he-IL"/>
        </w:rPr>
        <w:t>העוקבים</w:t>
      </w:r>
      <w:r w:rsidRPr="00F41E78">
        <w:rPr>
          <w:rFonts w:cs="FrankRuehl"/>
          <w:sz w:val="18"/>
          <w:szCs w:val="22"/>
          <w:rtl/>
          <w:lang w:eastAsia="he-IL"/>
        </w:rPr>
        <w:t xml:space="preserve">, </w:t>
      </w:r>
      <w:r w:rsidRPr="00F41E78">
        <w:rPr>
          <w:rFonts w:cs="FrankRuehl" w:hint="cs"/>
          <w:sz w:val="18"/>
          <w:szCs w:val="22"/>
          <w:rtl/>
          <w:lang w:eastAsia="he-IL"/>
        </w:rPr>
        <w:t>ו</w:t>
      </w:r>
      <w:r w:rsidRPr="00F41E78">
        <w:rPr>
          <w:rFonts w:cs="FrankRuehl"/>
          <w:sz w:val="18"/>
          <w:szCs w:val="22"/>
          <w:rtl/>
          <w:lang w:eastAsia="he-IL"/>
        </w:rPr>
        <w:t xml:space="preserve">משום שהוראות תכניות המתאר הארציות חייבו </w:t>
      </w:r>
      <w:r w:rsidRPr="00F41E78">
        <w:rPr>
          <w:rFonts w:cs="FrankRuehl" w:hint="eastAsia"/>
          <w:sz w:val="18"/>
          <w:szCs w:val="22"/>
          <w:rtl/>
          <w:lang w:eastAsia="he-IL"/>
        </w:rPr>
        <w:t>לעשות</w:t>
      </w:r>
      <w:r w:rsidRPr="00F41E78">
        <w:rPr>
          <w:rFonts w:cs="FrankRuehl"/>
          <w:sz w:val="18"/>
          <w:szCs w:val="22"/>
          <w:rtl/>
          <w:lang w:eastAsia="he-IL"/>
        </w:rPr>
        <w:t xml:space="preserve"> בה </w:t>
      </w:r>
      <w:r w:rsidRPr="00F41E78">
        <w:rPr>
          <w:rFonts w:cs="FrankRuehl" w:hint="eastAsia"/>
          <w:sz w:val="18"/>
          <w:szCs w:val="22"/>
          <w:rtl/>
          <w:lang w:eastAsia="he-IL"/>
        </w:rPr>
        <w:t>תיאומים</w:t>
      </w:r>
      <w:r w:rsidRPr="00F41E78">
        <w:rPr>
          <w:rFonts w:cs="FrankRuehl"/>
          <w:sz w:val="18"/>
          <w:szCs w:val="22"/>
          <w:rtl/>
          <w:lang w:eastAsia="he-IL"/>
        </w:rPr>
        <w:t xml:space="preserve"> </w:t>
      </w:r>
      <w:r w:rsidRPr="00F41E78">
        <w:rPr>
          <w:rFonts w:cs="FrankRuehl" w:hint="eastAsia"/>
          <w:sz w:val="18"/>
          <w:szCs w:val="22"/>
          <w:rtl/>
          <w:lang w:eastAsia="he-IL"/>
        </w:rPr>
        <w:t>ושינויים</w:t>
      </w:r>
      <w:r w:rsidRPr="00F41E78">
        <w:rPr>
          <w:rFonts w:cs="FrankRuehl"/>
          <w:sz w:val="18"/>
          <w:szCs w:val="22"/>
          <w:rtl/>
          <w:lang w:eastAsia="he-IL"/>
        </w:rPr>
        <w:t xml:space="preserve"> </w:t>
      </w:r>
      <w:r w:rsidRPr="00F41E78">
        <w:rPr>
          <w:rFonts w:cs="FrankRuehl" w:hint="eastAsia"/>
          <w:sz w:val="18"/>
          <w:szCs w:val="22"/>
          <w:rtl/>
          <w:lang w:eastAsia="he-IL"/>
        </w:rPr>
        <w:t>מהותיים</w:t>
      </w:r>
      <w:r w:rsidRPr="00F41E78">
        <w:rPr>
          <w:rFonts w:cs="FrankRuehl"/>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בתשובתו מינואר 2014 מסר היזם שהגיש את התכנית כי בהליך קידום התכנית הוא נדרש לתאם את התכנית עם יותר מעשרים גורמים וגם להציג מסמכים רבים (כמו חוות דעת של מומחים). עוד מסר שאין הגורמים השונים שהוא נדרש לפנות אליהם מחויבים להשיב לפנייתו על פי לוחות זמנים קצובים וההליכים נמשכים זמן רב. לעתים, בחלוף הזמן, חלק מבעלי התפקידים מתחלפים והדבר יוצר עוד ועוד עיכובים. כמו כן, הוא ציין כי במקרה הנדון עלה הצורך להתאים את התכנית לתכניות מתאר ארציות.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במאי 2008 החליטה הוועדה המחוזית דרום להפקיד את התכנית בתנאים. אחד מהתנאים היה לבחון את גבולות התכנית בתיאום עם כמה גופים, וזאת בשל היבטים סביבתיים. נמצא כי עד מרץ 2009 נדרש היזם הפרטי לבצע בתכנית תיקונים כדי לאפשר את התיאומים הדרושים. התיקונים שנדרש להם טמנו בחובם שינויים בגבולות התכנית שנדרשו להם גם אישוריהם של מוסדות התכנון הארציים, לפי המלצה שגיבשה הוועדה המחוזית במרץ 2009.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רק בסוף דצמבר 2009, תשעה חודשים לאחר ההמלצה של הוועדה המחוזית, הועברה התכנית למועצה הארצית ולמועצת הגנים הלאומיים ושמורות הטבע. הערות לשכת התכנון כללו הערות שכבר ניתנו למגיש התכנית בשלבים קודמים ולא מולאו וכן הערות מהותיות והערות חדשות. נמצא כי לשכת התכנון השלימה את הבדיקה בתוך חמישה חודשים וחצי.</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במרץ 2010 דנה מועצת הגנים הלאומיים ושמורות הטבע בתכנית ובמאי 2010 נדונה התכנית בוועדת משנה של המועצה הארצית. בעקבות הדיונים נדרשו תיאומים שהביאו לידי שינוי גבולות התכנית. בפברואר 2011 נדונה התכנית בוועדה המחוזית דרום ובאוגוסט 2011 היא הופקדה לאחר קיום התנאים.</w:t>
      </w:r>
    </w:p>
    <w:p w:rsidR="00E97EDA" w:rsidRPr="00F41E78" w:rsidP="006915B8">
      <w:pPr>
        <w:spacing w:after="240" w:line="230" w:lineRule="exact"/>
        <w:jc w:val="both"/>
        <w:rPr>
          <w:rFonts w:cs="FrankRuehl"/>
          <w:sz w:val="18"/>
          <w:szCs w:val="22"/>
          <w:rtl/>
          <w:lang w:eastAsia="he-IL"/>
        </w:rPr>
      </w:pPr>
      <w:r w:rsidRPr="00F41E78">
        <w:rPr>
          <w:rFonts w:cs="FrankRuehl" w:hint="cs"/>
          <w:sz w:val="18"/>
          <w:szCs w:val="22"/>
          <w:rtl/>
          <w:lang w:eastAsia="he-IL"/>
        </w:rPr>
        <w:t>בתיקי הוועדה המחוזית דרום לא נמצאו מסמכים המעידים על פניותיו של מגיש התכנית אל הגורמים המאשרים או על התייחסותם לעניין. הדבר מעלה את החשש שלשכת התכנון אינה מקיימת בקרה על אופן מילוי התנאים ומעקב אחריו; דבר המקשה עליה לנהל את התהליך ביעילות ולטפל בחסמים הנוצרים במהלכו וגורמים להתמשכותו.</w:t>
      </w:r>
    </w:p>
    <w:p w:rsidR="00D22B16" w:rsidRPr="00F41E78" w:rsidP="00D22B16">
      <w:pPr>
        <w:pStyle w:val="RESHET"/>
        <w:keepLines/>
        <w:rPr>
          <w:rtl/>
        </w:rPr>
      </w:pPr>
      <w:r w:rsidRPr="00F41E78">
        <w:rPr>
          <w:rFonts w:hint="cs"/>
          <w:rtl/>
        </w:rPr>
        <w:t>תקופת מילוי תנאי ההפקדה היא תקופה שבה מגיש התכנית נדרש לצעדים מהותיים לגיבוש התכנית, לקידומה ולתיאום עם הגורמים המאשרים. לכן, מן הראוי לבחון דרכים לשיפור התיאום עם הגורמים המאשרים ודרכים לבקרה על שלבי התיאום ומעקב אחריהם; והכול כדי לקצר את משך הזמן הנדרש למילוי התנאים להפקדה.</w:t>
      </w:r>
    </w:p>
    <w:p w:rsidR="00E97EDA" w:rsidRPr="00F41E78" w:rsidP="006915B8">
      <w:pPr>
        <w:spacing w:before="180" w:after="120" w:line="230" w:lineRule="exact"/>
        <w:jc w:val="both"/>
        <w:rPr>
          <w:rFonts w:cs="FrankRuehl"/>
          <w:sz w:val="18"/>
          <w:szCs w:val="22"/>
          <w:rtl/>
          <w:lang w:eastAsia="he-IL"/>
        </w:rPr>
      </w:pPr>
      <w:r w:rsidRPr="00F41E78">
        <w:rPr>
          <w:rFonts w:cs="FrankRuehl" w:hint="cs"/>
          <w:sz w:val="18"/>
          <w:szCs w:val="22"/>
          <w:rtl/>
          <w:lang w:eastAsia="he-IL"/>
        </w:rPr>
        <w:t>בתשובתה מינואר 2014 מסרה מתכננת מחוז דרום כי היא הנחתה להפנות את תשומת הלב של חברי הוועדה המחוזית שלא להתנות החלטה בתיאום, וכיום מתקיים מעקב על הליך קידום התכניות באמצעות מערכת מקוונת. עוד ציינה כי לשכת התכנון עושה כל שביכולתה למנוע עיכובים מיותרים.</w:t>
      </w:r>
    </w:p>
    <w:p w:rsidR="00E97EDA" w:rsidRPr="00F41E78" w:rsidP="00A7557B">
      <w:pPr>
        <w:spacing w:after="120" w:line="230" w:lineRule="exact"/>
        <w:jc w:val="both"/>
        <w:rPr>
          <w:rFonts w:cs="FrankRuehl"/>
          <w:sz w:val="18"/>
          <w:szCs w:val="22"/>
          <w:rtl/>
          <w:lang w:eastAsia="he-IL"/>
        </w:rPr>
      </w:pPr>
      <w:r w:rsidRPr="00F41E78">
        <w:rPr>
          <w:rFonts w:cs="FrankRuehl" w:hint="eastAsia"/>
          <w:bCs/>
          <w:spacing w:val="40"/>
          <w:sz w:val="18"/>
          <w:szCs w:val="22"/>
          <w:rtl/>
        </w:rPr>
        <w:t>הרחבת</w:t>
      </w:r>
      <w:r w:rsidRPr="00F41E78">
        <w:rPr>
          <w:rFonts w:cs="FrankRuehl"/>
          <w:bCs/>
          <w:spacing w:val="40"/>
          <w:sz w:val="18"/>
          <w:szCs w:val="22"/>
          <w:rtl/>
        </w:rPr>
        <w:t xml:space="preserve"> </w:t>
      </w:r>
      <w:r w:rsidRPr="00F41E78">
        <w:rPr>
          <w:rFonts w:cs="FrankRuehl" w:hint="eastAsia"/>
          <w:bCs/>
          <w:spacing w:val="40"/>
          <w:sz w:val="18"/>
          <w:szCs w:val="22"/>
          <w:rtl/>
        </w:rPr>
        <w:t>קיבוץ</w:t>
      </w:r>
      <w:r w:rsidRPr="00F41E78">
        <w:rPr>
          <w:rFonts w:cs="FrankRuehl"/>
          <w:bCs/>
          <w:spacing w:val="40"/>
          <w:sz w:val="18"/>
          <w:szCs w:val="22"/>
          <w:rtl/>
        </w:rPr>
        <w:t xml:space="preserve"> </w:t>
      </w:r>
      <w:r w:rsidRPr="00F41E78">
        <w:rPr>
          <w:rFonts w:cs="FrankRuehl" w:hint="eastAsia"/>
          <w:bCs/>
          <w:spacing w:val="40"/>
          <w:sz w:val="18"/>
          <w:szCs w:val="22"/>
          <w:rtl/>
        </w:rPr>
        <w:t>ניר</w:t>
      </w:r>
      <w:r w:rsidRPr="00F41E78">
        <w:rPr>
          <w:rFonts w:cs="FrankRuehl"/>
          <w:bCs/>
          <w:spacing w:val="40"/>
          <w:sz w:val="18"/>
          <w:szCs w:val="22"/>
          <w:rtl/>
        </w:rPr>
        <w:t xml:space="preserve"> </w:t>
      </w:r>
      <w:r w:rsidRPr="00F41E78">
        <w:rPr>
          <w:rFonts w:cs="FrankRuehl" w:hint="eastAsia"/>
          <w:bCs/>
          <w:spacing w:val="40"/>
          <w:sz w:val="18"/>
          <w:szCs w:val="22"/>
          <w:rtl/>
        </w:rPr>
        <w:t>יצחק</w:t>
      </w:r>
      <w:r w:rsidRPr="00F41E78">
        <w:rPr>
          <w:rFonts w:cs="FrankRuehl"/>
          <w:bCs/>
          <w:spacing w:val="40"/>
          <w:sz w:val="18"/>
          <w:szCs w:val="22"/>
          <w:rtl/>
        </w:rPr>
        <w:t>:</w:t>
      </w:r>
      <w:r w:rsidRPr="00F41E78">
        <w:rPr>
          <w:rFonts w:cs="FrankRuehl" w:hint="cs"/>
          <w:sz w:val="18"/>
          <w:szCs w:val="22"/>
          <w:rtl/>
          <w:lang w:eastAsia="he-IL"/>
        </w:rPr>
        <w:t xml:space="preserve"> בתכנית זו נמשכו שלבי הבדיקה התכנונית המוקדמת כשנה וחודשיים. מהמסמכים עולה כי ההערות הראשונות של לשכת התכנון ניתנו בעל פה (בתאריך בלתי ידוע), וזאת בניגוד להוראות החוק. היזם הגיש תכנית מתוקנת ששוב נבדקה בידי לשכת התכנון, </w:t>
      </w:r>
      <w:r w:rsidRPr="00F41E78">
        <w:rPr>
          <w:rFonts w:cs="FrankRuehl" w:hint="cs"/>
          <w:sz w:val="18"/>
          <w:szCs w:val="22"/>
          <w:rtl/>
          <w:lang w:eastAsia="he-IL"/>
        </w:rPr>
        <w:t xml:space="preserve">והערותיה הנוספות הוגשו בכתב לאחר כשלושה חודשים. בתום שלושה חודשים וחצי נוספים שוב הגיש היזם תכנית מתוקנת ששוב נבדקה לאחר כחודש. </w:t>
      </w:r>
    </w:p>
    <w:p w:rsidR="00E97EDA" w:rsidRPr="00F41E78" w:rsidP="00A7557B">
      <w:pPr>
        <w:spacing w:after="120" w:line="230" w:lineRule="exact"/>
        <w:jc w:val="both"/>
        <w:rPr>
          <w:rFonts w:cs="FrankRuehl"/>
          <w:sz w:val="18"/>
          <w:szCs w:val="22"/>
          <w:rtl/>
          <w:lang w:eastAsia="he-IL"/>
        </w:rPr>
      </w:pPr>
      <w:r w:rsidRPr="00F41E78">
        <w:rPr>
          <w:rFonts w:cs="FrankRuehl" w:hint="eastAsia"/>
          <w:spacing w:val="40"/>
          <w:sz w:val="18"/>
          <w:szCs w:val="22"/>
          <w:rtl/>
        </w:rPr>
        <w:t>הפקדת</w:t>
      </w:r>
      <w:r w:rsidRPr="00F41E78">
        <w:rPr>
          <w:rFonts w:cs="FrankRuehl"/>
          <w:spacing w:val="40"/>
          <w:sz w:val="18"/>
          <w:szCs w:val="22"/>
          <w:rtl/>
        </w:rPr>
        <w:t xml:space="preserve"> </w:t>
      </w:r>
      <w:r w:rsidRPr="00F41E78">
        <w:rPr>
          <w:rFonts w:cs="FrankRuehl" w:hint="eastAsia"/>
          <w:spacing w:val="40"/>
          <w:sz w:val="18"/>
          <w:szCs w:val="22"/>
          <w:rtl/>
        </w:rPr>
        <w:t>התכנית</w:t>
      </w:r>
      <w:r w:rsidRPr="00F41E78">
        <w:rPr>
          <w:rFonts w:cs="FrankRuehl"/>
          <w:spacing w:val="40"/>
          <w:sz w:val="18"/>
          <w:szCs w:val="22"/>
          <w:rtl/>
        </w:rPr>
        <w:t>:</w:t>
      </w:r>
      <w:r w:rsidRPr="00F41E78">
        <w:rPr>
          <w:rFonts w:cs="FrankRuehl" w:hint="cs"/>
          <w:sz w:val="18"/>
          <w:szCs w:val="22"/>
          <w:rtl/>
          <w:lang w:eastAsia="he-IL"/>
        </w:rPr>
        <w:t xml:space="preserve"> באוגוסט 2007 החליטה הוועדה המחוזית דרום להפקיד את התכנית בתנאים, ובהם תיאום התכנית עם משרד התחבורה, סימון מבנים לשימור על גבי התכנית והוספת הנחיות בהוראות התכנית בתיאום עם יועץ השימור של לשכת התכנון. בביקורת נמצא כי התכנית הופקדה לאחר יותר משלוש שנים.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נמצא כי במרץ 2008, לאחר מועד ההחלטה להפקיד את התכנית בתנאים, הוציא מינהל התכנון הנחיות חדשות בנושא שימור מבנים שחלו על התכנית ויישומן נמשך יותר משנה.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מזכיר הקיבוץ מסר בתשובתו מינואר 2014 כי העיכובים בהפקדת התכנית לא נגרמו מצד גורמים בקיבוץ. הוא ציין כי נושא שימור המבנים בהרחבות של קיבוצים היה חדש ולשכת התכנון התקשתה לגבש הנחיות בנושא. לאחר מאמצים מצד הקיבוץ ופנייה למומחים גיבש הקיבוץ מסמך עקרונות לשימור. עוד מסר כי העיכובים נבעו גם מהתמהמהות יועץ השימור של לשכת התכנון ומהחלפת הצוות שליווה את התכנית, אף שאנשי לשכת התכנון עשו ככל יכולתם כדי לסייע </w:t>
      </w:r>
      <w:r w:rsidRPr="00F41E78">
        <w:rPr>
          <w:rFonts w:cs="FrankRuehl" w:hint="eastAsia"/>
          <w:sz w:val="18"/>
          <w:szCs w:val="22"/>
          <w:rtl/>
          <w:lang w:eastAsia="he-IL"/>
        </w:rPr>
        <w:t>בידו</w:t>
      </w:r>
      <w:r w:rsidRPr="00F41E78">
        <w:rPr>
          <w:rFonts w:cs="FrankRuehl" w:hint="cs"/>
          <w:sz w:val="18"/>
          <w:szCs w:val="22"/>
          <w:rtl/>
          <w:lang w:eastAsia="he-IL"/>
        </w:rPr>
        <w:t xml:space="preserve"> של הקיבוץ לקדם את התכנית. </w:t>
      </w:r>
    </w:p>
    <w:p w:rsidR="00E97EDA" w:rsidRPr="00F41E78" w:rsidP="00A7557B">
      <w:pPr>
        <w:spacing w:after="120" w:line="230" w:lineRule="exact"/>
        <w:jc w:val="both"/>
        <w:rPr>
          <w:rFonts w:cs="FrankRuehl"/>
          <w:sz w:val="18"/>
          <w:szCs w:val="22"/>
          <w:rtl/>
          <w:lang w:eastAsia="he-IL"/>
        </w:rPr>
      </w:pPr>
      <w:r w:rsidRPr="00F41E78">
        <w:rPr>
          <w:rFonts w:cs="FrankRuehl" w:hint="eastAsia"/>
          <w:spacing w:val="40"/>
          <w:sz w:val="18"/>
          <w:szCs w:val="22"/>
          <w:rtl/>
        </w:rPr>
        <w:t>אישור</w:t>
      </w:r>
      <w:r w:rsidRPr="00F41E78">
        <w:rPr>
          <w:rFonts w:cs="FrankRuehl"/>
          <w:spacing w:val="40"/>
          <w:sz w:val="18"/>
          <w:szCs w:val="22"/>
          <w:rtl/>
        </w:rPr>
        <w:t xml:space="preserve"> </w:t>
      </w:r>
      <w:r w:rsidRPr="00F41E78">
        <w:rPr>
          <w:rFonts w:cs="FrankRuehl" w:hint="eastAsia"/>
          <w:spacing w:val="40"/>
          <w:sz w:val="18"/>
          <w:szCs w:val="22"/>
          <w:rtl/>
        </w:rPr>
        <w:t>התכנית</w:t>
      </w:r>
      <w:r w:rsidRPr="00F41E78">
        <w:rPr>
          <w:rFonts w:cs="FrankRuehl"/>
          <w:spacing w:val="40"/>
          <w:sz w:val="18"/>
          <w:szCs w:val="22"/>
          <w:rtl/>
        </w:rPr>
        <w:t>:</w:t>
      </w:r>
      <w:r w:rsidRPr="00F41E78">
        <w:rPr>
          <w:rFonts w:cs="FrankRuehl" w:hint="cs"/>
          <w:sz w:val="18"/>
          <w:szCs w:val="22"/>
          <w:rtl/>
          <w:lang w:eastAsia="he-IL"/>
        </w:rPr>
        <w:t xml:space="preserve"> סעיף 109 לחוק התכנון והבנייה קובע כי לאחר הפקדת התכנית היא תועבר לעיונו של שר הפנים הרשאי להורות כי התכנית טעונה את אישורו. שר הפנים האציל את סמכותו זו למנהל מינהל התכנון.</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ביולי 2010 הודיע מנהל מינהל התכנון כי תכנית ההרחבה נבדקה ונמצאה טעונה את אישורו. הוא קבע שיש לתקנה ולהשלימה בין היתר על פי הוראות תמ"א 18 משום שבתכנית</w:t>
      </w:r>
      <w:r w:rsidRPr="00F41E78">
        <w:rPr>
          <w:rFonts w:cs="FrankRuehl" w:hint="cs"/>
          <w:sz w:val="18"/>
          <w:szCs w:val="22"/>
          <w:rtl/>
          <w:lang w:eastAsia="he-IL"/>
        </w:rPr>
        <w:t xml:space="preserve"> </w:t>
      </w:r>
      <w:r w:rsidRPr="00F41E78">
        <w:rPr>
          <w:rFonts w:cs="FrankRuehl" w:hint="cs"/>
          <w:sz w:val="18"/>
          <w:szCs w:val="22"/>
          <w:rtl/>
          <w:lang w:eastAsia="he-IL"/>
        </w:rPr>
        <w:t>נכללת תחנת תדלוק. עוד קבע כי יש לקבל חוות דעת בנושא סיכונים סיסמיים. השלמת התנאים לאישור התכנית ארכה כשנה וחודשיים נוספים בין היתר בשל עיכוב במתן חוות הדעת של היועץ הסיסמי של הוועדה המחוזית דרום.</w:t>
      </w:r>
    </w:p>
    <w:p w:rsidR="00D77393" w:rsidRPr="00F41E78" w:rsidP="00A7557B">
      <w:pPr>
        <w:spacing w:after="120" w:line="230" w:lineRule="exact"/>
        <w:jc w:val="both"/>
        <w:rPr>
          <w:rFonts w:cs="FrankRuehl"/>
          <w:sz w:val="18"/>
          <w:szCs w:val="22"/>
          <w:rtl/>
          <w:lang w:eastAsia="he-IL"/>
        </w:rPr>
      </w:pPr>
    </w:p>
    <w:p w:rsidR="00E97EDA" w:rsidRPr="00CB33CD" w:rsidP="00A7557B">
      <w:pPr>
        <w:pStyle w:val="KOT4"/>
        <w:rPr>
          <w:rtl/>
          <w:lang w:eastAsia="he-IL"/>
        </w:rPr>
      </w:pPr>
      <w:r w:rsidRPr="00CB33CD">
        <w:rPr>
          <w:rFonts w:hint="cs"/>
          <w:rtl/>
          <w:lang w:eastAsia="he-IL"/>
        </w:rPr>
        <w:t>היבטים של תכנון למגורים במחוז הצפון</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לפי החלוקה המינהלית (במשרד הפנים) של שטחי המדינה למחוזות, מחוז הצפון משתרע על פני כ-4,600 קמ"ר (כ-20% משטח המדינה) והוא כולל את רמת הגולן, הגליל, אזור מישור החוף הצפוני (מעכו צפונה) ואזור העמקים (עמק בית שאן, עמק חרוד ועמק יזרעאל). חלקים גדולים משטחו (כ-87%) מיועדים לשטחים פתוחים (חקלאות, יער וגנים לאומיים)</w:t>
      </w:r>
      <w:r>
        <w:rPr>
          <w:rFonts w:cs="FrankRuehl"/>
          <w:sz w:val="18"/>
          <w:szCs w:val="22"/>
          <w:vertAlign w:val="superscript"/>
          <w:rtl/>
          <w:lang w:eastAsia="he-IL"/>
        </w:rPr>
        <w:footnoteReference w:id="235"/>
      </w:r>
      <w:r w:rsidRPr="00F41E78">
        <w:rPr>
          <w:rFonts w:cs="FrankRuehl" w:hint="cs"/>
          <w:sz w:val="18"/>
          <w:szCs w:val="22"/>
          <w:rtl/>
          <w:lang w:eastAsia="he-IL"/>
        </w:rPr>
        <w:t>, ויש בו איכויות נופיות. המחוז מחולק לחמש נפות</w:t>
      </w:r>
      <w:r>
        <w:rPr>
          <w:rFonts w:cs="FrankRuehl"/>
          <w:sz w:val="18"/>
          <w:szCs w:val="22"/>
          <w:vertAlign w:val="superscript"/>
          <w:rtl/>
          <w:lang w:eastAsia="he-IL"/>
        </w:rPr>
        <w:footnoteReference w:id="236"/>
      </w:r>
      <w:r w:rsidRPr="00F41E78">
        <w:rPr>
          <w:rFonts w:cs="FrankRuehl" w:hint="cs"/>
          <w:sz w:val="18"/>
          <w:szCs w:val="22"/>
          <w:rtl/>
          <w:lang w:eastAsia="he-IL"/>
        </w:rPr>
        <w:t xml:space="preserve"> ומתגוררים בו כ-1.3 מיליון תושבים</w:t>
      </w:r>
      <w:r>
        <w:rPr>
          <w:rFonts w:cs="FrankRuehl"/>
          <w:sz w:val="18"/>
          <w:szCs w:val="22"/>
          <w:vertAlign w:val="superscript"/>
          <w:rtl/>
          <w:lang w:eastAsia="he-IL"/>
        </w:rPr>
        <w:footnoteReference w:id="237"/>
      </w:r>
      <w:r w:rsidRPr="00F41E78">
        <w:rPr>
          <w:rFonts w:cs="FrankRuehl" w:hint="cs"/>
          <w:sz w:val="18"/>
          <w:szCs w:val="22"/>
          <w:rtl/>
          <w:lang w:eastAsia="he-IL"/>
        </w:rPr>
        <w:t>. בתחום המחוז מצויות 93 רשויות מקומיות - 16 עיריות, 62 מועצות מקומיות ו-15 מועצות אזוריות.</w:t>
      </w:r>
    </w:p>
    <w:p w:rsidR="00D77393"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השגת יעדי האוכלוסייה שנקבעו בתמ"א 35</w:t>
      </w:r>
    </w:p>
    <w:p w:rsidR="00E97EDA" w:rsidRPr="00F41E78" w:rsidP="00A7557B">
      <w:pPr>
        <w:keepLines/>
        <w:spacing w:after="120" w:line="230" w:lineRule="exact"/>
        <w:ind w:left="12"/>
        <w:jc w:val="both"/>
        <w:rPr>
          <w:rFonts w:cs="FrankRuehl"/>
          <w:sz w:val="18"/>
          <w:szCs w:val="22"/>
          <w:rtl/>
          <w:lang w:eastAsia="he-IL"/>
        </w:rPr>
      </w:pPr>
      <w:r w:rsidRPr="00F41E78">
        <w:rPr>
          <w:rFonts w:cs="FrankRuehl" w:hint="cs"/>
          <w:sz w:val="18"/>
          <w:szCs w:val="22"/>
          <w:rtl/>
          <w:lang w:eastAsia="he-IL"/>
        </w:rPr>
        <w:t>מחוז הצפון הוא אחד משני המחוזות הפריפריאליים (האחר הוא מחוז הדרום). על פי תמ"א 35, הוא יעד להכוונת הפיתוח ולגידול ניכר של האוכלוסייה מעבר לממוצע הארצי עד כדי הכפלת מספר התושבים שהתגוררו בו בשנת 1995, וזאת במטרה לממש את מדיניות פיזור האוכלוסייה. לנוכח איכויותיו הנופיות ושטחו הגדול הציבו לו מתכנני התמ"א יעדים גבוהים לגידול האוכלוסייה ובשנת היעד (2020) אמורים להתגורר בו כ-1.7 מיליון תושבים</w:t>
      </w:r>
      <w:r>
        <w:rPr>
          <w:rFonts w:cs="FrankRuehl"/>
          <w:sz w:val="18"/>
          <w:szCs w:val="22"/>
          <w:vertAlign w:val="superscript"/>
          <w:rtl/>
          <w:lang w:eastAsia="he-IL"/>
        </w:rPr>
        <w:footnoteReference w:id="238"/>
      </w:r>
      <w:r w:rsidRPr="00F41E78">
        <w:rPr>
          <w:rFonts w:cs="FrankRuehl" w:hint="cs"/>
          <w:sz w:val="18"/>
          <w:szCs w:val="22"/>
          <w:rtl/>
          <w:lang w:eastAsia="he-IL"/>
        </w:rPr>
        <w:t xml:space="preserve"> (לעומת כ-0.95 מיליון בשנת 1995). השגת היעד תלויה בגידול שנתי ממוצע של 2.6%. בתהליך העדכון של התמ"א נבדקה בין היתר השגת היעדים שנקבעו למחוז הצפון, לפי נתונים על גידול האוכלוסייה נכון לשנת 2007.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צוות המעקב של התמ"א מצא כי בשנים 2007-1995 גדלה אוכלוסיית מחוז הצפון רק ב-2.1% בממוצע לשנה (כשיעור הגידול הממוצע הארצי). נפות גולן ועכו התאפיינו בשיעור גידול גבוה </w:t>
      </w:r>
      <w:r w:rsidR="006915B8">
        <w:rPr>
          <w:rFonts w:cs="FrankRuehl"/>
          <w:sz w:val="18"/>
          <w:szCs w:val="22"/>
          <w:lang w:eastAsia="he-IL"/>
        </w:rPr>
        <w:br/>
      </w:r>
      <w:r w:rsidRPr="00F41E78">
        <w:rPr>
          <w:rFonts w:cs="FrankRuehl" w:hint="cs"/>
          <w:sz w:val="18"/>
          <w:szCs w:val="22"/>
          <w:rtl/>
          <w:lang w:eastAsia="he-IL"/>
        </w:rPr>
        <w:t>(כ-2.5%) לעומת נפות צפת וכנרת שהתאפיינו בשיעור גידול נמוך (כ-1.5%)</w:t>
      </w:r>
      <w:r>
        <w:rPr>
          <w:rFonts w:cs="FrankRuehl"/>
          <w:sz w:val="18"/>
          <w:szCs w:val="22"/>
          <w:vertAlign w:val="superscript"/>
          <w:rtl/>
          <w:lang w:eastAsia="he-IL"/>
        </w:rPr>
        <w:footnoteReference w:id="239"/>
      </w:r>
      <w:r w:rsidRPr="00F41E78">
        <w:rPr>
          <w:rFonts w:cs="FrankRuehl" w:hint="cs"/>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יש לציין כי אין הנתונים הממוצעים משקפים את מגמות הגידול מאז 2000. בשנים 2007-2000 היה שיעור הגידול השנתי רק 1.7% ונרשמו הבדלים ניכרים בין הנפות השונות; למשל, בנפת כנרת היה</w:t>
      </w:r>
      <w:r w:rsidRPr="00F41E78">
        <w:rPr>
          <w:rFonts w:cs="FrankRuehl" w:hint="cs"/>
          <w:sz w:val="18"/>
          <w:szCs w:val="22"/>
          <w:rtl/>
          <w:lang w:eastAsia="he-IL"/>
        </w:rPr>
        <w:t xml:space="preserve"> </w:t>
      </w:r>
      <w:r w:rsidRPr="00F41E78">
        <w:rPr>
          <w:rFonts w:cs="FrankRuehl" w:hint="cs"/>
          <w:sz w:val="18"/>
          <w:szCs w:val="22"/>
          <w:rtl/>
          <w:lang w:eastAsia="he-IL"/>
        </w:rPr>
        <w:t xml:space="preserve">הגידול השנתי הממוצע רק 0.5% לעומת 2.2% בנפת הגולן.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צוות המעקב מצא כי עיקר הגידול באוכלוסייה בשנים 2007-1995 מקורו בריבוי טבעי ולא בהגירה אל המחוז, אם כי נקלטו במהלכן גם עולים חדשים שהשפיעו לחיוב על מאזן ההגירה. מאז 2000 התאפיין מחוז הצפון בהגירה פנימית שלילית</w:t>
      </w:r>
      <w:r>
        <w:rPr>
          <w:rFonts w:cs="FrankRuehl"/>
          <w:sz w:val="18"/>
          <w:szCs w:val="22"/>
          <w:vertAlign w:val="superscript"/>
          <w:rtl/>
          <w:lang w:eastAsia="he-IL"/>
        </w:rPr>
        <w:footnoteReference w:id="240"/>
      </w:r>
      <w:r w:rsidRPr="00F41E78">
        <w:rPr>
          <w:rFonts w:cs="FrankRuehl" w:hint="cs"/>
          <w:sz w:val="18"/>
          <w:szCs w:val="22"/>
          <w:rtl/>
          <w:lang w:eastAsia="he-IL"/>
        </w:rPr>
        <w:t xml:space="preserve">, והוא לא הצליח למשוך אליו תושבים חדשים.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להלן נתונים על אוכלוסיית מחוז הצפון לעומת יעדי התמ"א:</w:t>
      </w:r>
    </w:p>
    <w:p w:rsidR="00E97EDA" w:rsidRPr="00873FEC" w:rsidP="00953D2F">
      <w:pPr>
        <w:pStyle w:val="tab-name"/>
        <w:keepLines/>
        <w:rPr>
          <w:rtl/>
        </w:rPr>
      </w:pPr>
      <w:r w:rsidRPr="006915B8">
        <w:rPr>
          <w:rFonts w:hint="cs"/>
          <w:b w:val="0"/>
          <w:bCs w:val="0"/>
          <w:sz w:val="20"/>
          <w:szCs w:val="20"/>
          <w:rtl/>
          <w:lang w:eastAsia="he-IL"/>
        </w:rPr>
        <w:t xml:space="preserve">לוח </w:t>
      </w:r>
      <w:r w:rsidRPr="006915B8" w:rsidR="006915B8">
        <w:rPr>
          <w:rFonts w:hint="cs"/>
          <w:b w:val="0"/>
          <w:bCs w:val="0"/>
          <w:sz w:val="20"/>
          <w:szCs w:val="20"/>
          <w:rtl/>
          <w:lang w:eastAsia="he-IL"/>
        </w:rPr>
        <w:t>1</w:t>
      </w:r>
      <w:r w:rsidRPr="006915B8" w:rsidR="006915B8">
        <w:rPr>
          <w:b w:val="0"/>
          <w:bCs w:val="0"/>
          <w:sz w:val="20"/>
          <w:szCs w:val="20"/>
          <w:lang w:eastAsia="he-IL"/>
        </w:rPr>
        <w:br/>
      </w:r>
      <w:r w:rsidRPr="00873FEC">
        <w:rPr>
          <w:rFonts w:hint="cs"/>
          <w:rtl/>
          <w:lang w:eastAsia="he-IL"/>
        </w:rPr>
        <w:t>הפער בין מגמות קיימות של גידול קבוצות האוכלוסייה במחוז הצפון</w:t>
      </w:r>
      <w:r w:rsidR="006915B8">
        <w:rPr>
          <w:lang w:eastAsia="he-IL"/>
        </w:rPr>
        <w:br/>
      </w:r>
      <w:r w:rsidRPr="00873FEC">
        <w:rPr>
          <w:rFonts w:hint="cs"/>
          <w:rtl/>
        </w:rPr>
        <w:t xml:space="preserve">ובין יעדי תמ"א 35 בשנת היעד 2020 (באלפי נפש) </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
      <w:tblGrid>
        <w:gridCol w:w="1273"/>
        <w:gridCol w:w="1347"/>
        <w:gridCol w:w="1611"/>
        <w:gridCol w:w="9"/>
        <w:gridCol w:w="1268"/>
        <w:gridCol w:w="1183"/>
      </w:tblGrid>
      <w:tr w:rsidTr="006915B8">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Ex>
        <w:trPr>
          <w:jc w:val="center"/>
        </w:trPr>
        <w:tc>
          <w:tcPr>
            <w:tcW w:w="1348" w:type="dxa"/>
            <w:tcBorders>
              <w:top w:val="single" w:sz="12" w:space="0" w:color="auto"/>
              <w:bottom w:val="single" w:sz="12" w:space="0" w:color="auto"/>
            </w:tcBorders>
            <w:shd w:val="pct10" w:color="auto" w:fill="auto"/>
            <w:vAlign w:val="bottom"/>
          </w:tcPr>
          <w:p w:rsidR="00E97EDA" w:rsidRPr="006915B8" w:rsidP="00953D2F">
            <w:pPr>
              <w:keepNext/>
              <w:keepLines/>
              <w:spacing w:before="40" w:after="40" w:line="200" w:lineRule="exact"/>
              <w:jc w:val="center"/>
              <w:rPr>
                <w:rFonts w:cs="FrankRuehl"/>
                <w:rtl/>
                <w:lang w:eastAsia="he-IL"/>
              </w:rPr>
            </w:pPr>
          </w:p>
        </w:tc>
        <w:tc>
          <w:tcPr>
            <w:tcW w:w="1392" w:type="dxa"/>
            <w:tcBorders>
              <w:top w:val="single" w:sz="12" w:space="0" w:color="auto"/>
              <w:bottom w:val="single" w:sz="12" w:space="0" w:color="auto"/>
            </w:tcBorders>
            <w:shd w:val="pct10" w:color="auto" w:fill="auto"/>
            <w:vAlign w:val="bottom"/>
          </w:tcPr>
          <w:p w:rsidR="00E97EDA" w:rsidRPr="006915B8" w:rsidP="00953D2F">
            <w:pPr>
              <w:keepNext/>
              <w:keepLines/>
              <w:spacing w:before="40" w:after="40" w:line="200" w:lineRule="exact"/>
              <w:jc w:val="center"/>
              <w:rPr>
                <w:rFonts w:cs="FrankRuehl"/>
                <w:b/>
                <w:bCs/>
                <w:szCs w:val="20"/>
                <w:rtl/>
                <w:lang w:eastAsia="he-IL"/>
              </w:rPr>
            </w:pPr>
            <w:r w:rsidRPr="006915B8">
              <w:rPr>
                <w:rFonts w:cs="FrankRuehl" w:hint="cs"/>
                <w:b/>
                <w:bCs/>
                <w:szCs w:val="20"/>
                <w:rtl/>
                <w:lang w:eastAsia="he-IL"/>
              </w:rPr>
              <w:t>האוכלוסייה</w:t>
            </w:r>
            <w:r w:rsidR="006915B8">
              <w:rPr>
                <w:rFonts w:cs="FrankRuehl"/>
                <w:b/>
                <w:bCs/>
                <w:szCs w:val="20"/>
                <w:lang w:eastAsia="he-IL"/>
              </w:rPr>
              <w:br/>
            </w:r>
            <w:r w:rsidRPr="006915B8">
              <w:rPr>
                <w:rFonts w:cs="FrankRuehl" w:hint="cs"/>
                <w:b/>
                <w:bCs/>
                <w:szCs w:val="20"/>
                <w:rtl/>
                <w:lang w:eastAsia="he-IL"/>
              </w:rPr>
              <w:t>בשנת 2007</w:t>
            </w:r>
          </w:p>
        </w:tc>
        <w:tc>
          <w:tcPr>
            <w:tcW w:w="1678" w:type="dxa"/>
            <w:tcBorders>
              <w:top w:val="single" w:sz="12" w:space="0" w:color="auto"/>
              <w:bottom w:val="single" w:sz="12" w:space="0" w:color="auto"/>
            </w:tcBorders>
            <w:shd w:val="pct10" w:color="auto" w:fill="auto"/>
            <w:vAlign w:val="bottom"/>
          </w:tcPr>
          <w:p w:rsidR="00E97EDA" w:rsidRPr="006915B8" w:rsidP="00953D2F">
            <w:pPr>
              <w:keepNext/>
              <w:keepLines/>
              <w:spacing w:before="40" w:after="40" w:line="200" w:lineRule="exact"/>
              <w:jc w:val="center"/>
              <w:rPr>
                <w:rFonts w:cs="FrankRuehl"/>
                <w:b/>
                <w:bCs/>
                <w:szCs w:val="20"/>
                <w:rtl/>
                <w:lang w:eastAsia="he-IL"/>
              </w:rPr>
            </w:pPr>
            <w:r w:rsidRPr="006915B8">
              <w:rPr>
                <w:rFonts w:cs="FrankRuehl" w:hint="cs"/>
                <w:b/>
                <w:bCs/>
                <w:szCs w:val="20"/>
                <w:rtl/>
                <w:lang w:eastAsia="he-IL"/>
              </w:rPr>
              <w:t>תחזית האוכלוסייה (לפי המשך המגמות) לפי צוות המעקב</w:t>
            </w:r>
          </w:p>
        </w:tc>
        <w:tc>
          <w:tcPr>
            <w:tcW w:w="1314" w:type="dxa"/>
            <w:gridSpan w:val="2"/>
            <w:tcBorders>
              <w:top w:val="single" w:sz="12" w:space="0" w:color="auto"/>
              <w:bottom w:val="single" w:sz="12" w:space="0" w:color="auto"/>
            </w:tcBorders>
            <w:shd w:val="pct10" w:color="auto" w:fill="auto"/>
            <w:vAlign w:val="bottom"/>
          </w:tcPr>
          <w:p w:rsidR="00E97EDA" w:rsidRPr="006915B8" w:rsidP="00953D2F">
            <w:pPr>
              <w:pStyle w:val="CommentSubject"/>
              <w:keepNext/>
              <w:keepLines/>
              <w:spacing w:before="40" w:after="40" w:line="200" w:lineRule="exact"/>
              <w:jc w:val="center"/>
              <w:rPr>
                <w:rFonts w:cs="FrankRuehl"/>
                <w:sz w:val="24"/>
                <w:rtl/>
                <w:lang w:eastAsia="he-IL"/>
              </w:rPr>
            </w:pPr>
            <w:r w:rsidRPr="006915B8">
              <w:rPr>
                <w:rFonts w:cs="FrankRuehl" w:hint="cs"/>
                <w:sz w:val="24"/>
                <w:rtl/>
                <w:lang w:eastAsia="he-IL"/>
              </w:rPr>
              <w:t>האוכלוסייה לפי יעדי התמ"א לשנת היעד (2020)</w:t>
            </w:r>
          </w:p>
        </w:tc>
        <w:tc>
          <w:tcPr>
            <w:tcW w:w="1220" w:type="dxa"/>
            <w:tcBorders>
              <w:top w:val="single" w:sz="12" w:space="0" w:color="auto"/>
              <w:bottom w:val="single" w:sz="12" w:space="0" w:color="auto"/>
            </w:tcBorders>
            <w:shd w:val="pct10" w:color="auto" w:fill="auto"/>
            <w:vAlign w:val="bottom"/>
          </w:tcPr>
          <w:p w:rsidR="00E97EDA" w:rsidRPr="006915B8" w:rsidP="00953D2F">
            <w:pPr>
              <w:keepNext/>
              <w:keepLines/>
              <w:spacing w:before="40" w:after="40" w:line="200" w:lineRule="exact"/>
              <w:jc w:val="center"/>
              <w:rPr>
                <w:rFonts w:cs="FrankRuehl"/>
                <w:b/>
                <w:bCs/>
                <w:szCs w:val="20"/>
                <w:rtl/>
                <w:lang w:eastAsia="he-IL"/>
              </w:rPr>
            </w:pPr>
            <w:r w:rsidRPr="006915B8">
              <w:rPr>
                <w:rFonts w:cs="FrankRuehl" w:hint="cs"/>
                <w:b/>
                <w:bCs/>
                <w:szCs w:val="20"/>
                <w:rtl/>
                <w:lang w:eastAsia="he-IL"/>
              </w:rPr>
              <w:t>פער</w:t>
            </w:r>
          </w:p>
        </w:tc>
      </w:tr>
      <w:tr w:rsidTr="006915B8">
        <w:tblPrEx>
          <w:tblW w:w="6691" w:type="dxa"/>
          <w:jc w:val="center"/>
          <w:tblLook w:val="01E0"/>
        </w:tblPrEx>
        <w:trPr>
          <w:jc w:val="center"/>
        </w:trPr>
        <w:tc>
          <w:tcPr>
            <w:tcW w:w="1348" w:type="dxa"/>
            <w:tcBorders>
              <w:top w:val="single" w:sz="12" w:space="0" w:color="auto"/>
            </w:tcBorders>
            <w:shd w:val="clear" w:color="auto" w:fill="auto"/>
            <w:vAlign w:val="center"/>
          </w:tcPr>
          <w:p w:rsidR="00E97EDA" w:rsidRPr="006915B8" w:rsidP="006915B8">
            <w:pPr>
              <w:pStyle w:val="FootnoteText"/>
              <w:keepLines/>
              <w:spacing w:before="40" w:after="40" w:line="200" w:lineRule="exact"/>
              <w:rPr>
                <w:rFonts w:cs="FrankRuehl"/>
                <w:sz w:val="24"/>
                <w:rtl/>
                <w:lang w:eastAsia="he-IL"/>
              </w:rPr>
            </w:pPr>
            <w:r w:rsidRPr="006915B8">
              <w:rPr>
                <w:rFonts w:cs="FrankRuehl" w:hint="cs"/>
                <w:sz w:val="24"/>
                <w:rtl/>
                <w:lang w:eastAsia="he-IL"/>
              </w:rPr>
              <w:t>יהודים</w:t>
            </w:r>
          </w:p>
        </w:tc>
        <w:tc>
          <w:tcPr>
            <w:tcW w:w="1392" w:type="dxa"/>
            <w:tcBorders>
              <w:top w:val="single" w:sz="12" w:space="0" w:color="auto"/>
            </w:tcBorders>
            <w:shd w:val="clear" w:color="auto" w:fill="auto"/>
            <w:vAlign w:val="center"/>
          </w:tcPr>
          <w:p w:rsidR="00E97EDA" w:rsidRPr="006915B8" w:rsidP="006915B8">
            <w:pPr>
              <w:keepLines/>
              <w:spacing w:before="40" w:after="40" w:line="200" w:lineRule="exact"/>
              <w:ind w:left="340"/>
              <w:rPr>
                <w:rFonts w:cs="FrankRuehl"/>
                <w:szCs w:val="20"/>
                <w:rtl/>
                <w:lang w:eastAsia="he-IL"/>
              </w:rPr>
            </w:pPr>
            <w:r w:rsidRPr="006915B8">
              <w:rPr>
                <w:rFonts w:cs="FrankRuehl" w:hint="cs"/>
                <w:szCs w:val="20"/>
                <w:rtl/>
                <w:lang w:eastAsia="he-IL"/>
              </w:rPr>
              <w:t>574</w:t>
            </w:r>
          </w:p>
        </w:tc>
        <w:tc>
          <w:tcPr>
            <w:tcW w:w="1687" w:type="dxa"/>
            <w:gridSpan w:val="2"/>
            <w:tcBorders>
              <w:top w:val="single" w:sz="12" w:space="0" w:color="auto"/>
            </w:tcBorders>
            <w:shd w:val="clear" w:color="auto" w:fill="auto"/>
            <w:vAlign w:val="center"/>
          </w:tcPr>
          <w:p w:rsidR="00E97EDA" w:rsidRPr="006915B8" w:rsidP="006915B8">
            <w:pPr>
              <w:keepLines/>
              <w:spacing w:before="40" w:after="40" w:line="200" w:lineRule="exact"/>
              <w:ind w:left="454"/>
              <w:rPr>
                <w:rFonts w:cs="FrankRuehl"/>
                <w:szCs w:val="20"/>
                <w:rtl/>
                <w:lang w:eastAsia="he-IL"/>
              </w:rPr>
            </w:pPr>
            <w:r w:rsidRPr="006915B8">
              <w:rPr>
                <w:rFonts w:cs="FrankRuehl" w:hint="cs"/>
                <w:szCs w:val="20"/>
                <w:rtl/>
                <w:lang w:eastAsia="he-IL"/>
              </w:rPr>
              <w:t>650</w:t>
            </w:r>
          </w:p>
        </w:tc>
        <w:tc>
          <w:tcPr>
            <w:tcW w:w="1305" w:type="dxa"/>
            <w:tcBorders>
              <w:top w:val="single" w:sz="12" w:space="0" w:color="auto"/>
            </w:tcBorders>
            <w:shd w:val="clear" w:color="auto" w:fill="auto"/>
            <w:vAlign w:val="center"/>
          </w:tcPr>
          <w:p w:rsidR="00E97EDA" w:rsidRPr="006915B8" w:rsidP="006915B8">
            <w:pPr>
              <w:keepLines/>
              <w:spacing w:before="40" w:after="40" w:line="200" w:lineRule="exact"/>
              <w:ind w:left="340"/>
              <w:rPr>
                <w:rFonts w:cs="FrankRuehl"/>
                <w:szCs w:val="20"/>
                <w:rtl/>
                <w:lang w:eastAsia="he-IL"/>
              </w:rPr>
            </w:pPr>
            <w:r w:rsidRPr="006915B8">
              <w:rPr>
                <w:rFonts w:cs="FrankRuehl" w:hint="cs"/>
                <w:szCs w:val="20"/>
                <w:rtl/>
                <w:lang w:eastAsia="he-IL"/>
              </w:rPr>
              <w:t>900</w:t>
            </w:r>
          </w:p>
        </w:tc>
        <w:tc>
          <w:tcPr>
            <w:tcW w:w="1220" w:type="dxa"/>
            <w:tcBorders>
              <w:top w:val="single" w:sz="12" w:space="0" w:color="auto"/>
            </w:tcBorders>
            <w:shd w:val="clear" w:color="auto" w:fill="auto"/>
            <w:vAlign w:val="center"/>
          </w:tcPr>
          <w:p w:rsidR="00E97EDA" w:rsidRPr="006915B8" w:rsidP="006915B8">
            <w:pPr>
              <w:keepLines/>
              <w:spacing w:before="40" w:after="40" w:line="200" w:lineRule="exact"/>
              <w:ind w:left="340"/>
              <w:rPr>
                <w:rFonts w:cs="FrankRuehl"/>
                <w:szCs w:val="20"/>
                <w:rtl/>
                <w:lang w:eastAsia="he-IL"/>
              </w:rPr>
            </w:pPr>
            <w:r w:rsidRPr="006915B8">
              <w:rPr>
                <w:rFonts w:cs="FrankRuehl" w:hint="cs"/>
                <w:szCs w:val="20"/>
                <w:rtl/>
                <w:lang w:eastAsia="he-IL"/>
              </w:rPr>
              <w:t>250-</w:t>
            </w:r>
          </w:p>
        </w:tc>
      </w:tr>
      <w:tr w:rsidTr="006915B8">
        <w:tblPrEx>
          <w:tblW w:w="6691" w:type="dxa"/>
          <w:jc w:val="center"/>
          <w:tblLook w:val="01E0"/>
        </w:tblPrEx>
        <w:trPr>
          <w:jc w:val="center"/>
        </w:trPr>
        <w:tc>
          <w:tcPr>
            <w:tcW w:w="1348" w:type="dxa"/>
            <w:tcBorders>
              <w:bottom w:val="single" w:sz="12" w:space="0" w:color="auto"/>
            </w:tcBorders>
            <w:shd w:val="clear" w:color="auto" w:fill="auto"/>
            <w:vAlign w:val="center"/>
          </w:tcPr>
          <w:p w:rsidR="00E97EDA" w:rsidRPr="006915B8" w:rsidP="006915B8">
            <w:pPr>
              <w:keepLines/>
              <w:spacing w:before="40" w:after="40" w:line="200" w:lineRule="exact"/>
              <w:rPr>
                <w:rFonts w:cs="FrankRuehl"/>
                <w:szCs w:val="20"/>
                <w:rtl/>
                <w:lang w:eastAsia="he-IL"/>
              </w:rPr>
            </w:pPr>
            <w:r w:rsidRPr="006915B8">
              <w:rPr>
                <w:rFonts w:cs="FrankRuehl" w:hint="cs"/>
                <w:szCs w:val="20"/>
                <w:rtl/>
                <w:lang w:eastAsia="he-IL"/>
              </w:rPr>
              <w:t>ערבים</w:t>
            </w:r>
          </w:p>
        </w:tc>
        <w:tc>
          <w:tcPr>
            <w:tcW w:w="1392" w:type="dxa"/>
            <w:tcBorders>
              <w:bottom w:val="single" w:sz="12" w:space="0" w:color="auto"/>
            </w:tcBorders>
            <w:shd w:val="clear" w:color="auto" w:fill="auto"/>
            <w:vAlign w:val="center"/>
          </w:tcPr>
          <w:p w:rsidR="00E97EDA" w:rsidRPr="006915B8" w:rsidP="006915B8">
            <w:pPr>
              <w:keepLines/>
              <w:spacing w:before="40" w:after="40" w:line="200" w:lineRule="exact"/>
              <w:ind w:left="340"/>
              <w:rPr>
                <w:rFonts w:cs="FrankRuehl"/>
                <w:szCs w:val="20"/>
                <w:rtl/>
                <w:lang w:eastAsia="he-IL"/>
              </w:rPr>
            </w:pPr>
            <w:r w:rsidRPr="006915B8">
              <w:rPr>
                <w:rFonts w:cs="FrankRuehl" w:hint="cs"/>
                <w:szCs w:val="20"/>
                <w:rtl/>
                <w:lang w:eastAsia="he-IL"/>
              </w:rPr>
              <w:t>648</w:t>
            </w:r>
          </w:p>
        </w:tc>
        <w:tc>
          <w:tcPr>
            <w:tcW w:w="1687" w:type="dxa"/>
            <w:gridSpan w:val="2"/>
            <w:tcBorders>
              <w:bottom w:val="single" w:sz="12" w:space="0" w:color="auto"/>
            </w:tcBorders>
            <w:shd w:val="clear" w:color="auto" w:fill="auto"/>
            <w:vAlign w:val="center"/>
          </w:tcPr>
          <w:p w:rsidR="00E97EDA" w:rsidRPr="006915B8" w:rsidP="006915B8">
            <w:pPr>
              <w:keepLines/>
              <w:spacing w:before="40" w:after="40" w:line="200" w:lineRule="exact"/>
              <w:ind w:left="454"/>
              <w:rPr>
                <w:rFonts w:cs="FrankRuehl"/>
                <w:szCs w:val="20"/>
                <w:rtl/>
                <w:lang w:eastAsia="he-IL"/>
              </w:rPr>
            </w:pPr>
            <w:r w:rsidRPr="006915B8">
              <w:rPr>
                <w:rFonts w:cs="FrankRuehl" w:hint="cs"/>
                <w:szCs w:val="20"/>
                <w:rtl/>
                <w:lang w:eastAsia="he-IL"/>
              </w:rPr>
              <w:t>830</w:t>
            </w:r>
          </w:p>
        </w:tc>
        <w:tc>
          <w:tcPr>
            <w:tcW w:w="1305" w:type="dxa"/>
            <w:tcBorders>
              <w:bottom w:val="single" w:sz="12" w:space="0" w:color="auto"/>
            </w:tcBorders>
            <w:shd w:val="clear" w:color="auto" w:fill="auto"/>
            <w:vAlign w:val="center"/>
          </w:tcPr>
          <w:p w:rsidR="00E97EDA" w:rsidRPr="006915B8" w:rsidP="006915B8">
            <w:pPr>
              <w:keepLines/>
              <w:spacing w:before="40" w:after="40" w:line="200" w:lineRule="exact"/>
              <w:ind w:left="340"/>
              <w:rPr>
                <w:rFonts w:cs="FrankRuehl"/>
                <w:szCs w:val="20"/>
                <w:rtl/>
                <w:lang w:eastAsia="he-IL"/>
              </w:rPr>
            </w:pPr>
            <w:r w:rsidRPr="006915B8">
              <w:rPr>
                <w:rFonts w:cs="FrankRuehl" w:hint="cs"/>
                <w:szCs w:val="20"/>
                <w:rtl/>
                <w:lang w:eastAsia="he-IL"/>
              </w:rPr>
              <w:t>830</w:t>
            </w:r>
          </w:p>
        </w:tc>
        <w:tc>
          <w:tcPr>
            <w:tcW w:w="1220" w:type="dxa"/>
            <w:tcBorders>
              <w:bottom w:val="single" w:sz="12" w:space="0" w:color="auto"/>
            </w:tcBorders>
            <w:shd w:val="clear" w:color="auto" w:fill="auto"/>
            <w:vAlign w:val="center"/>
          </w:tcPr>
          <w:p w:rsidR="00E97EDA" w:rsidRPr="006915B8" w:rsidP="006915B8">
            <w:pPr>
              <w:keepLines/>
              <w:spacing w:before="40" w:after="40" w:line="200" w:lineRule="exact"/>
              <w:ind w:left="340"/>
              <w:rPr>
                <w:rFonts w:cs="FrankRuehl"/>
                <w:szCs w:val="20"/>
                <w:rtl/>
                <w:lang w:eastAsia="he-IL"/>
              </w:rPr>
            </w:pPr>
            <w:r w:rsidRPr="006915B8">
              <w:rPr>
                <w:rFonts w:cs="FrankRuehl" w:hint="cs"/>
                <w:szCs w:val="20"/>
                <w:rtl/>
                <w:lang w:eastAsia="he-IL"/>
              </w:rPr>
              <w:t>-</w:t>
            </w:r>
          </w:p>
        </w:tc>
      </w:tr>
      <w:tr w:rsidTr="006915B8">
        <w:tblPrEx>
          <w:tblW w:w="6691" w:type="dxa"/>
          <w:jc w:val="center"/>
          <w:tblLook w:val="01E0"/>
        </w:tblPrEx>
        <w:trPr>
          <w:jc w:val="center"/>
        </w:trPr>
        <w:tc>
          <w:tcPr>
            <w:tcW w:w="1348" w:type="dxa"/>
            <w:tcBorders>
              <w:top w:val="single" w:sz="12" w:space="0" w:color="auto"/>
              <w:bottom w:val="single" w:sz="12" w:space="0" w:color="auto"/>
            </w:tcBorders>
            <w:shd w:val="pct10" w:color="auto" w:fill="auto"/>
            <w:vAlign w:val="center"/>
          </w:tcPr>
          <w:p w:rsidR="00E97EDA" w:rsidRPr="006915B8" w:rsidP="006915B8">
            <w:pPr>
              <w:keepLines/>
              <w:spacing w:before="40" w:after="40" w:line="200" w:lineRule="exact"/>
              <w:jc w:val="right"/>
              <w:rPr>
                <w:rFonts w:cs="FrankRuehl"/>
                <w:b/>
                <w:bCs/>
                <w:szCs w:val="20"/>
                <w:rtl/>
                <w:lang w:eastAsia="he-IL"/>
              </w:rPr>
            </w:pPr>
            <w:r w:rsidRPr="006915B8">
              <w:rPr>
                <w:rFonts w:cs="FrankRuehl" w:hint="cs"/>
                <w:b/>
                <w:bCs/>
                <w:szCs w:val="20"/>
                <w:rtl/>
                <w:lang w:eastAsia="he-IL"/>
              </w:rPr>
              <w:t>סך הכול</w:t>
            </w:r>
          </w:p>
        </w:tc>
        <w:tc>
          <w:tcPr>
            <w:tcW w:w="1392" w:type="dxa"/>
            <w:tcBorders>
              <w:top w:val="single" w:sz="12" w:space="0" w:color="auto"/>
              <w:bottom w:val="single" w:sz="12" w:space="0" w:color="auto"/>
            </w:tcBorders>
            <w:shd w:val="pct10" w:color="auto" w:fill="auto"/>
            <w:vAlign w:val="center"/>
          </w:tcPr>
          <w:p w:rsidR="00E97EDA" w:rsidRPr="006915B8" w:rsidP="006915B8">
            <w:pPr>
              <w:keepLines/>
              <w:spacing w:before="40" w:after="40" w:line="200" w:lineRule="exact"/>
              <w:ind w:left="340"/>
              <w:rPr>
                <w:rFonts w:cs="FrankRuehl"/>
                <w:b/>
                <w:bCs/>
                <w:szCs w:val="20"/>
                <w:rtl/>
                <w:lang w:eastAsia="he-IL"/>
              </w:rPr>
            </w:pPr>
            <w:r w:rsidRPr="006915B8">
              <w:rPr>
                <w:rFonts w:cs="FrankRuehl" w:hint="cs"/>
                <w:b/>
                <w:bCs/>
                <w:szCs w:val="20"/>
                <w:rtl/>
                <w:lang w:eastAsia="he-IL"/>
              </w:rPr>
              <w:t>1,222</w:t>
            </w:r>
          </w:p>
        </w:tc>
        <w:tc>
          <w:tcPr>
            <w:tcW w:w="1687" w:type="dxa"/>
            <w:gridSpan w:val="2"/>
            <w:tcBorders>
              <w:top w:val="single" w:sz="12" w:space="0" w:color="auto"/>
              <w:bottom w:val="single" w:sz="12" w:space="0" w:color="auto"/>
            </w:tcBorders>
            <w:shd w:val="pct10" w:color="auto" w:fill="auto"/>
            <w:vAlign w:val="center"/>
          </w:tcPr>
          <w:p w:rsidR="00E97EDA" w:rsidRPr="006915B8" w:rsidP="006915B8">
            <w:pPr>
              <w:keepLines/>
              <w:spacing w:before="40" w:after="40" w:line="200" w:lineRule="exact"/>
              <w:ind w:left="454"/>
              <w:rPr>
                <w:rFonts w:cs="FrankRuehl"/>
                <w:b/>
                <w:bCs/>
                <w:szCs w:val="20"/>
                <w:rtl/>
                <w:lang w:eastAsia="he-IL"/>
              </w:rPr>
            </w:pPr>
            <w:r w:rsidRPr="006915B8">
              <w:rPr>
                <w:rFonts w:cs="FrankRuehl" w:hint="cs"/>
                <w:b/>
                <w:bCs/>
                <w:szCs w:val="20"/>
                <w:rtl/>
                <w:lang w:eastAsia="he-IL"/>
              </w:rPr>
              <w:t>1,480</w:t>
            </w:r>
          </w:p>
        </w:tc>
        <w:tc>
          <w:tcPr>
            <w:tcW w:w="1305" w:type="dxa"/>
            <w:tcBorders>
              <w:top w:val="single" w:sz="12" w:space="0" w:color="auto"/>
              <w:bottom w:val="single" w:sz="12" w:space="0" w:color="auto"/>
            </w:tcBorders>
            <w:shd w:val="pct10" w:color="auto" w:fill="auto"/>
            <w:vAlign w:val="center"/>
          </w:tcPr>
          <w:p w:rsidR="00E97EDA" w:rsidRPr="006915B8" w:rsidP="006915B8">
            <w:pPr>
              <w:keepLines/>
              <w:spacing w:before="40" w:after="40" w:line="200" w:lineRule="exact"/>
              <w:ind w:left="340"/>
              <w:rPr>
                <w:rFonts w:cs="FrankRuehl"/>
                <w:b/>
                <w:bCs/>
                <w:szCs w:val="20"/>
                <w:rtl/>
                <w:lang w:eastAsia="he-IL"/>
              </w:rPr>
            </w:pPr>
            <w:r w:rsidRPr="006915B8">
              <w:rPr>
                <w:rFonts w:cs="FrankRuehl" w:hint="cs"/>
                <w:b/>
                <w:bCs/>
                <w:szCs w:val="20"/>
                <w:rtl/>
                <w:lang w:eastAsia="he-IL"/>
              </w:rPr>
              <w:t>1,730</w:t>
            </w:r>
          </w:p>
        </w:tc>
        <w:tc>
          <w:tcPr>
            <w:tcW w:w="1220" w:type="dxa"/>
            <w:tcBorders>
              <w:top w:val="single" w:sz="12" w:space="0" w:color="auto"/>
              <w:bottom w:val="single" w:sz="12" w:space="0" w:color="auto"/>
            </w:tcBorders>
            <w:shd w:val="pct10" w:color="auto" w:fill="auto"/>
            <w:vAlign w:val="center"/>
          </w:tcPr>
          <w:p w:rsidR="00E97EDA" w:rsidRPr="006915B8" w:rsidP="006915B8">
            <w:pPr>
              <w:keepLines/>
              <w:spacing w:before="40" w:after="40" w:line="200" w:lineRule="exact"/>
              <w:ind w:left="340"/>
              <w:rPr>
                <w:rFonts w:cs="FrankRuehl"/>
                <w:b/>
                <w:bCs/>
                <w:szCs w:val="20"/>
                <w:rtl/>
                <w:lang w:eastAsia="he-IL"/>
              </w:rPr>
            </w:pPr>
            <w:r w:rsidRPr="006915B8">
              <w:rPr>
                <w:rFonts w:cs="FrankRuehl" w:hint="cs"/>
                <w:b/>
                <w:bCs/>
                <w:szCs w:val="20"/>
                <w:rtl/>
                <w:lang w:eastAsia="he-IL"/>
              </w:rPr>
              <w:t>250-</w:t>
            </w:r>
          </w:p>
        </w:tc>
      </w:tr>
    </w:tbl>
    <w:p w:rsidR="006915B8" w:rsidP="006915B8">
      <w:pPr>
        <w:jc w:val="both"/>
        <w:rPr>
          <w:rFonts w:cs="FrankRuehl"/>
          <w:b/>
          <w:bCs/>
          <w:sz w:val="18"/>
          <w:szCs w:val="22"/>
          <w:lang w:eastAsia="he-IL"/>
        </w:rPr>
      </w:pPr>
    </w:p>
    <w:p w:rsidR="00D22B16" w:rsidRPr="00F41E78" w:rsidP="00D22B16">
      <w:pPr>
        <w:pStyle w:val="RESHET"/>
        <w:keepLines/>
        <w:rPr>
          <w:rtl/>
        </w:rPr>
      </w:pPr>
      <w:r w:rsidRPr="00F41E78">
        <w:rPr>
          <w:rFonts w:hint="cs"/>
          <w:rtl/>
        </w:rPr>
        <w:t>הנתונים מראים כי אם יימשכו מגמות הגידול הקיימות עד שנת היעד, לא תגיע האוכלוסייה במחוז הצפון ליעדי התמ"א והפער יעמוד על כ-250,000 תושבים.</w:t>
      </w:r>
    </w:p>
    <w:p w:rsidR="00E97EDA" w:rsidRPr="00F41E78" w:rsidP="006915B8">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2007 היא השנה האמצעית שבין שנת הכנת התמ"א ובין שנת היעד, לכן אוכלוסיית המחוזות השונים הייתה אמורה להגיע ל-50% מהיעדים שנקבעו להם. אולם מחוז הצפון לא עמד ביעדים ותוספת האוכלוסייה עד 2007 עמדה על כ-32% מיעדי התמ"א, כלומר פיגור של כ-18%. </w:t>
      </w:r>
    </w:p>
    <w:p w:rsidR="00E97EDA" w:rsidRPr="00F41E78" w:rsidP="002A1D15">
      <w:pPr>
        <w:spacing w:after="120" w:line="230" w:lineRule="exact"/>
        <w:jc w:val="both"/>
        <w:rPr>
          <w:rFonts w:cs="FrankRuehl"/>
          <w:sz w:val="18"/>
          <w:szCs w:val="22"/>
          <w:rtl/>
          <w:lang w:eastAsia="he-IL"/>
        </w:rPr>
      </w:pPr>
      <w:r w:rsidRPr="00F41E78">
        <w:rPr>
          <w:rFonts w:cs="FrankRuehl" w:hint="cs"/>
          <w:sz w:val="18"/>
          <w:szCs w:val="22"/>
          <w:rtl/>
          <w:lang w:eastAsia="he-IL"/>
        </w:rPr>
        <w:t xml:space="preserve">פערים ניכרים נמצאו גם בין הנפות. </w:t>
      </w:r>
      <w:r w:rsidR="002A1D15">
        <w:rPr>
          <w:rFonts w:cs="FrankRuehl" w:hint="cs"/>
          <w:sz w:val="18"/>
          <w:szCs w:val="22"/>
          <w:rtl/>
          <w:lang w:eastAsia="he-IL"/>
        </w:rPr>
        <w:t>ב</w:t>
      </w:r>
      <w:r w:rsidRPr="00F41E78">
        <w:rPr>
          <w:rFonts w:cs="FrankRuehl" w:hint="cs"/>
          <w:sz w:val="18"/>
          <w:szCs w:val="22"/>
          <w:rtl/>
          <w:lang w:eastAsia="he-IL"/>
        </w:rPr>
        <w:t xml:space="preserve">נפת הגולן הושגו כ-43.5% מהיעדים לעומת 29.3% בנפת יזרעאל ו-33% בנפת עכו, שאינן מצליחות למשוך אליהן אוכלוסייה חדשה. צוות המעקב ציין כי השגת היעדים במחוז הצפון היא הנמוכה ביותר מבין כל המחוזות, בייחוד בכל האמור לאוכלוסייה היהודית שלגביה הושגו רק 26.8% מהיעדים. כדי להדביק את הפערים ולעמוד ביעדי התמ"א, קצב הגידול השנתי של האוכלוסייה במחוז הצפון צריך כמעט להכפיל את עצמו. </w:t>
      </w:r>
    </w:p>
    <w:p w:rsidR="00E97EDA" w:rsidRPr="00F41E78" w:rsidP="00F802DB">
      <w:pPr>
        <w:spacing w:after="240" w:line="230" w:lineRule="exact"/>
        <w:jc w:val="both"/>
        <w:rPr>
          <w:rFonts w:cs="FrankRuehl"/>
          <w:sz w:val="18"/>
          <w:szCs w:val="22"/>
          <w:rtl/>
          <w:lang w:eastAsia="he-IL"/>
        </w:rPr>
      </w:pPr>
      <w:r w:rsidRPr="00F41E78">
        <w:rPr>
          <w:rFonts w:cs="FrankRuehl" w:hint="cs"/>
          <w:sz w:val="18"/>
          <w:szCs w:val="22"/>
          <w:rtl/>
          <w:lang w:eastAsia="he-IL"/>
        </w:rPr>
        <w:t xml:space="preserve">צוות המעקב ציין כי מחוז הצפון הוא אזור בעל פוטנציאל גבוה להגירה פנימית שאינו מתממש משום שלא נעשות די פעולות להפוך אותו ליעד מועדף להגירה, וישנו צורך לשפר את תשתיות התחבורה, ליצור מקומות תעסוקה וליישם את אמצעי המדיניות שנקבעו בתמ"א 35. </w:t>
      </w:r>
    </w:p>
    <w:p w:rsidR="00D22B16" w:rsidRPr="00F41E78" w:rsidP="00D22B16">
      <w:pPr>
        <w:pStyle w:val="RESHET"/>
        <w:keepLines/>
        <w:rPr>
          <w:rtl/>
        </w:rPr>
      </w:pPr>
      <w:r w:rsidRPr="00F41E78">
        <w:rPr>
          <w:rFonts w:hint="cs"/>
          <w:rtl/>
        </w:rPr>
        <w:t xml:space="preserve">נמצא אפוא כי בשנת 2007 נרשם פיגור של כ-18% - בעיקר בקרב האוכלוסייה היהודית -מיעדי תמ"א 35 הנוגעים לשיעור גידול האוכלוסייה במחוז הצפון, דהיינו פער של </w:t>
      </w:r>
      <w:r>
        <w:rPr>
          <w:rtl/>
        </w:rPr>
        <w:br/>
      </w:r>
      <w:r w:rsidRPr="00F41E78">
        <w:rPr>
          <w:rFonts w:hint="cs"/>
          <w:rtl/>
        </w:rPr>
        <w:t xml:space="preserve">כ-250,000 תושבים. הנתונים מלמדים על הגירה פנימית שלילית, בייחוד מנפות עכו ויזרעאל, ובדומה לממצאים שהוצגו בפרק על מדיניות התכנון הלאומית, הם מלמדים על העדפת המרכז על פני הפריפריה ועל כישלונה של הממשלה בהכוונת הפיתוח לגליל. </w:t>
      </w:r>
    </w:p>
    <w:p w:rsidR="00D22B16" w:rsidRPr="00F41E78" w:rsidP="00D22B16">
      <w:pPr>
        <w:pStyle w:val="RESHET"/>
        <w:keepLines/>
        <w:rPr>
          <w:rtl/>
        </w:rPr>
      </w:pPr>
      <w:r w:rsidRPr="00F41E78">
        <w:rPr>
          <w:rFonts w:hint="cs"/>
          <w:rtl/>
        </w:rPr>
        <w:t xml:space="preserve">משרד מבקר המדינה מדגיש כי נדרשת עבודת מטה יסודית שתבחן אמצעים לעידוד האוכלוסייה לעבור לפריפריה הצפונית. על הממשלה לקבל החלטות בנוגע ליישום אמצעים אלו, על פי מדיניותה המוצהרת. מאחר שבמחוז הצפון מצויות עתודות קרקע נרחבות לפיתוח, הכוונת הפיתוח למחוז זה תתרום להשגת יעדי התכנון הלאומי ותביא לידי ויסות מחירי הדיור. </w:t>
      </w:r>
    </w:p>
    <w:p w:rsidR="00D77393" w:rsidRPr="00F802DB" w:rsidP="00F802DB">
      <w:pPr>
        <w:spacing w:after="120" w:line="230" w:lineRule="exact"/>
        <w:ind w:left="12"/>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עתודות הקרקע</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צוות המעקב של תמ"א 35 בחן את עתודות הקרקע לפיתוח במחוז הצפון. הוא מצא כי לפי תכניות המתאר המחוזיות ישנם במחוז הצפון כ-578,000 דונם המיועדים לפיתוח עירוני וכפרי, המיועד בעיקר לשכונות מגורים, שמתוכם מוצו עד כה כ-240,000 דונם ונותרו כ-338,000 דונם לפיתוח. עתודות אלו הן כ-33% מהעתודות לפיתוח עירוני וכפרי בכל המדינה.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צוות המעקב הניח שרק כ-50% מעתודות הקרקע אכן ריאליות לפיתוח, בשל מגבלות שונות, ומצא כי במחוז הצפון ישנם כ-169,000 דונם ריאליים לפיתוח (לעומת כ-82,000 במחוז המרכז </w:t>
      </w:r>
      <w:r w:rsidR="00F802DB">
        <w:rPr>
          <w:rFonts w:cs="FrankRuehl"/>
          <w:sz w:val="18"/>
          <w:szCs w:val="22"/>
          <w:lang w:eastAsia="he-IL"/>
        </w:rPr>
        <w:br/>
      </w:r>
      <w:r w:rsidRPr="00F41E78">
        <w:rPr>
          <w:rFonts w:cs="FrankRuehl" w:hint="cs"/>
          <w:sz w:val="18"/>
          <w:szCs w:val="22"/>
          <w:rtl/>
          <w:lang w:eastAsia="he-IL"/>
        </w:rPr>
        <w:t xml:space="preserve">ו-142,000 דונם במחוז הדרום).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הצוות גם חישב את שיעור המימוש של עתודות הקרקע במחוז מאז 1998. הוא מצא שבשנים 2007-1998 מומשו כ-14,000 דונם מעתודות הקרקע שהם כ-8% מסך העתודות הריאליות לפיתוח (לעומת מימוש של 17.4% במחוז המרכז ו-6% במחוז הדרום). </w:t>
      </w:r>
    </w:p>
    <w:p w:rsidR="00E97EDA" w:rsidRPr="00F41E78" w:rsidP="00F802DB">
      <w:pPr>
        <w:spacing w:after="240" w:line="230" w:lineRule="exact"/>
        <w:ind w:left="12"/>
        <w:jc w:val="both"/>
        <w:rPr>
          <w:rFonts w:cs="FrankRuehl"/>
          <w:sz w:val="18"/>
          <w:szCs w:val="22"/>
          <w:rtl/>
          <w:lang w:eastAsia="he-IL"/>
        </w:rPr>
      </w:pPr>
      <w:r w:rsidRPr="00F41E78">
        <w:rPr>
          <w:rFonts w:cs="FrankRuehl" w:hint="cs"/>
          <w:sz w:val="18"/>
          <w:szCs w:val="22"/>
          <w:rtl/>
          <w:lang w:eastAsia="he-IL"/>
        </w:rPr>
        <w:t xml:space="preserve">בשל קצב הפיתוח האטי נותרו במחוז הצפון עתודות קרקע גדולות לפיתוח לצורכי מגורים. בנפת יזרעאל ישנן עתודות ריאליות בהיקפים גדולים (כ-57,000 דונם) ומיצוין עד 2007 היה יחסית נמוך (כ-7%). בנפת עכו המצב דומה (כ-56,000 דונם) אף שקצב המיצוי שם היה מהיר יותר. </w:t>
      </w:r>
    </w:p>
    <w:p w:rsidR="00D22B16" w:rsidRPr="00F802DB" w:rsidP="00D22B16">
      <w:pPr>
        <w:pStyle w:val="RESHET"/>
        <w:keepLines/>
        <w:rPr>
          <w:spacing w:val="-2"/>
          <w:rtl/>
        </w:rPr>
      </w:pPr>
      <w:r w:rsidRPr="00F802DB">
        <w:rPr>
          <w:rFonts w:hint="cs"/>
          <w:spacing w:val="-2"/>
          <w:rtl/>
        </w:rPr>
        <w:t xml:space="preserve">נתונים אלו מלמדים על הפוטנציאל הגדול לפיתוח הקיים במחוז הצפון, בייחוד בנפות הדרומיות והמערביות הפחות מרוחקות ממרכז הארץ. אולם אין הוא מתממש בקצב הרצוי על פי עקרונות התכנון הארצי בגלל חסמים שונים בהליכי התכנון, בעיקר מחסור בתשתיות, ובשל דפוסי הביקושים הנמוכים. ללא עידוד ההתיישבות במחוז הצפון תימשך ההגירה השלילית, ואגב כך הפערים בין המרכז לצפון עלולים לגדול וכך גם הקושי לווסת את מחירי הדיור. </w:t>
      </w:r>
    </w:p>
    <w:p w:rsidR="00774FAE" w:rsidRPr="00582A43" w:rsidP="00A7557B">
      <w:pPr>
        <w:pStyle w:val="KOT5"/>
        <w:rPr>
          <w:rtl/>
          <w:lang w:eastAsia="he-IL"/>
        </w:rPr>
      </w:pPr>
    </w:p>
    <w:p w:rsidR="00E97EDA" w:rsidRPr="00582A43" w:rsidP="00A7557B">
      <w:pPr>
        <w:pStyle w:val="KOT5"/>
        <w:rPr>
          <w:rtl/>
          <w:lang w:eastAsia="he-IL"/>
        </w:rPr>
      </w:pPr>
      <w:r w:rsidRPr="00582A43">
        <w:rPr>
          <w:rFonts w:hint="cs"/>
          <w:rtl/>
          <w:lang w:eastAsia="he-IL"/>
        </w:rPr>
        <w:t>תכניות המתאר המקומיות של יישובי הצפון</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תכניות מתאר מקומיות של יישובים הן בסיס ראוי לקבלת החלטות בשלב הכנת תכניות מפורטות, וקיומן של תכניות מתאר עשוי לסייע בייעול הליכי התכנון ופישוטם. כפי שצוין, משרד מבקר המדינה התייחס בעבר להיבטים הנוגעים לתכנון המתארי המקומי הכולל</w:t>
      </w:r>
      <w:r>
        <w:rPr>
          <w:rFonts w:cs="FrankRuehl"/>
          <w:sz w:val="18"/>
          <w:szCs w:val="22"/>
          <w:vertAlign w:val="superscript"/>
          <w:rtl/>
          <w:lang w:eastAsia="he-IL"/>
        </w:rPr>
        <w:footnoteReference w:id="241"/>
      </w:r>
      <w:r w:rsidRPr="00F41E78">
        <w:rPr>
          <w:rFonts w:cs="FrankRuehl" w:hint="cs"/>
          <w:sz w:val="18"/>
          <w:szCs w:val="22"/>
          <w:rtl/>
          <w:lang w:eastAsia="he-IL"/>
        </w:rPr>
        <w:t xml:space="preserve"> ולצורך לעדכנו.</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להלן מצב הקידום של תכניות מתאר מקומיות של יישובים במחוז הצפון על פי נתוני מינהל התכנון מיולי 2013. הנתונים נוגעים הן לתכניות של רשויות מקומיות הן לתכניות של יישובים (ועדים מקומיים) בתחומי מועצות אזוריות:</w:t>
      </w:r>
    </w:p>
    <w:p w:rsidR="00E97EDA" w:rsidRPr="00873FEC" w:rsidP="00F802DB">
      <w:pPr>
        <w:pStyle w:val="tab-name"/>
        <w:rPr>
          <w:rtl/>
          <w:lang w:eastAsia="he-IL"/>
        </w:rPr>
      </w:pPr>
      <w:r w:rsidRPr="000968CF">
        <w:rPr>
          <w:rFonts w:hint="cs"/>
          <w:b w:val="0"/>
          <w:bCs w:val="0"/>
          <w:sz w:val="20"/>
          <w:szCs w:val="20"/>
          <w:rtl/>
          <w:lang w:eastAsia="he-IL"/>
        </w:rPr>
        <w:t xml:space="preserve">לוח </w:t>
      </w:r>
      <w:r w:rsidRPr="000968CF" w:rsidR="00F802DB">
        <w:rPr>
          <w:rFonts w:hint="cs"/>
          <w:b w:val="0"/>
          <w:bCs w:val="0"/>
          <w:sz w:val="20"/>
          <w:szCs w:val="20"/>
          <w:rtl/>
          <w:lang w:eastAsia="he-IL"/>
        </w:rPr>
        <w:t>2</w:t>
      </w:r>
      <w:r w:rsidR="00F802DB">
        <w:rPr>
          <w:lang w:eastAsia="he-IL"/>
        </w:rPr>
        <w:br/>
      </w:r>
      <w:r w:rsidRPr="00873FEC">
        <w:rPr>
          <w:rFonts w:hint="cs"/>
          <w:rtl/>
          <w:lang w:eastAsia="he-IL"/>
        </w:rPr>
        <w:t>מצבן</w:t>
      </w:r>
      <w:r>
        <w:rPr>
          <w:rFonts w:hint="cs"/>
          <w:rtl/>
          <w:lang w:eastAsia="he-IL"/>
        </w:rPr>
        <w:t xml:space="preserve"> </w:t>
      </w:r>
      <w:r w:rsidRPr="00873FEC">
        <w:rPr>
          <w:rFonts w:hint="cs"/>
          <w:rtl/>
          <w:lang w:eastAsia="he-IL"/>
        </w:rPr>
        <w:t>של</w:t>
      </w:r>
      <w:r>
        <w:rPr>
          <w:rFonts w:hint="cs"/>
          <w:rtl/>
          <w:lang w:eastAsia="he-IL"/>
        </w:rPr>
        <w:t xml:space="preserve"> </w:t>
      </w:r>
      <w:r w:rsidRPr="00873FEC">
        <w:rPr>
          <w:rFonts w:hint="cs"/>
          <w:rtl/>
          <w:lang w:eastAsia="he-IL"/>
        </w:rPr>
        <w:t>תכניות המתאר המקומיות במחוז הצפון, יולי 2013</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CellMar>
          <w:left w:w="57" w:type="dxa"/>
          <w:right w:w="57" w:type="dxa"/>
        </w:tblCellMar>
        <w:tblLook w:val="01E0"/>
      </w:tblPr>
      <w:tblGrid>
        <w:gridCol w:w="3104"/>
        <w:gridCol w:w="857"/>
        <w:gridCol w:w="743"/>
        <w:gridCol w:w="706"/>
        <w:gridCol w:w="568"/>
        <w:gridCol w:w="713"/>
      </w:tblGrid>
      <w:tr w:rsidTr="00382334">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CellMar>
            <w:left w:w="57" w:type="dxa"/>
            <w:right w:w="57" w:type="dxa"/>
          </w:tblCellMar>
          <w:tblLook w:val="01E0"/>
        </w:tblPrEx>
        <w:trPr>
          <w:jc w:val="center"/>
        </w:trPr>
        <w:tc>
          <w:tcPr>
            <w:tcW w:w="0" w:type="auto"/>
            <w:tcBorders>
              <w:top w:val="single" w:sz="12" w:space="0" w:color="auto"/>
              <w:bottom w:val="single" w:sz="12" w:space="0" w:color="auto"/>
            </w:tcBorders>
            <w:shd w:val="pct10" w:color="auto" w:fill="auto"/>
            <w:vAlign w:val="bottom"/>
          </w:tcPr>
          <w:p w:rsidR="00E97EDA" w:rsidRPr="00F802DB" w:rsidP="00F802DB">
            <w:pPr>
              <w:spacing w:before="40" w:after="20" w:line="200" w:lineRule="exact"/>
              <w:jc w:val="center"/>
              <w:rPr>
                <w:rFonts w:cs="FrankRuehl"/>
                <w:b/>
                <w:bCs/>
                <w:szCs w:val="20"/>
                <w:rtl/>
                <w:lang w:eastAsia="he-IL"/>
              </w:rPr>
            </w:pPr>
            <w:r w:rsidRPr="00F802DB">
              <w:rPr>
                <w:rFonts w:cs="FrankRuehl" w:hint="cs"/>
                <w:b/>
                <w:bCs/>
                <w:szCs w:val="20"/>
                <w:rtl/>
                <w:lang w:eastAsia="he-IL"/>
              </w:rPr>
              <w:t>מצב הקידום</w:t>
            </w:r>
          </w:p>
        </w:tc>
        <w:tc>
          <w:tcPr>
            <w:tcW w:w="0" w:type="auto"/>
            <w:tcBorders>
              <w:top w:val="single" w:sz="12" w:space="0" w:color="auto"/>
              <w:bottom w:val="single" w:sz="12" w:space="0" w:color="auto"/>
            </w:tcBorders>
            <w:shd w:val="pct10" w:color="auto" w:fill="auto"/>
            <w:vAlign w:val="bottom"/>
          </w:tcPr>
          <w:p w:rsidR="00E97EDA" w:rsidRPr="00F802DB" w:rsidP="00F802DB">
            <w:pPr>
              <w:spacing w:before="40" w:after="20" w:line="200" w:lineRule="exact"/>
              <w:jc w:val="center"/>
              <w:rPr>
                <w:rFonts w:cs="FrankRuehl"/>
                <w:b/>
                <w:bCs/>
                <w:szCs w:val="20"/>
                <w:rtl/>
                <w:lang w:eastAsia="he-IL"/>
              </w:rPr>
            </w:pPr>
            <w:r w:rsidRPr="00F802DB">
              <w:rPr>
                <w:rFonts w:cs="FrankRuehl" w:hint="cs"/>
                <w:b/>
                <w:bCs/>
                <w:szCs w:val="20"/>
                <w:rtl/>
                <w:lang w:eastAsia="he-IL"/>
              </w:rPr>
              <w:t>ועד מקומי</w:t>
            </w:r>
          </w:p>
        </w:tc>
        <w:tc>
          <w:tcPr>
            <w:tcW w:w="0" w:type="auto"/>
            <w:tcBorders>
              <w:top w:val="single" w:sz="12" w:space="0" w:color="auto"/>
              <w:bottom w:val="single" w:sz="12" w:space="0" w:color="auto"/>
            </w:tcBorders>
            <w:shd w:val="pct10" w:color="auto" w:fill="auto"/>
            <w:vAlign w:val="bottom"/>
          </w:tcPr>
          <w:p w:rsidR="00E97EDA" w:rsidRPr="00F802DB" w:rsidP="00F802DB">
            <w:pPr>
              <w:spacing w:before="40" w:after="20" w:line="200" w:lineRule="exact"/>
              <w:jc w:val="center"/>
              <w:rPr>
                <w:rFonts w:cs="FrankRuehl"/>
                <w:b/>
                <w:bCs/>
                <w:szCs w:val="20"/>
                <w:rtl/>
                <w:lang w:eastAsia="he-IL"/>
              </w:rPr>
            </w:pPr>
            <w:r w:rsidRPr="00F802DB">
              <w:rPr>
                <w:rFonts w:cs="FrankRuehl" w:hint="cs"/>
                <w:b/>
                <w:bCs/>
                <w:szCs w:val="20"/>
                <w:rtl/>
                <w:lang w:eastAsia="he-IL"/>
              </w:rPr>
              <w:t xml:space="preserve">מועצות </w:t>
            </w:r>
            <w:r w:rsidR="00F802DB">
              <w:rPr>
                <w:rFonts w:cs="FrankRuehl"/>
                <w:b/>
                <w:bCs/>
                <w:szCs w:val="20"/>
                <w:lang w:eastAsia="he-IL"/>
              </w:rPr>
              <w:br/>
            </w:r>
            <w:r w:rsidRPr="00F802DB">
              <w:rPr>
                <w:rFonts w:cs="FrankRuehl" w:hint="cs"/>
                <w:b/>
                <w:bCs/>
                <w:szCs w:val="20"/>
                <w:rtl/>
                <w:lang w:eastAsia="he-IL"/>
              </w:rPr>
              <w:t>אזוריות</w:t>
            </w:r>
            <w:r w:rsidR="00382334">
              <w:rPr>
                <w:rFonts w:cs="FrankRuehl" w:hint="cs"/>
                <w:b/>
                <w:bCs/>
                <w:szCs w:val="20"/>
                <w:rtl/>
                <w:lang w:eastAsia="he-IL"/>
              </w:rPr>
              <w:t>*</w:t>
            </w:r>
          </w:p>
        </w:tc>
        <w:tc>
          <w:tcPr>
            <w:tcW w:w="0" w:type="auto"/>
            <w:tcBorders>
              <w:top w:val="single" w:sz="12" w:space="0" w:color="auto"/>
              <w:bottom w:val="single" w:sz="12" w:space="0" w:color="auto"/>
            </w:tcBorders>
            <w:shd w:val="pct10" w:color="auto" w:fill="auto"/>
            <w:vAlign w:val="bottom"/>
          </w:tcPr>
          <w:p w:rsidR="00E97EDA" w:rsidRPr="00F802DB" w:rsidP="00F802DB">
            <w:pPr>
              <w:spacing w:before="40" w:after="20" w:line="200" w:lineRule="exact"/>
              <w:jc w:val="center"/>
              <w:rPr>
                <w:rFonts w:cs="FrankRuehl"/>
                <w:b/>
                <w:bCs/>
                <w:szCs w:val="20"/>
                <w:rtl/>
                <w:lang w:eastAsia="he-IL"/>
              </w:rPr>
            </w:pPr>
            <w:r w:rsidRPr="00F802DB">
              <w:rPr>
                <w:rFonts w:cs="FrankRuehl" w:hint="cs"/>
                <w:b/>
                <w:bCs/>
                <w:szCs w:val="20"/>
                <w:rtl/>
                <w:lang w:eastAsia="he-IL"/>
              </w:rPr>
              <w:t xml:space="preserve">מועצות </w:t>
            </w:r>
            <w:r w:rsidR="00F802DB">
              <w:rPr>
                <w:rFonts w:cs="FrankRuehl"/>
                <w:b/>
                <w:bCs/>
                <w:szCs w:val="20"/>
                <w:lang w:eastAsia="he-IL"/>
              </w:rPr>
              <w:br/>
            </w:r>
            <w:r w:rsidRPr="00F802DB">
              <w:rPr>
                <w:rFonts w:cs="FrankRuehl" w:hint="cs"/>
                <w:b/>
                <w:bCs/>
                <w:szCs w:val="20"/>
                <w:rtl/>
                <w:lang w:eastAsia="he-IL"/>
              </w:rPr>
              <w:t>מקומיות</w:t>
            </w:r>
          </w:p>
        </w:tc>
        <w:tc>
          <w:tcPr>
            <w:tcW w:w="0" w:type="auto"/>
            <w:tcBorders>
              <w:top w:val="single" w:sz="12" w:space="0" w:color="auto"/>
              <w:bottom w:val="single" w:sz="12" w:space="0" w:color="auto"/>
            </w:tcBorders>
            <w:shd w:val="pct10" w:color="auto" w:fill="auto"/>
            <w:vAlign w:val="bottom"/>
          </w:tcPr>
          <w:p w:rsidR="00E97EDA" w:rsidRPr="00F802DB" w:rsidP="00F802DB">
            <w:pPr>
              <w:spacing w:before="40" w:after="20" w:line="200" w:lineRule="exact"/>
              <w:jc w:val="center"/>
              <w:rPr>
                <w:rFonts w:cs="FrankRuehl"/>
                <w:b/>
                <w:bCs/>
                <w:szCs w:val="20"/>
                <w:rtl/>
                <w:lang w:eastAsia="he-IL"/>
              </w:rPr>
            </w:pPr>
            <w:r w:rsidRPr="00F802DB">
              <w:rPr>
                <w:rFonts w:cs="FrankRuehl" w:hint="cs"/>
                <w:b/>
                <w:bCs/>
                <w:szCs w:val="20"/>
                <w:rtl/>
                <w:lang w:eastAsia="he-IL"/>
              </w:rPr>
              <w:t>עיריות</w:t>
            </w:r>
          </w:p>
        </w:tc>
        <w:tc>
          <w:tcPr>
            <w:tcW w:w="0" w:type="auto"/>
            <w:tcBorders>
              <w:top w:val="single" w:sz="12" w:space="0" w:color="auto"/>
              <w:bottom w:val="single" w:sz="12" w:space="0" w:color="auto"/>
            </w:tcBorders>
            <w:shd w:val="pct10" w:color="auto" w:fill="auto"/>
            <w:vAlign w:val="bottom"/>
          </w:tcPr>
          <w:p w:rsidR="00E97EDA" w:rsidRPr="00F802DB" w:rsidP="00F802DB">
            <w:pPr>
              <w:spacing w:before="40" w:after="20" w:line="200" w:lineRule="exact"/>
              <w:jc w:val="center"/>
              <w:rPr>
                <w:rFonts w:cs="FrankRuehl"/>
                <w:b/>
                <w:bCs/>
                <w:szCs w:val="20"/>
                <w:rtl/>
                <w:lang w:eastAsia="he-IL"/>
              </w:rPr>
            </w:pPr>
            <w:r w:rsidRPr="00F802DB">
              <w:rPr>
                <w:rFonts w:cs="FrankRuehl" w:hint="cs"/>
                <w:b/>
                <w:bCs/>
                <w:szCs w:val="20"/>
                <w:rtl/>
                <w:lang w:eastAsia="he-IL"/>
              </w:rPr>
              <w:t>סך הכול</w:t>
            </w:r>
          </w:p>
        </w:tc>
      </w:tr>
      <w:tr w:rsidTr="00382334">
        <w:tblPrEx>
          <w:tblW w:w="6691" w:type="dxa"/>
          <w:jc w:val="center"/>
          <w:tblCellMar>
            <w:left w:w="57" w:type="dxa"/>
            <w:right w:w="57" w:type="dxa"/>
          </w:tblCellMar>
          <w:tblLook w:val="01E0"/>
        </w:tblPrEx>
        <w:trPr>
          <w:jc w:val="center"/>
        </w:trPr>
        <w:tc>
          <w:tcPr>
            <w:tcW w:w="0" w:type="auto"/>
            <w:tcBorders>
              <w:top w:val="single" w:sz="12" w:space="0" w:color="auto"/>
            </w:tcBorders>
            <w:shd w:val="clear" w:color="auto" w:fill="auto"/>
            <w:vAlign w:val="center"/>
          </w:tcPr>
          <w:p w:rsidR="00E97EDA" w:rsidRPr="00F802DB" w:rsidP="00F802DB">
            <w:pPr>
              <w:pStyle w:val="FootnoteText"/>
              <w:spacing w:before="40" w:after="20" w:line="200" w:lineRule="exact"/>
              <w:rPr>
                <w:rFonts w:cs="FrankRuehl"/>
                <w:sz w:val="24"/>
                <w:rtl/>
                <w:lang w:eastAsia="he-IL"/>
              </w:rPr>
            </w:pPr>
            <w:r w:rsidRPr="00F802DB">
              <w:rPr>
                <w:rFonts w:cs="FrankRuehl" w:hint="cs"/>
                <w:sz w:val="24"/>
                <w:rtl/>
                <w:lang w:eastAsia="he-IL"/>
              </w:rPr>
              <w:t>אין תכנית מתאר עדכנית או אין תכנית בכלל</w:t>
            </w:r>
          </w:p>
        </w:tc>
        <w:tc>
          <w:tcPr>
            <w:tcW w:w="0" w:type="auto"/>
            <w:tcBorders>
              <w:top w:val="single" w:sz="12" w:space="0" w:color="auto"/>
            </w:tcBorders>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3</w:t>
            </w:r>
          </w:p>
        </w:tc>
        <w:tc>
          <w:tcPr>
            <w:tcW w:w="0" w:type="auto"/>
            <w:tcBorders>
              <w:top w:val="single" w:sz="12" w:space="0" w:color="auto"/>
            </w:tcBorders>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13</w:t>
            </w:r>
          </w:p>
        </w:tc>
        <w:tc>
          <w:tcPr>
            <w:tcW w:w="0" w:type="auto"/>
            <w:tcBorders>
              <w:top w:val="single" w:sz="12" w:space="0" w:color="auto"/>
            </w:tcBorders>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26</w:t>
            </w:r>
          </w:p>
        </w:tc>
        <w:tc>
          <w:tcPr>
            <w:tcW w:w="0" w:type="auto"/>
            <w:tcBorders>
              <w:top w:val="single" w:sz="12" w:space="0" w:color="auto"/>
            </w:tcBorders>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1</w:t>
            </w:r>
          </w:p>
        </w:tc>
        <w:tc>
          <w:tcPr>
            <w:tcW w:w="0" w:type="auto"/>
            <w:tcBorders>
              <w:top w:val="single" w:sz="12" w:space="0" w:color="auto"/>
            </w:tcBorders>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43</w:t>
            </w:r>
          </w:p>
        </w:tc>
      </w:tr>
      <w:tr w:rsidTr="00382334">
        <w:tblPrEx>
          <w:tblW w:w="6691" w:type="dxa"/>
          <w:jc w:val="center"/>
          <w:tblCellMar>
            <w:left w:w="57" w:type="dxa"/>
            <w:right w:w="57" w:type="dxa"/>
          </w:tblCellMar>
          <w:tblLook w:val="01E0"/>
        </w:tblPrEx>
        <w:trPr>
          <w:jc w:val="center"/>
        </w:trPr>
        <w:tc>
          <w:tcPr>
            <w:tcW w:w="0" w:type="auto"/>
            <w:shd w:val="clear" w:color="auto" w:fill="auto"/>
            <w:vAlign w:val="center"/>
          </w:tcPr>
          <w:p w:rsidR="00E97EDA" w:rsidRPr="00F802DB" w:rsidP="00F802DB">
            <w:pPr>
              <w:spacing w:before="40" w:after="20" w:line="200" w:lineRule="exact"/>
              <w:rPr>
                <w:rFonts w:ascii="Calibri" w:hAnsi="Calibri" w:cs="FrankRuehl"/>
                <w:sz w:val="22"/>
                <w:szCs w:val="20"/>
                <w:rtl/>
                <w:lang w:eastAsia="he-IL"/>
              </w:rPr>
            </w:pPr>
            <w:r w:rsidRPr="00F802DB">
              <w:rPr>
                <w:rFonts w:cs="FrankRuehl" w:hint="cs"/>
                <w:szCs w:val="20"/>
                <w:rtl/>
                <w:lang w:eastAsia="he-IL"/>
              </w:rPr>
              <w:t>תכנית בהכנה</w:t>
            </w:r>
          </w:p>
        </w:tc>
        <w:tc>
          <w:tcPr>
            <w:tcW w:w="0" w:type="auto"/>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1</w:t>
            </w:r>
          </w:p>
        </w:tc>
        <w:tc>
          <w:tcPr>
            <w:tcW w:w="0" w:type="auto"/>
            <w:shd w:val="clear" w:color="auto" w:fill="auto"/>
            <w:vAlign w:val="center"/>
          </w:tcPr>
          <w:p w:rsidR="00E97EDA" w:rsidRPr="00F802DB" w:rsidP="00F802DB">
            <w:pPr>
              <w:spacing w:before="40" w:after="20" w:line="200" w:lineRule="exact"/>
              <w:ind w:left="170"/>
              <w:rPr>
                <w:rFonts w:cs="FrankRuehl"/>
                <w:szCs w:val="20"/>
                <w:rtl/>
                <w:lang w:eastAsia="he-IL"/>
              </w:rPr>
            </w:pPr>
          </w:p>
        </w:tc>
        <w:tc>
          <w:tcPr>
            <w:tcW w:w="0" w:type="auto"/>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6</w:t>
            </w:r>
          </w:p>
        </w:tc>
        <w:tc>
          <w:tcPr>
            <w:tcW w:w="0" w:type="auto"/>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7</w:t>
            </w:r>
          </w:p>
        </w:tc>
        <w:tc>
          <w:tcPr>
            <w:tcW w:w="0" w:type="auto"/>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14</w:t>
            </w:r>
          </w:p>
        </w:tc>
      </w:tr>
      <w:tr w:rsidTr="00382334">
        <w:tblPrEx>
          <w:tblW w:w="6691" w:type="dxa"/>
          <w:jc w:val="center"/>
          <w:tblCellMar>
            <w:left w:w="57" w:type="dxa"/>
            <w:right w:w="57" w:type="dxa"/>
          </w:tblCellMar>
          <w:tblLook w:val="01E0"/>
        </w:tblPrEx>
        <w:trPr>
          <w:jc w:val="center"/>
        </w:trPr>
        <w:tc>
          <w:tcPr>
            <w:tcW w:w="0" w:type="auto"/>
            <w:shd w:val="clear" w:color="auto" w:fill="auto"/>
            <w:vAlign w:val="center"/>
          </w:tcPr>
          <w:p w:rsidR="00E97EDA" w:rsidRPr="00F802DB" w:rsidP="00F802DB">
            <w:pPr>
              <w:spacing w:before="40" w:after="20" w:line="200" w:lineRule="exact"/>
              <w:rPr>
                <w:rFonts w:ascii="Calibri" w:hAnsi="Calibri" w:cs="FrankRuehl"/>
                <w:sz w:val="22"/>
                <w:szCs w:val="20"/>
                <w:rtl/>
                <w:lang w:eastAsia="he-IL"/>
              </w:rPr>
            </w:pPr>
            <w:r w:rsidRPr="00F802DB">
              <w:rPr>
                <w:rFonts w:cs="FrankRuehl" w:hint="cs"/>
                <w:szCs w:val="20"/>
                <w:rtl/>
                <w:lang w:eastAsia="he-IL"/>
              </w:rPr>
              <w:t>תכנית בתהליכי אישור בוועדה המחוזית</w:t>
            </w:r>
          </w:p>
        </w:tc>
        <w:tc>
          <w:tcPr>
            <w:tcW w:w="0" w:type="auto"/>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3</w:t>
            </w:r>
          </w:p>
        </w:tc>
        <w:tc>
          <w:tcPr>
            <w:tcW w:w="0" w:type="auto"/>
            <w:shd w:val="clear" w:color="auto" w:fill="auto"/>
            <w:vAlign w:val="center"/>
          </w:tcPr>
          <w:p w:rsidR="00E97EDA" w:rsidRPr="00F802DB" w:rsidP="00F802DB">
            <w:pPr>
              <w:spacing w:before="40" w:after="20" w:line="200" w:lineRule="exact"/>
              <w:ind w:left="170"/>
              <w:rPr>
                <w:rFonts w:cs="FrankRuehl"/>
                <w:szCs w:val="20"/>
                <w:rtl/>
                <w:lang w:eastAsia="he-IL"/>
              </w:rPr>
            </w:pPr>
          </w:p>
        </w:tc>
        <w:tc>
          <w:tcPr>
            <w:tcW w:w="0" w:type="auto"/>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14</w:t>
            </w:r>
          </w:p>
        </w:tc>
        <w:tc>
          <w:tcPr>
            <w:tcW w:w="0" w:type="auto"/>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5</w:t>
            </w:r>
          </w:p>
        </w:tc>
        <w:tc>
          <w:tcPr>
            <w:tcW w:w="0" w:type="auto"/>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22</w:t>
            </w:r>
          </w:p>
        </w:tc>
      </w:tr>
      <w:tr w:rsidTr="00382334">
        <w:tblPrEx>
          <w:tblW w:w="6691" w:type="dxa"/>
          <w:jc w:val="center"/>
          <w:tblCellMar>
            <w:left w:w="57" w:type="dxa"/>
            <w:right w:w="57" w:type="dxa"/>
          </w:tblCellMar>
          <w:tblLook w:val="01E0"/>
        </w:tblPrEx>
        <w:trPr>
          <w:jc w:val="center"/>
        </w:trPr>
        <w:tc>
          <w:tcPr>
            <w:tcW w:w="0" w:type="auto"/>
            <w:tcBorders>
              <w:bottom w:val="single" w:sz="12" w:space="0" w:color="auto"/>
            </w:tcBorders>
            <w:shd w:val="clear" w:color="auto" w:fill="auto"/>
            <w:vAlign w:val="center"/>
          </w:tcPr>
          <w:p w:rsidR="00E97EDA" w:rsidRPr="00F802DB" w:rsidP="00F802DB">
            <w:pPr>
              <w:spacing w:before="40" w:after="20" w:line="200" w:lineRule="exact"/>
              <w:rPr>
                <w:rFonts w:ascii="Calibri" w:hAnsi="Calibri" w:cs="FrankRuehl"/>
                <w:sz w:val="22"/>
                <w:szCs w:val="20"/>
                <w:rtl/>
                <w:lang w:eastAsia="he-IL"/>
              </w:rPr>
            </w:pPr>
            <w:r w:rsidRPr="00F802DB">
              <w:rPr>
                <w:rFonts w:cs="FrankRuehl" w:hint="cs"/>
                <w:szCs w:val="20"/>
                <w:rtl/>
                <w:lang w:eastAsia="he-IL"/>
              </w:rPr>
              <w:t>תכנית עדכנית בתוקף (אושרה לאחר 2000)</w:t>
            </w:r>
          </w:p>
        </w:tc>
        <w:tc>
          <w:tcPr>
            <w:tcW w:w="0" w:type="auto"/>
            <w:tcBorders>
              <w:bottom w:val="single" w:sz="12" w:space="0" w:color="auto"/>
            </w:tcBorders>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18</w:t>
            </w:r>
          </w:p>
        </w:tc>
        <w:tc>
          <w:tcPr>
            <w:tcW w:w="0" w:type="auto"/>
            <w:tcBorders>
              <w:bottom w:val="single" w:sz="12" w:space="0" w:color="auto"/>
            </w:tcBorders>
            <w:shd w:val="clear" w:color="auto" w:fill="auto"/>
            <w:vAlign w:val="center"/>
          </w:tcPr>
          <w:p w:rsidR="00E97EDA" w:rsidRPr="00F802DB" w:rsidP="00F802DB">
            <w:pPr>
              <w:spacing w:before="40" w:after="20" w:line="200" w:lineRule="exact"/>
              <w:ind w:left="170"/>
              <w:rPr>
                <w:rFonts w:cs="FrankRuehl"/>
                <w:szCs w:val="20"/>
                <w:rtl/>
                <w:lang w:eastAsia="he-IL"/>
              </w:rPr>
            </w:pPr>
          </w:p>
        </w:tc>
        <w:tc>
          <w:tcPr>
            <w:tcW w:w="0" w:type="auto"/>
            <w:tcBorders>
              <w:bottom w:val="single" w:sz="12" w:space="0" w:color="auto"/>
            </w:tcBorders>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16</w:t>
            </w:r>
          </w:p>
        </w:tc>
        <w:tc>
          <w:tcPr>
            <w:tcW w:w="0" w:type="auto"/>
            <w:tcBorders>
              <w:bottom w:val="single" w:sz="12" w:space="0" w:color="auto"/>
            </w:tcBorders>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3</w:t>
            </w:r>
          </w:p>
        </w:tc>
        <w:tc>
          <w:tcPr>
            <w:tcW w:w="0" w:type="auto"/>
            <w:tcBorders>
              <w:bottom w:val="single" w:sz="12" w:space="0" w:color="auto"/>
            </w:tcBorders>
            <w:shd w:val="clear" w:color="auto" w:fill="auto"/>
            <w:vAlign w:val="center"/>
          </w:tcPr>
          <w:p w:rsidR="00E97EDA" w:rsidRPr="00F802DB" w:rsidP="00F802DB">
            <w:pPr>
              <w:spacing w:before="40" w:after="20" w:line="200" w:lineRule="exact"/>
              <w:ind w:left="170"/>
              <w:rPr>
                <w:rFonts w:cs="FrankRuehl"/>
                <w:szCs w:val="20"/>
                <w:rtl/>
                <w:lang w:eastAsia="he-IL"/>
              </w:rPr>
            </w:pPr>
            <w:r w:rsidRPr="00F802DB">
              <w:rPr>
                <w:rFonts w:cs="FrankRuehl" w:hint="cs"/>
                <w:szCs w:val="20"/>
                <w:rtl/>
                <w:lang w:eastAsia="he-IL"/>
              </w:rPr>
              <w:t>36</w:t>
            </w:r>
          </w:p>
        </w:tc>
      </w:tr>
      <w:tr w:rsidTr="00382334">
        <w:tblPrEx>
          <w:tblW w:w="6691" w:type="dxa"/>
          <w:jc w:val="center"/>
          <w:tblCellMar>
            <w:left w:w="57" w:type="dxa"/>
            <w:right w:w="57" w:type="dxa"/>
          </w:tblCellMar>
          <w:tblLook w:val="01E0"/>
        </w:tblPrEx>
        <w:trPr>
          <w:jc w:val="center"/>
        </w:trPr>
        <w:tc>
          <w:tcPr>
            <w:tcW w:w="0" w:type="auto"/>
            <w:tcBorders>
              <w:top w:val="single" w:sz="12" w:space="0" w:color="auto"/>
              <w:bottom w:val="single" w:sz="12" w:space="0" w:color="auto"/>
            </w:tcBorders>
            <w:shd w:val="pct10" w:color="auto" w:fill="auto"/>
            <w:vAlign w:val="center"/>
          </w:tcPr>
          <w:p w:rsidR="00E97EDA" w:rsidRPr="000968CF" w:rsidP="00F802DB">
            <w:pPr>
              <w:pStyle w:val="Arial10"/>
              <w:widowControl/>
              <w:spacing w:before="40" w:after="20" w:line="200" w:lineRule="exact"/>
              <w:rPr>
                <w:rFonts w:ascii="Times New Roman" w:hAnsi="Times New Roman" w:cs="FrankRuehl"/>
                <w:b/>
                <w:bCs/>
                <w:sz w:val="24"/>
                <w:rtl/>
              </w:rPr>
            </w:pPr>
            <w:r w:rsidRPr="000968CF">
              <w:rPr>
                <w:rFonts w:ascii="Times New Roman" w:hAnsi="Times New Roman" w:cs="FrankRuehl" w:hint="cs"/>
                <w:b/>
                <w:bCs/>
                <w:sz w:val="24"/>
                <w:rtl/>
              </w:rPr>
              <w:t>סך הכול</w:t>
            </w:r>
          </w:p>
        </w:tc>
        <w:tc>
          <w:tcPr>
            <w:tcW w:w="0" w:type="auto"/>
            <w:tcBorders>
              <w:top w:val="single" w:sz="12" w:space="0" w:color="auto"/>
              <w:bottom w:val="single" w:sz="12" w:space="0" w:color="auto"/>
            </w:tcBorders>
            <w:shd w:val="pct10" w:color="auto" w:fill="auto"/>
            <w:vAlign w:val="center"/>
          </w:tcPr>
          <w:p w:rsidR="00E97EDA" w:rsidRPr="000968CF" w:rsidP="00F802DB">
            <w:pPr>
              <w:spacing w:before="40" w:after="20" w:line="200" w:lineRule="exact"/>
              <w:ind w:left="170"/>
              <w:rPr>
                <w:rFonts w:cs="FrankRuehl"/>
                <w:b/>
                <w:bCs/>
                <w:szCs w:val="20"/>
                <w:rtl/>
                <w:lang w:eastAsia="he-IL"/>
              </w:rPr>
            </w:pPr>
            <w:r w:rsidRPr="000968CF">
              <w:rPr>
                <w:rFonts w:cs="FrankRuehl" w:hint="cs"/>
                <w:b/>
                <w:bCs/>
                <w:szCs w:val="20"/>
                <w:rtl/>
                <w:lang w:eastAsia="he-IL"/>
              </w:rPr>
              <w:t>25</w:t>
            </w:r>
          </w:p>
        </w:tc>
        <w:tc>
          <w:tcPr>
            <w:tcW w:w="0" w:type="auto"/>
            <w:tcBorders>
              <w:top w:val="single" w:sz="12" w:space="0" w:color="auto"/>
              <w:bottom w:val="single" w:sz="12" w:space="0" w:color="auto"/>
            </w:tcBorders>
            <w:shd w:val="pct10" w:color="auto" w:fill="auto"/>
            <w:vAlign w:val="center"/>
          </w:tcPr>
          <w:p w:rsidR="00E97EDA" w:rsidRPr="000968CF" w:rsidP="00F802DB">
            <w:pPr>
              <w:spacing w:before="40" w:after="20" w:line="200" w:lineRule="exact"/>
              <w:ind w:left="170"/>
              <w:rPr>
                <w:rFonts w:cs="FrankRuehl"/>
                <w:b/>
                <w:bCs/>
                <w:szCs w:val="20"/>
                <w:rtl/>
                <w:lang w:eastAsia="he-IL"/>
              </w:rPr>
            </w:pPr>
            <w:r w:rsidRPr="000968CF">
              <w:rPr>
                <w:rFonts w:cs="FrankRuehl" w:hint="cs"/>
                <w:b/>
                <w:bCs/>
                <w:szCs w:val="20"/>
                <w:rtl/>
                <w:lang w:eastAsia="he-IL"/>
              </w:rPr>
              <w:t>13</w:t>
            </w:r>
          </w:p>
        </w:tc>
        <w:tc>
          <w:tcPr>
            <w:tcW w:w="0" w:type="auto"/>
            <w:tcBorders>
              <w:top w:val="single" w:sz="12" w:space="0" w:color="auto"/>
              <w:bottom w:val="single" w:sz="12" w:space="0" w:color="auto"/>
            </w:tcBorders>
            <w:shd w:val="pct10" w:color="auto" w:fill="auto"/>
            <w:vAlign w:val="center"/>
          </w:tcPr>
          <w:p w:rsidR="00E97EDA" w:rsidRPr="000968CF" w:rsidP="00F802DB">
            <w:pPr>
              <w:spacing w:before="40" w:after="20" w:line="200" w:lineRule="exact"/>
              <w:ind w:left="170"/>
              <w:rPr>
                <w:rFonts w:cs="FrankRuehl"/>
                <w:b/>
                <w:bCs/>
                <w:szCs w:val="20"/>
                <w:rtl/>
                <w:lang w:eastAsia="he-IL"/>
              </w:rPr>
            </w:pPr>
            <w:r w:rsidRPr="000968CF">
              <w:rPr>
                <w:rFonts w:cs="FrankRuehl" w:hint="cs"/>
                <w:b/>
                <w:bCs/>
                <w:szCs w:val="20"/>
                <w:rtl/>
                <w:lang w:eastAsia="he-IL"/>
              </w:rPr>
              <w:t>62</w:t>
            </w:r>
          </w:p>
        </w:tc>
        <w:tc>
          <w:tcPr>
            <w:tcW w:w="0" w:type="auto"/>
            <w:tcBorders>
              <w:top w:val="single" w:sz="12" w:space="0" w:color="auto"/>
              <w:bottom w:val="single" w:sz="12" w:space="0" w:color="auto"/>
            </w:tcBorders>
            <w:shd w:val="pct10" w:color="auto" w:fill="auto"/>
            <w:vAlign w:val="center"/>
          </w:tcPr>
          <w:p w:rsidR="00E97EDA" w:rsidRPr="000968CF" w:rsidP="00F802DB">
            <w:pPr>
              <w:spacing w:before="40" w:after="20" w:line="200" w:lineRule="exact"/>
              <w:ind w:left="170"/>
              <w:rPr>
                <w:rFonts w:cs="FrankRuehl"/>
                <w:b/>
                <w:bCs/>
                <w:szCs w:val="20"/>
                <w:rtl/>
                <w:lang w:eastAsia="he-IL"/>
              </w:rPr>
            </w:pPr>
            <w:r w:rsidRPr="000968CF">
              <w:rPr>
                <w:rFonts w:cs="FrankRuehl" w:hint="cs"/>
                <w:b/>
                <w:bCs/>
                <w:szCs w:val="20"/>
                <w:rtl/>
                <w:lang w:eastAsia="he-IL"/>
              </w:rPr>
              <w:t>16</w:t>
            </w:r>
          </w:p>
        </w:tc>
        <w:tc>
          <w:tcPr>
            <w:tcW w:w="0" w:type="auto"/>
            <w:tcBorders>
              <w:top w:val="single" w:sz="12" w:space="0" w:color="auto"/>
              <w:bottom w:val="single" w:sz="12" w:space="0" w:color="auto"/>
            </w:tcBorders>
            <w:shd w:val="pct10" w:color="auto" w:fill="auto"/>
            <w:vAlign w:val="center"/>
          </w:tcPr>
          <w:p w:rsidR="00E97EDA" w:rsidRPr="000968CF" w:rsidP="00F802DB">
            <w:pPr>
              <w:spacing w:before="40" w:after="20" w:line="200" w:lineRule="exact"/>
              <w:ind w:left="170"/>
              <w:rPr>
                <w:rFonts w:cs="FrankRuehl"/>
                <w:b/>
                <w:bCs/>
                <w:szCs w:val="20"/>
                <w:rtl/>
                <w:lang w:eastAsia="he-IL"/>
              </w:rPr>
            </w:pPr>
            <w:r w:rsidRPr="000968CF">
              <w:rPr>
                <w:rFonts w:cs="FrankRuehl" w:hint="cs"/>
                <w:b/>
                <w:bCs/>
                <w:szCs w:val="20"/>
                <w:rtl/>
                <w:lang w:eastAsia="he-IL"/>
              </w:rPr>
              <w:t>116</w:t>
            </w:r>
          </w:p>
        </w:tc>
      </w:tr>
    </w:tbl>
    <w:p w:rsidR="00E97EDA" w:rsidRPr="00F802DB" w:rsidP="00F802DB">
      <w:pPr>
        <w:spacing w:before="120" w:after="120" w:line="200" w:lineRule="exact"/>
        <w:ind w:left="397" w:hanging="397"/>
        <w:jc w:val="both"/>
        <w:rPr>
          <w:rFonts w:cs="FrankRuehl"/>
          <w:sz w:val="20"/>
          <w:szCs w:val="20"/>
          <w:rtl/>
        </w:rPr>
      </w:pPr>
      <w:r w:rsidRPr="00F802DB">
        <w:rPr>
          <w:rFonts w:cs="FrankRuehl" w:hint="cs"/>
          <w:sz w:val="20"/>
          <w:szCs w:val="20"/>
          <w:rtl/>
        </w:rPr>
        <w:t>*</w:t>
      </w:r>
      <w:r w:rsidRPr="00F802DB">
        <w:rPr>
          <w:rFonts w:cs="FrankRuehl" w:hint="cs"/>
          <w:sz w:val="20"/>
          <w:szCs w:val="20"/>
          <w:rtl/>
        </w:rPr>
        <w:tab/>
      </w:r>
      <w:r w:rsidRPr="00F802DB">
        <w:rPr>
          <w:rFonts w:cs="FrankRuehl" w:hint="eastAsia"/>
          <w:sz w:val="20"/>
          <w:szCs w:val="20"/>
          <w:rtl/>
        </w:rPr>
        <w:t>בשתי</w:t>
      </w:r>
      <w:r w:rsidRPr="00F802DB">
        <w:rPr>
          <w:rFonts w:cs="FrankRuehl"/>
          <w:sz w:val="20"/>
          <w:szCs w:val="20"/>
          <w:rtl/>
        </w:rPr>
        <w:t xml:space="preserve"> </w:t>
      </w:r>
      <w:r w:rsidRPr="00F802DB">
        <w:rPr>
          <w:rFonts w:cs="FrankRuehl" w:hint="eastAsia"/>
          <w:sz w:val="20"/>
          <w:szCs w:val="20"/>
          <w:rtl/>
        </w:rPr>
        <w:t>מועצות</w:t>
      </w:r>
      <w:r w:rsidRPr="00F802DB">
        <w:rPr>
          <w:rFonts w:cs="FrankRuehl"/>
          <w:sz w:val="20"/>
          <w:szCs w:val="20"/>
          <w:rtl/>
        </w:rPr>
        <w:t xml:space="preserve"> </w:t>
      </w:r>
      <w:r w:rsidRPr="00F802DB">
        <w:rPr>
          <w:rFonts w:cs="FrankRuehl" w:hint="eastAsia"/>
          <w:sz w:val="20"/>
          <w:szCs w:val="20"/>
          <w:rtl/>
        </w:rPr>
        <w:t>אזוריות</w:t>
      </w:r>
      <w:r w:rsidRPr="00F802DB">
        <w:rPr>
          <w:rFonts w:cs="FrankRuehl"/>
          <w:sz w:val="20"/>
          <w:szCs w:val="20"/>
          <w:rtl/>
        </w:rPr>
        <w:t xml:space="preserve"> </w:t>
      </w:r>
      <w:r w:rsidRPr="00F802DB">
        <w:rPr>
          <w:rFonts w:cs="FrankRuehl" w:hint="eastAsia"/>
          <w:sz w:val="20"/>
          <w:szCs w:val="20"/>
          <w:rtl/>
        </w:rPr>
        <w:t>נוספות</w:t>
      </w:r>
      <w:r w:rsidRPr="00F802DB">
        <w:rPr>
          <w:rFonts w:cs="FrankRuehl" w:hint="cs"/>
          <w:sz w:val="20"/>
          <w:szCs w:val="20"/>
          <w:rtl/>
        </w:rPr>
        <w:t xml:space="preserve"> (אל-בטוף ובוסתן אל מארג') אין בנמצא תכנית מתאר כוללת לשטח המועצה (שאינו רצוף), אבל על יישובים בתחומן חלות תכניות בתוקף או תכניות בתהליך אישור.</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מהנתונים עולה כי ברוב העיריות, שהן מרחבי התכנון העיקריים לפיתוח שכונות מגורים גדולות ולקליטה גדולה של אוכלוסייה, אין חלות בתחומן תכניות עדכניות אך יש להן תכניות המצויות בשלבי הכנה הנמשכים שנים ארוכות. </w:t>
      </w:r>
    </w:p>
    <w:p w:rsidR="00E97EDA" w:rsidRPr="00F802DB" w:rsidP="00DC5F86">
      <w:pPr>
        <w:pStyle w:val="BodyText"/>
        <w:spacing w:before="0" w:after="240"/>
        <w:rPr>
          <w:sz w:val="18"/>
          <w:rtl/>
          <w:lang w:eastAsia="he-IL"/>
        </w:rPr>
      </w:pPr>
      <w:r w:rsidRPr="00F802DB">
        <w:rPr>
          <w:rFonts w:hint="cs"/>
          <w:sz w:val="18"/>
          <w:rtl/>
          <w:lang w:eastAsia="he-IL"/>
        </w:rPr>
        <w:t xml:space="preserve">גם תכניות של רבות מהמועצות המקומיות העשויות גם הן להיות יעד לפיתוח אינן מעודכנות; </w:t>
      </w:r>
      <w:r w:rsidRPr="00582A43">
        <w:rPr>
          <w:rFonts w:hint="cs"/>
          <w:sz w:val="18"/>
          <w:rtl/>
          <w:lang w:eastAsia="he-IL"/>
        </w:rPr>
        <w:t>רק ב</w:t>
      </w:r>
      <w:r w:rsidRPr="00582A43" w:rsidR="00DC5F86">
        <w:rPr>
          <w:rFonts w:hint="cs"/>
          <w:sz w:val="18"/>
          <w:rtl/>
          <w:lang w:eastAsia="he-IL"/>
        </w:rPr>
        <w:t>-</w:t>
      </w:r>
      <w:r w:rsidRPr="00582A43">
        <w:rPr>
          <w:rFonts w:hint="cs"/>
          <w:sz w:val="18"/>
          <w:rtl/>
          <w:lang w:eastAsia="he-IL"/>
        </w:rPr>
        <w:t>25% מהן</w:t>
      </w:r>
      <w:r w:rsidRPr="00F802DB">
        <w:rPr>
          <w:rFonts w:hint="cs"/>
          <w:sz w:val="18"/>
          <w:rtl/>
          <w:lang w:eastAsia="he-IL"/>
        </w:rPr>
        <w:t xml:space="preserve"> חלות תכניות עדכניות ובכ-40% אין חלה ולו תכנית מתאר מקומית אחת. </w:t>
      </w:r>
    </w:p>
    <w:p w:rsidR="00D22B16" w:rsidRPr="00F41E78" w:rsidP="00D22B16">
      <w:pPr>
        <w:pStyle w:val="RESHET"/>
        <w:keepLines/>
        <w:rPr>
          <w:rtl/>
        </w:rPr>
      </w:pPr>
      <w:r w:rsidRPr="00F41E78">
        <w:rPr>
          <w:rFonts w:hint="cs"/>
          <w:rtl/>
        </w:rPr>
        <w:t xml:space="preserve">ממצאים אלו מלמדים על נקודת תורפה של התכנון המתארי המסדיר. בעוד ברמה הארצית וברמה המחוזית ישנן תכניות מתאר עדכניות היוצרות את התנאים לפיתוחו של מחוז הצפון, רוב תכניות המתאר המקומיות של העיריות ושל המועצות המקומיות אינן עדכניות. מצב דברים זה עלול להביא לידי פיתוח מקומי שייעשה באופן בלתי מושכל ולידי עיכובים בהליכי התכנון של תכניות מפורטות. </w:t>
      </w:r>
    </w:p>
    <w:p w:rsidR="00E97EDA" w:rsidRPr="00F41E78" w:rsidP="00F802DB">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בתשובתו של משרד הפנים מסר האגף לתכנון מקומי במינהל התכנון כי בכשליש מהרשויות המקומיות חלה תכנית מתאר עדכנית ובכשליש נוסף התכניות מצויות בהכנה או בתהליכי אישור. עוד מסר כי קיים תקציב לעדכון תכניות מתאר לרשויות נוספות. </w:t>
      </w:r>
    </w:p>
    <w:p w:rsidR="00C52551" w:rsidRPr="00F802DB" w:rsidP="00F802D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tl/>
          <w:lang w:eastAsia="he-IL"/>
        </w:rPr>
        <w:t xml:space="preserve">פרויקט קידום התכנון המתארי במגזר </w:t>
      </w:r>
      <w:r w:rsidRPr="00CB33CD">
        <w:rPr>
          <w:rFonts w:hint="cs"/>
          <w:rtl/>
          <w:lang w:eastAsia="he-IL"/>
        </w:rPr>
        <w:t>הערבי</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בתחומו של מחוז הצפון מתגוררים כ-570,000 תושבים מהמגזר הערבי</w:t>
      </w:r>
      <w:r>
        <w:rPr>
          <w:rFonts w:cs="FrankRuehl"/>
          <w:sz w:val="18"/>
          <w:szCs w:val="22"/>
          <w:vertAlign w:val="superscript"/>
          <w:rtl/>
          <w:lang w:eastAsia="he-IL"/>
        </w:rPr>
        <w:footnoteReference w:id="242"/>
      </w:r>
      <w:r w:rsidRPr="00F41E78">
        <w:rPr>
          <w:rFonts w:cs="FrankRuehl" w:hint="cs"/>
          <w:sz w:val="18"/>
          <w:szCs w:val="22"/>
          <w:rtl/>
          <w:lang w:eastAsia="he-IL"/>
        </w:rPr>
        <w:t xml:space="preserve"> (כ-56% מאוכלוסיית המחוז). בשנים האחרונות התפרסמו דוחות של ועדות ציבוריות</w:t>
      </w:r>
      <w:r>
        <w:rPr>
          <w:rFonts w:cs="FrankRuehl"/>
          <w:sz w:val="18"/>
          <w:szCs w:val="22"/>
          <w:vertAlign w:val="superscript"/>
          <w:rtl/>
          <w:lang w:eastAsia="he-IL"/>
        </w:rPr>
        <w:footnoteReference w:id="243"/>
      </w:r>
      <w:r w:rsidRPr="00F41E78">
        <w:rPr>
          <w:rFonts w:cs="FrankRuehl" w:hint="cs"/>
          <w:sz w:val="18"/>
          <w:szCs w:val="22"/>
          <w:rtl/>
          <w:lang w:eastAsia="he-IL"/>
        </w:rPr>
        <w:t>, ניירות עמדה של ארגונים שאינם ממשלתיים</w:t>
      </w:r>
      <w:r>
        <w:rPr>
          <w:rFonts w:cs="FrankRuehl"/>
          <w:sz w:val="18"/>
          <w:szCs w:val="22"/>
          <w:vertAlign w:val="superscript"/>
          <w:rtl/>
          <w:lang w:eastAsia="he-IL"/>
        </w:rPr>
        <w:footnoteReference w:id="244"/>
      </w:r>
      <w:r w:rsidRPr="00F41E78">
        <w:rPr>
          <w:rFonts w:cs="FrankRuehl" w:hint="cs"/>
          <w:sz w:val="18"/>
          <w:szCs w:val="22"/>
          <w:rtl/>
          <w:lang w:eastAsia="he-IL"/>
        </w:rPr>
        <w:t xml:space="preserve"> ומחקרים אקדמיים, המעידים על מצוקת הדיור במגזר הערבי ועל חסמים לפיתוחם של יישוביו</w:t>
      </w:r>
      <w:r>
        <w:rPr>
          <w:rFonts w:cs="FrankRuehl"/>
          <w:sz w:val="18"/>
          <w:szCs w:val="22"/>
          <w:vertAlign w:val="superscript"/>
          <w:rtl/>
          <w:lang w:eastAsia="he-IL"/>
        </w:rPr>
        <w:footnoteReference w:id="245"/>
      </w:r>
      <w:r w:rsidRPr="00F41E78">
        <w:rPr>
          <w:rFonts w:cs="FrankRuehl" w:hint="cs"/>
          <w:sz w:val="18"/>
          <w:szCs w:val="22"/>
          <w:rtl/>
          <w:lang w:eastAsia="he-IL"/>
        </w:rPr>
        <w:t>. גם בכרך אמצעי המדיניות של תמ"א 35 נקבעו אמצעים לפיתוח היישובים הערביים.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בדוח ועדת אור משנת 2003 צוין כי בחמישים השנים הראשונות למדינה גדלה האוכלוסייה הערבית פי שבעה לערך, אך בעת ובעונה אחת נשאר השטח המאפשר בנייה למגורים ביישובים הערביים כמעט ללא שינוי. עוד צוין כי מכשול עיקרי לבנייה למגורים בתוך שטח היישובים הערביים היה חסרונן של תכניות מתאר, וההחלטות בדבר התפתחות היישובים לא גילו די רגישות לצרכיה של האוכלוסייה הערבית.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בדוח ועדת טרכטנברג צוין כי מסיבות רבות קשה לאמוד את היקף המחסור ביח"ד במגזר הערבי, אך כל מיני עדויות מראות כי יישובים רבים מצויים במצוקת דיור של ממש ומחירי הדירות גבוהים ביחס להכנסה הממוצעת של תושביהם. עוד צוין כי ישנם חסמים רבים המקשים על התפתחות שוק הדיור במגזר הערבי, ובהם מגבלות השטח של הרשויות הערביות, מחסור בתכניות מתאר מקומיות והקושי לקדם תכניות מפורטות שמכוחן מוצאים היתרי בנייה.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בהחלטת ממשלה מס' 4432 ממרץ 2012 צוין כי האוכלוסייה הערבית זקוקה לכ-13,000 יח"ד בשנה כשבפועל נבנות כ-7,000 יח"ד (בעיקר בנייה עצמאית של יח"ד צמודות קרקע), כלומר נרשם מחסור של כ-5,000 יח"ד בשנה. בדוח מבקר המדינה משנת 2012 על הפיתוח הכלכלי במגזר הערבי</w:t>
      </w:r>
      <w:r>
        <w:rPr>
          <w:rFonts w:cs="FrankRuehl"/>
          <w:sz w:val="18"/>
          <w:szCs w:val="22"/>
          <w:vertAlign w:val="superscript"/>
          <w:rtl/>
          <w:lang w:eastAsia="he-IL"/>
        </w:rPr>
        <w:footnoteReference w:id="246"/>
      </w:r>
      <w:r w:rsidRPr="00F41E78">
        <w:rPr>
          <w:rFonts w:cs="FrankRuehl" w:hint="cs"/>
          <w:sz w:val="18"/>
          <w:szCs w:val="22"/>
          <w:rtl/>
          <w:lang w:eastAsia="he-IL"/>
        </w:rPr>
        <w:t xml:space="preserve"> נמצאו ליקויים ביישום תכנית חומש לפיתוח כלכלי שעליה החליטה הממשלה (החלטה 5189) במרץ 2010, ובכלל זה עיכובים בהגדלת היצע יח"ד.</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בדוח מבקר המדינה משנת 2013</w:t>
      </w:r>
      <w:r w:rsidRPr="00F41E78">
        <w:rPr>
          <w:rFonts w:cs="FrankRuehl"/>
          <w:sz w:val="18"/>
          <w:szCs w:val="22"/>
          <w:rtl/>
          <w:lang w:eastAsia="he-IL"/>
        </w:rPr>
        <w:t xml:space="preserve"> </w:t>
      </w:r>
      <w:r w:rsidRPr="00F41E78">
        <w:rPr>
          <w:rFonts w:cs="FrankRuehl" w:hint="cs"/>
          <w:sz w:val="18"/>
          <w:szCs w:val="22"/>
          <w:rtl/>
          <w:lang w:eastAsia="he-IL"/>
        </w:rPr>
        <w:t xml:space="preserve">על </w:t>
      </w:r>
      <w:r w:rsidRPr="00F41E78">
        <w:rPr>
          <w:rFonts w:cs="FrankRuehl"/>
          <w:sz w:val="18"/>
          <w:szCs w:val="22"/>
          <w:rtl/>
          <w:lang w:eastAsia="he-IL"/>
        </w:rPr>
        <w:t xml:space="preserve">היבטים מינהליים והיבטים בהליכי התכנון בוועדה המחוזית </w:t>
      </w:r>
      <w:r w:rsidRPr="00F41E78">
        <w:rPr>
          <w:rFonts w:cs="FrankRuehl" w:hint="cs"/>
          <w:sz w:val="18"/>
          <w:szCs w:val="22"/>
          <w:rtl/>
          <w:lang w:eastAsia="he-IL"/>
        </w:rPr>
        <w:t>של</w:t>
      </w:r>
      <w:r w:rsidRPr="00F41E78">
        <w:rPr>
          <w:rFonts w:cs="FrankRuehl"/>
          <w:sz w:val="18"/>
          <w:szCs w:val="22"/>
          <w:rtl/>
          <w:lang w:eastAsia="he-IL"/>
        </w:rPr>
        <w:t xml:space="preserve"> מחוז </w:t>
      </w:r>
      <w:r w:rsidRPr="00F41E78">
        <w:rPr>
          <w:rFonts w:cs="FrankRuehl" w:hint="cs"/>
          <w:sz w:val="18"/>
          <w:szCs w:val="22"/>
          <w:rtl/>
          <w:lang w:eastAsia="he-IL"/>
        </w:rPr>
        <w:t>ה</w:t>
      </w:r>
      <w:r w:rsidRPr="00F41E78">
        <w:rPr>
          <w:rFonts w:cs="FrankRuehl"/>
          <w:sz w:val="18"/>
          <w:szCs w:val="22"/>
          <w:rtl/>
          <w:lang w:eastAsia="he-IL"/>
        </w:rPr>
        <w:t>צפון</w:t>
      </w:r>
      <w:r w:rsidRPr="00F41E78">
        <w:rPr>
          <w:rFonts w:cs="FrankRuehl" w:hint="cs"/>
          <w:sz w:val="18"/>
          <w:szCs w:val="22"/>
          <w:rtl/>
          <w:lang w:eastAsia="he-IL"/>
        </w:rPr>
        <w:t xml:space="preserve"> (להלן - הביקורת במחוז הצפון) הוצגו ממצאים בנושא התכנון המתארי למגזר הערבי</w:t>
      </w:r>
      <w:r>
        <w:rPr>
          <w:rFonts w:cs="FrankRuehl"/>
          <w:sz w:val="18"/>
          <w:szCs w:val="22"/>
          <w:vertAlign w:val="superscript"/>
          <w:rtl/>
          <w:lang w:eastAsia="he-IL"/>
        </w:rPr>
        <w:footnoteReference w:id="247"/>
      </w:r>
      <w:r w:rsidRPr="00F41E78">
        <w:rPr>
          <w:rFonts w:cs="FrankRuehl" w:hint="cs"/>
          <w:sz w:val="18"/>
          <w:szCs w:val="22"/>
          <w:rtl/>
          <w:lang w:eastAsia="he-IL"/>
        </w:rPr>
        <w:t xml:space="preserve">. בדוח צוין כי </w:t>
      </w:r>
      <w:r w:rsidRPr="00F41E78">
        <w:rPr>
          <w:rFonts w:cs="FrankRuehl"/>
          <w:sz w:val="18"/>
          <w:szCs w:val="22"/>
          <w:rtl/>
          <w:lang w:eastAsia="he-IL"/>
        </w:rPr>
        <w:t xml:space="preserve">בסוף </w:t>
      </w:r>
      <w:r w:rsidRPr="00F41E78">
        <w:rPr>
          <w:rFonts w:cs="FrankRuehl" w:hint="cs"/>
          <w:sz w:val="18"/>
          <w:szCs w:val="22"/>
          <w:rtl/>
          <w:lang w:eastAsia="he-IL"/>
        </w:rPr>
        <w:t>שנות התשעים של המאה העשרים,</w:t>
      </w:r>
      <w:r w:rsidRPr="00F41E78">
        <w:rPr>
          <w:rFonts w:cs="FrankRuehl"/>
          <w:sz w:val="18"/>
          <w:szCs w:val="22"/>
          <w:rtl/>
          <w:lang w:eastAsia="he-IL"/>
        </w:rPr>
        <w:t xml:space="preserve"> </w:t>
      </w:r>
      <w:r w:rsidRPr="00F41E78">
        <w:rPr>
          <w:rFonts w:cs="FrankRuehl" w:hint="cs"/>
          <w:sz w:val="18"/>
          <w:szCs w:val="22"/>
          <w:rtl/>
          <w:lang w:eastAsia="he-IL"/>
        </w:rPr>
        <w:t xml:space="preserve">קודם לפרסום דוח ועדת אור, </w:t>
      </w:r>
      <w:r w:rsidRPr="00F41E78">
        <w:rPr>
          <w:rFonts w:cs="FrankRuehl"/>
          <w:sz w:val="18"/>
          <w:szCs w:val="22"/>
          <w:rtl/>
          <w:lang w:eastAsia="he-IL"/>
        </w:rPr>
        <w:t>החל מינהל התכנון בפרויקט רחב היקף ל"קידום התכנון המתארי במגזר הלא יהודי"</w:t>
      </w:r>
      <w:r w:rsidRPr="00F41E78">
        <w:rPr>
          <w:rFonts w:cs="FrankRuehl" w:hint="cs"/>
          <w:sz w:val="18"/>
          <w:szCs w:val="22"/>
          <w:rtl/>
          <w:lang w:eastAsia="he-IL"/>
        </w:rPr>
        <w:t xml:space="preserve">. </w:t>
      </w:r>
      <w:r w:rsidRPr="00F41E78">
        <w:rPr>
          <w:rFonts w:cs="FrankRuehl"/>
          <w:sz w:val="18"/>
          <w:szCs w:val="22"/>
          <w:rtl/>
          <w:lang w:eastAsia="he-IL"/>
        </w:rPr>
        <w:t xml:space="preserve">רוב הרשויות המקומיות הנכללות בו הן </w:t>
      </w:r>
      <w:r w:rsidRPr="00F41E78">
        <w:rPr>
          <w:rFonts w:cs="FrankRuehl" w:hint="cs"/>
          <w:sz w:val="18"/>
          <w:szCs w:val="22"/>
          <w:rtl/>
          <w:lang w:eastAsia="he-IL"/>
        </w:rPr>
        <w:t>בדירוג חברתי-כלכלי נמוך</w:t>
      </w:r>
      <w:r w:rsidRPr="00F41E78">
        <w:rPr>
          <w:rFonts w:cs="FrankRuehl"/>
          <w:sz w:val="18"/>
          <w:szCs w:val="22"/>
          <w:rtl/>
          <w:lang w:eastAsia="he-IL"/>
        </w:rPr>
        <w:t xml:space="preserve"> ודלות אמצעים </w:t>
      </w:r>
      <w:r w:rsidRPr="00F41E78">
        <w:rPr>
          <w:rFonts w:cs="FrankRuehl" w:hint="cs"/>
          <w:sz w:val="18"/>
          <w:szCs w:val="22"/>
          <w:rtl/>
          <w:lang w:eastAsia="he-IL"/>
        </w:rPr>
        <w:t>ו</w:t>
      </w:r>
      <w:r w:rsidRPr="00F41E78">
        <w:rPr>
          <w:rFonts w:cs="FrankRuehl"/>
          <w:sz w:val="18"/>
          <w:szCs w:val="22"/>
          <w:rtl/>
          <w:lang w:eastAsia="he-IL"/>
        </w:rPr>
        <w:t xml:space="preserve">מטרתו </w:t>
      </w:r>
      <w:r w:rsidRPr="00F41E78">
        <w:rPr>
          <w:rFonts w:cs="FrankRuehl" w:hint="cs"/>
          <w:sz w:val="18"/>
          <w:szCs w:val="22"/>
          <w:rtl/>
          <w:lang w:eastAsia="he-IL"/>
        </w:rPr>
        <w:t xml:space="preserve">הייתה </w:t>
      </w:r>
      <w:r w:rsidRPr="00F41E78">
        <w:rPr>
          <w:rFonts w:cs="FrankRuehl"/>
          <w:sz w:val="18"/>
          <w:szCs w:val="22"/>
          <w:rtl/>
          <w:lang w:eastAsia="he-IL"/>
        </w:rPr>
        <w:t xml:space="preserve">להכין תכניות מתאר </w:t>
      </w:r>
      <w:r w:rsidRPr="00F41E78">
        <w:rPr>
          <w:rFonts w:cs="FrankRuehl" w:hint="cs"/>
          <w:sz w:val="18"/>
          <w:szCs w:val="22"/>
          <w:rtl/>
          <w:lang w:eastAsia="he-IL"/>
        </w:rPr>
        <w:t>ליישובי המגזר.</w:t>
      </w:r>
      <w:r w:rsidRPr="00F41E78">
        <w:rPr>
          <w:rFonts w:cs="FrankRuehl"/>
          <w:sz w:val="18"/>
          <w:szCs w:val="22"/>
          <w:rtl/>
          <w:lang w:eastAsia="he-IL"/>
        </w:rPr>
        <w:t xml:space="preserve"> </w:t>
      </w:r>
      <w:r w:rsidRPr="00F41E78">
        <w:rPr>
          <w:rFonts w:cs="FrankRuehl" w:hint="cs"/>
          <w:sz w:val="18"/>
          <w:szCs w:val="22"/>
          <w:rtl/>
          <w:lang w:eastAsia="he-IL"/>
        </w:rPr>
        <w:t xml:space="preserve">הפרויקט </w:t>
      </w:r>
      <w:r w:rsidRPr="00F41E78">
        <w:rPr>
          <w:rFonts w:cs="FrankRuehl"/>
          <w:sz w:val="18"/>
          <w:szCs w:val="22"/>
          <w:rtl/>
          <w:lang w:eastAsia="he-IL"/>
        </w:rPr>
        <w:t>כלל בשיאו כ-65 י</w:t>
      </w:r>
      <w:r w:rsidRPr="00F41E78">
        <w:rPr>
          <w:rFonts w:cs="FrankRuehl" w:hint="cs"/>
          <w:sz w:val="18"/>
          <w:szCs w:val="22"/>
          <w:rtl/>
          <w:lang w:eastAsia="he-IL"/>
        </w:rPr>
        <w:t>י</w:t>
      </w:r>
      <w:r w:rsidRPr="00F41E78">
        <w:rPr>
          <w:rFonts w:cs="FrankRuehl"/>
          <w:sz w:val="18"/>
          <w:szCs w:val="22"/>
          <w:rtl/>
          <w:lang w:eastAsia="he-IL"/>
        </w:rPr>
        <w:t xml:space="preserve">שובים ערביים </w:t>
      </w:r>
      <w:r w:rsidRPr="00F41E78">
        <w:rPr>
          <w:rFonts w:cs="FrankRuehl" w:hint="cs"/>
          <w:sz w:val="18"/>
          <w:szCs w:val="22"/>
          <w:rtl/>
          <w:lang w:eastAsia="he-IL"/>
        </w:rPr>
        <w:t>ש</w:t>
      </w:r>
      <w:r w:rsidRPr="00F41E78">
        <w:rPr>
          <w:rFonts w:cs="FrankRuehl"/>
          <w:sz w:val="18"/>
          <w:szCs w:val="22"/>
          <w:rtl/>
          <w:lang w:eastAsia="he-IL"/>
        </w:rPr>
        <w:t>מהם 34</w:t>
      </w:r>
      <w:r w:rsidRPr="00F41E78">
        <w:rPr>
          <w:rFonts w:cs="FrankRuehl" w:hint="cs"/>
          <w:sz w:val="18"/>
          <w:szCs w:val="22"/>
          <w:rtl/>
          <w:lang w:eastAsia="he-IL"/>
        </w:rPr>
        <w:t xml:space="preserve"> נמצאים ב</w:t>
      </w:r>
      <w:r w:rsidRPr="00F41E78">
        <w:rPr>
          <w:rFonts w:cs="FrankRuehl"/>
          <w:sz w:val="18"/>
          <w:szCs w:val="22"/>
          <w:rtl/>
          <w:lang w:eastAsia="he-IL"/>
        </w:rPr>
        <w:t>מחוז הצפון.</w:t>
      </w:r>
      <w:r w:rsidRPr="00F41E78">
        <w:rPr>
          <w:rFonts w:cs="FrankRuehl" w:hint="cs"/>
          <w:sz w:val="18"/>
          <w:szCs w:val="22"/>
          <w:rtl/>
          <w:lang w:eastAsia="he-IL"/>
        </w:rPr>
        <w:t xml:space="preserve"> בביקורת במחוז הצפון נמצא כי ל-18 יישובים אושרה תכנית מתאר; לשאר היישובים בפרויקט (16 יישובים) לא אושרו בסופו של דבר תכניות, והטיפול בהן נמשך כמה שנים. </w:t>
      </w:r>
    </w:p>
    <w:p w:rsidR="00E97EDA" w:rsidRPr="00F41E78" w:rsidP="00F802DB">
      <w:pPr>
        <w:spacing w:after="240" w:line="230" w:lineRule="exact"/>
        <w:jc w:val="both"/>
        <w:rPr>
          <w:rFonts w:cs="FrankRuehl"/>
          <w:sz w:val="18"/>
          <w:szCs w:val="22"/>
          <w:rtl/>
          <w:lang w:eastAsia="he-IL"/>
        </w:rPr>
      </w:pPr>
      <w:r w:rsidRPr="00F41E78">
        <w:rPr>
          <w:rFonts w:cs="FrankRuehl" w:hint="cs"/>
          <w:sz w:val="18"/>
          <w:szCs w:val="22"/>
          <w:rtl/>
          <w:lang w:eastAsia="he-IL"/>
        </w:rPr>
        <w:t>בתשובתו של משרד הפנים מסר האגף לתכנון מקומי כי ב-20 רשויות חלה תכנית מתאר מעודכנת ול-14 נוספות ישנן תכניות בהכנה ובתהליכי אישור. עוד ציין כי בעקבות קידום תכניות ואישורן נוספו כ-70% שטחים המיועדים לפיתוח והתכניות הביאו לידי הרחבת תחומי השיפוט של כ-33% מהיישובים.</w:t>
      </w:r>
    </w:p>
    <w:p w:rsidR="00D22B16" w:rsidRPr="00F41E78" w:rsidP="00D22B16">
      <w:pPr>
        <w:pStyle w:val="RESHET"/>
        <w:keepLines/>
        <w:rPr>
          <w:rtl/>
        </w:rPr>
      </w:pPr>
      <w:r w:rsidRPr="00F41E78">
        <w:rPr>
          <w:rFonts w:hint="cs"/>
          <w:rtl/>
        </w:rPr>
        <w:t>יוצא אפוא שלמרות השיפור במצב, ישנן רשויות רבות שאין חלה בהן תכנית מתאר מעודכנת תקפה, ותהליך הכנת התכניות ואישורן נמשך במקרים רבים שנים ארוכות, לעתים יותר מ-15 שנה. בביקורת במחוז הצפון נותחו כמה הליכי תכנון של תכניות מתאר מקומיות ותוארו הסיבות לעיכובים הנמשכים לרוב כמה שנים. להלן דוגמה:</w:t>
      </w:r>
    </w:p>
    <w:p w:rsidR="00E97EDA" w:rsidRPr="00F41E78" w:rsidP="00F802DB">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את </w:t>
      </w:r>
      <w:r w:rsidRPr="00F41E78">
        <w:rPr>
          <w:rFonts w:cs="FrankRuehl"/>
          <w:sz w:val="18"/>
          <w:szCs w:val="22"/>
          <w:rtl/>
          <w:lang w:eastAsia="he-IL"/>
        </w:rPr>
        <w:t xml:space="preserve">תכנית </w:t>
      </w:r>
      <w:r w:rsidRPr="00F41E78">
        <w:rPr>
          <w:rFonts w:cs="FrankRuehl" w:hint="cs"/>
          <w:sz w:val="18"/>
          <w:szCs w:val="22"/>
          <w:rtl/>
          <w:lang w:eastAsia="he-IL"/>
        </w:rPr>
        <w:t>ה</w:t>
      </w:r>
      <w:r w:rsidRPr="00F41E78">
        <w:rPr>
          <w:rFonts w:cs="FrankRuehl"/>
          <w:sz w:val="18"/>
          <w:szCs w:val="22"/>
          <w:rtl/>
          <w:lang w:eastAsia="he-IL"/>
        </w:rPr>
        <w:t xml:space="preserve">מתאר </w:t>
      </w:r>
      <w:r w:rsidRPr="00F41E78">
        <w:rPr>
          <w:rFonts w:cs="FrankRuehl" w:hint="cs"/>
          <w:sz w:val="18"/>
          <w:szCs w:val="22"/>
          <w:rtl/>
          <w:lang w:eastAsia="he-IL"/>
        </w:rPr>
        <w:t>ה</w:t>
      </w:r>
      <w:r w:rsidRPr="00F41E78">
        <w:rPr>
          <w:rFonts w:cs="FrankRuehl"/>
          <w:sz w:val="18"/>
          <w:szCs w:val="22"/>
          <w:rtl/>
          <w:lang w:eastAsia="he-IL"/>
        </w:rPr>
        <w:t>מקומית ג/15656 - שיבלי</w:t>
      </w:r>
      <w:r w:rsidRPr="00F41E78">
        <w:rPr>
          <w:rFonts w:cs="FrankRuehl" w:hint="cs"/>
          <w:sz w:val="18"/>
          <w:szCs w:val="22"/>
          <w:rtl/>
          <w:lang w:eastAsia="he-IL"/>
        </w:rPr>
        <w:t xml:space="preserve"> </w:t>
      </w:r>
      <w:r w:rsidRPr="00F41E78">
        <w:rPr>
          <w:rFonts w:cs="FrankRuehl"/>
          <w:sz w:val="18"/>
          <w:szCs w:val="22"/>
          <w:rtl/>
          <w:lang w:eastAsia="he-IL"/>
        </w:rPr>
        <w:t>אום</w:t>
      </w:r>
      <w:r w:rsidRPr="00F41E78">
        <w:rPr>
          <w:rFonts w:cs="FrankRuehl" w:hint="cs"/>
          <w:sz w:val="18"/>
          <w:szCs w:val="22"/>
          <w:rtl/>
          <w:lang w:eastAsia="he-IL"/>
        </w:rPr>
        <w:t xml:space="preserve"> </w:t>
      </w:r>
      <w:r w:rsidRPr="00F41E78">
        <w:rPr>
          <w:rFonts w:cs="FrankRuehl"/>
          <w:sz w:val="18"/>
          <w:szCs w:val="22"/>
          <w:rtl/>
          <w:lang w:eastAsia="he-IL"/>
        </w:rPr>
        <w:t>אל-ר'נם</w:t>
      </w:r>
      <w:r w:rsidRPr="00F41E78">
        <w:rPr>
          <w:rFonts w:cs="FrankRuehl" w:hint="cs"/>
          <w:sz w:val="18"/>
          <w:szCs w:val="22"/>
          <w:rtl/>
          <w:lang w:eastAsia="he-IL"/>
        </w:rPr>
        <w:t xml:space="preserve"> הכינה</w:t>
      </w:r>
      <w:r w:rsidRPr="00F41E78">
        <w:rPr>
          <w:rFonts w:cs="FrankRuehl" w:hint="cs"/>
          <w:b/>
          <w:bCs/>
          <w:spacing w:val="40"/>
          <w:sz w:val="18"/>
          <w:szCs w:val="22"/>
          <w:rtl/>
          <w:lang w:eastAsia="he-IL"/>
        </w:rPr>
        <w:t xml:space="preserve"> </w:t>
      </w:r>
      <w:r w:rsidRPr="00F41E78">
        <w:rPr>
          <w:rFonts w:cs="FrankRuehl"/>
          <w:sz w:val="18"/>
          <w:szCs w:val="22"/>
          <w:rtl/>
          <w:lang w:eastAsia="he-IL"/>
        </w:rPr>
        <w:t>מינהלת פרויקט תכניות אב ומתאר במגזר הערבי המורכבת מנציגי</w:t>
      </w:r>
      <w:r w:rsidRPr="00F41E78">
        <w:rPr>
          <w:rFonts w:cs="FrankRuehl" w:hint="cs"/>
          <w:sz w:val="18"/>
          <w:szCs w:val="22"/>
          <w:rtl/>
          <w:lang w:eastAsia="he-IL"/>
        </w:rPr>
        <w:t>ם</w:t>
      </w:r>
      <w:r w:rsidRPr="00F41E78">
        <w:rPr>
          <w:rFonts w:cs="FrankRuehl"/>
          <w:sz w:val="18"/>
          <w:szCs w:val="22"/>
          <w:rtl/>
          <w:lang w:eastAsia="he-IL"/>
        </w:rPr>
        <w:t xml:space="preserve"> </w:t>
      </w:r>
      <w:r w:rsidRPr="00F41E78">
        <w:rPr>
          <w:rFonts w:cs="FrankRuehl" w:hint="cs"/>
          <w:sz w:val="18"/>
          <w:szCs w:val="22"/>
          <w:rtl/>
          <w:lang w:eastAsia="he-IL"/>
        </w:rPr>
        <w:t>מ</w:t>
      </w:r>
      <w:r w:rsidRPr="00F41E78">
        <w:rPr>
          <w:rFonts w:cs="FrankRuehl"/>
          <w:sz w:val="18"/>
          <w:szCs w:val="22"/>
          <w:rtl/>
          <w:lang w:eastAsia="he-IL"/>
        </w:rPr>
        <w:t xml:space="preserve">משרד ראש הממשלה, </w:t>
      </w:r>
      <w:r w:rsidRPr="00F41E78">
        <w:rPr>
          <w:rFonts w:cs="FrankRuehl" w:hint="cs"/>
          <w:sz w:val="18"/>
          <w:szCs w:val="22"/>
          <w:rtl/>
          <w:lang w:eastAsia="he-IL"/>
        </w:rPr>
        <w:t>מ</w:t>
      </w:r>
      <w:r w:rsidRPr="00F41E78">
        <w:rPr>
          <w:rFonts w:cs="FrankRuehl"/>
          <w:sz w:val="18"/>
          <w:szCs w:val="22"/>
          <w:rtl/>
          <w:lang w:eastAsia="he-IL"/>
        </w:rPr>
        <w:t>משרד</w:t>
      </w:r>
      <w:r w:rsidRPr="00F41E78">
        <w:rPr>
          <w:rFonts w:cs="FrankRuehl" w:hint="cs"/>
          <w:sz w:val="18"/>
          <w:szCs w:val="22"/>
          <w:rtl/>
          <w:lang w:eastAsia="he-IL"/>
        </w:rPr>
        <w:t>י</w:t>
      </w:r>
      <w:r w:rsidRPr="00F41E78">
        <w:rPr>
          <w:rFonts w:cs="FrankRuehl"/>
          <w:sz w:val="18"/>
          <w:szCs w:val="22"/>
          <w:rtl/>
          <w:lang w:eastAsia="he-IL"/>
        </w:rPr>
        <w:t xml:space="preserve"> הפנים</w:t>
      </w:r>
      <w:r w:rsidRPr="00F41E78">
        <w:rPr>
          <w:rFonts w:cs="FrankRuehl" w:hint="cs"/>
          <w:sz w:val="18"/>
          <w:szCs w:val="22"/>
          <w:rtl/>
          <w:lang w:eastAsia="he-IL"/>
        </w:rPr>
        <w:t xml:space="preserve"> והשיכון</w:t>
      </w:r>
      <w:r w:rsidRPr="00F41E78">
        <w:rPr>
          <w:rFonts w:cs="FrankRuehl"/>
          <w:sz w:val="18"/>
          <w:szCs w:val="22"/>
          <w:rtl/>
          <w:lang w:eastAsia="he-IL"/>
        </w:rPr>
        <w:t xml:space="preserve"> </w:t>
      </w:r>
      <w:r w:rsidRPr="00F41E78">
        <w:rPr>
          <w:rFonts w:cs="FrankRuehl" w:hint="cs"/>
          <w:sz w:val="18"/>
          <w:szCs w:val="22"/>
          <w:rtl/>
          <w:lang w:eastAsia="he-IL"/>
        </w:rPr>
        <w:t>ומרמ"י</w:t>
      </w:r>
      <w:r w:rsidRPr="00F41E78">
        <w:rPr>
          <w:rFonts w:cs="FrankRuehl"/>
          <w:sz w:val="18"/>
          <w:szCs w:val="22"/>
          <w:rtl/>
          <w:lang w:eastAsia="he-IL"/>
        </w:rPr>
        <w:t xml:space="preserve">. </w:t>
      </w:r>
      <w:r w:rsidRPr="00F41E78">
        <w:rPr>
          <w:rFonts w:cs="FrankRuehl" w:hint="cs"/>
          <w:sz w:val="18"/>
          <w:szCs w:val="22"/>
          <w:rtl/>
          <w:lang w:eastAsia="he-IL"/>
        </w:rPr>
        <w:t>הכנתה החלה</w:t>
      </w:r>
      <w:r w:rsidRPr="00F41E78">
        <w:rPr>
          <w:rFonts w:cs="FrankRuehl"/>
          <w:sz w:val="18"/>
          <w:szCs w:val="22"/>
          <w:rtl/>
          <w:lang w:eastAsia="he-IL"/>
        </w:rPr>
        <w:t xml:space="preserve"> בשנת 2000, והיא הוגשה לוועדה המחוזית</w:t>
      </w:r>
      <w:r w:rsidRPr="00F41E78">
        <w:rPr>
          <w:rFonts w:cs="FrankRuehl" w:hint="cs"/>
          <w:sz w:val="18"/>
          <w:szCs w:val="22"/>
          <w:rtl/>
          <w:lang w:eastAsia="he-IL"/>
        </w:rPr>
        <w:t xml:space="preserve"> צפון</w:t>
      </w:r>
      <w:r w:rsidRPr="00F41E78">
        <w:rPr>
          <w:rFonts w:cs="FrankRuehl"/>
          <w:sz w:val="18"/>
          <w:szCs w:val="22"/>
          <w:rtl/>
          <w:lang w:eastAsia="he-IL"/>
        </w:rPr>
        <w:t xml:space="preserve"> רק ביולי 2005. קידום התכנית התעכב בשל </w:t>
      </w:r>
      <w:r w:rsidRPr="00F41E78">
        <w:rPr>
          <w:rFonts w:cs="FrankRuehl" w:hint="cs"/>
          <w:sz w:val="18"/>
          <w:szCs w:val="22"/>
          <w:rtl/>
          <w:lang w:eastAsia="he-IL"/>
        </w:rPr>
        <w:t xml:space="preserve">הצורך בקבלת המלצותיהן של הוועדות המקומיות (מרחביות) שחלק משטח התכנית נכלל במרחבי התכנון שלהן. גם </w:t>
      </w:r>
      <w:r w:rsidRPr="00F41E78">
        <w:rPr>
          <w:rFonts w:cs="FrankRuehl"/>
          <w:sz w:val="18"/>
          <w:szCs w:val="22"/>
          <w:rtl/>
          <w:lang w:eastAsia="he-IL"/>
        </w:rPr>
        <w:t xml:space="preserve">מחלוקת שהתגלעה בין הצוות המקצועי </w:t>
      </w:r>
      <w:r w:rsidRPr="00F41E78">
        <w:rPr>
          <w:rFonts w:cs="FrankRuehl" w:hint="cs"/>
          <w:sz w:val="18"/>
          <w:szCs w:val="22"/>
          <w:rtl/>
          <w:lang w:eastAsia="he-IL"/>
        </w:rPr>
        <w:t>ו</w:t>
      </w:r>
      <w:r w:rsidRPr="00F41E78">
        <w:rPr>
          <w:rFonts w:cs="FrankRuehl"/>
          <w:sz w:val="18"/>
          <w:szCs w:val="22"/>
          <w:rtl/>
          <w:lang w:eastAsia="he-IL"/>
        </w:rPr>
        <w:t>בין נציגי המועצה המקומית</w:t>
      </w:r>
      <w:r w:rsidRPr="00F41E78">
        <w:rPr>
          <w:rFonts w:cs="FrankRuehl" w:hint="cs"/>
          <w:sz w:val="18"/>
          <w:szCs w:val="22"/>
          <w:rtl/>
          <w:lang w:eastAsia="he-IL"/>
        </w:rPr>
        <w:t xml:space="preserve"> עיכבה את קידומה; המחלוקת נסובה על </w:t>
      </w:r>
      <w:r w:rsidRPr="00F41E78">
        <w:rPr>
          <w:rFonts w:cs="FrankRuehl"/>
          <w:sz w:val="18"/>
          <w:szCs w:val="22"/>
          <w:rtl/>
          <w:lang w:eastAsia="he-IL"/>
        </w:rPr>
        <w:t>דרישת המועצה לתוספת שטחי פיתוח החורגים מן הפרוגרמה המקצועית שאושרה</w:t>
      </w:r>
      <w:r w:rsidRPr="00F41E78">
        <w:rPr>
          <w:rFonts w:cs="FrankRuehl" w:hint="cs"/>
          <w:sz w:val="18"/>
          <w:szCs w:val="22"/>
          <w:rtl/>
          <w:lang w:eastAsia="he-IL"/>
        </w:rPr>
        <w:t>.</w:t>
      </w:r>
      <w:r w:rsidRPr="00F41E78">
        <w:rPr>
          <w:rFonts w:cs="FrankRuehl"/>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sz w:val="18"/>
          <w:szCs w:val="22"/>
          <w:rtl/>
          <w:lang w:eastAsia="he-IL"/>
        </w:rPr>
        <w:t xml:space="preserve">חילוקי דעות התגלעו גם בין נציגי מינהל התכנון (אגף תכניות מתאר) </w:t>
      </w:r>
      <w:r w:rsidRPr="00F41E78">
        <w:rPr>
          <w:rFonts w:cs="FrankRuehl" w:hint="cs"/>
          <w:sz w:val="18"/>
          <w:szCs w:val="22"/>
          <w:rtl/>
          <w:lang w:eastAsia="he-IL"/>
        </w:rPr>
        <w:t>ו</w:t>
      </w:r>
      <w:r w:rsidRPr="00F41E78">
        <w:rPr>
          <w:rFonts w:cs="FrankRuehl"/>
          <w:sz w:val="18"/>
          <w:szCs w:val="22"/>
          <w:rtl/>
          <w:lang w:eastAsia="he-IL"/>
        </w:rPr>
        <w:t xml:space="preserve">בין נציגי הוועדה המחוזית, וזאת נוסף </w:t>
      </w:r>
      <w:r w:rsidRPr="00F41E78">
        <w:rPr>
          <w:rFonts w:cs="FrankRuehl" w:hint="cs"/>
          <w:sz w:val="18"/>
          <w:szCs w:val="22"/>
          <w:rtl/>
          <w:lang w:eastAsia="he-IL"/>
        </w:rPr>
        <w:t>ל</w:t>
      </w:r>
      <w:r w:rsidRPr="00F41E78">
        <w:rPr>
          <w:rFonts w:cs="FrankRuehl"/>
          <w:sz w:val="18"/>
          <w:szCs w:val="22"/>
          <w:rtl/>
          <w:lang w:eastAsia="he-IL"/>
        </w:rPr>
        <w:t xml:space="preserve">בעיות מימון של </w:t>
      </w:r>
      <w:r w:rsidRPr="00F41E78">
        <w:rPr>
          <w:rFonts w:cs="FrankRuehl" w:hint="cs"/>
          <w:sz w:val="18"/>
          <w:szCs w:val="22"/>
          <w:rtl/>
          <w:lang w:eastAsia="he-IL"/>
        </w:rPr>
        <w:t>רמ"י</w:t>
      </w:r>
      <w:r w:rsidRPr="00F41E78">
        <w:rPr>
          <w:rFonts w:cs="FrankRuehl"/>
          <w:sz w:val="18"/>
          <w:szCs w:val="22"/>
          <w:rtl/>
          <w:lang w:eastAsia="he-IL"/>
        </w:rPr>
        <w:t xml:space="preserve"> ו</w:t>
      </w:r>
      <w:r w:rsidRPr="00F41E78">
        <w:rPr>
          <w:rFonts w:cs="FrankRuehl" w:hint="cs"/>
          <w:sz w:val="18"/>
          <w:szCs w:val="22"/>
          <w:rtl/>
          <w:lang w:eastAsia="he-IL"/>
        </w:rPr>
        <w:t>ל</w:t>
      </w:r>
      <w:r w:rsidRPr="00F41E78">
        <w:rPr>
          <w:rFonts w:cs="FrankRuehl"/>
          <w:sz w:val="18"/>
          <w:szCs w:val="22"/>
          <w:rtl/>
          <w:lang w:eastAsia="he-IL"/>
        </w:rPr>
        <w:t xml:space="preserve">דרישות של המועצה </w:t>
      </w:r>
      <w:r w:rsidRPr="00F41E78">
        <w:rPr>
          <w:rFonts w:cs="FrankRuehl" w:hint="cs"/>
          <w:sz w:val="18"/>
          <w:szCs w:val="22"/>
          <w:rtl/>
          <w:lang w:eastAsia="he-IL"/>
        </w:rPr>
        <w:t xml:space="preserve">המקומית </w:t>
      </w:r>
      <w:r w:rsidRPr="00F41E78">
        <w:rPr>
          <w:rFonts w:cs="FrankRuehl"/>
          <w:sz w:val="18"/>
          <w:szCs w:val="22"/>
          <w:rtl/>
          <w:lang w:eastAsia="he-IL"/>
        </w:rPr>
        <w:t xml:space="preserve">להוספת שטחים לתכנית. </w:t>
      </w:r>
      <w:r w:rsidRPr="00F41E78">
        <w:rPr>
          <w:rFonts w:cs="FrankRuehl" w:hint="cs"/>
          <w:sz w:val="18"/>
          <w:szCs w:val="22"/>
          <w:rtl/>
          <w:lang w:eastAsia="he-IL"/>
        </w:rPr>
        <w:t xml:space="preserve">רק </w:t>
      </w:r>
      <w:r w:rsidRPr="00F41E78">
        <w:rPr>
          <w:rFonts w:cs="FrankRuehl"/>
          <w:sz w:val="18"/>
          <w:szCs w:val="22"/>
          <w:rtl/>
          <w:lang w:eastAsia="he-IL"/>
        </w:rPr>
        <w:t>במאי 2008</w:t>
      </w:r>
      <w:r w:rsidRPr="00F41E78">
        <w:rPr>
          <w:rFonts w:cs="FrankRuehl" w:hint="cs"/>
          <w:sz w:val="18"/>
          <w:szCs w:val="22"/>
          <w:rtl/>
          <w:lang w:eastAsia="he-IL"/>
        </w:rPr>
        <w:t xml:space="preserve">, </w:t>
      </w:r>
      <w:r w:rsidRPr="00F41E78">
        <w:rPr>
          <w:rFonts w:cs="FrankRuehl"/>
          <w:sz w:val="18"/>
          <w:szCs w:val="22"/>
          <w:rtl/>
          <w:lang w:eastAsia="he-IL"/>
        </w:rPr>
        <w:t>כשלוש שנים לאחר שהוגשה לה</w:t>
      </w:r>
      <w:r w:rsidRPr="00F41E78">
        <w:rPr>
          <w:rFonts w:cs="FrankRuehl" w:hint="cs"/>
          <w:sz w:val="18"/>
          <w:szCs w:val="22"/>
          <w:rtl/>
          <w:lang w:eastAsia="he-IL"/>
        </w:rPr>
        <w:t xml:space="preserve">, החליטה בסופו של דבר </w:t>
      </w:r>
      <w:r w:rsidRPr="00F41E78">
        <w:rPr>
          <w:rFonts w:cs="FrankRuehl"/>
          <w:sz w:val="18"/>
          <w:szCs w:val="22"/>
          <w:rtl/>
          <w:lang w:eastAsia="he-IL"/>
        </w:rPr>
        <w:t>הוועדה המחוזית על הפקדת</w:t>
      </w:r>
      <w:r w:rsidRPr="00F41E78">
        <w:rPr>
          <w:rFonts w:cs="FrankRuehl" w:hint="cs"/>
          <w:sz w:val="18"/>
          <w:szCs w:val="22"/>
          <w:rtl/>
          <w:lang w:eastAsia="he-IL"/>
        </w:rPr>
        <w:t xml:space="preserve"> התכנית</w:t>
      </w:r>
      <w:r w:rsidRPr="00F41E78">
        <w:rPr>
          <w:rFonts w:cs="FrankRuehl"/>
          <w:sz w:val="18"/>
          <w:szCs w:val="22"/>
          <w:rtl/>
          <w:lang w:eastAsia="he-IL"/>
        </w:rPr>
        <w:t xml:space="preserve"> בתנאים.</w:t>
      </w:r>
    </w:p>
    <w:p w:rsidR="00E97EDA" w:rsidRPr="00F41E78" w:rsidP="00A7557B">
      <w:pPr>
        <w:spacing w:after="120" w:line="230" w:lineRule="exact"/>
        <w:jc w:val="both"/>
        <w:rPr>
          <w:rFonts w:cs="FrankRuehl"/>
          <w:sz w:val="18"/>
          <w:szCs w:val="22"/>
          <w:rtl/>
          <w:lang w:eastAsia="he-IL"/>
        </w:rPr>
      </w:pPr>
      <w:r w:rsidRPr="00F41E78">
        <w:rPr>
          <w:rFonts w:cs="FrankRuehl"/>
          <w:sz w:val="18"/>
          <w:szCs w:val="22"/>
          <w:rtl/>
          <w:lang w:eastAsia="he-IL"/>
        </w:rPr>
        <w:t xml:space="preserve">רק בינואר 2010 נדונה </w:t>
      </w:r>
      <w:r w:rsidRPr="00F41E78">
        <w:rPr>
          <w:rFonts w:cs="FrankRuehl" w:hint="cs"/>
          <w:sz w:val="18"/>
          <w:szCs w:val="22"/>
          <w:rtl/>
          <w:lang w:eastAsia="he-IL"/>
        </w:rPr>
        <w:t>ה</w:t>
      </w:r>
      <w:r w:rsidRPr="00F41E78">
        <w:rPr>
          <w:rFonts w:cs="FrankRuehl"/>
          <w:sz w:val="18"/>
          <w:szCs w:val="22"/>
          <w:rtl/>
          <w:lang w:eastAsia="he-IL"/>
        </w:rPr>
        <w:t xml:space="preserve">תכנית </w:t>
      </w:r>
      <w:r w:rsidRPr="00F41E78">
        <w:rPr>
          <w:rFonts w:cs="FrankRuehl" w:hint="cs"/>
          <w:sz w:val="18"/>
          <w:szCs w:val="22"/>
          <w:rtl/>
          <w:lang w:eastAsia="he-IL"/>
        </w:rPr>
        <w:t>בוולנת"ע</w:t>
      </w:r>
      <w:r w:rsidRPr="00F41E78">
        <w:rPr>
          <w:rFonts w:cs="FrankRuehl"/>
          <w:sz w:val="18"/>
          <w:szCs w:val="22"/>
          <w:rtl/>
          <w:lang w:eastAsia="he-IL"/>
        </w:rPr>
        <w:t>. בדיון הוחלט לאשר תיקונים בתכנית בכפוף למילוי תנאים הנגזרים מתמ"א 3 (תכנית מתאר ארצית לדרכים), מתמ"א 8 (תכנית מתאר ארצית לגנים לאומיים, שמורות טבע ושמורות נוף), מתמ"א 22 (תכנית מתאר ארצית ליער וייעור), מתמ"א 35 ומתמ"מ 9/2</w:t>
      </w:r>
      <w:r>
        <w:rPr>
          <w:rFonts w:cs="FrankRuehl"/>
          <w:sz w:val="18"/>
          <w:szCs w:val="22"/>
          <w:vertAlign w:val="superscript"/>
          <w:rtl/>
          <w:lang w:eastAsia="he-IL"/>
        </w:rPr>
        <w:footnoteReference w:id="248"/>
      </w:r>
      <w:r w:rsidRPr="00F41E78">
        <w:rPr>
          <w:rFonts w:cs="FrankRuehl"/>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sz w:val="18"/>
          <w:szCs w:val="22"/>
          <w:rtl/>
          <w:lang w:eastAsia="he-IL"/>
        </w:rPr>
        <w:t xml:space="preserve">מאז הדיון </w:t>
      </w:r>
      <w:r w:rsidRPr="00F41E78">
        <w:rPr>
          <w:rFonts w:cs="FrankRuehl" w:hint="cs"/>
          <w:sz w:val="18"/>
          <w:szCs w:val="22"/>
          <w:rtl/>
          <w:lang w:eastAsia="he-IL"/>
        </w:rPr>
        <w:t>בוולנת"ע</w:t>
      </w:r>
      <w:r w:rsidRPr="00F41E78">
        <w:rPr>
          <w:rFonts w:cs="FrankRuehl"/>
          <w:sz w:val="18"/>
          <w:szCs w:val="22"/>
          <w:rtl/>
          <w:lang w:eastAsia="he-IL"/>
        </w:rPr>
        <w:t xml:space="preserve"> ועד מועד סיום הביקורת</w:t>
      </w:r>
      <w:r w:rsidRPr="00F41E78">
        <w:rPr>
          <w:rFonts w:cs="FrankRuehl" w:hint="cs"/>
          <w:sz w:val="18"/>
          <w:szCs w:val="22"/>
          <w:rtl/>
          <w:lang w:eastAsia="he-IL"/>
        </w:rPr>
        <w:t xml:space="preserve"> במחוז הצפון</w:t>
      </w:r>
      <w:r w:rsidRPr="00F41E78">
        <w:rPr>
          <w:rFonts w:cs="FrankRuehl"/>
          <w:sz w:val="18"/>
          <w:szCs w:val="22"/>
          <w:rtl/>
          <w:lang w:eastAsia="he-IL"/>
        </w:rPr>
        <w:t xml:space="preserve"> </w:t>
      </w:r>
      <w:r w:rsidRPr="00F41E78">
        <w:rPr>
          <w:rFonts w:cs="FrankRuehl" w:hint="cs"/>
          <w:sz w:val="18"/>
          <w:szCs w:val="22"/>
          <w:rtl/>
          <w:lang w:eastAsia="he-IL"/>
        </w:rPr>
        <w:t>ב</w:t>
      </w:r>
      <w:r w:rsidRPr="00F41E78">
        <w:rPr>
          <w:rFonts w:cs="FrankRuehl"/>
          <w:sz w:val="18"/>
          <w:szCs w:val="22"/>
          <w:rtl/>
          <w:lang w:eastAsia="he-IL"/>
        </w:rPr>
        <w:t>מרץ 2013</w:t>
      </w:r>
      <w:r w:rsidRPr="00F41E78">
        <w:rPr>
          <w:rFonts w:cs="FrankRuehl" w:hint="cs"/>
          <w:sz w:val="18"/>
          <w:szCs w:val="22"/>
          <w:rtl/>
          <w:lang w:eastAsia="he-IL"/>
        </w:rPr>
        <w:t>,</w:t>
      </w:r>
      <w:r w:rsidRPr="00F41E78">
        <w:rPr>
          <w:rFonts w:cs="FrankRuehl"/>
          <w:sz w:val="18"/>
          <w:szCs w:val="22"/>
          <w:rtl/>
          <w:lang w:eastAsia="he-IL"/>
        </w:rPr>
        <w:t xml:space="preserve"> לא פעלו </w:t>
      </w:r>
      <w:r w:rsidRPr="00F41E78">
        <w:rPr>
          <w:rFonts w:cs="FrankRuehl" w:hint="cs"/>
          <w:sz w:val="18"/>
          <w:szCs w:val="22"/>
          <w:rtl/>
          <w:lang w:eastAsia="he-IL"/>
        </w:rPr>
        <w:t>היזמים</w:t>
      </w:r>
      <w:r w:rsidRPr="00F41E78">
        <w:rPr>
          <w:rFonts w:cs="FrankRuehl"/>
          <w:sz w:val="18"/>
          <w:szCs w:val="22"/>
          <w:rtl/>
          <w:lang w:eastAsia="he-IL"/>
        </w:rPr>
        <w:t xml:space="preserve"> למילוי תנאי הפקדתה וממילא היא לא הופקדה.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בביקורת במחוז הצפון נבחנו מקרים נוספים ונמצא כי</w:t>
      </w:r>
      <w:r w:rsidRPr="00F41E78">
        <w:rPr>
          <w:rFonts w:cs="FrankRuehl"/>
          <w:sz w:val="18"/>
          <w:szCs w:val="22"/>
          <w:rtl/>
          <w:lang w:eastAsia="he-IL"/>
        </w:rPr>
        <w:t xml:space="preserve"> הסיבות </w:t>
      </w:r>
      <w:r w:rsidRPr="00F41E78">
        <w:rPr>
          <w:rFonts w:cs="FrankRuehl" w:hint="cs"/>
          <w:sz w:val="18"/>
          <w:szCs w:val="22"/>
          <w:rtl/>
          <w:lang w:eastAsia="he-IL"/>
        </w:rPr>
        <w:t>שגרמו לעיכוב</w:t>
      </w:r>
      <w:r w:rsidRPr="00F41E78">
        <w:rPr>
          <w:rFonts w:cs="FrankRuehl"/>
          <w:sz w:val="18"/>
          <w:szCs w:val="22"/>
          <w:rtl/>
          <w:lang w:eastAsia="he-IL"/>
        </w:rPr>
        <w:t xml:space="preserve"> </w:t>
      </w:r>
      <w:r w:rsidRPr="00F41E78">
        <w:rPr>
          <w:rFonts w:cs="FrankRuehl" w:hint="cs"/>
          <w:sz w:val="18"/>
          <w:szCs w:val="22"/>
          <w:rtl/>
          <w:lang w:eastAsia="he-IL"/>
        </w:rPr>
        <w:t xml:space="preserve">בקידום </w:t>
      </w:r>
      <w:r w:rsidRPr="00F41E78">
        <w:rPr>
          <w:rFonts w:cs="FrankRuehl"/>
          <w:sz w:val="18"/>
          <w:szCs w:val="22"/>
          <w:rtl/>
          <w:lang w:eastAsia="he-IL"/>
        </w:rPr>
        <w:t xml:space="preserve">התכניות והשלמתן </w:t>
      </w:r>
      <w:r w:rsidRPr="00F41E78">
        <w:rPr>
          <w:rFonts w:cs="FrankRuehl" w:hint="cs"/>
          <w:sz w:val="18"/>
          <w:szCs w:val="22"/>
          <w:rtl/>
          <w:lang w:eastAsia="he-IL"/>
        </w:rPr>
        <w:t xml:space="preserve">היו מגוונות; סיבות כמו </w:t>
      </w:r>
      <w:r w:rsidRPr="00F41E78">
        <w:rPr>
          <w:rFonts w:cs="FrankRuehl"/>
          <w:sz w:val="18"/>
          <w:szCs w:val="22"/>
          <w:rtl/>
          <w:lang w:eastAsia="he-IL"/>
        </w:rPr>
        <w:t>ה</w:t>
      </w:r>
      <w:r w:rsidRPr="00F41E78">
        <w:rPr>
          <w:rFonts w:cs="FrankRuehl" w:hint="cs"/>
          <w:sz w:val="18"/>
          <w:szCs w:val="22"/>
          <w:rtl/>
          <w:lang w:eastAsia="he-IL"/>
        </w:rPr>
        <w:t>י</w:t>
      </w:r>
      <w:r w:rsidRPr="00F41E78">
        <w:rPr>
          <w:rFonts w:cs="FrankRuehl"/>
          <w:sz w:val="18"/>
          <w:szCs w:val="22"/>
          <w:rtl/>
          <w:lang w:eastAsia="he-IL"/>
        </w:rPr>
        <w:t xml:space="preserve">עדר פתרונות קצה לביוב, </w:t>
      </w:r>
      <w:r w:rsidRPr="00F41E78">
        <w:rPr>
          <w:rFonts w:cs="FrankRuehl" w:hint="cs"/>
          <w:sz w:val="18"/>
          <w:szCs w:val="22"/>
          <w:rtl/>
          <w:lang w:eastAsia="he-IL"/>
        </w:rPr>
        <w:t>התנהלות אטית</w:t>
      </w:r>
      <w:r w:rsidRPr="00F41E78">
        <w:rPr>
          <w:rFonts w:cs="FrankRuehl"/>
          <w:sz w:val="18"/>
          <w:szCs w:val="22"/>
          <w:rtl/>
          <w:lang w:eastAsia="he-IL"/>
        </w:rPr>
        <w:t xml:space="preserve"> מצד היזמים</w:t>
      </w:r>
      <w:r w:rsidRPr="00F41E78">
        <w:rPr>
          <w:rFonts w:cs="FrankRuehl" w:hint="cs"/>
          <w:sz w:val="18"/>
          <w:szCs w:val="22"/>
          <w:rtl/>
          <w:lang w:eastAsia="he-IL"/>
        </w:rPr>
        <w:t xml:space="preserve"> ומצד ר</w:t>
      </w:r>
      <w:r w:rsidRPr="00F41E78">
        <w:rPr>
          <w:rFonts w:cs="FrankRuehl"/>
          <w:sz w:val="18"/>
          <w:szCs w:val="22"/>
          <w:rtl/>
          <w:lang w:eastAsia="he-IL"/>
        </w:rPr>
        <w:t>מ"י, בעיות תקצוב, סירוב הרשויות המקומיות למתווים שנקבעו, חסמים תחבורתיים</w:t>
      </w:r>
      <w:r w:rsidRPr="00F41E78">
        <w:rPr>
          <w:rFonts w:cs="FrankRuehl" w:hint="cs"/>
          <w:sz w:val="18"/>
          <w:szCs w:val="22"/>
          <w:rtl/>
          <w:lang w:eastAsia="he-IL"/>
        </w:rPr>
        <w:t xml:space="preserve"> וחילוקי דעות בין רשויות מקומיות שונות</w:t>
      </w:r>
      <w:r w:rsidRPr="00F41E78">
        <w:rPr>
          <w:rFonts w:cs="FrankRuehl"/>
          <w:sz w:val="18"/>
          <w:szCs w:val="22"/>
          <w:rtl/>
          <w:lang w:eastAsia="he-IL"/>
        </w:rPr>
        <w:t>.</w:t>
      </w:r>
    </w:p>
    <w:p w:rsidR="00E97EDA" w:rsidRPr="00F41E78" w:rsidP="000449EE">
      <w:pPr>
        <w:spacing w:after="240" w:line="230" w:lineRule="exact"/>
        <w:jc w:val="both"/>
        <w:rPr>
          <w:rFonts w:cs="FrankRuehl"/>
          <w:sz w:val="18"/>
          <w:szCs w:val="22"/>
          <w:rtl/>
          <w:lang w:eastAsia="he-IL"/>
        </w:rPr>
      </w:pPr>
      <w:r w:rsidRPr="00F41E78">
        <w:rPr>
          <w:rFonts w:cs="FrankRuehl" w:hint="cs"/>
          <w:sz w:val="18"/>
          <w:szCs w:val="22"/>
          <w:rtl/>
          <w:lang w:eastAsia="he-IL"/>
        </w:rPr>
        <w:t>בתשובתו של משרד הפנים מסר האגף לתכנון מקומי כי העובדה שרוב הקרקע הפרטית אינה רשומה באופן מסודר מונעת הליכים בסיסיים למימוש הזכויות בקרקע, למשל הוצאת היתרי בנייה.</w:t>
      </w:r>
    </w:p>
    <w:p w:rsidR="00D22B16" w:rsidRPr="00F41E78" w:rsidP="00D22B16">
      <w:pPr>
        <w:pStyle w:val="RESHET"/>
        <w:keepLines/>
        <w:rPr>
          <w:rtl/>
        </w:rPr>
      </w:pPr>
      <w:r w:rsidRPr="00F41E78">
        <w:rPr>
          <w:rtl/>
        </w:rPr>
        <w:t>על מינהל התכנון ו</w:t>
      </w:r>
      <w:r w:rsidRPr="00F41E78">
        <w:rPr>
          <w:rFonts w:hint="cs"/>
          <w:rtl/>
        </w:rPr>
        <w:t xml:space="preserve">על </w:t>
      </w:r>
      <w:r w:rsidRPr="00F41E78">
        <w:rPr>
          <w:rtl/>
        </w:rPr>
        <w:t xml:space="preserve">הוועדה המחוזית </w:t>
      </w:r>
      <w:r w:rsidRPr="00F41E78">
        <w:rPr>
          <w:rFonts w:hint="cs"/>
          <w:rtl/>
        </w:rPr>
        <w:t xml:space="preserve">צפון </w:t>
      </w:r>
      <w:r w:rsidRPr="00F41E78">
        <w:rPr>
          <w:rtl/>
        </w:rPr>
        <w:t xml:space="preserve">לפעול </w:t>
      </w:r>
      <w:r w:rsidRPr="00F41E78">
        <w:rPr>
          <w:rFonts w:hint="cs"/>
          <w:rtl/>
        </w:rPr>
        <w:t xml:space="preserve">ללא כל דיחוי </w:t>
      </w:r>
      <w:r w:rsidRPr="00F41E78">
        <w:rPr>
          <w:rtl/>
        </w:rPr>
        <w:t xml:space="preserve">לקידום תכניות המתאר ביישובים שאין </w:t>
      </w:r>
      <w:r w:rsidRPr="00F41E78">
        <w:rPr>
          <w:rFonts w:hint="cs"/>
          <w:rtl/>
        </w:rPr>
        <w:t>חלות עליהם</w:t>
      </w:r>
      <w:r w:rsidRPr="00F41E78">
        <w:rPr>
          <w:rtl/>
        </w:rPr>
        <w:t xml:space="preserve"> תכניות מאושרות ולקדם תכניות חדשות ביישובים </w:t>
      </w:r>
      <w:r w:rsidRPr="00F41E78">
        <w:rPr>
          <w:rFonts w:hint="cs"/>
          <w:rtl/>
        </w:rPr>
        <w:t>שחלות עליהן</w:t>
      </w:r>
      <w:r w:rsidRPr="00F41E78">
        <w:rPr>
          <w:rtl/>
        </w:rPr>
        <w:t xml:space="preserve"> תכניות ישנות</w:t>
      </w:r>
      <w:r w:rsidRPr="00F41E78">
        <w:rPr>
          <w:rFonts w:hint="cs"/>
          <w:rtl/>
        </w:rPr>
        <w:t>.</w:t>
      </w:r>
      <w:r w:rsidRPr="00F41E78">
        <w:rPr>
          <w:rtl/>
        </w:rPr>
        <w:t xml:space="preserve"> </w:t>
      </w:r>
      <w:r w:rsidRPr="00F41E78">
        <w:rPr>
          <w:rFonts w:hint="cs"/>
          <w:rtl/>
        </w:rPr>
        <w:t>היעדרן של תכניות מתאר מקומיות</w:t>
      </w:r>
      <w:r w:rsidRPr="00F41E78">
        <w:rPr>
          <w:rtl/>
        </w:rPr>
        <w:t xml:space="preserve"> פוגע בזכויות</w:t>
      </w:r>
      <w:r w:rsidRPr="00F41E78">
        <w:rPr>
          <w:rFonts w:hint="cs"/>
          <w:rtl/>
        </w:rPr>
        <w:t>יהם של</w:t>
      </w:r>
      <w:r w:rsidRPr="00F41E78">
        <w:rPr>
          <w:rtl/>
        </w:rPr>
        <w:t xml:space="preserve"> </w:t>
      </w:r>
      <w:r w:rsidRPr="00F41E78">
        <w:rPr>
          <w:rFonts w:hint="cs"/>
          <w:rtl/>
        </w:rPr>
        <w:t>תושבי היישובים; הדבר</w:t>
      </w:r>
      <w:r w:rsidRPr="00F41E78">
        <w:rPr>
          <w:rtl/>
        </w:rPr>
        <w:t xml:space="preserve"> </w:t>
      </w:r>
      <w:r w:rsidRPr="00F41E78">
        <w:rPr>
          <w:rFonts w:hint="cs"/>
          <w:rtl/>
        </w:rPr>
        <w:t xml:space="preserve">עלול לעודד בעקיפין </w:t>
      </w:r>
      <w:r w:rsidRPr="00F41E78">
        <w:rPr>
          <w:rtl/>
        </w:rPr>
        <w:t xml:space="preserve">בנייה בלתי חוקית, </w:t>
      </w:r>
      <w:r w:rsidRPr="00F41E78">
        <w:rPr>
          <w:rFonts w:hint="cs"/>
          <w:rtl/>
        </w:rPr>
        <w:t>לצמצם את</w:t>
      </w:r>
      <w:r w:rsidRPr="00F41E78">
        <w:rPr>
          <w:rtl/>
        </w:rPr>
        <w:t xml:space="preserve"> השטחים הציבוריים ולהשפיע על התפתחות היישובים שלא </w:t>
      </w:r>
      <w:r w:rsidRPr="00F41E78">
        <w:rPr>
          <w:rFonts w:hint="cs"/>
          <w:rtl/>
        </w:rPr>
        <w:t>על פי</w:t>
      </w:r>
      <w:r w:rsidRPr="00F41E78">
        <w:rPr>
          <w:rtl/>
        </w:rPr>
        <w:t xml:space="preserve"> מדיניות התכנון המקומית והאזורית.</w:t>
      </w:r>
      <w:r w:rsidRPr="00F41E78">
        <w:rPr>
          <w:rFonts w:hint="cs"/>
          <w:rtl/>
        </w:rPr>
        <w:t xml:space="preserve"> כמו כן, היעדר זה עלול להקשות על תהליכי האישור של תכניות מפורטות שאישורן הוא תנאי להוצאת היתרי בנייה ולהחמיר בכך את מצוקת הדיור במגזר הערבי.</w:t>
      </w:r>
    </w:p>
    <w:p w:rsidR="00C52551" w:rsidRPr="00F41E78" w:rsidP="00A7557B">
      <w:pPr>
        <w:spacing w:after="120" w:line="230" w:lineRule="exact"/>
        <w:jc w:val="both"/>
        <w:rPr>
          <w:rFonts w:cs="FrankRuehl"/>
          <w:b/>
          <w:bCs/>
          <w:sz w:val="18"/>
          <w:szCs w:val="22"/>
          <w:rtl/>
          <w:lang w:eastAsia="he-IL"/>
        </w:rPr>
      </w:pPr>
    </w:p>
    <w:p w:rsidR="00E97EDA" w:rsidRPr="00CB33CD" w:rsidP="00A7557B">
      <w:pPr>
        <w:pStyle w:val="KOT5"/>
        <w:rPr>
          <w:rtl/>
          <w:lang w:eastAsia="he-IL"/>
        </w:rPr>
      </w:pPr>
      <w:r w:rsidRPr="00CB33CD">
        <w:rPr>
          <w:rFonts w:hint="cs"/>
          <w:rtl/>
          <w:lang w:eastAsia="he-IL"/>
        </w:rPr>
        <w:t>המלאי התכנוני במחוז הצפון</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משרד מבקר המדינה בדק את המלאי התכנוני במחוז הצפון. כאמור, אין משרד הפנים מחזיק במידע מהימן על המלאי התכנוני הכולל בארץ, והדברים נכונים גם למחוז הצפון. עם זאת, ישנם אומדנים בנוגע למספר יחידות הדיור שאושרו מאז 2007. להלן נתונים על אישור יח"ד בתכניות מפורטות בשנים 2012-2007 במחוז הצפון:</w:t>
      </w:r>
    </w:p>
    <w:p w:rsidR="00E97EDA" w:rsidRPr="00873FEC" w:rsidP="00F802DB">
      <w:pPr>
        <w:pStyle w:val="tab-name"/>
        <w:rPr>
          <w:rtl/>
          <w:lang w:eastAsia="he-IL"/>
        </w:rPr>
      </w:pPr>
      <w:r w:rsidRPr="00F802DB">
        <w:rPr>
          <w:rFonts w:hint="cs"/>
          <w:b w:val="0"/>
          <w:bCs w:val="0"/>
          <w:sz w:val="20"/>
          <w:szCs w:val="20"/>
          <w:rtl/>
          <w:lang w:eastAsia="he-IL"/>
        </w:rPr>
        <w:t xml:space="preserve">לוח </w:t>
      </w:r>
      <w:r w:rsidRPr="00F802DB" w:rsidR="00F802DB">
        <w:rPr>
          <w:rFonts w:hint="cs"/>
          <w:b w:val="0"/>
          <w:bCs w:val="0"/>
          <w:sz w:val="20"/>
          <w:szCs w:val="20"/>
          <w:rtl/>
          <w:lang w:eastAsia="he-IL"/>
        </w:rPr>
        <w:t>3</w:t>
      </w:r>
      <w:r w:rsidRPr="00F802DB" w:rsidR="00F802DB">
        <w:rPr>
          <w:b w:val="0"/>
          <w:bCs w:val="0"/>
          <w:sz w:val="20"/>
          <w:szCs w:val="20"/>
          <w:lang w:eastAsia="he-IL"/>
        </w:rPr>
        <w:br/>
      </w:r>
      <w:r w:rsidRPr="00873FEC">
        <w:rPr>
          <w:rFonts w:hint="cs"/>
          <w:rtl/>
          <w:lang w:eastAsia="he-IL"/>
        </w:rPr>
        <w:t xml:space="preserve">יח"ד מאושרות בתכניות מפורטות של מחוז הצפון ובכל המחוזות, 2012-2007 </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ayout w:type="fixed"/>
        <w:tblCellMar>
          <w:left w:w="57" w:type="dxa"/>
          <w:right w:w="57" w:type="dxa"/>
        </w:tblCellMar>
        <w:tblLook w:val="0000"/>
      </w:tblPr>
      <w:tblGrid>
        <w:gridCol w:w="1038"/>
        <w:gridCol w:w="793"/>
        <w:gridCol w:w="793"/>
        <w:gridCol w:w="793"/>
        <w:gridCol w:w="848"/>
        <w:gridCol w:w="789"/>
        <w:gridCol w:w="848"/>
        <w:gridCol w:w="789"/>
      </w:tblGrid>
      <w:tr w:rsidTr="00BB0589">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ayout w:type="fixed"/>
          <w:tblCellMar>
            <w:left w:w="57" w:type="dxa"/>
            <w:right w:w="57" w:type="dxa"/>
          </w:tblCellMar>
          <w:tblLook w:val="0000"/>
        </w:tblPrEx>
        <w:trPr>
          <w:jc w:val="center"/>
        </w:trPr>
        <w:tc>
          <w:tcPr>
            <w:tcW w:w="1241" w:type="dxa"/>
            <w:tcBorders>
              <w:top w:val="single" w:sz="12" w:space="0" w:color="auto"/>
              <w:bottom w:val="single" w:sz="12" w:space="0" w:color="auto"/>
            </w:tcBorders>
            <w:shd w:val="pct10" w:color="auto" w:fill="auto"/>
            <w:vAlign w:val="bottom"/>
          </w:tcPr>
          <w:p w:rsidR="00E97EDA" w:rsidRPr="00BB0589" w:rsidP="00BB0589">
            <w:pPr>
              <w:bidi w:val="0"/>
              <w:spacing w:before="40" w:after="40" w:line="200" w:lineRule="exact"/>
              <w:jc w:val="center"/>
              <w:rPr>
                <w:rFonts w:ascii="FrankRuehl" w:hAnsi="FrankRuehl" w:cs="FrankRuehl"/>
                <w:sz w:val="20"/>
                <w:szCs w:val="20"/>
              </w:rPr>
            </w:pPr>
          </w:p>
        </w:tc>
        <w:tc>
          <w:tcPr>
            <w:tcW w:w="940" w:type="dxa"/>
            <w:tcBorders>
              <w:top w:val="single" w:sz="12" w:space="0" w:color="auto"/>
              <w:bottom w:val="single" w:sz="12" w:space="0" w:color="auto"/>
            </w:tcBorders>
            <w:shd w:val="pct10" w:color="auto" w:fill="auto"/>
            <w:vAlign w:val="bottom"/>
          </w:tcPr>
          <w:p w:rsidR="00E97EDA" w:rsidRPr="00BB0589" w:rsidP="00BB0589">
            <w:pPr>
              <w:spacing w:before="40" w:after="40" w:line="200" w:lineRule="exact"/>
              <w:jc w:val="center"/>
              <w:rPr>
                <w:rFonts w:ascii="FrankRuehl" w:hAnsi="FrankRuehl" w:cs="FrankRuehl"/>
                <w:b/>
                <w:bCs/>
                <w:sz w:val="20"/>
                <w:szCs w:val="20"/>
              </w:rPr>
            </w:pPr>
            <w:r w:rsidRPr="00BB0589">
              <w:rPr>
                <w:rFonts w:ascii="FrankRuehl" w:hAnsi="FrankRuehl" w:cs="FrankRuehl" w:hint="cs"/>
                <w:b/>
                <w:bCs/>
                <w:sz w:val="20"/>
                <w:szCs w:val="20"/>
                <w:rtl/>
              </w:rPr>
              <w:t>יח"ד</w:t>
            </w:r>
            <w:r w:rsidRPr="00BB0589">
              <w:rPr>
                <w:rFonts w:ascii="FrankRuehl" w:hAnsi="FrankRuehl" w:cs="FrankRuehl"/>
                <w:b/>
                <w:bCs/>
                <w:sz w:val="20"/>
                <w:szCs w:val="20"/>
                <w:rtl/>
              </w:rPr>
              <w:t xml:space="preserve"> שאושרו</w:t>
            </w:r>
          </w:p>
        </w:tc>
        <w:tc>
          <w:tcPr>
            <w:tcW w:w="940" w:type="dxa"/>
            <w:tcBorders>
              <w:top w:val="single" w:sz="12" w:space="0" w:color="auto"/>
              <w:bottom w:val="single" w:sz="12" w:space="0" w:color="auto"/>
            </w:tcBorders>
            <w:shd w:val="pct10" w:color="auto" w:fill="auto"/>
            <w:vAlign w:val="bottom"/>
          </w:tcPr>
          <w:p w:rsidR="00E97EDA" w:rsidRPr="00BB0589" w:rsidP="00BB0589">
            <w:pPr>
              <w:spacing w:before="40" w:after="40" w:line="200" w:lineRule="exact"/>
              <w:jc w:val="center"/>
              <w:rPr>
                <w:rFonts w:ascii="FrankRuehl" w:hAnsi="FrankRuehl" w:cs="FrankRuehl"/>
                <w:b/>
                <w:bCs/>
                <w:sz w:val="20"/>
                <w:szCs w:val="20"/>
              </w:rPr>
            </w:pPr>
            <w:r w:rsidRPr="00BB0589">
              <w:rPr>
                <w:rFonts w:ascii="FrankRuehl" w:hAnsi="FrankRuehl" w:cs="FrankRuehl"/>
                <w:b/>
                <w:bCs/>
                <w:sz w:val="20"/>
                <w:szCs w:val="20"/>
                <w:rtl/>
              </w:rPr>
              <w:t>יעדי תמ"א 35 לתקופה (מספרים מעוגלים)</w:t>
            </w:r>
          </w:p>
        </w:tc>
        <w:tc>
          <w:tcPr>
            <w:tcW w:w="940" w:type="dxa"/>
            <w:tcBorders>
              <w:top w:val="single" w:sz="12" w:space="0" w:color="auto"/>
              <w:bottom w:val="single" w:sz="12" w:space="0" w:color="auto"/>
            </w:tcBorders>
            <w:shd w:val="pct10" w:color="auto" w:fill="auto"/>
            <w:vAlign w:val="bottom"/>
          </w:tcPr>
          <w:p w:rsidR="00E97EDA" w:rsidRPr="00BB0589" w:rsidP="00BB0589">
            <w:pPr>
              <w:spacing w:before="40" w:after="40" w:line="200" w:lineRule="exact"/>
              <w:jc w:val="center"/>
              <w:rPr>
                <w:rFonts w:ascii="FrankRuehl" w:hAnsi="FrankRuehl" w:cs="FrankRuehl"/>
                <w:b/>
                <w:bCs/>
                <w:sz w:val="20"/>
                <w:szCs w:val="20"/>
              </w:rPr>
            </w:pPr>
            <w:r w:rsidRPr="00BB0589">
              <w:rPr>
                <w:rFonts w:ascii="FrankRuehl" w:hAnsi="FrankRuehl" w:cs="FrankRuehl"/>
                <w:b/>
                <w:bCs/>
                <w:sz w:val="20"/>
                <w:szCs w:val="20"/>
                <w:rtl/>
              </w:rPr>
              <w:t xml:space="preserve">פער בין </w:t>
            </w:r>
            <w:r w:rsidRPr="00BB0589">
              <w:rPr>
                <w:rFonts w:ascii="FrankRuehl" w:hAnsi="FrankRuehl" w:cs="FrankRuehl" w:hint="cs"/>
                <w:b/>
                <w:bCs/>
                <w:sz w:val="20"/>
                <w:szCs w:val="20"/>
                <w:rtl/>
              </w:rPr>
              <w:t>יח"ד</w:t>
            </w:r>
            <w:r w:rsidRPr="00BB0589">
              <w:rPr>
                <w:rFonts w:ascii="FrankRuehl" w:hAnsi="FrankRuehl" w:cs="FrankRuehl"/>
                <w:b/>
                <w:bCs/>
                <w:sz w:val="20"/>
                <w:szCs w:val="20"/>
                <w:rtl/>
              </w:rPr>
              <w:t xml:space="preserve"> שאושרו ליעדי התמ"א</w:t>
            </w:r>
          </w:p>
        </w:tc>
        <w:tc>
          <w:tcPr>
            <w:tcW w:w="1008" w:type="dxa"/>
            <w:tcBorders>
              <w:top w:val="single" w:sz="12" w:space="0" w:color="auto"/>
              <w:bottom w:val="single" w:sz="12" w:space="0" w:color="auto"/>
            </w:tcBorders>
            <w:shd w:val="pct10" w:color="auto" w:fill="auto"/>
            <w:vAlign w:val="bottom"/>
          </w:tcPr>
          <w:p w:rsidR="00E97EDA" w:rsidRPr="00BB0589" w:rsidP="00BB0589">
            <w:pPr>
              <w:spacing w:before="40" w:after="40" w:line="200" w:lineRule="exact"/>
              <w:jc w:val="center"/>
              <w:rPr>
                <w:rFonts w:ascii="FrankRuehl" w:hAnsi="FrankRuehl" w:cs="FrankRuehl"/>
                <w:b/>
                <w:bCs/>
                <w:sz w:val="20"/>
                <w:szCs w:val="20"/>
              </w:rPr>
            </w:pPr>
            <w:r w:rsidRPr="00BB0589">
              <w:rPr>
                <w:rFonts w:ascii="FrankRuehl" w:hAnsi="FrankRuehl" w:cs="FrankRuehl"/>
                <w:b/>
                <w:bCs/>
                <w:sz w:val="20"/>
                <w:szCs w:val="20"/>
                <w:rtl/>
              </w:rPr>
              <w:t>התחלות בנייה</w:t>
            </w:r>
          </w:p>
        </w:tc>
        <w:tc>
          <w:tcPr>
            <w:tcW w:w="936" w:type="dxa"/>
            <w:tcBorders>
              <w:top w:val="single" w:sz="12" w:space="0" w:color="auto"/>
              <w:bottom w:val="single" w:sz="12" w:space="0" w:color="auto"/>
            </w:tcBorders>
            <w:shd w:val="pct10" w:color="auto" w:fill="auto"/>
            <w:vAlign w:val="bottom"/>
          </w:tcPr>
          <w:p w:rsidR="00E97EDA" w:rsidRPr="00BB0589" w:rsidP="00BB0589">
            <w:pPr>
              <w:spacing w:before="40" w:after="40" w:line="200" w:lineRule="exact"/>
              <w:jc w:val="center"/>
              <w:rPr>
                <w:rFonts w:ascii="FrankRuehl" w:hAnsi="FrankRuehl" w:cs="FrankRuehl"/>
                <w:b/>
                <w:bCs/>
                <w:sz w:val="20"/>
                <w:szCs w:val="20"/>
              </w:rPr>
            </w:pPr>
            <w:r w:rsidRPr="00BB0589">
              <w:rPr>
                <w:rFonts w:ascii="FrankRuehl" w:hAnsi="FrankRuehl" w:cs="FrankRuehl"/>
                <w:b/>
                <w:bCs/>
                <w:sz w:val="20"/>
                <w:szCs w:val="20"/>
                <w:rtl/>
              </w:rPr>
              <w:t xml:space="preserve">פער בין </w:t>
            </w:r>
            <w:r w:rsidRPr="00BB0589">
              <w:rPr>
                <w:rFonts w:ascii="FrankRuehl" w:hAnsi="FrankRuehl" w:cs="FrankRuehl" w:hint="cs"/>
                <w:b/>
                <w:bCs/>
                <w:sz w:val="20"/>
                <w:szCs w:val="20"/>
                <w:rtl/>
              </w:rPr>
              <w:t>יח"ד</w:t>
            </w:r>
            <w:r w:rsidRPr="00BB0589">
              <w:rPr>
                <w:rFonts w:ascii="FrankRuehl" w:hAnsi="FrankRuehl" w:cs="FrankRuehl"/>
                <w:b/>
                <w:bCs/>
                <w:sz w:val="20"/>
                <w:szCs w:val="20"/>
                <w:rtl/>
              </w:rPr>
              <w:t xml:space="preserve"> שאושרו להתחלות בנייה</w:t>
            </w:r>
          </w:p>
        </w:tc>
        <w:tc>
          <w:tcPr>
            <w:tcW w:w="1008" w:type="dxa"/>
            <w:tcBorders>
              <w:top w:val="single" w:sz="12" w:space="0" w:color="auto"/>
              <w:bottom w:val="single" w:sz="12" w:space="0" w:color="auto"/>
            </w:tcBorders>
            <w:shd w:val="pct10" w:color="auto" w:fill="auto"/>
            <w:vAlign w:val="bottom"/>
          </w:tcPr>
          <w:p w:rsidR="00E97EDA" w:rsidRPr="00BB0589" w:rsidP="00BB0589">
            <w:pPr>
              <w:spacing w:before="40" w:after="40" w:line="200" w:lineRule="exact"/>
              <w:jc w:val="center"/>
              <w:rPr>
                <w:rFonts w:ascii="FrankRuehl" w:hAnsi="FrankRuehl" w:cs="FrankRuehl"/>
                <w:b/>
                <w:bCs/>
                <w:sz w:val="20"/>
                <w:szCs w:val="20"/>
                <w:rtl/>
              </w:rPr>
            </w:pPr>
            <w:r w:rsidRPr="00BB0589">
              <w:rPr>
                <w:rFonts w:ascii="FrankRuehl" w:hAnsi="FrankRuehl" w:cs="FrankRuehl"/>
                <w:b/>
                <w:bCs/>
                <w:sz w:val="20"/>
                <w:szCs w:val="20"/>
                <w:rtl/>
              </w:rPr>
              <w:t>משקי בית שנוספו (הערכה)</w:t>
            </w:r>
          </w:p>
        </w:tc>
        <w:tc>
          <w:tcPr>
            <w:tcW w:w="936" w:type="dxa"/>
            <w:tcBorders>
              <w:top w:val="single" w:sz="12" w:space="0" w:color="auto"/>
              <w:bottom w:val="single" w:sz="12" w:space="0" w:color="auto"/>
            </w:tcBorders>
            <w:shd w:val="pct10" w:color="auto" w:fill="auto"/>
            <w:vAlign w:val="bottom"/>
          </w:tcPr>
          <w:p w:rsidR="00E97EDA" w:rsidRPr="00BB0589" w:rsidP="00BB0589">
            <w:pPr>
              <w:spacing w:before="40" w:after="40" w:line="200" w:lineRule="exact"/>
              <w:jc w:val="center"/>
              <w:rPr>
                <w:rFonts w:ascii="FrankRuehl" w:hAnsi="FrankRuehl" w:cs="FrankRuehl"/>
                <w:b/>
                <w:bCs/>
                <w:sz w:val="20"/>
                <w:szCs w:val="20"/>
              </w:rPr>
            </w:pPr>
            <w:r w:rsidRPr="00BB0589">
              <w:rPr>
                <w:rFonts w:ascii="FrankRuehl" w:hAnsi="FrankRuehl" w:cs="FrankRuehl"/>
                <w:b/>
                <w:bCs/>
                <w:sz w:val="20"/>
                <w:szCs w:val="20"/>
                <w:rtl/>
              </w:rPr>
              <w:t>פער בין י</w:t>
            </w:r>
            <w:r w:rsidRPr="00BB0589">
              <w:rPr>
                <w:rFonts w:ascii="FrankRuehl" w:hAnsi="FrankRuehl" w:cs="FrankRuehl" w:hint="cs"/>
                <w:b/>
                <w:bCs/>
                <w:sz w:val="20"/>
                <w:szCs w:val="20"/>
                <w:rtl/>
              </w:rPr>
              <w:t>ח"ד</w:t>
            </w:r>
            <w:r w:rsidR="00BB0589">
              <w:rPr>
                <w:rFonts w:ascii="FrankRuehl" w:hAnsi="FrankRuehl" w:cs="FrankRuehl"/>
                <w:b/>
                <w:bCs/>
                <w:sz w:val="20"/>
                <w:szCs w:val="20"/>
              </w:rPr>
              <w:br/>
            </w:r>
            <w:r w:rsidRPr="00BB0589">
              <w:rPr>
                <w:rFonts w:ascii="FrankRuehl" w:hAnsi="FrankRuehl" w:cs="FrankRuehl"/>
                <w:b/>
                <w:bCs/>
                <w:sz w:val="20"/>
                <w:szCs w:val="20"/>
                <w:rtl/>
              </w:rPr>
              <w:t>שאושרו לתוספת משקי הבית</w:t>
            </w:r>
          </w:p>
        </w:tc>
      </w:tr>
      <w:tr w:rsidTr="000968CF">
        <w:tblPrEx>
          <w:tblW w:w="6691" w:type="dxa"/>
          <w:jc w:val="center"/>
          <w:tblLayout w:type="fixed"/>
          <w:tblCellMar>
            <w:left w:w="57" w:type="dxa"/>
            <w:right w:w="57" w:type="dxa"/>
          </w:tblCellMar>
          <w:tblLook w:val="0000"/>
        </w:tblPrEx>
        <w:trPr>
          <w:jc w:val="center"/>
        </w:trPr>
        <w:tc>
          <w:tcPr>
            <w:tcW w:w="1241" w:type="dxa"/>
            <w:tcBorders>
              <w:top w:val="single" w:sz="12" w:space="0" w:color="auto"/>
              <w:bottom w:val="single" w:sz="12" w:space="0" w:color="auto"/>
            </w:tcBorders>
            <w:shd w:val="clear" w:color="auto" w:fill="auto"/>
            <w:vAlign w:val="center"/>
          </w:tcPr>
          <w:p w:rsidR="00E97EDA" w:rsidRPr="00BB0589" w:rsidP="00F802DB">
            <w:pPr>
              <w:spacing w:before="40" w:after="40" w:line="200" w:lineRule="exact"/>
              <w:jc w:val="center"/>
              <w:rPr>
                <w:rFonts w:ascii="FrankRuehl" w:hAnsi="FrankRuehl" w:cs="FrankRuehl"/>
                <w:sz w:val="20"/>
                <w:szCs w:val="20"/>
              </w:rPr>
            </w:pPr>
            <w:r w:rsidRPr="00BB0589">
              <w:rPr>
                <w:rFonts w:ascii="FrankRuehl" w:hAnsi="FrankRuehl" w:cs="FrankRuehl"/>
                <w:sz w:val="20"/>
                <w:szCs w:val="20"/>
                <w:rtl/>
              </w:rPr>
              <w:t>מחוז ה</w:t>
            </w:r>
            <w:r w:rsidRPr="00BB0589">
              <w:rPr>
                <w:rFonts w:ascii="FrankRuehl" w:hAnsi="FrankRuehl" w:cs="FrankRuehl" w:hint="cs"/>
                <w:sz w:val="20"/>
                <w:szCs w:val="20"/>
                <w:rtl/>
              </w:rPr>
              <w:t>צפון</w:t>
            </w:r>
          </w:p>
        </w:tc>
        <w:tc>
          <w:tcPr>
            <w:tcW w:w="940" w:type="dxa"/>
            <w:tcBorders>
              <w:top w:val="single" w:sz="12" w:space="0" w:color="auto"/>
              <w:bottom w:val="single" w:sz="12" w:space="0" w:color="auto"/>
            </w:tcBorders>
            <w:shd w:val="clear" w:color="auto" w:fill="auto"/>
            <w:vAlign w:val="center"/>
          </w:tcPr>
          <w:p w:rsidR="00E97EDA" w:rsidRPr="00BB0589" w:rsidP="00F802DB">
            <w:pPr>
              <w:bidi w:val="0"/>
              <w:spacing w:before="40" w:after="40" w:line="200" w:lineRule="exact"/>
              <w:jc w:val="center"/>
              <w:rPr>
                <w:rFonts w:ascii="FrankRuehl" w:hAnsi="FrankRuehl" w:cs="FrankRuehl"/>
                <w:sz w:val="20"/>
                <w:szCs w:val="20"/>
              </w:rPr>
            </w:pPr>
            <w:r w:rsidRPr="00BB0589">
              <w:rPr>
                <w:rFonts w:ascii="FrankRuehl" w:hAnsi="FrankRuehl" w:cs="FrankRuehl"/>
                <w:sz w:val="20"/>
                <w:szCs w:val="20"/>
              </w:rPr>
              <w:t>32,039</w:t>
            </w:r>
          </w:p>
        </w:tc>
        <w:tc>
          <w:tcPr>
            <w:tcW w:w="940" w:type="dxa"/>
            <w:tcBorders>
              <w:top w:val="single" w:sz="12" w:space="0" w:color="auto"/>
              <w:bottom w:val="single" w:sz="12" w:space="0" w:color="auto"/>
            </w:tcBorders>
            <w:vAlign w:val="center"/>
          </w:tcPr>
          <w:p w:rsidR="00E97EDA" w:rsidRPr="00BB0589" w:rsidP="00F802DB">
            <w:pPr>
              <w:bidi w:val="0"/>
              <w:spacing w:before="40" w:after="40" w:line="200" w:lineRule="exact"/>
              <w:jc w:val="center"/>
              <w:rPr>
                <w:rFonts w:ascii="FrankRuehl" w:hAnsi="FrankRuehl" w:cs="FrankRuehl"/>
                <w:sz w:val="20"/>
                <w:szCs w:val="20"/>
              </w:rPr>
            </w:pPr>
            <w:r w:rsidRPr="00BB0589">
              <w:rPr>
                <w:rFonts w:ascii="FrankRuehl" w:hAnsi="FrankRuehl" w:cs="FrankRuehl"/>
                <w:sz w:val="20"/>
                <w:szCs w:val="20"/>
              </w:rPr>
              <w:t>72,000</w:t>
            </w:r>
          </w:p>
        </w:tc>
        <w:tc>
          <w:tcPr>
            <w:tcW w:w="940" w:type="dxa"/>
            <w:tcBorders>
              <w:top w:val="single" w:sz="12" w:space="0" w:color="auto"/>
              <w:bottom w:val="single" w:sz="12" w:space="0" w:color="auto"/>
            </w:tcBorders>
            <w:shd w:val="clear" w:color="auto" w:fill="auto"/>
            <w:vAlign w:val="center"/>
          </w:tcPr>
          <w:p w:rsidR="00E97EDA" w:rsidRPr="00BB0589" w:rsidP="00F802DB">
            <w:pPr>
              <w:bidi w:val="0"/>
              <w:spacing w:before="40" w:after="40" w:line="200" w:lineRule="exact"/>
              <w:jc w:val="center"/>
              <w:rPr>
                <w:rFonts w:ascii="FrankRuehl" w:hAnsi="FrankRuehl" w:cs="FrankRuehl"/>
                <w:sz w:val="20"/>
                <w:szCs w:val="20"/>
              </w:rPr>
            </w:pPr>
            <w:r w:rsidRPr="00BB0589">
              <w:rPr>
                <w:rFonts w:ascii="FrankRuehl" w:hAnsi="FrankRuehl" w:cs="FrankRuehl"/>
                <w:sz w:val="20"/>
                <w:szCs w:val="20"/>
              </w:rPr>
              <w:t>-39,961</w:t>
            </w:r>
          </w:p>
        </w:tc>
        <w:tc>
          <w:tcPr>
            <w:tcW w:w="1008" w:type="dxa"/>
            <w:tcBorders>
              <w:top w:val="single" w:sz="12" w:space="0" w:color="auto"/>
              <w:bottom w:val="single" w:sz="12" w:space="0" w:color="auto"/>
            </w:tcBorders>
            <w:shd w:val="clear" w:color="auto" w:fill="auto"/>
            <w:vAlign w:val="center"/>
          </w:tcPr>
          <w:p w:rsidR="00E97EDA" w:rsidRPr="00BB0589" w:rsidP="00F802DB">
            <w:pPr>
              <w:bidi w:val="0"/>
              <w:spacing w:before="40" w:after="40" w:line="200" w:lineRule="exact"/>
              <w:jc w:val="center"/>
              <w:rPr>
                <w:rFonts w:ascii="FrankRuehl" w:hAnsi="FrankRuehl" w:cs="FrankRuehl"/>
                <w:sz w:val="20"/>
                <w:szCs w:val="20"/>
              </w:rPr>
            </w:pPr>
            <w:r w:rsidRPr="00BB0589">
              <w:rPr>
                <w:rFonts w:ascii="FrankRuehl" w:hAnsi="FrankRuehl" w:cs="FrankRuehl"/>
                <w:sz w:val="20"/>
                <w:szCs w:val="20"/>
              </w:rPr>
              <w:t>44,154</w:t>
            </w:r>
          </w:p>
        </w:tc>
        <w:tc>
          <w:tcPr>
            <w:tcW w:w="936" w:type="dxa"/>
            <w:tcBorders>
              <w:top w:val="single" w:sz="12" w:space="0" w:color="auto"/>
              <w:bottom w:val="single" w:sz="12" w:space="0" w:color="auto"/>
            </w:tcBorders>
            <w:shd w:val="clear" w:color="auto" w:fill="auto"/>
            <w:vAlign w:val="center"/>
          </w:tcPr>
          <w:p w:rsidR="00E97EDA" w:rsidRPr="00BB0589" w:rsidP="00F802DB">
            <w:pPr>
              <w:bidi w:val="0"/>
              <w:spacing w:before="40" w:after="40" w:line="200" w:lineRule="exact"/>
              <w:jc w:val="center"/>
              <w:rPr>
                <w:rFonts w:ascii="FrankRuehl" w:hAnsi="FrankRuehl" w:cs="FrankRuehl"/>
                <w:sz w:val="20"/>
                <w:szCs w:val="20"/>
              </w:rPr>
            </w:pPr>
            <w:r w:rsidRPr="00BB0589">
              <w:rPr>
                <w:rFonts w:ascii="FrankRuehl" w:hAnsi="FrankRuehl" w:cs="FrankRuehl"/>
                <w:sz w:val="20"/>
                <w:szCs w:val="20"/>
              </w:rPr>
              <w:t>-12,115</w:t>
            </w:r>
          </w:p>
        </w:tc>
        <w:tc>
          <w:tcPr>
            <w:tcW w:w="1008" w:type="dxa"/>
            <w:tcBorders>
              <w:top w:val="single" w:sz="12" w:space="0" w:color="auto"/>
              <w:bottom w:val="single" w:sz="12" w:space="0" w:color="auto"/>
            </w:tcBorders>
            <w:shd w:val="clear" w:color="auto" w:fill="auto"/>
            <w:vAlign w:val="center"/>
          </w:tcPr>
          <w:p w:rsidR="00E97EDA" w:rsidRPr="00BB0589" w:rsidP="00F802DB">
            <w:pPr>
              <w:bidi w:val="0"/>
              <w:spacing w:before="40" w:after="40" w:line="200" w:lineRule="exact"/>
              <w:jc w:val="center"/>
              <w:rPr>
                <w:rFonts w:ascii="FrankRuehl" w:hAnsi="FrankRuehl" w:cs="FrankRuehl"/>
                <w:sz w:val="20"/>
                <w:szCs w:val="20"/>
              </w:rPr>
            </w:pPr>
            <w:r w:rsidRPr="00BB0589">
              <w:rPr>
                <w:rFonts w:ascii="FrankRuehl" w:hAnsi="FrankRuehl" w:cs="FrankRuehl"/>
                <w:sz w:val="20"/>
                <w:szCs w:val="20"/>
                <w:rtl/>
              </w:rPr>
              <w:t>43,034</w:t>
            </w:r>
          </w:p>
        </w:tc>
        <w:tc>
          <w:tcPr>
            <w:tcW w:w="936" w:type="dxa"/>
            <w:tcBorders>
              <w:top w:val="single" w:sz="12" w:space="0" w:color="auto"/>
              <w:bottom w:val="single" w:sz="12" w:space="0" w:color="auto"/>
            </w:tcBorders>
            <w:shd w:val="clear" w:color="auto" w:fill="auto"/>
            <w:vAlign w:val="center"/>
          </w:tcPr>
          <w:p w:rsidR="00E97EDA" w:rsidRPr="00BB0589" w:rsidP="00F802DB">
            <w:pPr>
              <w:bidi w:val="0"/>
              <w:spacing w:before="40" w:after="40" w:line="200" w:lineRule="exact"/>
              <w:jc w:val="center"/>
              <w:rPr>
                <w:rFonts w:ascii="FrankRuehl" w:hAnsi="FrankRuehl" w:cs="FrankRuehl"/>
                <w:sz w:val="20"/>
                <w:szCs w:val="20"/>
              </w:rPr>
            </w:pPr>
            <w:r w:rsidRPr="00BB0589">
              <w:rPr>
                <w:rFonts w:ascii="FrankRuehl" w:hAnsi="FrankRuehl" w:cs="FrankRuehl"/>
                <w:sz w:val="20"/>
                <w:szCs w:val="20"/>
                <w:rtl/>
              </w:rPr>
              <w:t>10,995-</w:t>
            </w:r>
          </w:p>
        </w:tc>
      </w:tr>
      <w:tr w:rsidTr="000968CF">
        <w:tblPrEx>
          <w:tblW w:w="6691" w:type="dxa"/>
          <w:jc w:val="center"/>
          <w:tblLayout w:type="fixed"/>
          <w:tblCellMar>
            <w:left w:w="57" w:type="dxa"/>
            <w:right w:w="57" w:type="dxa"/>
          </w:tblCellMar>
          <w:tblLook w:val="0000"/>
        </w:tblPrEx>
        <w:trPr>
          <w:jc w:val="center"/>
        </w:trPr>
        <w:tc>
          <w:tcPr>
            <w:tcW w:w="1241" w:type="dxa"/>
            <w:tcBorders>
              <w:top w:val="single" w:sz="12" w:space="0" w:color="auto"/>
              <w:bottom w:val="single" w:sz="12" w:space="0" w:color="auto"/>
            </w:tcBorders>
            <w:shd w:val="pct10" w:color="auto" w:fill="auto"/>
            <w:vAlign w:val="center"/>
          </w:tcPr>
          <w:p w:rsidR="00E97EDA" w:rsidRPr="000968CF" w:rsidP="00F802DB">
            <w:pPr>
              <w:spacing w:before="40" w:after="40" w:line="200" w:lineRule="exact"/>
              <w:jc w:val="center"/>
              <w:rPr>
                <w:rFonts w:ascii="FrankRuehl" w:hAnsi="FrankRuehl" w:cs="FrankRuehl"/>
                <w:b/>
                <w:bCs/>
                <w:sz w:val="20"/>
                <w:szCs w:val="20"/>
              </w:rPr>
            </w:pPr>
            <w:r w:rsidRPr="000968CF">
              <w:rPr>
                <w:rFonts w:ascii="FrankRuehl" w:hAnsi="FrankRuehl" w:cs="FrankRuehl"/>
                <w:b/>
                <w:bCs/>
                <w:sz w:val="20"/>
                <w:szCs w:val="20"/>
                <w:rtl/>
              </w:rPr>
              <w:t>כל המחוזות</w:t>
            </w:r>
          </w:p>
        </w:tc>
        <w:tc>
          <w:tcPr>
            <w:tcW w:w="940" w:type="dxa"/>
            <w:tcBorders>
              <w:top w:val="single" w:sz="12" w:space="0" w:color="auto"/>
              <w:bottom w:val="single" w:sz="12" w:space="0" w:color="auto"/>
            </w:tcBorders>
            <w:shd w:val="pct10" w:color="auto" w:fill="auto"/>
            <w:vAlign w:val="center"/>
          </w:tcPr>
          <w:p w:rsidR="00E97EDA" w:rsidRPr="000968CF" w:rsidP="00F802DB">
            <w:pPr>
              <w:bidi w:val="0"/>
              <w:spacing w:before="40" w:after="40" w:line="200" w:lineRule="exact"/>
              <w:jc w:val="center"/>
              <w:rPr>
                <w:rFonts w:ascii="FrankRuehl" w:hAnsi="FrankRuehl" w:cs="FrankRuehl"/>
                <w:b/>
                <w:bCs/>
                <w:sz w:val="20"/>
                <w:szCs w:val="20"/>
              </w:rPr>
            </w:pPr>
            <w:r w:rsidRPr="000968CF">
              <w:rPr>
                <w:rFonts w:ascii="FrankRuehl" w:hAnsi="FrankRuehl" w:cs="FrankRuehl"/>
                <w:b/>
                <w:bCs/>
                <w:sz w:val="20"/>
                <w:szCs w:val="20"/>
              </w:rPr>
              <w:t>193,482</w:t>
            </w:r>
          </w:p>
        </w:tc>
        <w:tc>
          <w:tcPr>
            <w:tcW w:w="940" w:type="dxa"/>
            <w:tcBorders>
              <w:top w:val="single" w:sz="12" w:space="0" w:color="auto"/>
              <w:bottom w:val="single" w:sz="12" w:space="0" w:color="auto"/>
            </w:tcBorders>
            <w:shd w:val="pct10" w:color="auto" w:fill="auto"/>
            <w:vAlign w:val="center"/>
          </w:tcPr>
          <w:p w:rsidR="00E97EDA" w:rsidRPr="000968CF" w:rsidP="00F802DB">
            <w:pPr>
              <w:bidi w:val="0"/>
              <w:spacing w:before="40" w:after="40" w:line="200" w:lineRule="exact"/>
              <w:jc w:val="center"/>
              <w:rPr>
                <w:rFonts w:ascii="FrankRuehl" w:hAnsi="FrankRuehl" w:cs="FrankRuehl"/>
                <w:b/>
                <w:bCs/>
                <w:sz w:val="20"/>
                <w:szCs w:val="20"/>
              </w:rPr>
            </w:pPr>
            <w:r w:rsidRPr="000968CF">
              <w:rPr>
                <w:rFonts w:ascii="FrankRuehl" w:hAnsi="FrankRuehl" w:cs="FrankRuehl"/>
                <w:b/>
                <w:bCs/>
                <w:sz w:val="20"/>
                <w:szCs w:val="20"/>
              </w:rPr>
              <w:t>270,000</w:t>
            </w:r>
          </w:p>
        </w:tc>
        <w:tc>
          <w:tcPr>
            <w:tcW w:w="940" w:type="dxa"/>
            <w:tcBorders>
              <w:top w:val="single" w:sz="12" w:space="0" w:color="auto"/>
              <w:bottom w:val="single" w:sz="12" w:space="0" w:color="auto"/>
            </w:tcBorders>
            <w:shd w:val="pct10" w:color="auto" w:fill="auto"/>
            <w:vAlign w:val="center"/>
          </w:tcPr>
          <w:p w:rsidR="00E97EDA" w:rsidRPr="000968CF" w:rsidP="00F802DB">
            <w:pPr>
              <w:bidi w:val="0"/>
              <w:spacing w:before="40" w:after="40" w:line="200" w:lineRule="exact"/>
              <w:jc w:val="center"/>
              <w:rPr>
                <w:rFonts w:ascii="FrankRuehl" w:hAnsi="FrankRuehl" w:cs="FrankRuehl"/>
                <w:b/>
                <w:bCs/>
                <w:sz w:val="20"/>
                <w:szCs w:val="20"/>
              </w:rPr>
            </w:pPr>
            <w:r w:rsidRPr="000968CF">
              <w:rPr>
                <w:rFonts w:ascii="FrankRuehl" w:hAnsi="FrankRuehl" w:cs="FrankRuehl"/>
                <w:b/>
                <w:bCs/>
                <w:sz w:val="20"/>
                <w:szCs w:val="20"/>
              </w:rPr>
              <w:t>-76,518</w:t>
            </w:r>
          </w:p>
        </w:tc>
        <w:tc>
          <w:tcPr>
            <w:tcW w:w="1008" w:type="dxa"/>
            <w:tcBorders>
              <w:top w:val="single" w:sz="12" w:space="0" w:color="auto"/>
              <w:bottom w:val="single" w:sz="12" w:space="0" w:color="auto"/>
            </w:tcBorders>
            <w:shd w:val="pct10" w:color="auto" w:fill="auto"/>
            <w:vAlign w:val="center"/>
          </w:tcPr>
          <w:p w:rsidR="00E97EDA" w:rsidRPr="000968CF" w:rsidP="00F802DB">
            <w:pPr>
              <w:bidi w:val="0"/>
              <w:spacing w:before="40" w:after="40" w:line="200" w:lineRule="exact"/>
              <w:jc w:val="center"/>
              <w:rPr>
                <w:rFonts w:ascii="FrankRuehl" w:hAnsi="FrankRuehl" w:cs="FrankRuehl"/>
                <w:b/>
                <w:bCs/>
                <w:sz w:val="20"/>
                <w:szCs w:val="20"/>
              </w:rPr>
            </w:pPr>
            <w:r w:rsidRPr="000968CF">
              <w:rPr>
                <w:rFonts w:ascii="FrankRuehl" w:hAnsi="FrankRuehl" w:cs="FrankRuehl"/>
                <w:b/>
                <w:bCs/>
                <w:sz w:val="20"/>
                <w:szCs w:val="20"/>
              </w:rPr>
              <w:t>216,463</w:t>
            </w:r>
          </w:p>
        </w:tc>
        <w:tc>
          <w:tcPr>
            <w:tcW w:w="936" w:type="dxa"/>
            <w:tcBorders>
              <w:top w:val="single" w:sz="12" w:space="0" w:color="auto"/>
              <w:bottom w:val="single" w:sz="12" w:space="0" w:color="auto"/>
            </w:tcBorders>
            <w:shd w:val="pct10" w:color="auto" w:fill="auto"/>
            <w:vAlign w:val="center"/>
          </w:tcPr>
          <w:p w:rsidR="00E97EDA" w:rsidRPr="000968CF" w:rsidP="00F802DB">
            <w:pPr>
              <w:bidi w:val="0"/>
              <w:spacing w:before="40" w:after="40" w:line="200" w:lineRule="exact"/>
              <w:jc w:val="center"/>
              <w:rPr>
                <w:rFonts w:ascii="FrankRuehl" w:hAnsi="FrankRuehl" w:cs="FrankRuehl"/>
                <w:b/>
                <w:bCs/>
                <w:sz w:val="20"/>
                <w:szCs w:val="20"/>
              </w:rPr>
            </w:pPr>
            <w:r w:rsidRPr="000968CF">
              <w:rPr>
                <w:rFonts w:ascii="FrankRuehl" w:hAnsi="FrankRuehl" w:cs="FrankRuehl"/>
                <w:b/>
                <w:bCs/>
                <w:sz w:val="20"/>
                <w:szCs w:val="20"/>
              </w:rPr>
              <w:t>-22,981</w:t>
            </w:r>
          </w:p>
        </w:tc>
        <w:tc>
          <w:tcPr>
            <w:tcW w:w="1008" w:type="dxa"/>
            <w:tcBorders>
              <w:top w:val="single" w:sz="12" w:space="0" w:color="auto"/>
              <w:bottom w:val="single" w:sz="12" w:space="0" w:color="auto"/>
            </w:tcBorders>
            <w:shd w:val="pct10" w:color="auto" w:fill="auto"/>
            <w:vAlign w:val="center"/>
          </w:tcPr>
          <w:p w:rsidR="00E97EDA" w:rsidRPr="000968CF" w:rsidP="00F802DB">
            <w:pPr>
              <w:bidi w:val="0"/>
              <w:spacing w:before="40" w:after="40" w:line="200" w:lineRule="exact"/>
              <w:jc w:val="center"/>
              <w:rPr>
                <w:rFonts w:ascii="FrankRuehl" w:hAnsi="FrankRuehl" w:cs="FrankRuehl"/>
                <w:b/>
                <w:bCs/>
                <w:sz w:val="20"/>
                <w:szCs w:val="20"/>
              </w:rPr>
            </w:pPr>
            <w:r w:rsidRPr="000968CF">
              <w:rPr>
                <w:rFonts w:ascii="FrankRuehl" w:hAnsi="FrankRuehl" w:cs="FrankRuehl"/>
                <w:b/>
                <w:bCs/>
                <w:sz w:val="20"/>
                <w:szCs w:val="20"/>
              </w:rPr>
              <w:t>222,632</w:t>
            </w:r>
          </w:p>
        </w:tc>
        <w:tc>
          <w:tcPr>
            <w:tcW w:w="936" w:type="dxa"/>
            <w:tcBorders>
              <w:top w:val="single" w:sz="12" w:space="0" w:color="auto"/>
              <w:bottom w:val="single" w:sz="12" w:space="0" w:color="auto"/>
            </w:tcBorders>
            <w:shd w:val="pct10" w:color="auto" w:fill="auto"/>
            <w:vAlign w:val="center"/>
          </w:tcPr>
          <w:p w:rsidR="00E97EDA" w:rsidRPr="000968CF" w:rsidP="00F802DB">
            <w:pPr>
              <w:bidi w:val="0"/>
              <w:spacing w:before="40" w:after="40" w:line="200" w:lineRule="exact"/>
              <w:jc w:val="center"/>
              <w:rPr>
                <w:rFonts w:ascii="FrankRuehl" w:hAnsi="FrankRuehl" w:cs="FrankRuehl"/>
                <w:b/>
                <w:bCs/>
                <w:sz w:val="20"/>
                <w:szCs w:val="20"/>
              </w:rPr>
            </w:pPr>
            <w:r w:rsidRPr="000968CF">
              <w:rPr>
                <w:rFonts w:ascii="FrankRuehl" w:hAnsi="FrankRuehl" w:cs="FrankRuehl"/>
                <w:b/>
                <w:bCs/>
                <w:sz w:val="20"/>
                <w:szCs w:val="20"/>
              </w:rPr>
              <w:t>-29,150</w:t>
            </w:r>
          </w:p>
        </w:tc>
      </w:tr>
    </w:tbl>
    <w:p w:rsidR="00E97EDA" w:rsidRPr="00BB0589" w:rsidP="00BB0589">
      <w:pPr>
        <w:pStyle w:val="BodyText"/>
        <w:spacing w:before="240"/>
        <w:rPr>
          <w:sz w:val="18"/>
          <w:rtl/>
          <w:lang w:eastAsia="he-IL"/>
        </w:rPr>
      </w:pPr>
      <w:r w:rsidRPr="00BB0589">
        <w:rPr>
          <w:rFonts w:hint="cs"/>
          <w:sz w:val="18"/>
          <w:rtl/>
          <w:lang w:eastAsia="he-IL"/>
        </w:rPr>
        <w:t xml:space="preserve">מהנתונים עולה כי בשנים אלו אושרו במחוז הצפון כ-32,000 יח"ד. בדומה לממצאים על יעדי האוכלוסייה, גם התכנון המפורט לא הגיע להיקפים הרצויים ונוצר פער של כ-40,000 יח"ד בין היעדים למצב בפועל - כ-50% מהפער שנרשם בכל הארץ.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במחוז הצפון נרשמת גם שחיקה ניכרת של המלאי התכנוני שנוצר בשנים האמורות, משום שנגרעו ממנו כ-12,000 יח"ד (לפי הנתונים על התחלות הבנייה באותה תקופה) שהן כ-38% מכלל יחידות הדיור שאושרו במחוז (לעומת גריעה של 11% בכל הארץ). גם בנוגע למספר משקי הבית שנוספו למחוז בשנים אלו מסתמן מחסור של כ-11,000 יח"ד.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בהחלטת הממשלה מיולי 2010 נקבע יעד לאישור 10,000 יח"ד במחוז הצפון מדי שנה. יעד זה נגזר מיעדי התמ"א המעודכנים (כ-7,000 יח"ד) בתוספת 50%. המחוז לא עמד ביעד האמור גם בשנת 2012, לאחר שקצב אישור התכניות גבר.</w:t>
      </w:r>
    </w:p>
    <w:p w:rsidR="00E97EDA" w:rsidRPr="00F41E78" w:rsidP="00BB0589">
      <w:pPr>
        <w:spacing w:after="240" w:line="230" w:lineRule="exact"/>
        <w:jc w:val="both"/>
        <w:rPr>
          <w:rFonts w:cs="FrankRuehl"/>
          <w:sz w:val="18"/>
          <w:szCs w:val="22"/>
          <w:rtl/>
          <w:lang w:eastAsia="he-IL"/>
        </w:rPr>
      </w:pPr>
      <w:r w:rsidRPr="00F41E78">
        <w:rPr>
          <w:rFonts w:cs="FrankRuehl" w:hint="cs"/>
          <w:sz w:val="18"/>
          <w:szCs w:val="22"/>
          <w:rtl/>
          <w:lang w:eastAsia="he-IL"/>
        </w:rPr>
        <w:t>בתשובת משרד הפנים ציינה סגנית מתכננת מחוז הצפון כי בשנת 2013 עמד מחוז הצפון ביעדי הממשלה. לפי נתוני מינהל התכנון מינואר 2014 אישר המחוז כ-22,000 יח"ד - פי שניים מהנקבע מיעדי הממשלה.</w:t>
      </w:r>
    </w:p>
    <w:p w:rsidR="00D22B16" w:rsidRPr="00F41E78" w:rsidP="00D22B16">
      <w:pPr>
        <w:pStyle w:val="RESHET"/>
        <w:keepLines/>
        <w:rPr>
          <w:rtl/>
        </w:rPr>
      </w:pPr>
      <w:r w:rsidRPr="00F41E78">
        <w:rPr>
          <w:rFonts w:hint="cs"/>
          <w:rtl/>
        </w:rPr>
        <w:t>הנתונים מלמדים אפוא שמחוז הצפון סבל בשנים שנבדקו מכרסום במלאי התכנוני, ובמהלכן אושר מספר נמוך של יח"ד הן בנוגע ליעדי התמ"א הן בנוגע לגידול האוכלוסייה בפועל. אם כך, יש להאיץ את הליכי התכנון המפורט במחוז הצפון, כפי שנעשה בשנת 2013.</w:t>
      </w:r>
    </w:p>
    <w:p w:rsidR="00E97EDA" w:rsidRPr="00F41E78" w:rsidP="00BB0589">
      <w:pPr>
        <w:spacing w:before="180" w:after="240" w:line="230" w:lineRule="exact"/>
        <w:jc w:val="both"/>
        <w:rPr>
          <w:rFonts w:cs="FrankRuehl"/>
          <w:sz w:val="18"/>
          <w:szCs w:val="22"/>
          <w:rtl/>
          <w:lang w:eastAsia="he-IL"/>
        </w:rPr>
      </w:pPr>
      <w:r w:rsidRPr="00F41E78">
        <w:rPr>
          <w:rFonts w:cs="FrankRuehl" w:hint="cs"/>
          <w:sz w:val="18"/>
          <w:szCs w:val="22"/>
          <w:rtl/>
          <w:lang w:eastAsia="he-IL"/>
        </w:rPr>
        <w:t>יתרה מזאת, נמצא כי חלק ניכר מהמלאי התכנוני אינו זמין. לפי נתוני רמ"י, ישנו מידע על חסמים לבניית כ-42% מסך יחידות הדיור שאושרו על קרקעות שבניהולה (כ-40,000 יח"ד). החסמים הם בעיקר מחלוקות משפטיות, היעדר הסכמי פיתוח, התנגדויות של רשויות מקומיות וקשיים בשיווק קרקעות בגלל היעדר ביקושים.</w:t>
      </w:r>
    </w:p>
    <w:p w:rsidR="00D22B16" w:rsidRPr="00F41E78" w:rsidP="00D22B16">
      <w:pPr>
        <w:pStyle w:val="RESHET"/>
        <w:keepLines/>
        <w:rPr>
          <w:rtl/>
        </w:rPr>
      </w:pPr>
      <w:r w:rsidRPr="00F41E78">
        <w:rPr>
          <w:rFonts w:hint="cs"/>
          <w:rtl/>
        </w:rPr>
        <w:t>לדעת משרד מבקר המדינה, לנוכח צמצומו של המלאי התכנוני, על מינהל התכנון ועל לשכת התכנון לבחון את הצורך להגדיל את יעדי התכנון המפורט למחוז הצפון. כמו כן, יש לנתח את החסמים המונעים את הקמתן של עשרות אלפי יח"ד ולפעול להסרתם בשיתוף עם הגורמים הנוגעים בדבר כדי לשפר את זמינותו של המלאי התכנוני.</w:t>
      </w:r>
    </w:p>
    <w:p w:rsidR="00E97EDA" w:rsidRPr="00F41E78" w:rsidP="00BB0589">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נמצא כי במחוז הצפון ישנן כ-50,000 יח"ד בהליכי תכנון, אך כ-68% מהן מצויות בשלבים מוקדמים של ההליך הסטטוטורי (לפני הפקדה). מאחר שתהליכי האישור של תכניות נמשכים בממוצע כמה שנים, יש להניח שבשנים הקרובות יתקשה המחוז לעמוד ביעדים שנקבעו בהחלטת הממשלה, אם לא יואצו הליכי התכנון. </w:t>
      </w:r>
    </w:p>
    <w:p w:rsidR="00D22B16" w:rsidRPr="00F41E78" w:rsidP="00D22B16">
      <w:pPr>
        <w:pStyle w:val="RESHET"/>
        <w:keepLines/>
        <w:rPr>
          <w:rtl/>
        </w:rPr>
      </w:pPr>
      <w:r w:rsidRPr="00F41E78">
        <w:rPr>
          <w:rFonts w:hint="cs"/>
          <w:rtl/>
        </w:rPr>
        <w:t xml:space="preserve">על מינהל התכנון ועל לשכת התכנון לבחון אם היקף התכניות המצויות בטיפול יאפשר לעמוד ביעדים שנקבעו למחוז הצפון, כדי למנוע מבעוד מועד שחיקה של המלאי התכנוני. על לשכת התכנון לבחון את הפערים הגדולים שנוצרו בין יעדי תמ"א 35 ובין התכנון המפורט בפועל ולנקוט צעדים לצמצומם. </w:t>
      </w:r>
    </w:p>
    <w:p w:rsidR="00C52551" w:rsidRPr="00BB0589"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קידום תכניות מפורטות במחוז הצפון</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כאמור, הפיכתה של קרקע לזמינה לבנייה מותנית באישור תכניות מפורטות. בביקורת במחוז הצפון נבדקו תהליכי האישור של כמה</w:t>
      </w:r>
      <w:r w:rsidRPr="00F41E78">
        <w:rPr>
          <w:rFonts w:cs="FrankRuehl"/>
          <w:sz w:val="18"/>
          <w:szCs w:val="22"/>
          <w:rtl/>
          <w:lang w:eastAsia="he-IL"/>
        </w:rPr>
        <w:t xml:space="preserve"> תכניות מפורטות </w:t>
      </w:r>
      <w:r w:rsidRPr="00F41E78">
        <w:rPr>
          <w:rFonts w:cs="FrankRuehl" w:hint="cs"/>
          <w:sz w:val="18"/>
          <w:szCs w:val="22"/>
          <w:rtl/>
          <w:lang w:eastAsia="he-IL"/>
        </w:rPr>
        <w:t>ב</w:t>
      </w:r>
      <w:r w:rsidRPr="00F41E78">
        <w:rPr>
          <w:rFonts w:cs="FrankRuehl"/>
          <w:sz w:val="18"/>
          <w:szCs w:val="22"/>
          <w:rtl/>
          <w:lang w:eastAsia="he-IL"/>
        </w:rPr>
        <w:t>תחומי היישובים בענה, דיר אל-אסד ומג'ד אל-כרום</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ש</w:t>
      </w:r>
      <w:r w:rsidRPr="00F41E78">
        <w:rPr>
          <w:rFonts w:cs="FrankRuehl"/>
          <w:sz w:val="18"/>
          <w:szCs w:val="22"/>
          <w:rtl/>
          <w:lang w:eastAsia="he-IL"/>
        </w:rPr>
        <w:t>נועדו להוס</w:t>
      </w:r>
      <w:r w:rsidRPr="00F41E78">
        <w:rPr>
          <w:rFonts w:cs="FrankRuehl" w:hint="cs"/>
          <w:sz w:val="18"/>
          <w:szCs w:val="22"/>
          <w:rtl/>
          <w:lang w:eastAsia="he-IL"/>
        </w:rPr>
        <w:t>פת</w:t>
      </w:r>
      <w:r w:rsidRPr="00F41E78">
        <w:rPr>
          <w:rFonts w:cs="FrankRuehl"/>
          <w:sz w:val="18"/>
          <w:szCs w:val="22"/>
          <w:rtl/>
          <w:lang w:eastAsia="he-IL"/>
        </w:rPr>
        <w:t xml:space="preserve"> כ-5,000 </w:t>
      </w:r>
      <w:r w:rsidRPr="00F41E78">
        <w:rPr>
          <w:rFonts w:cs="FrankRuehl" w:hint="cs"/>
          <w:sz w:val="18"/>
          <w:szCs w:val="22"/>
          <w:rtl/>
          <w:lang w:eastAsia="he-IL"/>
        </w:rPr>
        <w:t>יח"ד</w:t>
      </w:r>
      <w:r w:rsidRPr="00F41E78">
        <w:rPr>
          <w:rFonts w:cs="FrankRuehl"/>
          <w:sz w:val="18"/>
          <w:szCs w:val="22"/>
          <w:rtl/>
          <w:lang w:eastAsia="he-IL"/>
        </w:rPr>
        <w:t>. התכניות המפורטות הוכנו ביזמת הוועדה המקומית בקעת בית הכרם</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להלן פירוט הנוגע לשתי תכניות</w:t>
      </w:r>
      <w:r w:rsidRPr="00F41E78">
        <w:rPr>
          <w:rFonts w:cs="FrankRuehl"/>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eastAsia"/>
          <w:bCs/>
          <w:spacing w:val="40"/>
          <w:sz w:val="18"/>
          <w:szCs w:val="22"/>
          <w:rtl/>
        </w:rPr>
        <w:t>תכנית</w:t>
      </w:r>
      <w:r w:rsidRPr="00F41E78">
        <w:rPr>
          <w:rFonts w:cs="FrankRuehl"/>
          <w:bCs/>
          <w:spacing w:val="40"/>
          <w:sz w:val="18"/>
          <w:szCs w:val="22"/>
          <w:rtl/>
        </w:rPr>
        <w:t xml:space="preserve"> מפורטת ג/16056 - הקמת שכונת מגורים </w:t>
      </w:r>
      <w:r w:rsidRPr="00F41E78">
        <w:rPr>
          <w:rFonts w:cs="FrankRuehl" w:hint="eastAsia"/>
          <w:bCs/>
          <w:spacing w:val="40"/>
          <w:sz w:val="18"/>
          <w:szCs w:val="22"/>
          <w:rtl/>
        </w:rPr>
        <w:t>מ</w:t>
      </w:r>
      <w:r w:rsidRPr="00F41E78">
        <w:rPr>
          <w:rFonts w:cs="FrankRuehl"/>
          <w:bCs/>
          <w:spacing w:val="40"/>
          <w:sz w:val="18"/>
          <w:szCs w:val="22"/>
          <w:rtl/>
        </w:rPr>
        <w:t>מזרח ליישוב דיר אל-אסד:</w:t>
      </w:r>
      <w:r w:rsidRPr="00F41E78">
        <w:rPr>
          <w:rFonts w:eastAsia="MS Mincho" w:cs="FrankRuehl"/>
          <w:sz w:val="18"/>
          <w:szCs w:val="22"/>
          <w:rtl/>
          <w:lang w:eastAsia="he-IL"/>
        </w:rPr>
        <w:t xml:space="preserve"> </w:t>
      </w:r>
      <w:r w:rsidRPr="00F41E78">
        <w:rPr>
          <w:rFonts w:cs="FrankRuehl" w:hint="cs"/>
          <w:sz w:val="18"/>
          <w:szCs w:val="22"/>
          <w:rtl/>
          <w:lang w:eastAsia="he-IL"/>
        </w:rPr>
        <w:t>הכנת</w:t>
      </w:r>
      <w:r w:rsidRPr="00F41E78">
        <w:rPr>
          <w:rFonts w:cs="FrankRuehl"/>
          <w:sz w:val="18"/>
          <w:szCs w:val="22"/>
          <w:rtl/>
          <w:lang w:eastAsia="he-IL"/>
        </w:rPr>
        <w:t xml:space="preserve"> התכנית החלה </w:t>
      </w:r>
      <w:r w:rsidRPr="00F41E78">
        <w:rPr>
          <w:rFonts w:cs="FrankRuehl" w:hint="cs"/>
          <w:sz w:val="18"/>
          <w:szCs w:val="22"/>
          <w:rtl/>
          <w:lang w:eastAsia="he-IL"/>
        </w:rPr>
        <w:t>בשנת 2001</w:t>
      </w:r>
      <w:r w:rsidRPr="00F41E78">
        <w:rPr>
          <w:rFonts w:cs="FrankRuehl"/>
          <w:sz w:val="18"/>
          <w:szCs w:val="22"/>
          <w:rtl/>
          <w:lang w:eastAsia="he-IL"/>
        </w:rPr>
        <w:t xml:space="preserve"> </w:t>
      </w:r>
      <w:r w:rsidRPr="00F41E78">
        <w:rPr>
          <w:rFonts w:cs="FrankRuehl" w:hint="cs"/>
          <w:sz w:val="18"/>
          <w:szCs w:val="22"/>
          <w:rtl/>
          <w:lang w:eastAsia="he-IL"/>
        </w:rPr>
        <w:t>ו</w:t>
      </w:r>
      <w:r w:rsidRPr="00F41E78">
        <w:rPr>
          <w:rFonts w:cs="FrankRuehl"/>
          <w:sz w:val="18"/>
          <w:szCs w:val="22"/>
          <w:rtl/>
          <w:lang w:eastAsia="he-IL"/>
        </w:rPr>
        <w:t>התקבלה בוועדה המחוזית</w:t>
      </w:r>
      <w:r w:rsidRPr="00F41E78">
        <w:rPr>
          <w:rFonts w:cs="FrankRuehl" w:hint="cs"/>
          <w:sz w:val="18"/>
          <w:szCs w:val="22"/>
          <w:rtl/>
          <w:lang w:eastAsia="he-IL"/>
        </w:rPr>
        <w:t xml:space="preserve"> צפון</w:t>
      </w:r>
      <w:r w:rsidRPr="00F41E78">
        <w:rPr>
          <w:rFonts w:cs="FrankRuehl"/>
          <w:sz w:val="18"/>
          <w:szCs w:val="22"/>
          <w:rtl/>
          <w:lang w:eastAsia="he-IL"/>
        </w:rPr>
        <w:t xml:space="preserve"> בינואר 2006</w:t>
      </w:r>
      <w:r w:rsidRPr="00F41E78">
        <w:rPr>
          <w:rFonts w:cs="FrankRuehl" w:hint="cs"/>
          <w:sz w:val="18"/>
          <w:szCs w:val="22"/>
          <w:rtl/>
          <w:lang w:eastAsia="he-IL"/>
        </w:rPr>
        <w:t>. התכנית</w:t>
      </w:r>
      <w:r w:rsidRPr="00F41E78">
        <w:rPr>
          <w:rFonts w:cs="FrankRuehl"/>
          <w:sz w:val="18"/>
          <w:szCs w:val="22"/>
          <w:rtl/>
          <w:lang w:eastAsia="he-IL"/>
        </w:rPr>
        <w:t xml:space="preserve"> נועדה להקמת שכונת מגורים ובה כ-840 </w:t>
      </w:r>
      <w:r w:rsidRPr="00F41E78">
        <w:rPr>
          <w:rFonts w:cs="FrankRuehl" w:hint="cs"/>
          <w:sz w:val="18"/>
          <w:szCs w:val="22"/>
          <w:rtl/>
          <w:lang w:eastAsia="he-IL"/>
        </w:rPr>
        <w:t>יח"ד</w:t>
      </w:r>
      <w:r w:rsidRPr="00F41E78">
        <w:rPr>
          <w:rFonts w:cs="FrankRuehl"/>
          <w:sz w:val="18"/>
          <w:szCs w:val="22"/>
          <w:rtl/>
          <w:lang w:eastAsia="he-IL"/>
        </w:rPr>
        <w:t>. במועד סיום הביקורת</w:t>
      </w:r>
      <w:r w:rsidRPr="00F41E78">
        <w:rPr>
          <w:rFonts w:cs="FrankRuehl" w:hint="cs"/>
          <w:sz w:val="18"/>
          <w:szCs w:val="22"/>
          <w:rtl/>
          <w:lang w:eastAsia="he-IL"/>
        </w:rPr>
        <w:t xml:space="preserve"> במחוז הצפון</w:t>
      </w:r>
      <w:r w:rsidRPr="00F41E78">
        <w:rPr>
          <w:rFonts w:cs="FrankRuehl"/>
          <w:sz w:val="18"/>
          <w:szCs w:val="22"/>
          <w:rtl/>
          <w:lang w:eastAsia="he-IL"/>
        </w:rPr>
        <w:t xml:space="preserve"> </w:t>
      </w:r>
      <w:r w:rsidRPr="00F41E78">
        <w:rPr>
          <w:rFonts w:cs="FrankRuehl" w:hint="cs"/>
          <w:sz w:val="18"/>
          <w:szCs w:val="22"/>
          <w:rtl/>
          <w:lang w:eastAsia="he-IL"/>
        </w:rPr>
        <w:t>ב</w:t>
      </w:r>
      <w:r w:rsidRPr="00F41E78">
        <w:rPr>
          <w:rFonts w:cs="FrankRuehl"/>
          <w:sz w:val="18"/>
          <w:szCs w:val="22"/>
          <w:rtl/>
          <w:lang w:eastAsia="he-IL"/>
        </w:rPr>
        <w:t>מרץ 2013 טרם אושרה התכנית למתן תוקף.</w:t>
      </w:r>
      <w:r w:rsidRPr="00F41E78">
        <w:rPr>
          <w:rFonts w:cs="FrankRuehl" w:hint="cs"/>
          <w:sz w:val="18"/>
          <w:szCs w:val="22"/>
          <w:rtl/>
          <w:lang w:eastAsia="he-IL"/>
        </w:rPr>
        <w:t xml:space="preserve"> ה</w:t>
      </w:r>
      <w:r w:rsidRPr="00F41E78">
        <w:rPr>
          <w:rFonts w:cs="FrankRuehl"/>
          <w:sz w:val="18"/>
          <w:szCs w:val="22"/>
          <w:rtl/>
          <w:lang w:eastAsia="he-IL"/>
        </w:rPr>
        <w:t>עיכובים ב</w:t>
      </w:r>
      <w:r w:rsidRPr="00F41E78">
        <w:rPr>
          <w:rFonts w:cs="FrankRuehl" w:hint="cs"/>
          <w:sz w:val="18"/>
          <w:szCs w:val="22"/>
          <w:rtl/>
          <w:lang w:eastAsia="he-IL"/>
        </w:rPr>
        <w:t>אישורה</w:t>
      </w:r>
      <w:r w:rsidRPr="00F41E78">
        <w:rPr>
          <w:rFonts w:cs="FrankRuehl"/>
          <w:sz w:val="18"/>
          <w:szCs w:val="22"/>
          <w:rtl/>
          <w:lang w:eastAsia="he-IL"/>
        </w:rPr>
        <w:t xml:space="preserve"> </w:t>
      </w:r>
      <w:r w:rsidRPr="00582A43">
        <w:rPr>
          <w:rFonts w:cs="FrankRuehl" w:hint="cs"/>
          <w:sz w:val="18"/>
          <w:szCs w:val="22"/>
          <w:rtl/>
          <w:lang w:eastAsia="he-IL"/>
        </w:rPr>
        <w:t>מקורם היה</w:t>
      </w:r>
      <w:r w:rsidRPr="00582A43" w:rsidR="00F7728C">
        <w:rPr>
          <w:rFonts w:cs="FrankRuehl" w:hint="cs"/>
          <w:sz w:val="18"/>
          <w:szCs w:val="22"/>
          <w:rtl/>
          <w:lang w:eastAsia="he-IL"/>
        </w:rPr>
        <w:t>,</w:t>
      </w:r>
      <w:r w:rsidRPr="00582A43">
        <w:rPr>
          <w:rFonts w:cs="FrankRuehl"/>
          <w:sz w:val="18"/>
          <w:szCs w:val="22"/>
          <w:rtl/>
          <w:lang w:eastAsia="he-IL"/>
        </w:rPr>
        <w:t xml:space="preserve"> בין היתר</w:t>
      </w:r>
      <w:r w:rsidRPr="00582A43" w:rsidR="00F7728C">
        <w:rPr>
          <w:rFonts w:cs="FrankRuehl" w:hint="cs"/>
          <w:sz w:val="18"/>
          <w:szCs w:val="22"/>
          <w:rtl/>
          <w:lang w:eastAsia="he-IL"/>
        </w:rPr>
        <w:t>,</w:t>
      </w:r>
      <w:r w:rsidRPr="00582A43">
        <w:rPr>
          <w:rFonts w:cs="FrankRuehl"/>
          <w:sz w:val="18"/>
          <w:szCs w:val="22"/>
          <w:rtl/>
          <w:lang w:eastAsia="he-IL"/>
        </w:rPr>
        <w:t xml:space="preserve"> </w:t>
      </w:r>
      <w:r w:rsidRPr="00582A43">
        <w:rPr>
          <w:rFonts w:cs="FrankRuehl" w:hint="cs"/>
          <w:sz w:val="18"/>
          <w:szCs w:val="22"/>
          <w:rtl/>
          <w:lang w:eastAsia="he-IL"/>
        </w:rPr>
        <w:t>בהתמשכות בירור</w:t>
      </w:r>
      <w:r w:rsidRPr="00F41E78">
        <w:rPr>
          <w:rFonts w:cs="FrankRuehl"/>
          <w:sz w:val="18"/>
          <w:szCs w:val="22"/>
          <w:rtl/>
          <w:lang w:eastAsia="he-IL"/>
        </w:rPr>
        <w:t xml:space="preserve"> התנגדויות שהוגשו </w:t>
      </w:r>
      <w:r w:rsidRPr="00F41E78">
        <w:rPr>
          <w:rFonts w:cs="FrankRuehl" w:hint="cs"/>
          <w:sz w:val="18"/>
          <w:szCs w:val="22"/>
          <w:rtl/>
          <w:lang w:eastAsia="he-IL"/>
        </w:rPr>
        <w:t>לה</w:t>
      </w:r>
      <w:r w:rsidRPr="00F41E78">
        <w:rPr>
          <w:rFonts w:cs="FrankRuehl"/>
          <w:sz w:val="18"/>
          <w:szCs w:val="22"/>
          <w:rtl/>
          <w:lang w:eastAsia="he-IL"/>
        </w:rPr>
        <w:t xml:space="preserve"> ו</w:t>
      </w:r>
      <w:r w:rsidRPr="00F41E78">
        <w:rPr>
          <w:rFonts w:cs="FrankRuehl" w:hint="cs"/>
          <w:sz w:val="18"/>
          <w:szCs w:val="22"/>
          <w:rtl/>
          <w:lang w:eastAsia="he-IL"/>
        </w:rPr>
        <w:t>ב</w:t>
      </w:r>
      <w:r w:rsidRPr="00F41E78">
        <w:rPr>
          <w:rFonts w:cs="FrankRuehl"/>
          <w:sz w:val="18"/>
          <w:szCs w:val="22"/>
          <w:rtl/>
          <w:lang w:eastAsia="he-IL"/>
        </w:rPr>
        <w:t xml:space="preserve">היעדר פתרון ביוב. </w:t>
      </w:r>
      <w:r w:rsidRPr="00F41E78">
        <w:rPr>
          <w:rFonts w:cs="FrankRuehl" w:hint="cs"/>
          <w:sz w:val="18"/>
          <w:szCs w:val="22"/>
          <w:rtl/>
          <w:lang w:eastAsia="he-IL"/>
        </w:rPr>
        <w:t>הליכי הקידום נמשכו</w:t>
      </w:r>
      <w:r w:rsidRPr="00F41E78">
        <w:rPr>
          <w:rFonts w:cs="FrankRuehl"/>
          <w:sz w:val="18"/>
          <w:szCs w:val="22"/>
          <w:rtl/>
          <w:lang w:eastAsia="he-IL"/>
        </w:rPr>
        <w:t xml:space="preserve"> </w:t>
      </w:r>
      <w:r w:rsidRPr="00F41E78">
        <w:rPr>
          <w:rFonts w:cs="FrankRuehl" w:hint="cs"/>
          <w:sz w:val="18"/>
          <w:szCs w:val="22"/>
          <w:rtl/>
          <w:lang w:eastAsia="he-IL"/>
        </w:rPr>
        <w:t>יותר</w:t>
      </w:r>
      <w:r w:rsidRPr="00F41E78">
        <w:rPr>
          <w:rFonts w:cs="FrankRuehl"/>
          <w:sz w:val="18"/>
          <w:szCs w:val="22"/>
          <w:rtl/>
          <w:lang w:eastAsia="he-IL"/>
        </w:rPr>
        <w:t xml:space="preserve"> מעשר שנים מאז הוחל בהכנתה. </w:t>
      </w:r>
      <w:r w:rsidRPr="00F41E78">
        <w:rPr>
          <w:rFonts w:cs="FrankRuehl" w:hint="cs"/>
          <w:sz w:val="18"/>
          <w:szCs w:val="22"/>
          <w:rtl/>
          <w:lang w:eastAsia="he-IL"/>
        </w:rPr>
        <w:t>בינתיים</w:t>
      </w:r>
      <w:r w:rsidRPr="00F41E78">
        <w:rPr>
          <w:rFonts w:cs="FrankRuehl"/>
          <w:sz w:val="18"/>
          <w:szCs w:val="22"/>
          <w:rtl/>
          <w:lang w:eastAsia="he-IL"/>
        </w:rPr>
        <w:t xml:space="preserve"> </w:t>
      </w:r>
      <w:r w:rsidRPr="00F41E78">
        <w:rPr>
          <w:rFonts w:cs="FrankRuehl" w:hint="cs"/>
          <w:sz w:val="18"/>
          <w:szCs w:val="22"/>
          <w:rtl/>
          <w:lang w:eastAsia="he-IL"/>
        </w:rPr>
        <w:t>החלה</w:t>
      </w:r>
      <w:r w:rsidRPr="00F41E78">
        <w:rPr>
          <w:rFonts w:cs="FrankRuehl"/>
          <w:sz w:val="18"/>
          <w:szCs w:val="22"/>
          <w:rtl/>
          <w:lang w:eastAsia="he-IL"/>
        </w:rPr>
        <w:t xml:space="preserve"> בנייה בלתי חוקית בהיקפים גדולים</w:t>
      </w:r>
      <w:r w:rsidRPr="00F41E78">
        <w:rPr>
          <w:rFonts w:cs="FrankRuehl" w:hint="cs"/>
          <w:sz w:val="18"/>
          <w:szCs w:val="22"/>
          <w:rtl/>
          <w:lang w:eastAsia="he-IL"/>
        </w:rPr>
        <w:t xml:space="preserve"> בשטח התכנית</w:t>
      </w:r>
      <w:r w:rsidRPr="00F41E78">
        <w:rPr>
          <w:rFonts w:cs="FrankRuehl"/>
          <w:sz w:val="18"/>
          <w:szCs w:val="22"/>
          <w:rtl/>
          <w:lang w:eastAsia="he-IL"/>
        </w:rPr>
        <w:t xml:space="preserve">, </w:t>
      </w:r>
      <w:r w:rsidRPr="00F41E78">
        <w:rPr>
          <w:rFonts w:cs="FrankRuehl" w:hint="cs"/>
          <w:sz w:val="18"/>
          <w:szCs w:val="22"/>
          <w:rtl/>
          <w:lang w:eastAsia="he-IL"/>
        </w:rPr>
        <w:t>הפוגעת</w:t>
      </w:r>
      <w:r w:rsidRPr="00F41E78">
        <w:rPr>
          <w:rFonts w:cs="FrankRuehl"/>
          <w:sz w:val="18"/>
          <w:szCs w:val="22"/>
          <w:rtl/>
          <w:lang w:eastAsia="he-IL"/>
        </w:rPr>
        <w:t xml:space="preserve"> באינטרס הציבורי </w:t>
      </w:r>
      <w:r w:rsidRPr="00F41E78">
        <w:rPr>
          <w:rFonts w:cs="FrankRuehl" w:hint="cs"/>
          <w:sz w:val="18"/>
          <w:szCs w:val="22"/>
          <w:rtl/>
          <w:lang w:eastAsia="he-IL"/>
        </w:rPr>
        <w:t>וגורמת</w:t>
      </w:r>
      <w:r w:rsidRPr="00F41E78">
        <w:rPr>
          <w:rFonts w:cs="FrankRuehl"/>
          <w:sz w:val="18"/>
          <w:szCs w:val="22"/>
          <w:rtl/>
          <w:lang w:eastAsia="he-IL"/>
        </w:rPr>
        <w:t xml:space="preserve"> </w:t>
      </w:r>
      <w:r w:rsidRPr="00F41E78">
        <w:rPr>
          <w:rFonts w:cs="FrankRuehl" w:hint="cs"/>
          <w:sz w:val="18"/>
          <w:szCs w:val="22"/>
          <w:rtl/>
          <w:lang w:eastAsia="he-IL"/>
        </w:rPr>
        <w:t>ל</w:t>
      </w:r>
      <w:r w:rsidRPr="00F41E78">
        <w:rPr>
          <w:rFonts w:cs="FrankRuehl"/>
          <w:sz w:val="18"/>
          <w:szCs w:val="22"/>
          <w:rtl/>
          <w:lang w:eastAsia="he-IL"/>
        </w:rPr>
        <w:t>נזקים לכלל התושבים</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ו</w:t>
      </w:r>
      <w:r w:rsidRPr="00F41E78">
        <w:rPr>
          <w:rFonts w:cs="FrankRuehl"/>
          <w:sz w:val="18"/>
          <w:szCs w:val="22"/>
          <w:rtl/>
          <w:lang w:eastAsia="he-IL"/>
        </w:rPr>
        <w:t xml:space="preserve">בעצם </w:t>
      </w:r>
      <w:r w:rsidRPr="00F41E78">
        <w:rPr>
          <w:rFonts w:cs="FrankRuehl" w:hint="cs"/>
          <w:sz w:val="18"/>
          <w:szCs w:val="22"/>
          <w:rtl/>
          <w:lang w:eastAsia="he-IL"/>
        </w:rPr>
        <w:t>פוגעת</w:t>
      </w:r>
      <w:r w:rsidRPr="00F41E78">
        <w:rPr>
          <w:rFonts w:cs="FrankRuehl"/>
          <w:sz w:val="18"/>
          <w:szCs w:val="22"/>
          <w:rtl/>
          <w:lang w:eastAsia="he-IL"/>
        </w:rPr>
        <w:t xml:space="preserve"> </w:t>
      </w:r>
      <w:r w:rsidRPr="00F41E78">
        <w:rPr>
          <w:rFonts w:cs="FrankRuehl" w:hint="cs"/>
          <w:sz w:val="18"/>
          <w:szCs w:val="22"/>
          <w:rtl/>
          <w:lang w:eastAsia="he-IL"/>
        </w:rPr>
        <w:t>ב</w:t>
      </w:r>
      <w:r w:rsidRPr="00F41E78">
        <w:rPr>
          <w:rFonts w:cs="FrankRuehl"/>
          <w:sz w:val="18"/>
          <w:szCs w:val="22"/>
          <w:rtl/>
          <w:lang w:eastAsia="he-IL"/>
        </w:rPr>
        <w:t>תכנון ובניסיון להשל</w:t>
      </w:r>
      <w:r w:rsidRPr="00F41E78">
        <w:rPr>
          <w:rFonts w:cs="FrankRuehl" w:hint="cs"/>
          <w:sz w:val="18"/>
          <w:szCs w:val="22"/>
          <w:rtl/>
          <w:lang w:eastAsia="he-IL"/>
        </w:rPr>
        <w:t>ים את</w:t>
      </w:r>
      <w:r w:rsidRPr="00F41E78">
        <w:rPr>
          <w:rFonts w:cs="FrankRuehl"/>
          <w:sz w:val="18"/>
          <w:szCs w:val="22"/>
          <w:rtl/>
          <w:lang w:eastAsia="he-IL"/>
        </w:rPr>
        <w:t xml:space="preserve"> התכנית.</w:t>
      </w:r>
    </w:p>
    <w:p w:rsidR="00E97EDA" w:rsidRPr="00F41E78" w:rsidP="00A7557B">
      <w:pPr>
        <w:spacing w:after="120" w:line="230" w:lineRule="exact"/>
        <w:jc w:val="both"/>
        <w:rPr>
          <w:rFonts w:cs="FrankRuehl"/>
          <w:sz w:val="18"/>
          <w:szCs w:val="22"/>
          <w:rtl/>
          <w:lang w:eastAsia="he-IL"/>
        </w:rPr>
      </w:pPr>
      <w:r w:rsidRPr="00F41E78">
        <w:rPr>
          <w:rFonts w:cs="FrankRuehl" w:hint="eastAsia"/>
          <w:bCs/>
          <w:spacing w:val="40"/>
          <w:sz w:val="18"/>
          <w:szCs w:val="22"/>
          <w:rtl/>
        </w:rPr>
        <w:t>ת</w:t>
      </w:r>
      <w:r w:rsidRPr="00F41E78">
        <w:rPr>
          <w:rFonts w:cs="FrankRuehl"/>
          <w:bCs/>
          <w:spacing w:val="40"/>
          <w:sz w:val="18"/>
          <w:szCs w:val="22"/>
          <w:rtl/>
        </w:rPr>
        <w:t>כנית מפורטת ג/16049 - שכונת מגורים צפונית לדיר אל-אסד:</w:t>
      </w:r>
      <w:r w:rsidRPr="00F41E78">
        <w:rPr>
          <w:rFonts w:eastAsia="MS Mincho" w:cs="FrankRuehl"/>
          <w:sz w:val="18"/>
          <w:szCs w:val="22"/>
          <w:rtl/>
          <w:lang w:eastAsia="he-IL"/>
        </w:rPr>
        <w:t xml:space="preserve"> </w:t>
      </w:r>
      <w:r w:rsidRPr="00F41E78">
        <w:rPr>
          <w:rFonts w:cs="FrankRuehl"/>
          <w:sz w:val="18"/>
          <w:szCs w:val="22"/>
          <w:rtl/>
          <w:lang w:eastAsia="he-IL"/>
        </w:rPr>
        <w:t>הכנת התכנית החלה בשנת 2000 והתקבלה בוועדה המחוזית</w:t>
      </w:r>
      <w:r w:rsidRPr="00F41E78">
        <w:rPr>
          <w:rFonts w:cs="FrankRuehl" w:hint="cs"/>
          <w:sz w:val="18"/>
          <w:szCs w:val="22"/>
          <w:rtl/>
          <w:lang w:eastAsia="he-IL"/>
        </w:rPr>
        <w:t xml:space="preserve"> צפון</w:t>
      </w:r>
      <w:r w:rsidRPr="00F41E78">
        <w:rPr>
          <w:rFonts w:cs="FrankRuehl"/>
          <w:sz w:val="18"/>
          <w:szCs w:val="22"/>
          <w:rtl/>
          <w:lang w:eastAsia="he-IL"/>
        </w:rPr>
        <w:t xml:space="preserve"> בדצמבר 2005</w:t>
      </w:r>
      <w:r w:rsidRPr="00F41E78">
        <w:rPr>
          <w:rFonts w:cs="FrankRuehl" w:hint="cs"/>
          <w:sz w:val="18"/>
          <w:szCs w:val="22"/>
          <w:rtl/>
          <w:lang w:eastAsia="he-IL"/>
        </w:rPr>
        <w:t>. התכנית</w:t>
      </w:r>
      <w:r w:rsidRPr="00F41E78">
        <w:rPr>
          <w:rFonts w:cs="FrankRuehl"/>
          <w:sz w:val="18"/>
          <w:szCs w:val="22"/>
          <w:rtl/>
          <w:lang w:eastAsia="he-IL"/>
        </w:rPr>
        <w:t xml:space="preserve"> נועדה להקמת שכונת מגורים ובה כ-640 </w:t>
      </w:r>
      <w:r w:rsidRPr="00F41E78">
        <w:rPr>
          <w:rFonts w:cs="FrankRuehl" w:hint="cs"/>
          <w:sz w:val="18"/>
          <w:szCs w:val="22"/>
          <w:rtl/>
          <w:lang w:eastAsia="he-IL"/>
        </w:rPr>
        <w:t>יח"ד והוקצו בה</w:t>
      </w:r>
      <w:r w:rsidRPr="00F41E78">
        <w:rPr>
          <w:rFonts w:cs="FrankRuehl"/>
          <w:sz w:val="18"/>
          <w:szCs w:val="22"/>
          <w:rtl/>
          <w:lang w:eastAsia="he-IL"/>
        </w:rPr>
        <w:t xml:space="preserve"> שטחים לצורכי מסחר שכונתי. רק בדצמבר </w:t>
      </w:r>
      <w:r w:rsidRPr="00F41E78">
        <w:rPr>
          <w:rFonts w:cs="FrankRuehl"/>
          <w:sz w:val="18"/>
          <w:szCs w:val="22"/>
          <w:rtl/>
          <w:lang w:eastAsia="he-IL"/>
        </w:rPr>
        <w:t xml:space="preserve">2012 מולאו כל התנאים למתן תוקף לתכנית ובינואר 2013 </w:t>
      </w:r>
      <w:r w:rsidRPr="00F41E78">
        <w:rPr>
          <w:rFonts w:cs="FrankRuehl" w:hint="cs"/>
          <w:sz w:val="18"/>
          <w:szCs w:val="22"/>
          <w:rtl/>
          <w:lang w:eastAsia="he-IL"/>
        </w:rPr>
        <w:t>היא אושרה</w:t>
      </w:r>
      <w:r w:rsidRPr="00F41E78">
        <w:rPr>
          <w:rFonts w:cs="FrankRuehl"/>
          <w:sz w:val="18"/>
          <w:szCs w:val="22"/>
          <w:rtl/>
          <w:lang w:eastAsia="he-IL"/>
        </w:rPr>
        <w:t>.</w:t>
      </w:r>
      <w:r w:rsidRPr="00F41E78">
        <w:rPr>
          <w:rFonts w:cs="FrankRuehl" w:hint="cs"/>
          <w:sz w:val="18"/>
          <w:szCs w:val="22"/>
          <w:rtl/>
          <w:lang w:eastAsia="he-IL"/>
        </w:rPr>
        <w:t xml:space="preserve"> </w:t>
      </w:r>
      <w:r w:rsidRPr="00F41E78">
        <w:rPr>
          <w:rFonts w:cs="FrankRuehl"/>
          <w:sz w:val="18"/>
          <w:szCs w:val="22"/>
          <w:rtl/>
          <w:lang w:eastAsia="he-IL"/>
        </w:rPr>
        <w:t>קידום התכנית עד אישורה</w:t>
      </w:r>
      <w:r w:rsidRPr="00F41E78">
        <w:rPr>
          <w:rFonts w:cs="FrankRuehl" w:hint="cs"/>
          <w:sz w:val="18"/>
          <w:szCs w:val="22"/>
          <w:rtl/>
          <w:lang w:eastAsia="he-IL"/>
        </w:rPr>
        <w:t xml:space="preserve"> נמשך זמן רב,</w:t>
      </w:r>
      <w:r w:rsidRPr="00F41E78">
        <w:rPr>
          <w:rFonts w:cs="FrankRuehl"/>
          <w:sz w:val="18"/>
          <w:szCs w:val="22"/>
          <w:rtl/>
          <w:lang w:eastAsia="he-IL"/>
        </w:rPr>
        <w:t xml:space="preserve"> בין היתר </w:t>
      </w:r>
      <w:r w:rsidRPr="00F41E78">
        <w:rPr>
          <w:rFonts w:cs="FrankRuehl" w:hint="cs"/>
          <w:sz w:val="18"/>
          <w:szCs w:val="22"/>
          <w:rtl/>
          <w:lang w:eastAsia="he-IL"/>
        </w:rPr>
        <w:t xml:space="preserve">בגלל </w:t>
      </w:r>
      <w:r w:rsidRPr="00F41E78">
        <w:rPr>
          <w:rFonts w:cs="FrankRuehl"/>
          <w:sz w:val="18"/>
          <w:szCs w:val="22"/>
          <w:rtl/>
          <w:lang w:eastAsia="he-IL"/>
        </w:rPr>
        <w:t>עיכובים במילוי התנאים להפקדה ובשל מחלוקת</w:t>
      </w:r>
      <w:r w:rsidRPr="00F41E78">
        <w:rPr>
          <w:rFonts w:cs="FrankRuehl" w:hint="cs"/>
          <w:sz w:val="18"/>
          <w:szCs w:val="22"/>
          <w:rtl/>
          <w:lang w:eastAsia="he-IL"/>
        </w:rPr>
        <w:t xml:space="preserve"> </w:t>
      </w:r>
      <w:r w:rsidRPr="00F41E78">
        <w:rPr>
          <w:rFonts w:cs="FrankRuehl"/>
          <w:sz w:val="18"/>
          <w:szCs w:val="22"/>
          <w:rtl/>
          <w:lang w:eastAsia="he-IL"/>
        </w:rPr>
        <w:t>שנמשכה כשנתיים</w:t>
      </w:r>
      <w:r w:rsidRPr="00F41E78">
        <w:rPr>
          <w:rFonts w:cs="FrankRuehl" w:hint="cs"/>
          <w:sz w:val="18"/>
          <w:szCs w:val="22"/>
          <w:rtl/>
          <w:lang w:eastAsia="he-IL"/>
        </w:rPr>
        <w:t xml:space="preserve"> בין הרשות המקומית לר</w:t>
      </w:r>
      <w:r w:rsidRPr="00F41E78">
        <w:rPr>
          <w:rFonts w:cs="FrankRuehl"/>
          <w:sz w:val="18"/>
          <w:szCs w:val="22"/>
          <w:rtl/>
          <w:lang w:eastAsia="he-IL"/>
        </w:rPr>
        <w:t>מ"י</w:t>
      </w:r>
      <w:r w:rsidRPr="00F41E78">
        <w:rPr>
          <w:rFonts w:cs="FrankRuehl" w:hint="cs"/>
          <w:sz w:val="18"/>
          <w:szCs w:val="22"/>
          <w:rtl/>
          <w:lang w:eastAsia="he-IL"/>
        </w:rPr>
        <w:t>, שנסובה</w:t>
      </w:r>
      <w:r w:rsidRPr="00F41E78">
        <w:rPr>
          <w:rFonts w:cs="FrankRuehl"/>
          <w:sz w:val="18"/>
          <w:szCs w:val="22"/>
          <w:rtl/>
          <w:lang w:eastAsia="he-IL"/>
        </w:rPr>
        <w:t xml:space="preserve"> </w:t>
      </w:r>
      <w:r w:rsidRPr="00F41E78">
        <w:rPr>
          <w:rFonts w:cs="FrankRuehl" w:hint="cs"/>
          <w:sz w:val="18"/>
          <w:szCs w:val="22"/>
          <w:rtl/>
          <w:lang w:eastAsia="he-IL"/>
        </w:rPr>
        <w:t>על</w:t>
      </w:r>
      <w:r w:rsidRPr="00F41E78">
        <w:rPr>
          <w:rFonts w:cs="FrankRuehl"/>
          <w:sz w:val="18"/>
          <w:szCs w:val="22"/>
          <w:rtl/>
          <w:lang w:eastAsia="he-IL"/>
        </w:rPr>
        <w:t xml:space="preserve"> שיעורי ההפרשות מ</w:t>
      </w:r>
      <w:r w:rsidRPr="00F41E78">
        <w:rPr>
          <w:rFonts w:cs="FrankRuehl" w:hint="cs"/>
          <w:sz w:val="18"/>
          <w:szCs w:val="22"/>
          <w:rtl/>
          <w:lang w:eastAsia="he-IL"/>
        </w:rPr>
        <w:t>קרקעות</w:t>
      </w:r>
      <w:r w:rsidRPr="00F41E78">
        <w:rPr>
          <w:rFonts w:cs="FrankRuehl"/>
          <w:sz w:val="18"/>
          <w:szCs w:val="22"/>
          <w:rtl/>
          <w:lang w:eastAsia="he-IL"/>
        </w:rPr>
        <w:t xml:space="preserve"> המדינה לצורכי ציבור.</w:t>
      </w:r>
    </w:p>
    <w:p w:rsidR="00BB0589" w:rsidP="00BB0589">
      <w:pPr>
        <w:spacing w:after="120" w:line="230" w:lineRule="exact"/>
        <w:jc w:val="both"/>
        <w:rPr>
          <w:rFonts w:cs="FrankRuehl"/>
          <w:sz w:val="22"/>
          <w:szCs w:val="22"/>
          <w:rtl/>
        </w:rPr>
      </w:pPr>
    </w:p>
    <w:p w:rsidR="00BB0589" w:rsidP="00BB0589">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BB0589" w:rsidP="00BB0589">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 xml:space="preserve">בפרק זה הובאו ממצאים המלמדים על ליקויים בהליכי התכנון. נמצא כי הממשלה לא הצליחה לממש את מדיניותה בעניין פיזור האוכלוסייה ולא הצליחה לנתב את הפיתוח אל אזורי הפריפריה. גם מדיניותה העוסקת בהגדלת היצע יחידות הדיור התאפיינה במחדלים ובליקויים כמו אי-יישום החלטות ממשלה. כמו כן, מוסדות התכנון לא אישרו במשך השנים כמות מספיקה של יח"ד בתכניות מפורטות, והדבר גרם לשחיקתו של המלאי התכנוני. יתרה מזאת, מימושן של רבות מהתכניות שאושרו בסופו של דבר מותנה במילוי אחר תנאים שתהליך מימושם נמשך לעתים קרובות כמה שנים. ממצאים אלו, וגם הממצאים על התמשכותם של הליכי תכנון סטטוטוריים על פני יותר מחצי עשור בממוצע, ממחישים את הקשיים של הממשלה להגמיש את היצע יחידות הדיור בפרקי זמן קצרים ולהגיב באופן מועיל לתנודתיות של שוק הדיור. </w:t>
      </w:r>
    </w:p>
    <w:p w:rsidR="00D22B16" w:rsidRPr="00F41E78" w:rsidP="00D22B16">
      <w:pPr>
        <w:pStyle w:val="RESHET"/>
        <w:keepLines/>
        <w:rPr>
          <w:rtl/>
        </w:rPr>
      </w:pPr>
      <w:r w:rsidRPr="00F41E78">
        <w:rPr>
          <w:rFonts w:hint="cs"/>
          <w:rtl/>
        </w:rPr>
        <w:t>על מינהל התכנון לפעול בתיאום עם הוועדות המחוזיות להאצת תהליכי העדכון של תכניות המתאר המקומיות במטרה לקדם תכניות מפורטות למגורים מתוך ראייה כוללת.</w:t>
      </w:r>
    </w:p>
    <w:p w:rsidR="00D22B16" w:rsidRPr="00F41E78" w:rsidP="00D22B16">
      <w:pPr>
        <w:pStyle w:val="RESHET"/>
        <w:keepLines/>
        <w:rPr>
          <w:rtl/>
        </w:rPr>
      </w:pPr>
      <w:r w:rsidRPr="00F41E78">
        <w:rPr>
          <w:rFonts w:hint="cs"/>
          <w:rtl/>
        </w:rPr>
        <w:t xml:space="preserve">חשוב שבהתמודדות עם עליית מחירי הדיור יילקחו בחשבון יעדי התכנון הלאומיים ארוכי הטווח. על משרדי הממשלה הנוגעים בדבר לפעול בתיאום ביניהם להסרתם של החסמים השונים ולגבש תכניות עבודה מתואמות לטווח הארוך, כדי להתאים את תכנון שכונות מגורים ליעדי התכנון הלאומיים ולייעל את </w:t>
      </w:r>
      <w:r w:rsidRPr="00F41E78">
        <w:rPr>
          <w:rtl/>
        </w:rPr>
        <w:t xml:space="preserve">ניצול </w:t>
      </w:r>
      <w:r w:rsidRPr="00F41E78">
        <w:rPr>
          <w:rFonts w:hint="eastAsia"/>
          <w:rtl/>
        </w:rPr>
        <w:t>הקרקע</w:t>
      </w:r>
      <w:r w:rsidRPr="00F41E78">
        <w:rPr>
          <w:rFonts w:hint="cs"/>
          <w:rtl/>
        </w:rPr>
        <w:t xml:space="preserve">. כמו כן, עליהם לנקוט פעולות שיביאו לידי הכוונת הפיתוח לאזורי הפריפריה ולצמצום פערים חברתיים וכלכליים. </w:t>
      </w:r>
    </w:p>
    <w:p w:rsidR="00D22B16" w:rsidRPr="00F41E78" w:rsidP="00D22B16">
      <w:pPr>
        <w:pStyle w:val="RESHET"/>
        <w:keepLines/>
        <w:rPr>
          <w:rtl/>
        </w:rPr>
      </w:pPr>
      <w:r w:rsidRPr="00F41E78">
        <w:rPr>
          <w:rFonts w:hint="cs"/>
          <w:rtl/>
        </w:rPr>
        <w:t xml:space="preserve">משרד מבקר המדינה ממליץ שמינהל התכנון יקבע, בשיתוף עם </w:t>
      </w:r>
      <w:r>
        <w:rPr>
          <w:rFonts w:hint="cs"/>
          <w:rtl/>
        </w:rPr>
        <w:t>משרדי האוצר והבינוי</w:t>
      </w:r>
      <w:r w:rsidRPr="00F41E78">
        <w:rPr>
          <w:rFonts w:hint="cs"/>
          <w:rtl/>
        </w:rPr>
        <w:t xml:space="preserve"> ועם רמ"י, עקרונות לניהול המידע על המלאי התכנוני, וישקול את הצורך בקביעת תקן לגודלו של המלאי התכנוני ו"קווים אדומים" שיאפשרו להתריע מבעוד מועד על מחסור חמור. על משרד הפנים לשפר את מהימנות המידע שהוא מחזיק בו, להזין מידע הנוגע למימוש תכניות (גריעה של יח"ד מהמלאי) ולסווג את הנתונים על המלאי התכנוני על פי הערכה של רמת זמינותו.</w:t>
      </w:r>
    </w:p>
    <w:p w:rsidR="00E97EDA" w:rsidRPr="00F41E78" w:rsidP="00A7557B">
      <w:pPr>
        <w:spacing w:after="120" w:line="230" w:lineRule="exact"/>
        <w:jc w:val="both"/>
        <w:rPr>
          <w:rFonts w:cs="FrankRuehl"/>
          <w:sz w:val="18"/>
          <w:szCs w:val="22"/>
          <w:rtl/>
          <w:lang w:eastAsia="he-IL"/>
        </w:rPr>
      </w:pPr>
    </w:p>
    <w:p w:rsidR="00577E77" w:rsidRPr="00F41E78" w:rsidP="00A7557B">
      <w:pPr>
        <w:spacing w:after="120" w:line="230" w:lineRule="exact"/>
        <w:jc w:val="both"/>
        <w:rPr>
          <w:rFonts w:cs="FrankRuehl"/>
          <w:sz w:val="18"/>
          <w:szCs w:val="22"/>
          <w:rtl/>
          <w:lang w:eastAsia="he-IL"/>
        </w:rPr>
      </w:pPr>
    </w:p>
    <w:p w:rsidR="00953D2F" w:rsidP="00A74551">
      <w:pPr>
        <w:pStyle w:val="KOT2"/>
        <w:outlineLvl w:val="0"/>
        <w:rPr>
          <w:b w:val="0"/>
          <w:bCs w:val="0"/>
          <w:sz w:val="28"/>
          <w:szCs w:val="28"/>
          <w:rtl/>
        </w:rPr>
        <w:sectPr w:rsidSect="003A7252">
          <w:footnotePr>
            <w:numRestart w:val="eachSect"/>
          </w:footnotePr>
          <w:pgSz w:w="11906" w:h="16838" w:code="9"/>
          <w:pgMar w:top="1758" w:right="2552" w:bottom="4253" w:left="2552" w:header="1247" w:footer="1134" w:gutter="0"/>
          <w:cols w:space="720"/>
          <w:rtlGutter/>
        </w:sectPr>
      </w:pPr>
    </w:p>
    <w:p w:rsidR="00E97EDA" w:rsidRPr="00E97EDA" w:rsidP="00A74551">
      <w:pPr>
        <w:pStyle w:val="KOT2"/>
        <w:outlineLvl w:val="0"/>
        <w:rPr>
          <w:rtl/>
        </w:rPr>
      </w:pPr>
      <w:r w:rsidRPr="00A74551">
        <w:rPr>
          <w:rFonts w:hint="cs"/>
          <w:b w:val="0"/>
          <w:bCs w:val="0"/>
          <w:sz w:val="28"/>
          <w:szCs w:val="28"/>
          <w:rtl/>
        </w:rPr>
        <w:t>פרק שביעי</w:t>
      </w:r>
      <w:r w:rsidRPr="00A74551">
        <w:rPr>
          <w:b w:val="0"/>
          <w:bCs w:val="0"/>
          <w:sz w:val="28"/>
          <w:szCs w:val="28"/>
          <w:rtl/>
        </w:rPr>
        <w:br/>
      </w:r>
      <w:r w:rsidRPr="00E97EDA">
        <w:rPr>
          <w:rFonts w:hint="cs"/>
          <w:rtl/>
        </w:rPr>
        <w:t>שיווק</w:t>
      </w:r>
      <w:r w:rsidRPr="00E97EDA">
        <w:rPr>
          <w:rtl/>
        </w:rPr>
        <w:t xml:space="preserve"> </w:t>
      </w:r>
      <w:r w:rsidRPr="00E97EDA">
        <w:rPr>
          <w:rFonts w:hint="cs"/>
          <w:rtl/>
        </w:rPr>
        <w:t>קרקע</w:t>
      </w:r>
      <w:r w:rsidRPr="00E97EDA">
        <w:rPr>
          <w:rtl/>
        </w:rPr>
        <w:t xml:space="preserve"> </w:t>
      </w:r>
      <w:r w:rsidRPr="00E97EDA">
        <w:rPr>
          <w:rFonts w:hint="cs"/>
          <w:rtl/>
        </w:rPr>
        <w:t>למגורים</w:t>
      </w:r>
    </w:p>
    <w:p w:rsidR="00E97EDA" w:rsidRPr="00BB0589" w:rsidP="00BB0589">
      <w:pPr>
        <w:pStyle w:val="BodyText"/>
        <w:spacing w:before="0"/>
        <w:rPr>
          <w:sz w:val="18"/>
          <w:rtl/>
          <w:lang w:eastAsia="he-IL"/>
        </w:rPr>
      </w:pPr>
      <w:r w:rsidRPr="00BB0589">
        <w:rPr>
          <w:rFonts w:hint="cs"/>
          <w:sz w:val="18"/>
          <w:rtl/>
          <w:lang w:eastAsia="he-IL"/>
        </w:rPr>
        <w:t xml:space="preserve">שלב נוסף בשרשרת הייצור של יחידות דיור הוא שלב שיווק הקרקע (כאשר מדובר במקרקעי ישראל). שיווק הקרקע אפשרי לאחר שהסתיים הליך התכנון של הקרקע במוסדות התכנון. לרוב, הקרקעות משווקות ליזמים או לרוכשים פרטיים לאחר פרסום מכרז. </w:t>
      </w:r>
    </w:p>
    <w:p w:rsidR="00E97EDA" w:rsidRPr="00F41E78" w:rsidP="00BB0589">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1.</w:t>
      </w:r>
      <w:r w:rsidRPr="00F41E78">
        <w:rPr>
          <w:rFonts w:cs="FrankRuehl" w:hint="cs"/>
          <w:sz w:val="18"/>
          <w:szCs w:val="22"/>
          <w:rtl/>
          <w:lang w:eastAsia="he-IL"/>
        </w:rPr>
        <w:tab/>
        <w:t xml:space="preserve">חוק רשות מקרקעי ישראל קובע כי מועצת מקרקעי ישראל תקבע את המדיניות הקרקעית שלפיה תפעל רמ"י, תפקח על פעולותיה ותאשר את הצעת תקציבה. </w:t>
      </w:r>
    </w:p>
    <w:p w:rsidR="00E97EDA" w:rsidRPr="00F41E78" w:rsidP="00BB0589">
      <w:pPr>
        <w:spacing w:after="120" w:line="230" w:lineRule="exact"/>
        <w:ind w:left="340" w:hanging="340"/>
        <w:jc w:val="both"/>
        <w:rPr>
          <w:rFonts w:cs="FrankRuehl"/>
          <w:sz w:val="18"/>
          <w:szCs w:val="22"/>
          <w:rtl/>
          <w:lang w:eastAsia="he-IL"/>
        </w:rPr>
      </w:pPr>
      <w:r>
        <w:rPr>
          <w:rFonts w:cs="FrankRuehl"/>
          <w:sz w:val="18"/>
          <w:szCs w:val="22"/>
          <w:lang w:eastAsia="he-IL"/>
        </w:rPr>
        <w:tab/>
      </w:r>
      <w:r w:rsidRPr="00F41E78">
        <w:rPr>
          <w:rFonts w:cs="FrankRuehl" w:hint="cs"/>
          <w:sz w:val="18"/>
          <w:szCs w:val="22"/>
          <w:rtl/>
          <w:lang w:eastAsia="he-IL"/>
        </w:rPr>
        <w:t>במהלך השנים האחרונות, ובעיקר מאז אימצה הממשלה את המלצות ועדת טרכטנברג בסוף 2011, קיבלה הממשלה כמה החלטות בנושאי שיווק מקרקעין למגורים, חלקן כלליות ובחלקן הוגדרו יעדי שיווק ספציפיים לרמ"י.</w:t>
      </w:r>
    </w:p>
    <w:p w:rsidR="00E97EDA" w:rsidRPr="00F41E78" w:rsidP="00BB0589">
      <w:pPr>
        <w:spacing w:after="120" w:line="230" w:lineRule="exact"/>
        <w:ind w:left="340" w:hanging="340"/>
        <w:jc w:val="both"/>
        <w:rPr>
          <w:rFonts w:cs="FrankRuehl"/>
          <w:sz w:val="18"/>
          <w:szCs w:val="22"/>
          <w:rtl/>
          <w:lang w:eastAsia="he-IL"/>
        </w:rPr>
      </w:pPr>
      <w:r>
        <w:rPr>
          <w:rFonts w:cs="FrankRuehl"/>
          <w:sz w:val="18"/>
          <w:szCs w:val="22"/>
          <w:lang w:eastAsia="he-IL"/>
        </w:rPr>
        <w:tab/>
      </w:r>
      <w:r w:rsidRPr="00F41E78">
        <w:rPr>
          <w:rFonts w:cs="FrankRuehl" w:hint="cs"/>
          <w:sz w:val="18"/>
          <w:szCs w:val="22"/>
          <w:rtl/>
          <w:lang w:eastAsia="he-IL"/>
        </w:rPr>
        <w:t>החלטות הממשלה והיעדים שנקבעו בהן משקפים את המדיניות הממשלתית בנוגע לשוק הדיור. בהחלטות נקבעו מהם הצעדים הנדרשים בתהליכי שיווק יח"ד למגורים.</w:t>
      </w:r>
    </w:p>
    <w:p w:rsidR="00E97EDA" w:rsidRPr="00F41E78" w:rsidP="00BB0589">
      <w:pPr>
        <w:spacing w:after="240" w:line="230" w:lineRule="exact"/>
        <w:ind w:left="340" w:hanging="340"/>
        <w:jc w:val="both"/>
        <w:rPr>
          <w:rFonts w:cs="FrankRuehl"/>
          <w:sz w:val="18"/>
          <w:szCs w:val="22"/>
          <w:rtl/>
          <w:lang w:eastAsia="he-IL"/>
        </w:rPr>
      </w:pPr>
      <w:r>
        <w:rPr>
          <w:rFonts w:cs="FrankRuehl"/>
          <w:sz w:val="18"/>
          <w:szCs w:val="22"/>
          <w:lang w:eastAsia="he-IL"/>
        </w:rPr>
        <w:tab/>
      </w:r>
      <w:r w:rsidRPr="00F41E78">
        <w:rPr>
          <w:rFonts w:cs="FrankRuehl" w:hint="cs"/>
          <w:sz w:val="18"/>
          <w:szCs w:val="22"/>
          <w:rtl/>
          <w:lang w:eastAsia="he-IL"/>
        </w:rPr>
        <w:t xml:space="preserve">אולם החלטות הממשלה בדבר יעדי השיווק לא נדונו במועצת מקרקעי ישראל. כמו כן לא התקבלו החלטות מועצה בדבר יעדי השיווק של רמ"י, והדבר הביא לידי היעדר שיווק הולם או לידי שיווק שאין בו די. </w:t>
      </w:r>
    </w:p>
    <w:p w:rsidR="00D22B16" w:rsidRPr="00F41E78" w:rsidP="00D22B16">
      <w:pPr>
        <w:pStyle w:val="RESHET"/>
        <w:keepLines/>
        <w:ind w:left="567"/>
        <w:rPr>
          <w:rtl/>
        </w:rPr>
      </w:pPr>
      <w:r w:rsidRPr="00F41E78">
        <w:rPr>
          <w:rFonts w:hint="cs"/>
          <w:rtl/>
        </w:rPr>
        <w:t xml:space="preserve">משרד מבקר המדינה מעיר כי בהינתן החלטות הממשלה הקובעות יעדים לשיווק קרקעות מדינה למגורים, ראוי היה שמועצת מקרקעי ישראל תתכנס ותיצוק תוכן מפורט יותר להחלטות אלו ותגדיר את היעדים הספציפיים של רמ"י. </w:t>
      </w:r>
    </w:p>
    <w:p w:rsidR="00E97EDA" w:rsidRPr="00F41E78" w:rsidP="00BB0589">
      <w:pPr>
        <w:spacing w:before="180" w:after="120" w:line="230" w:lineRule="exact"/>
        <w:ind w:left="340" w:hanging="340"/>
        <w:jc w:val="both"/>
        <w:rPr>
          <w:rFonts w:cs="FrankRuehl"/>
          <w:sz w:val="18"/>
          <w:szCs w:val="22"/>
          <w:rtl/>
          <w:lang w:eastAsia="he-IL"/>
        </w:rPr>
      </w:pPr>
      <w:r w:rsidRPr="00F41E78">
        <w:rPr>
          <w:rFonts w:cs="FrankRuehl" w:hint="cs"/>
          <w:sz w:val="18"/>
          <w:szCs w:val="22"/>
          <w:rtl/>
          <w:lang w:eastAsia="he-IL"/>
        </w:rPr>
        <w:t>2.</w:t>
      </w:r>
      <w:r w:rsidRPr="00F41E78">
        <w:rPr>
          <w:rFonts w:cs="FrankRuehl" w:hint="cs"/>
          <w:sz w:val="18"/>
          <w:szCs w:val="22"/>
          <w:rtl/>
          <w:lang w:eastAsia="he-IL"/>
        </w:rPr>
        <w:tab/>
        <w:t xml:space="preserve">כגוף המנהל את קרקעות המדינה רמ"י אחראית לשיווקן למגורים. שיווק הקרקעות נעשה לעתים בשיתוף עם משרד הבינוי או עם הרשויות המקומיות (ככל שהרשויות שותפות לתכנון או לפיתוח). עם זאת, ריכוז נתוני השיווק מתקיים ברמ"י. </w:t>
      </w:r>
    </w:p>
    <w:p w:rsidR="00E97EDA" w:rsidRPr="00F41E78" w:rsidP="00BB0589">
      <w:pPr>
        <w:spacing w:after="120" w:line="230" w:lineRule="exact"/>
        <w:ind w:left="340" w:hanging="340"/>
        <w:jc w:val="both"/>
        <w:rPr>
          <w:rFonts w:cs="FrankRuehl"/>
          <w:sz w:val="18"/>
          <w:szCs w:val="22"/>
          <w:rtl/>
          <w:lang w:eastAsia="he-IL"/>
        </w:rPr>
      </w:pPr>
      <w:r>
        <w:rPr>
          <w:rFonts w:cs="FrankRuehl"/>
          <w:sz w:val="18"/>
          <w:szCs w:val="22"/>
          <w:lang w:eastAsia="he-IL"/>
        </w:rPr>
        <w:tab/>
      </w:r>
      <w:r w:rsidRPr="00F41E78">
        <w:rPr>
          <w:rFonts w:cs="FrankRuehl" w:hint="cs"/>
          <w:sz w:val="18"/>
          <w:szCs w:val="22"/>
          <w:rtl/>
          <w:lang w:eastAsia="he-IL"/>
        </w:rPr>
        <w:t xml:space="preserve">השיטה הנפוצה ביותר להקצאת קרקעות למגורים היא באמצעות מכרז לכל המרבה במחיר. לאחר פרסום מכרז לרכישת קרקע למגורים המתמודדים מגישים הצעות, ורמ"י בודקת את תקינותן ואת עמידתן בתנאי המכרז. לאחר בדיקת ההצעות נקבע הזוכה בקרקע; שלב זה מכונה ברמ"י "שיווק". </w:t>
      </w:r>
    </w:p>
    <w:p w:rsidR="00E97EDA" w:rsidRPr="00F41E78" w:rsidP="00BB0589">
      <w:pPr>
        <w:spacing w:after="120" w:line="230" w:lineRule="exact"/>
        <w:ind w:left="340" w:hanging="340"/>
        <w:jc w:val="both"/>
        <w:rPr>
          <w:rFonts w:cs="FrankRuehl"/>
          <w:sz w:val="18"/>
          <w:szCs w:val="22"/>
          <w:rtl/>
          <w:lang w:eastAsia="he-IL"/>
        </w:rPr>
      </w:pPr>
      <w:r>
        <w:rPr>
          <w:rFonts w:cs="FrankRuehl"/>
          <w:sz w:val="18"/>
          <w:szCs w:val="22"/>
          <w:lang w:eastAsia="he-IL"/>
        </w:rPr>
        <w:tab/>
      </w:r>
      <w:r w:rsidRPr="00F41E78">
        <w:rPr>
          <w:rFonts w:cs="FrankRuehl" w:hint="cs"/>
          <w:sz w:val="18"/>
          <w:szCs w:val="22"/>
          <w:rtl/>
          <w:lang w:eastAsia="he-IL"/>
        </w:rPr>
        <w:t>רק לאחר קביעת הזוכה נחתמת עסקה הכוללת חוזה חכירה ופיתוח או חוזה רכישה, המתאים למכרז ולקרקע. לאחר החתימה הזוכה מעביר לרמ"י את התמורה.</w:t>
      </w:r>
    </w:p>
    <w:p w:rsidR="00E97EDA" w:rsidRPr="00F41E78" w:rsidP="00BB0589">
      <w:pPr>
        <w:spacing w:after="120" w:line="230" w:lineRule="exact"/>
        <w:ind w:left="340" w:hanging="340"/>
        <w:jc w:val="both"/>
        <w:rPr>
          <w:rFonts w:cs="FrankRuehl"/>
          <w:sz w:val="18"/>
          <w:szCs w:val="22"/>
          <w:rtl/>
          <w:lang w:eastAsia="he-IL"/>
        </w:rPr>
      </w:pPr>
      <w:r>
        <w:rPr>
          <w:rFonts w:cs="FrankRuehl"/>
          <w:sz w:val="18"/>
          <w:szCs w:val="22"/>
          <w:lang w:eastAsia="he-IL"/>
        </w:rPr>
        <w:tab/>
      </w:r>
      <w:r w:rsidRPr="00F41E78">
        <w:rPr>
          <w:rFonts w:cs="FrankRuehl" w:hint="cs"/>
          <w:sz w:val="18"/>
          <w:szCs w:val="22"/>
          <w:rtl/>
          <w:lang w:eastAsia="he-IL"/>
        </w:rPr>
        <w:t xml:space="preserve">לעתים לא נקבע זוכה או שבסופו של התהליך לא נחתמת עסקה; במקרים כאלו רמ"י שוב מפרסמת מכרז בנוגע לאותה הקרקע. זאת ועוד, לעתים שלב החתימה על העסקה מתקיים בשנה שלאחר פרסום המכרז. יוצא אפוא שעד החתימה על העסקה, אין הקרקע משווקת בפועל ואין לה זוכה. </w:t>
      </w:r>
    </w:p>
    <w:p w:rsidR="00E97EDA" w:rsidRPr="00F41E78" w:rsidP="00BB0589">
      <w:pPr>
        <w:spacing w:after="120" w:line="230" w:lineRule="exact"/>
        <w:ind w:left="340" w:hanging="340"/>
        <w:jc w:val="both"/>
        <w:rPr>
          <w:rFonts w:cs="FrankRuehl"/>
          <w:sz w:val="18"/>
          <w:szCs w:val="22"/>
          <w:rtl/>
          <w:lang w:eastAsia="he-IL"/>
        </w:rPr>
      </w:pPr>
      <w:r>
        <w:rPr>
          <w:rFonts w:cs="FrankRuehl"/>
          <w:sz w:val="18"/>
          <w:szCs w:val="22"/>
          <w:lang w:eastAsia="he-IL"/>
        </w:rPr>
        <w:tab/>
      </w:r>
      <w:r w:rsidRPr="00F41E78">
        <w:rPr>
          <w:rFonts w:cs="FrankRuehl" w:hint="cs"/>
          <w:sz w:val="18"/>
          <w:szCs w:val="22"/>
          <w:rtl/>
          <w:lang w:eastAsia="he-IL"/>
        </w:rPr>
        <w:t xml:space="preserve">רמ"י מפרסמת את נתוני השיווק ואלו מועברים לגופים המוסמכים (כמו הממשלה והלמ"ס). </w:t>
      </w:r>
    </w:p>
    <w:p w:rsidR="00577E77" w:rsidRPr="00F41E78" w:rsidP="00A7557B">
      <w:pPr>
        <w:spacing w:after="120" w:line="230" w:lineRule="exact"/>
        <w:jc w:val="both"/>
        <w:rPr>
          <w:rFonts w:cs="FrankRuehl"/>
          <w:sz w:val="18"/>
          <w:szCs w:val="22"/>
          <w:rtl/>
          <w:lang w:eastAsia="he-IL"/>
        </w:rPr>
      </w:pPr>
    </w:p>
    <w:p w:rsidR="00577E77" w:rsidRPr="00F41E78" w:rsidP="00A7557B">
      <w:pPr>
        <w:spacing w:after="120" w:line="230" w:lineRule="exact"/>
        <w:jc w:val="both"/>
        <w:rPr>
          <w:rFonts w:cs="FrankRuehl"/>
          <w:sz w:val="18"/>
          <w:szCs w:val="22"/>
          <w:rtl/>
          <w:lang w:eastAsia="he-IL"/>
        </w:rPr>
      </w:pPr>
    </w:p>
    <w:p w:rsidR="00E97EDA" w:rsidRPr="00CB33CD" w:rsidP="00A7557B">
      <w:pPr>
        <w:pStyle w:val="KOT4"/>
        <w:rPr>
          <w:rtl/>
          <w:lang w:eastAsia="he-IL"/>
        </w:rPr>
      </w:pPr>
      <w:bookmarkStart w:id="50" w:name="_Toc368500007"/>
      <w:r w:rsidRPr="00CB33CD">
        <w:rPr>
          <w:rFonts w:hint="cs"/>
          <w:rtl/>
          <w:lang w:eastAsia="he-IL"/>
        </w:rPr>
        <w:t xml:space="preserve">יעדי הממשלה לשיווק </w:t>
      </w:r>
      <w:bookmarkEnd w:id="50"/>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הממשלה בהחלטותיה והצעות התקציב של רמ"י קבעו יעדים לשיווק קרקעות למגורים, </w:t>
      </w:r>
      <w:r w:rsidRPr="00F41E78">
        <w:rPr>
          <w:rFonts w:cs="FrankRuehl" w:hint="eastAsia"/>
          <w:sz w:val="18"/>
          <w:szCs w:val="22"/>
          <w:rtl/>
          <w:lang w:eastAsia="he-IL"/>
        </w:rPr>
        <w:t>המשותפים</w:t>
      </w:r>
      <w:r w:rsidRPr="00F41E78">
        <w:rPr>
          <w:rFonts w:cs="FrankRuehl"/>
          <w:sz w:val="18"/>
          <w:szCs w:val="22"/>
          <w:rtl/>
          <w:lang w:eastAsia="he-IL"/>
        </w:rPr>
        <w:t xml:space="preserve"> לרמ"י ולמשרד הבינוי. </w:t>
      </w:r>
      <w:r w:rsidRPr="00F41E78">
        <w:rPr>
          <w:rFonts w:cs="FrankRuehl" w:hint="eastAsia"/>
          <w:sz w:val="18"/>
          <w:szCs w:val="22"/>
          <w:rtl/>
          <w:lang w:eastAsia="he-IL"/>
        </w:rPr>
        <w:t>יעדי</w:t>
      </w:r>
      <w:r w:rsidRPr="00F41E78">
        <w:rPr>
          <w:rFonts w:cs="FrankRuehl"/>
          <w:sz w:val="18"/>
          <w:szCs w:val="22"/>
          <w:rtl/>
          <w:lang w:eastAsia="he-IL"/>
        </w:rPr>
        <w:t xml:space="preserve"> </w:t>
      </w:r>
      <w:r w:rsidRPr="00F41E78">
        <w:rPr>
          <w:rFonts w:cs="FrankRuehl" w:hint="eastAsia"/>
          <w:sz w:val="18"/>
          <w:szCs w:val="22"/>
          <w:rtl/>
          <w:lang w:eastAsia="he-IL"/>
        </w:rPr>
        <w:t>השיווק</w:t>
      </w:r>
      <w:r w:rsidRPr="00F41E78">
        <w:rPr>
          <w:rFonts w:cs="FrankRuehl"/>
          <w:sz w:val="18"/>
          <w:szCs w:val="22"/>
          <w:rtl/>
          <w:lang w:eastAsia="he-IL"/>
        </w:rPr>
        <w:t xml:space="preserve"> </w:t>
      </w:r>
      <w:r w:rsidRPr="00F41E78">
        <w:rPr>
          <w:rFonts w:cs="FrankRuehl" w:hint="eastAsia"/>
          <w:sz w:val="18"/>
          <w:szCs w:val="22"/>
          <w:rtl/>
          <w:lang w:eastAsia="he-IL"/>
        </w:rPr>
        <w:t>שנקבעו</w:t>
      </w:r>
      <w:r w:rsidRPr="00F41E78">
        <w:rPr>
          <w:rFonts w:cs="FrankRuehl"/>
          <w:sz w:val="18"/>
          <w:szCs w:val="22"/>
          <w:rtl/>
          <w:lang w:eastAsia="he-IL"/>
        </w:rPr>
        <w:t xml:space="preserve"> </w:t>
      </w:r>
      <w:r w:rsidRPr="00F41E78">
        <w:rPr>
          <w:rFonts w:cs="FrankRuehl" w:hint="eastAsia"/>
          <w:sz w:val="18"/>
          <w:szCs w:val="22"/>
          <w:rtl/>
          <w:lang w:eastAsia="he-IL"/>
        </w:rPr>
        <w:t>בהחלטות</w:t>
      </w:r>
      <w:r w:rsidRPr="00F41E78">
        <w:rPr>
          <w:rFonts w:cs="FrankRuehl"/>
          <w:sz w:val="18"/>
          <w:szCs w:val="22"/>
          <w:rtl/>
          <w:lang w:eastAsia="he-IL"/>
        </w:rPr>
        <w:t xml:space="preserve"> </w:t>
      </w:r>
      <w:r w:rsidRPr="00F41E78">
        <w:rPr>
          <w:rFonts w:cs="FrankRuehl" w:hint="eastAsia"/>
          <w:sz w:val="18"/>
          <w:szCs w:val="22"/>
          <w:rtl/>
          <w:lang w:eastAsia="he-IL"/>
        </w:rPr>
        <w:t>הממשלה</w:t>
      </w:r>
      <w:r w:rsidRPr="00F41E78">
        <w:rPr>
          <w:rFonts w:cs="FrankRuehl"/>
          <w:sz w:val="18"/>
          <w:szCs w:val="22"/>
          <w:rtl/>
          <w:lang w:eastAsia="he-IL"/>
        </w:rPr>
        <w:t xml:space="preserve"> </w:t>
      </w:r>
      <w:r w:rsidRPr="00F41E78">
        <w:rPr>
          <w:rFonts w:cs="FrankRuehl" w:hint="eastAsia"/>
          <w:sz w:val="18"/>
          <w:szCs w:val="22"/>
          <w:rtl/>
          <w:lang w:eastAsia="he-IL"/>
        </w:rPr>
        <w:t>האמורות</w:t>
      </w:r>
      <w:r w:rsidRPr="00F41E78">
        <w:rPr>
          <w:rFonts w:cs="FrankRuehl"/>
          <w:sz w:val="18"/>
          <w:szCs w:val="22"/>
          <w:rtl/>
          <w:lang w:eastAsia="he-IL"/>
        </w:rPr>
        <w:t xml:space="preserve"> </w:t>
      </w:r>
      <w:r w:rsidRPr="00F41E78">
        <w:rPr>
          <w:rFonts w:cs="FrankRuehl" w:hint="eastAsia"/>
          <w:sz w:val="18"/>
          <w:szCs w:val="22"/>
          <w:rtl/>
          <w:lang w:eastAsia="he-IL"/>
        </w:rPr>
        <w:t>הוטלו</w:t>
      </w:r>
      <w:r w:rsidRPr="00F41E78">
        <w:rPr>
          <w:rFonts w:cs="FrankRuehl"/>
          <w:sz w:val="18"/>
          <w:szCs w:val="22"/>
          <w:rtl/>
          <w:lang w:eastAsia="he-IL"/>
        </w:rPr>
        <w:t xml:space="preserve"> לעתים </w:t>
      </w:r>
      <w:r w:rsidRPr="00F41E78">
        <w:rPr>
          <w:rFonts w:cs="FrankRuehl" w:hint="eastAsia"/>
          <w:sz w:val="18"/>
          <w:szCs w:val="22"/>
          <w:rtl/>
          <w:lang w:eastAsia="he-IL"/>
        </w:rPr>
        <w:t>רק</w:t>
      </w:r>
      <w:r w:rsidRPr="00F41E78">
        <w:rPr>
          <w:rFonts w:cs="FrankRuehl"/>
          <w:sz w:val="18"/>
          <w:szCs w:val="22"/>
          <w:rtl/>
          <w:lang w:eastAsia="he-IL"/>
        </w:rPr>
        <w:t xml:space="preserve"> </w:t>
      </w:r>
      <w:r w:rsidRPr="00F41E78">
        <w:rPr>
          <w:rFonts w:cs="FrankRuehl" w:hint="eastAsia"/>
          <w:sz w:val="18"/>
          <w:szCs w:val="22"/>
          <w:rtl/>
          <w:lang w:eastAsia="he-IL"/>
        </w:rPr>
        <w:t>על</w:t>
      </w:r>
      <w:r w:rsidRPr="00F41E78">
        <w:rPr>
          <w:rFonts w:cs="FrankRuehl"/>
          <w:sz w:val="18"/>
          <w:szCs w:val="22"/>
          <w:rtl/>
          <w:lang w:eastAsia="he-IL"/>
        </w:rPr>
        <w:t xml:space="preserve"> </w:t>
      </w:r>
      <w:r w:rsidRPr="00F41E78">
        <w:rPr>
          <w:rFonts w:cs="FrankRuehl" w:hint="eastAsia"/>
          <w:sz w:val="18"/>
          <w:szCs w:val="22"/>
          <w:rtl/>
          <w:lang w:eastAsia="he-IL"/>
        </w:rPr>
        <w:t>רמ</w:t>
      </w:r>
      <w:r w:rsidRPr="00F41E78">
        <w:rPr>
          <w:rFonts w:cs="FrankRuehl"/>
          <w:sz w:val="18"/>
          <w:szCs w:val="22"/>
          <w:rtl/>
          <w:lang w:eastAsia="he-IL"/>
        </w:rPr>
        <w:t xml:space="preserve">"י או על רמ"י </w:t>
      </w:r>
      <w:r w:rsidRPr="00F41E78">
        <w:rPr>
          <w:rFonts w:cs="FrankRuehl" w:hint="eastAsia"/>
          <w:sz w:val="18"/>
          <w:szCs w:val="22"/>
          <w:rtl/>
          <w:lang w:eastAsia="he-IL"/>
        </w:rPr>
        <w:t>ועל</w:t>
      </w:r>
      <w:r w:rsidRPr="00F41E78">
        <w:rPr>
          <w:rFonts w:cs="FrankRuehl"/>
          <w:sz w:val="18"/>
          <w:szCs w:val="22"/>
          <w:rtl/>
          <w:lang w:eastAsia="he-IL"/>
        </w:rPr>
        <w:t xml:space="preserve"> </w:t>
      </w:r>
      <w:r w:rsidRPr="00F41E78">
        <w:rPr>
          <w:rFonts w:cs="FrankRuehl" w:hint="eastAsia"/>
          <w:sz w:val="18"/>
          <w:szCs w:val="22"/>
          <w:rtl/>
          <w:lang w:eastAsia="he-IL"/>
        </w:rPr>
        <w:t>משרד הבינוי</w:t>
      </w:r>
      <w:r w:rsidRPr="00F41E78">
        <w:rPr>
          <w:rFonts w:cs="FrankRuehl"/>
          <w:sz w:val="18"/>
          <w:szCs w:val="22"/>
          <w:rtl/>
          <w:lang w:eastAsia="he-IL"/>
        </w:rPr>
        <w:t xml:space="preserve"> </w:t>
      </w:r>
      <w:r w:rsidRPr="00F41E78">
        <w:rPr>
          <w:rFonts w:cs="FrankRuehl" w:hint="eastAsia"/>
          <w:sz w:val="18"/>
          <w:szCs w:val="22"/>
          <w:rtl/>
          <w:lang w:eastAsia="he-IL"/>
        </w:rPr>
        <w:t>כאחד</w:t>
      </w:r>
      <w:r w:rsidRPr="00F41E78">
        <w:rPr>
          <w:rFonts w:cs="FrankRuehl"/>
          <w:sz w:val="18"/>
          <w:szCs w:val="22"/>
          <w:rtl/>
          <w:lang w:eastAsia="he-IL"/>
        </w:rPr>
        <w:t xml:space="preserve">. </w:t>
      </w:r>
      <w:r w:rsidRPr="00F41E78">
        <w:rPr>
          <w:rFonts w:cs="FrankRuehl" w:hint="eastAsia"/>
          <w:sz w:val="18"/>
          <w:szCs w:val="22"/>
          <w:rtl/>
          <w:lang w:eastAsia="he-IL"/>
        </w:rPr>
        <w:t>לאורך</w:t>
      </w:r>
      <w:r w:rsidRPr="00F41E78">
        <w:rPr>
          <w:rFonts w:cs="FrankRuehl"/>
          <w:sz w:val="18"/>
          <w:szCs w:val="22"/>
          <w:rtl/>
          <w:lang w:eastAsia="he-IL"/>
        </w:rPr>
        <w:t xml:space="preserve"> </w:t>
      </w:r>
      <w:r w:rsidRPr="00F41E78">
        <w:rPr>
          <w:rFonts w:cs="FrankRuehl" w:hint="eastAsia"/>
          <w:sz w:val="18"/>
          <w:szCs w:val="22"/>
          <w:rtl/>
          <w:lang w:eastAsia="he-IL"/>
        </w:rPr>
        <w:t>השנים</w:t>
      </w:r>
      <w:r w:rsidRPr="00F41E78">
        <w:rPr>
          <w:rFonts w:cs="FrankRuehl"/>
          <w:sz w:val="18"/>
          <w:szCs w:val="22"/>
          <w:rtl/>
          <w:lang w:eastAsia="he-IL"/>
        </w:rPr>
        <w:t xml:space="preserve">, </w:t>
      </w:r>
      <w:r w:rsidRPr="00F41E78">
        <w:rPr>
          <w:rFonts w:cs="FrankRuehl" w:hint="eastAsia"/>
          <w:sz w:val="18"/>
          <w:szCs w:val="22"/>
          <w:rtl/>
          <w:lang w:eastAsia="he-IL"/>
        </w:rPr>
        <w:t>בדגש</w:t>
      </w:r>
      <w:r w:rsidRPr="00F41E78">
        <w:rPr>
          <w:rFonts w:cs="FrankRuehl"/>
          <w:sz w:val="18"/>
          <w:szCs w:val="22"/>
          <w:rtl/>
          <w:lang w:eastAsia="he-IL"/>
        </w:rPr>
        <w:t xml:space="preserve"> </w:t>
      </w:r>
      <w:r w:rsidRPr="00F41E78">
        <w:rPr>
          <w:rFonts w:cs="FrankRuehl" w:hint="eastAsia"/>
          <w:sz w:val="18"/>
          <w:szCs w:val="22"/>
          <w:rtl/>
          <w:lang w:eastAsia="he-IL"/>
        </w:rPr>
        <w:t>על</w:t>
      </w:r>
      <w:r w:rsidRPr="00F41E78">
        <w:rPr>
          <w:rFonts w:cs="FrankRuehl"/>
          <w:sz w:val="18"/>
          <w:szCs w:val="22"/>
          <w:rtl/>
          <w:lang w:eastAsia="he-IL"/>
        </w:rPr>
        <w:t xml:space="preserve"> </w:t>
      </w:r>
      <w:r w:rsidRPr="00F41E78">
        <w:rPr>
          <w:rFonts w:cs="FrankRuehl" w:hint="eastAsia"/>
          <w:sz w:val="18"/>
          <w:szCs w:val="22"/>
          <w:rtl/>
          <w:lang w:eastAsia="he-IL"/>
        </w:rPr>
        <w:t>השנים</w:t>
      </w:r>
      <w:r w:rsidRPr="00F41E78">
        <w:rPr>
          <w:rFonts w:cs="FrankRuehl"/>
          <w:sz w:val="18"/>
          <w:szCs w:val="22"/>
          <w:rtl/>
          <w:lang w:eastAsia="he-IL"/>
        </w:rPr>
        <w:t xml:space="preserve"> 2003-</w:t>
      </w:r>
      <w:r w:rsidRPr="00F41E78">
        <w:rPr>
          <w:rFonts w:cs="FrankRuehl" w:hint="cs"/>
          <w:sz w:val="18"/>
          <w:szCs w:val="22"/>
          <w:rtl/>
          <w:lang w:eastAsia="he-IL"/>
        </w:rPr>
        <w:t xml:space="preserve">2001, וכפי שכבר עלה </w:t>
      </w:r>
      <w:r w:rsidRPr="00F41E78">
        <w:rPr>
          <w:rFonts w:cs="FrankRuehl" w:hint="eastAsia"/>
          <w:sz w:val="18"/>
          <w:szCs w:val="22"/>
          <w:rtl/>
          <w:lang w:eastAsia="he-IL"/>
        </w:rPr>
        <w:t>בדוח</w:t>
      </w:r>
      <w:r w:rsidRPr="00F41E78">
        <w:rPr>
          <w:rFonts w:cs="FrankRuehl"/>
          <w:sz w:val="18"/>
          <w:szCs w:val="22"/>
          <w:rtl/>
          <w:lang w:eastAsia="he-IL"/>
        </w:rPr>
        <w:t xml:space="preserve"> </w:t>
      </w:r>
      <w:r w:rsidRPr="00F41E78">
        <w:rPr>
          <w:rFonts w:cs="FrankRuehl" w:hint="eastAsia"/>
          <w:sz w:val="18"/>
          <w:szCs w:val="22"/>
          <w:rtl/>
          <w:lang w:eastAsia="he-IL"/>
        </w:rPr>
        <w:t>קודם</w:t>
      </w:r>
      <w:r w:rsidRPr="00F41E78">
        <w:rPr>
          <w:rFonts w:cs="FrankRuehl" w:hint="cs"/>
          <w:sz w:val="18"/>
          <w:szCs w:val="22"/>
          <w:rtl/>
          <w:lang w:eastAsia="he-IL"/>
        </w:rPr>
        <w:t xml:space="preserve"> של מבקר המדינה</w:t>
      </w:r>
      <w:r>
        <w:rPr>
          <w:rFonts w:cs="FrankRuehl"/>
          <w:sz w:val="18"/>
          <w:szCs w:val="22"/>
          <w:vertAlign w:val="superscript"/>
          <w:rtl/>
          <w:lang w:eastAsia="he-IL"/>
        </w:rPr>
        <w:footnoteReference w:id="249"/>
      </w:r>
      <w:r w:rsidRPr="00F41E78">
        <w:rPr>
          <w:rFonts w:cs="FrankRuehl" w:hint="cs"/>
          <w:sz w:val="18"/>
          <w:szCs w:val="22"/>
          <w:rtl/>
          <w:lang w:eastAsia="he-IL"/>
        </w:rPr>
        <w:t xml:space="preserve">, לא עמדו רמ"י ומשרד הבינוי ביעדי הממשלה. תמונה דומה עולה גם בנוגע לשנים שנבדקו בדוח הנוכחי, דהיינו בשנים 2014-2007.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בהצעת התקציב של רמ"י לשנת 2007 נקבע תקציב רמ"י "בהתאם לתחזית לשיווק קרקע לבניה למגורים (על ידי מינהל מקרקעי ישראל ומשרד הבינוי) בהיקף הנע בין 18,250 - 21,000 יחידות דיור בשנת 2007". בהצעת תקציב רמ"י לשנת 2008 נקבע תקציב רמ"י על פי היקף שיווק קרקעות לכ-25,000-22,000 יח"ד על קרקע ציבורית</w:t>
      </w:r>
      <w:r>
        <w:rPr>
          <w:rFonts w:cs="FrankRuehl"/>
          <w:sz w:val="18"/>
          <w:szCs w:val="22"/>
          <w:vertAlign w:val="superscript"/>
          <w:rtl/>
          <w:lang w:eastAsia="he-IL"/>
        </w:rPr>
        <w:footnoteReference w:id="250"/>
      </w:r>
      <w:r w:rsidRPr="00F41E78">
        <w:rPr>
          <w:rFonts w:cs="FrankRuehl" w:hint="cs"/>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בהחלטת הממשלה מס' 123 ממאי 2009 הוטל על רמ"י לפעול לשיווק יח"ד למגורים בהיקף שלא יפחת מ-35,000 יח"ד בשנה (מתוכן כ-25,000 יח"ד במכרזים פומביים).</w:t>
      </w:r>
    </w:p>
    <w:p w:rsidR="00E97EDA" w:rsidRPr="00F41E78" w:rsidP="00BB0589">
      <w:pPr>
        <w:spacing w:after="240" w:line="230" w:lineRule="exact"/>
        <w:jc w:val="both"/>
        <w:rPr>
          <w:rFonts w:cs="FrankRuehl"/>
          <w:sz w:val="18"/>
          <w:szCs w:val="22"/>
          <w:rtl/>
          <w:lang w:eastAsia="he-IL"/>
        </w:rPr>
      </w:pPr>
      <w:r w:rsidRPr="00F41E78">
        <w:rPr>
          <w:rFonts w:cs="FrankRuehl" w:hint="cs"/>
          <w:sz w:val="18"/>
          <w:szCs w:val="22"/>
          <w:rtl/>
          <w:lang w:eastAsia="he-IL"/>
        </w:rPr>
        <w:t>החלטת ממשלה מס' 4429 ממרץ 2012 הורתה לרמ"י ולמשרד הבינוי להאיץ את קצב השיווק של יח"ד למגורים באופן שבחמש השנים הקרובות ישווקו 200,000 יח"ד (כ-40,000 יח"ד בממוצע בשנה).</w:t>
      </w:r>
    </w:p>
    <w:p w:rsidR="00D22B16" w:rsidRPr="00F41E78" w:rsidP="00D22B16">
      <w:pPr>
        <w:pStyle w:val="RESHET"/>
        <w:keepLines/>
        <w:rPr>
          <w:rtl/>
        </w:rPr>
      </w:pPr>
      <w:r w:rsidRPr="00F41E78">
        <w:rPr>
          <w:rFonts w:hint="cs"/>
          <w:rtl/>
        </w:rPr>
        <w:t xml:space="preserve">משרד מבקר המדינה מעיר כי בהחלטות הממשלה לא נקבעו סדרי עדיפות בשיווק קרקעות למגורים, לא הוגדרו היעדים בחלוקה למחוזות ולא נכללו הסברים בנוגע לאופן קביעת היעדים. </w:t>
      </w:r>
    </w:p>
    <w:p w:rsidR="00D22B16" w:rsidRPr="00F41E78" w:rsidP="00D22B16">
      <w:pPr>
        <w:pStyle w:val="RESHET"/>
        <w:keepLines/>
        <w:rPr>
          <w:rtl/>
        </w:rPr>
      </w:pPr>
      <w:r w:rsidRPr="00F41E78">
        <w:rPr>
          <w:rFonts w:hint="cs"/>
          <w:rtl/>
        </w:rPr>
        <w:t>כאמור, החלטות אלו התקבלו בלי שרמ"י ומשרד הבינוי הציגו בפני הממשלה את מלוא הנתונים הרלוונטיים לקביעת מדיניות הולמת ומתאימה.</w:t>
      </w:r>
    </w:p>
    <w:p w:rsidR="00E97EDA" w:rsidRPr="00F41E78" w:rsidP="003D6B99">
      <w:pPr>
        <w:spacing w:before="180" w:after="240" w:line="230" w:lineRule="exact"/>
        <w:jc w:val="both"/>
        <w:rPr>
          <w:rFonts w:cs="FrankRuehl"/>
          <w:sz w:val="18"/>
          <w:szCs w:val="22"/>
          <w:rtl/>
          <w:lang w:eastAsia="he-IL"/>
        </w:rPr>
      </w:pPr>
      <w:r w:rsidRPr="00F41E78">
        <w:rPr>
          <w:rFonts w:cs="FrankRuehl" w:hint="cs"/>
          <w:sz w:val="18"/>
          <w:szCs w:val="22"/>
          <w:rtl/>
          <w:lang w:eastAsia="he-IL"/>
        </w:rPr>
        <w:t>במסגרת החלטת ממשלה מס'</w:t>
      </w:r>
      <w:r w:rsidRPr="00F41E78">
        <w:rPr>
          <w:rFonts w:cs="FrankRuehl" w:hint="cs"/>
          <w:sz w:val="18"/>
          <w:szCs w:val="22"/>
          <w:vertAlign w:val="superscript"/>
          <w:rtl/>
          <w:lang w:eastAsia="he-IL"/>
        </w:rPr>
        <w:t xml:space="preserve"> </w:t>
      </w:r>
      <w:r w:rsidRPr="00F41E78">
        <w:rPr>
          <w:rFonts w:cs="FrankRuehl" w:hint="cs"/>
          <w:sz w:val="18"/>
          <w:szCs w:val="22"/>
          <w:rtl/>
        </w:rPr>
        <w:t>367</w:t>
      </w:r>
      <w:r w:rsidRPr="00F41E78">
        <w:rPr>
          <w:rFonts w:cs="FrankRuehl" w:hint="cs"/>
          <w:sz w:val="18"/>
          <w:szCs w:val="22"/>
          <w:rtl/>
          <w:lang w:eastAsia="he-IL"/>
        </w:rPr>
        <w:t xml:space="preserve"> מיוני 2013 נקבעו בין היתר, למשרד הבינוי ולרמ"י, יעדי עסקאות (שיווק קרקעות למגורים שבו נחתם חוזה עם הזוכה). נקבע כי מספר העסקאות השנתי בקרקעות שהן מקרקעי ישראל שהמדינה משווקת או אחראית לייזום התכנון, לא יפחת מ-25,000 יח"ד בכל אחת מהשנים 2014-2013.</w:t>
      </w:r>
    </w:p>
    <w:p w:rsidR="00D22B16" w:rsidRPr="00F41E78" w:rsidP="00D22B16">
      <w:pPr>
        <w:pStyle w:val="RESHET"/>
        <w:keepLines/>
        <w:rPr>
          <w:rtl/>
        </w:rPr>
      </w:pPr>
      <w:bookmarkStart w:id="51" w:name="_Toc368500010"/>
      <w:r w:rsidRPr="00F41E78">
        <w:rPr>
          <w:rFonts w:hint="cs"/>
          <w:rtl/>
        </w:rPr>
        <w:t>יצוין כי בהחלטה זו, בניגוד להחלטות הממשלה הקודמות, נקבעו יעדים מוגדרים למספר עסקאות ולא נקבעו יעדי שיווק. כמו כן, במסגרת דברי ההסבר להצעת ההחלטה הובאו נתונים בדבר עסקאות שנחתמו במהלך השנים האחרונות, ששימשו בסיס לקביעת היעד האמור.</w:t>
      </w:r>
    </w:p>
    <w:p w:rsidR="00D22B16" w:rsidRPr="00F41E78" w:rsidP="00D22B16">
      <w:pPr>
        <w:pStyle w:val="RESHET"/>
        <w:keepLines/>
        <w:rPr>
          <w:rtl/>
        </w:rPr>
      </w:pPr>
      <w:r w:rsidRPr="00F41E78">
        <w:rPr>
          <w:rFonts w:hint="cs"/>
          <w:rtl/>
        </w:rPr>
        <w:t xml:space="preserve">נמצא כי בהחלטות מועצת מקרקעי ישראל אין כל התייחסות להחלטות הממשלה בעניין יעדי השיווק, ואף לא נמצא שהתקיים במועצה דיון בנושא זה ולא התקבלו החלטות או הנחיות רלוונטיות וספציפיות המבטאות את מדיניות הממשלה בנושא זה. כמו כן, לא נמצא כי הוגדרו סדרי עדיפויות לשיווק. </w:t>
      </w:r>
    </w:p>
    <w:p w:rsidR="00E97EDA" w:rsidRPr="00CB33CD" w:rsidP="00A7557B">
      <w:pPr>
        <w:pStyle w:val="KOT4"/>
        <w:rPr>
          <w:rtl/>
          <w:lang w:eastAsia="he-IL"/>
        </w:rPr>
      </w:pPr>
      <w:r w:rsidRPr="00CB33CD">
        <w:rPr>
          <w:rFonts w:hint="cs"/>
          <w:rtl/>
          <w:lang w:eastAsia="he-IL"/>
        </w:rPr>
        <w:t>פעולות השיווק של רמ"י</w:t>
      </w:r>
      <w:bookmarkEnd w:id="51"/>
      <w:r w:rsidRPr="00CB33CD">
        <w:rPr>
          <w:rFonts w:hint="cs"/>
          <w:rtl/>
          <w:lang w:eastAsia="he-IL"/>
        </w:rPr>
        <w:t xml:space="preserve"> ושל </w:t>
      </w:r>
      <w:r>
        <w:rPr>
          <w:rFonts w:hint="cs"/>
          <w:rtl/>
          <w:lang w:eastAsia="he-IL"/>
        </w:rPr>
        <w:t>משרד הבינוי</w:t>
      </w:r>
      <w:r w:rsidRPr="00CB33CD">
        <w:rPr>
          <w:rFonts w:hint="cs"/>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לאורך השנים שנבדקו בביקורת נמצא כי מספר יחידות הדיור למגורים שנחתמו עסקאות בגינן לא תאם את יעדי הממשלה בהחלטותיה. מקורן של הסיבות שהביאו לידי מצב דברים זה נעוץ בין היתר בחוסר התאמה בין תכנית העבודה להחלטות הממשלה, בהיעדר פרסום מכרזים על פי תכנית העבודה ובהיעדר עסקאות בהיקף השווה לזה שפורסם.</w:t>
      </w:r>
    </w:p>
    <w:p w:rsidR="00577E77"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bookmarkStart w:id="52" w:name="_Toc368500011"/>
      <w:r w:rsidRPr="00CB33CD">
        <w:rPr>
          <w:rFonts w:hint="cs"/>
          <w:rtl/>
          <w:lang w:eastAsia="he-IL"/>
        </w:rPr>
        <w:t xml:space="preserve">תכנית העבודה של רמ"י ושל </w:t>
      </w:r>
      <w:r>
        <w:rPr>
          <w:rFonts w:hint="cs"/>
          <w:rtl/>
          <w:lang w:eastAsia="he-IL"/>
        </w:rPr>
        <w:t>משרד הבינוי</w:t>
      </w:r>
      <w:r w:rsidRPr="00CB33CD">
        <w:rPr>
          <w:rFonts w:hint="cs"/>
          <w:rtl/>
          <w:lang w:eastAsia="he-IL"/>
        </w:rPr>
        <w:t xml:space="preserve"> </w:t>
      </w:r>
      <w:bookmarkEnd w:id="52"/>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מדי שנה הכינה רמ"י תכנית עבודה שפירטה את יחידות הדיור המיועדות לשיווק שנכללו בה גם יחידות הדיור המתוכננות לשיווק על פי תכניות העבודה של משרד הבינוי. </w:t>
      </w:r>
    </w:p>
    <w:p w:rsidR="00E97EDA" w:rsidRPr="00F41E78" w:rsidP="00BB0589">
      <w:pPr>
        <w:spacing w:after="240" w:line="230" w:lineRule="exact"/>
        <w:jc w:val="both"/>
        <w:rPr>
          <w:rFonts w:cs="FrankRuehl"/>
          <w:sz w:val="18"/>
          <w:szCs w:val="22"/>
          <w:rtl/>
          <w:lang w:eastAsia="he-IL"/>
        </w:rPr>
      </w:pPr>
      <w:r w:rsidRPr="00F41E78">
        <w:rPr>
          <w:rFonts w:cs="FrankRuehl" w:hint="cs"/>
          <w:sz w:val="18"/>
          <w:szCs w:val="22"/>
          <w:rtl/>
          <w:lang w:eastAsia="he-IL"/>
        </w:rPr>
        <w:t>בבדיקת תכניות העבודה לשיווק של השנים 2014-2007 נמצא כי בשנים 2010-2008 היה מספר יחידות הדיור לשיווק נמוך</w:t>
      </w:r>
      <w:r w:rsidRPr="00F41E78">
        <w:rPr>
          <w:rFonts w:cs="FrankRuehl" w:hint="cs"/>
          <w:sz w:val="18"/>
          <w:szCs w:val="22"/>
          <w:rtl/>
          <w:lang w:eastAsia="he-IL"/>
        </w:rPr>
        <w:t xml:space="preserve"> </w:t>
      </w:r>
      <w:r w:rsidRPr="00F41E78">
        <w:rPr>
          <w:rFonts w:cs="FrankRuehl" w:hint="cs"/>
          <w:sz w:val="18"/>
          <w:szCs w:val="22"/>
          <w:rtl/>
          <w:lang w:eastAsia="he-IL"/>
        </w:rPr>
        <w:t>מיעדי הממשלה בכ-19% (בממוצע), ובשנת 2009 היעד שקבעה רמ"י היה אף נמוך ב-39% מהיעד שקבעה הממשלה.</w:t>
      </w:r>
    </w:p>
    <w:p w:rsidR="00D22B16" w:rsidRPr="00F41E78" w:rsidP="00D22B16">
      <w:pPr>
        <w:pStyle w:val="RESHET"/>
        <w:keepLines/>
        <w:rPr>
          <w:rtl/>
        </w:rPr>
      </w:pPr>
      <w:r w:rsidRPr="00F41E78">
        <w:rPr>
          <w:rFonts w:hint="cs"/>
          <w:rtl/>
        </w:rPr>
        <w:t xml:space="preserve">נמצא כי בשלוש השנים האמורות הכינו רמ"י ומשרד הבינוי תכניות עבודה לשיווק וכללו בהן מספר יח"ד שאינו תואם ליעדי השיווק שקבעה הממשלה. יתרה מזאת, הן הכינו תכניות אלו בלי שהחלטות הממשלה נדונו במועצת מקרקעי ישראל ובלי שזו עדכנה את הממשלה בנושא. </w:t>
      </w:r>
    </w:p>
    <w:p w:rsidR="00D22B16" w:rsidRPr="00F41E78" w:rsidP="00D22B16">
      <w:pPr>
        <w:pStyle w:val="RESHET"/>
        <w:keepLines/>
        <w:rPr>
          <w:rtl/>
        </w:rPr>
      </w:pPr>
      <w:r w:rsidRPr="00F41E78">
        <w:rPr>
          <w:rFonts w:hint="cs"/>
          <w:rtl/>
        </w:rPr>
        <w:t>בעקבות הפער הגדול שבין יעדי הממשלה ובין מספר יחידות הדיור שנכללו בתכניות העבודה לשיווק לשנים אלו, ראוי היה שרמ"י ומשרד הבינוי יבחנו מחדש תכניות אלו. כמו כן, ראוי היה שהחלטות הממשלה הקובעות יעדים יובאו לדיון בפני מועצת מקרקעי ישראל שתבחן את רלוונטיות היעדים ואת ישימותם ותציג את עמדתה אם תמצא שאין הם אפשריים להשגה.</w:t>
      </w:r>
    </w:p>
    <w:p w:rsidR="00577E77" w:rsidRPr="00BB0589" w:rsidP="00BB0589">
      <w:pPr>
        <w:spacing w:after="120" w:line="230" w:lineRule="exact"/>
        <w:jc w:val="both"/>
        <w:rPr>
          <w:rFonts w:cs="FrankRuehl"/>
          <w:sz w:val="18"/>
          <w:szCs w:val="22"/>
          <w:rtl/>
          <w:lang w:eastAsia="he-IL"/>
        </w:rPr>
      </w:pPr>
    </w:p>
    <w:p w:rsidR="00E97EDA" w:rsidRPr="00CB33CD" w:rsidP="00A7557B">
      <w:pPr>
        <w:pStyle w:val="KOT5"/>
        <w:rPr>
          <w:rtl/>
          <w:lang w:eastAsia="he-IL"/>
        </w:rPr>
      </w:pPr>
      <w:bookmarkStart w:id="53" w:name="_Toc368500012"/>
      <w:r w:rsidRPr="00CB33CD">
        <w:rPr>
          <w:rFonts w:hint="cs"/>
          <w:rtl/>
          <w:lang w:eastAsia="he-IL"/>
        </w:rPr>
        <w:t>פרסום המכרזים בפועל ביחס לתכנית העבודה</w:t>
      </w:r>
      <w:bookmarkEnd w:id="53"/>
    </w:p>
    <w:p w:rsidR="00E97EDA" w:rsidRPr="00CB33CD" w:rsidP="00A7557B">
      <w:pPr>
        <w:pStyle w:val="KOT6"/>
        <w:rPr>
          <w:rtl/>
          <w:lang w:eastAsia="he-IL"/>
        </w:rPr>
      </w:pPr>
      <w:bookmarkStart w:id="54" w:name="_Toc368500013"/>
      <w:r w:rsidRPr="00CB33CD">
        <w:rPr>
          <w:rFonts w:hint="cs"/>
          <w:rtl/>
          <w:lang w:eastAsia="he-IL"/>
        </w:rPr>
        <w:t xml:space="preserve">אופן בניית תכניות העבודה לשיווק </w:t>
      </w:r>
      <w:bookmarkEnd w:id="54"/>
    </w:p>
    <w:p w:rsidR="00E97EDA" w:rsidRPr="00F41E78" w:rsidP="00BB0589">
      <w:pPr>
        <w:spacing w:after="240" w:line="230" w:lineRule="exact"/>
        <w:jc w:val="both"/>
        <w:rPr>
          <w:rFonts w:cs="FrankRuehl"/>
          <w:sz w:val="18"/>
          <w:szCs w:val="22"/>
          <w:rtl/>
          <w:lang w:eastAsia="he-IL"/>
        </w:rPr>
      </w:pPr>
      <w:r w:rsidRPr="00F41E78">
        <w:rPr>
          <w:rFonts w:cs="FrankRuehl" w:hint="cs"/>
          <w:sz w:val="18"/>
          <w:szCs w:val="22"/>
          <w:rtl/>
          <w:lang w:eastAsia="he-IL"/>
        </w:rPr>
        <w:t xml:space="preserve">בתכנית העבודה לשיווק אמורות לכאורה להופיע יחידות הדיור הכלולות בתכניות מאושרות וזמינות לשיווק שהסבירות לשווקן גבוהה, אולם הופיעו בהן מספר לא מבוטל של יח"ד שלא היו זמינות לשיווק. </w:t>
      </w:r>
    </w:p>
    <w:p w:rsidR="00D22B16" w:rsidRPr="00F41E78" w:rsidP="00D22B16">
      <w:pPr>
        <w:pStyle w:val="RESHET"/>
        <w:keepLines/>
        <w:rPr>
          <w:rtl/>
        </w:rPr>
      </w:pPr>
      <w:r w:rsidRPr="00F41E78">
        <w:rPr>
          <w:rFonts w:hint="cs"/>
          <w:rtl/>
        </w:rPr>
        <w:t xml:space="preserve">משרד מבקר המדינה מעיר כי תכניות העבודה לשיווק אינן מותאמות באופן הראוי למצב בפועל וליכולת לשווק את יחידות הדיור בטווח הקרוב; הדבר גורם לסטייה ניכרת מתכנית העבודה ואי-עמידה ביעדים. </w:t>
      </w:r>
    </w:p>
    <w:p w:rsidR="00E97EDA" w:rsidRPr="00F41E78" w:rsidP="005B0BBC">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רמ"י פעלה להכנת תכנית עבודה לשיווק לשנים 2014-2013 הכוללת יעדי שיווק </w:t>
      </w:r>
      <w:r w:rsidRPr="00582A43">
        <w:rPr>
          <w:rFonts w:cs="FrankRuehl" w:hint="cs"/>
          <w:sz w:val="18"/>
          <w:szCs w:val="22"/>
          <w:rtl/>
          <w:lang w:eastAsia="he-IL"/>
        </w:rPr>
        <w:t>של כ-97,000 יח"ד</w:t>
      </w:r>
      <w:r w:rsidRPr="00582A43" w:rsidR="005B0BBC">
        <w:rPr>
          <w:rFonts w:cs="FrankRuehl" w:hint="cs"/>
          <w:sz w:val="18"/>
          <w:szCs w:val="22"/>
          <w:rtl/>
          <w:lang w:eastAsia="he-IL"/>
        </w:rPr>
        <w:t>,</w:t>
      </w:r>
      <w:r w:rsidRPr="00582A43">
        <w:rPr>
          <w:rFonts w:cs="FrankRuehl" w:hint="cs"/>
          <w:sz w:val="18"/>
          <w:szCs w:val="22"/>
          <w:rtl/>
          <w:lang w:eastAsia="he-IL"/>
        </w:rPr>
        <w:t xml:space="preserve"> אולם עד מאי 2013</w:t>
      </w:r>
      <w:r w:rsidRPr="00F41E78">
        <w:rPr>
          <w:rFonts w:cs="FrankRuehl" w:hint="cs"/>
          <w:sz w:val="18"/>
          <w:szCs w:val="22"/>
          <w:rtl/>
          <w:lang w:eastAsia="he-IL"/>
        </w:rPr>
        <w:t xml:space="preserve"> תכנית העבודה לא הושלמה. </w:t>
      </w:r>
    </w:p>
    <w:p w:rsidR="00D22B16" w:rsidRPr="00F41E78" w:rsidP="00D22B16">
      <w:pPr>
        <w:pStyle w:val="RESHET"/>
        <w:keepLines/>
        <w:rPr>
          <w:rtl/>
        </w:rPr>
      </w:pPr>
      <w:r w:rsidRPr="00F41E78">
        <w:rPr>
          <w:rFonts w:hint="cs"/>
          <w:rtl/>
        </w:rPr>
        <w:t>משרד מבקר המדינה מעיר כי ראוי שתכנית העבודה לשיווק לשנה מסוימת תאושר בתחילת השנה, על אחת כמה וכמה כאשר היא כוללת יעדי שיווק לרבעונים הראשונים של השנה.</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bookmarkStart w:id="55" w:name="_Toc368500014"/>
      <w:r w:rsidRPr="00CB33CD">
        <w:rPr>
          <w:rFonts w:hint="cs"/>
          <w:rtl/>
          <w:lang w:eastAsia="he-IL"/>
        </w:rPr>
        <w:t>נתוני פרסום המכרזים ביחס לתכנית העבודה</w:t>
      </w:r>
      <w:bookmarkEnd w:id="55"/>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משרד מבקר המדינה השווה בין מספר יחידות הדיור בתכניות העבודה לשיווק לשנים 2014-2007 ובין המספר שרמ"י פרסמה בפועל במכרזים. הבדיקה העלתה נתונים אלו:</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בשנים 2013-2007 (למעט בשנת 2011) פרסמה רמ"י מספרי יח"ד הנמוכים (ב-24% בממוצע) מהמספרים שקבעה היא עצמה ביעדי השיווק במסגרת תכניות העבודה, שכאמור גם הם היו נמוכים מיעדי הממשלה. רק בשנת 2011 פרסמה רמ"י מספר יח"ד הגבוה בכ-10% מהיעד שהוגדר בתכנית העבודה.</w:t>
      </w:r>
    </w:p>
    <w:p w:rsidR="00E97EDA" w:rsidRPr="00F41E78" w:rsidP="00BB0589">
      <w:pPr>
        <w:spacing w:after="240" w:line="230" w:lineRule="exact"/>
        <w:jc w:val="both"/>
        <w:rPr>
          <w:rFonts w:cs="FrankRuehl"/>
          <w:sz w:val="18"/>
          <w:szCs w:val="22"/>
          <w:rtl/>
          <w:lang w:eastAsia="he-IL"/>
        </w:rPr>
      </w:pPr>
      <w:r w:rsidRPr="00F41E78">
        <w:rPr>
          <w:rFonts w:cs="FrankRuehl" w:hint="eastAsia"/>
          <w:sz w:val="18"/>
          <w:szCs w:val="22"/>
          <w:rtl/>
          <w:lang w:eastAsia="he-IL"/>
        </w:rPr>
        <w:t>לדוגמ</w:t>
      </w:r>
      <w:r w:rsidRPr="00F41E78">
        <w:rPr>
          <w:rFonts w:cs="FrankRuehl" w:hint="cs"/>
          <w:sz w:val="18"/>
          <w:szCs w:val="22"/>
          <w:rtl/>
          <w:lang w:eastAsia="he-IL"/>
        </w:rPr>
        <w:t>ה,</w:t>
      </w:r>
      <w:r w:rsidRPr="00F41E78">
        <w:rPr>
          <w:rFonts w:cs="FrankRuehl"/>
          <w:sz w:val="18"/>
          <w:szCs w:val="22"/>
          <w:rtl/>
          <w:lang w:eastAsia="he-IL"/>
        </w:rPr>
        <w:t xml:space="preserve"> </w:t>
      </w:r>
      <w:r w:rsidRPr="00F41E78">
        <w:rPr>
          <w:rFonts w:cs="FrankRuehl" w:hint="cs"/>
          <w:sz w:val="18"/>
          <w:szCs w:val="22"/>
          <w:rtl/>
          <w:lang w:eastAsia="he-IL"/>
        </w:rPr>
        <w:t xml:space="preserve">בשנת 2007 עמד יעד רמ"י לשיווק על כ-27,000 יח"ד ובפועל פרסמה רמ"י מכרזים לבניית 15,300 יח"ד בלבד, </w:t>
      </w:r>
      <w:r w:rsidRPr="00F41E78">
        <w:rPr>
          <w:rFonts w:cs="FrankRuehl" w:hint="eastAsia"/>
          <w:sz w:val="18"/>
          <w:szCs w:val="22"/>
          <w:rtl/>
          <w:lang w:eastAsia="he-IL"/>
        </w:rPr>
        <w:t>בשנת</w:t>
      </w:r>
      <w:r w:rsidRPr="00F41E78">
        <w:rPr>
          <w:rFonts w:cs="FrankRuehl"/>
          <w:sz w:val="18"/>
          <w:szCs w:val="22"/>
          <w:rtl/>
          <w:lang w:eastAsia="he-IL"/>
        </w:rPr>
        <w:t xml:space="preserve"> 2008 </w:t>
      </w:r>
      <w:r w:rsidRPr="00F41E78">
        <w:rPr>
          <w:rFonts w:cs="FrankRuehl" w:hint="cs"/>
          <w:sz w:val="18"/>
          <w:szCs w:val="22"/>
          <w:rtl/>
          <w:lang w:eastAsia="he-IL"/>
        </w:rPr>
        <w:t xml:space="preserve">- </w:t>
      </w:r>
      <w:r w:rsidRPr="00F41E78">
        <w:rPr>
          <w:rFonts w:cs="FrankRuehl" w:hint="eastAsia"/>
          <w:sz w:val="18"/>
          <w:szCs w:val="22"/>
          <w:rtl/>
          <w:lang w:eastAsia="he-IL"/>
        </w:rPr>
        <w:t>כ</w:t>
      </w:r>
      <w:r w:rsidRPr="00F41E78">
        <w:rPr>
          <w:rFonts w:cs="FrankRuehl"/>
          <w:sz w:val="18"/>
          <w:szCs w:val="22"/>
          <w:rtl/>
          <w:lang w:eastAsia="he-IL"/>
        </w:rPr>
        <w:t xml:space="preserve">-24,000 </w:t>
      </w:r>
      <w:r w:rsidRPr="00F41E78">
        <w:rPr>
          <w:rFonts w:cs="FrankRuehl" w:hint="eastAsia"/>
          <w:sz w:val="18"/>
          <w:szCs w:val="22"/>
          <w:rtl/>
          <w:lang w:eastAsia="he-IL"/>
        </w:rPr>
        <w:t>יח</w:t>
      </w:r>
      <w:r w:rsidRPr="00F41E78">
        <w:rPr>
          <w:rFonts w:cs="FrankRuehl"/>
          <w:sz w:val="18"/>
          <w:szCs w:val="22"/>
          <w:rtl/>
          <w:lang w:eastAsia="he-IL"/>
        </w:rPr>
        <w:t xml:space="preserve">"ד </w:t>
      </w:r>
      <w:r w:rsidRPr="00F41E78">
        <w:rPr>
          <w:rFonts w:cs="FrankRuehl" w:hint="cs"/>
          <w:sz w:val="18"/>
          <w:szCs w:val="22"/>
          <w:rtl/>
          <w:lang w:eastAsia="he-IL"/>
        </w:rPr>
        <w:t xml:space="preserve">לעומת </w:t>
      </w:r>
      <w:r w:rsidRPr="00F41E78">
        <w:rPr>
          <w:rFonts w:cs="FrankRuehl" w:hint="eastAsia"/>
          <w:sz w:val="18"/>
          <w:szCs w:val="22"/>
          <w:rtl/>
          <w:lang w:eastAsia="he-IL"/>
        </w:rPr>
        <w:t>כ</w:t>
      </w:r>
      <w:r w:rsidRPr="00F41E78">
        <w:rPr>
          <w:rFonts w:cs="FrankRuehl"/>
          <w:sz w:val="18"/>
          <w:szCs w:val="22"/>
          <w:rtl/>
          <w:lang w:eastAsia="he-IL"/>
        </w:rPr>
        <w:t>-</w:t>
      </w:r>
      <w:r w:rsidRPr="00F41E78">
        <w:rPr>
          <w:rFonts w:cs="FrankRuehl" w:hint="cs"/>
          <w:sz w:val="18"/>
          <w:szCs w:val="22"/>
          <w:rtl/>
          <w:lang w:eastAsia="he-IL"/>
        </w:rPr>
        <w:t>18,000</w:t>
      </w:r>
      <w:r w:rsidRPr="00F41E78">
        <w:rPr>
          <w:rFonts w:cs="FrankRuehl"/>
          <w:sz w:val="18"/>
          <w:szCs w:val="22"/>
          <w:rtl/>
          <w:lang w:eastAsia="he-IL"/>
        </w:rPr>
        <w:t xml:space="preserve"> </w:t>
      </w:r>
      <w:r w:rsidRPr="00F41E78">
        <w:rPr>
          <w:rFonts w:cs="FrankRuehl" w:hint="eastAsia"/>
          <w:sz w:val="18"/>
          <w:szCs w:val="22"/>
          <w:rtl/>
          <w:lang w:eastAsia="he-IL"/>
        </w:rPr>
        <w:t>יח</w:t>
      </w:r>
      <w:r w:rsidRPr="00F41E78">
        <w:rPr>
          <w:rFonts w:cs="FrankRuehl"/>
          <w:sz w:val="18"/>
          <w:szCs w:val="22"/>
          <w:rtl/>
          <w:lang w:eastAsia="he-IL"/>
        </w:rPr>
        <w:t xml:space="preserve">"ד </w:t>
      </w:r>
      <w:r w:rsidRPr="00F41E78">
        <w:rPr>
          <w:rFonts w:cs="FrankRuehl" w:hint="eastAsia"/>
          <w:sz w:val="18"/>
          <w:szCs w:val="22"/>
          <w:rtl/>
          <w:lang w:eastAsia="he-IL"/>
        </w:rPr>
        <w:t>בלבד</w:t>
      </w:r>
      <w:r w:rsidRPr="00F41E78">
        <w:rPr>
          <w:rFonts w:cs="FrankRuehl" w:hint="cs"/>
          <w:sz w:val="18"/>
          <w:szCs w:val="22"/>
          <w:rtl/>
          <w:lang w:eastAsia="he-IL"/>
        </w:rPr>
        <w:t xml:space="preserve"> </w:t>
      </w:r>
      <w:r w:rsidRPr="00F41E78">
        <w:rPr>
          <w:rFonts w:cs="FrankRuehl" w:hint="eastAsia"/>
          <w:sz w:val="18"/>
          <w:szCs w:val="22"/>
          <w:rtl/>
          <w:lang w:eastAsia="he-IL"/>
        </w:rPr>
        <w:t>בפועל</w:t>
      </w:r>
      <w:r w:rsidRPr="00F41E78">
        <w:rPr>
          <w:rFonts w:cs="FrankRuehl" w:hint="cs"/>
          <w:sz w:val="18"/>
          <w:szCs w:val="22"/>
          <w:rtl/>
          <w:lang w:eastAsia="he-IL"/>
        </w:rPr>
        <w:t xml:space="preserve"> ו</w:t>
      </w:r>
      <w:r w:rsidRPr="00F41E78">
        <w:rPr>
          <w:rFonts w:cs="FrankRuehl" w:hint="eastAsia"/>
          <w:sz w:val="18"/>
          <w:szCs w:val="22"/>
          <w:rtl/>
          <w:lang w:eastAsia="he-IL"/>
        </w:rPr>
        <w:t>בשנת</w:t>
      </w:r>
      <w:r w:rsidRPr="00F41E78">
        <w:rPr>
          <w:rFonts w:cs="FrankRuehl"/>
          <w:sz w:val="18"/>
          <w:szCs w:val="22"/>
          <w:rtl/>
          <w:lang w:eastAsia="he-IL"/>
        </w:rPr>
        <w:t xml:space="preserve"> 2012 </w:t>
      </w:r>
      <w:r w:rsidRPr="00F41E78">
        <w:rPr>
          <w:rFonts w:cs="FrankRuehl" w:hint="cs"/>
          <w:sz w:val="18"/>
          <w:szCs w:val="22"/>
          <w:rtl/>
          <w:lang w:eastAsia="he-IL"/>
        </w:rPr>
        <w:t xml:space="preserve">- </w:t>
      </w:r>
      <w:r w:rsidRPr="00F41E78">
        <w:rPr>
          <w:rFonts w:cs="FrankRuehl" w:hint="eastAsia"/>
          <w:sz w:val="18"/>
          <w:szCs w:val="22"/>
          <w:rtl/>
          <w:lang w:eastAsia="he-IL"/>
        </w:rPr>
        <w:t>כ</w:t>
      </w:r>
      <w:r w:rsidRPr="00F41E78">
        <w:rPr>
          <w:rFonts w:cs="FrankRuehl"/>
          <w:sz w:val="18"/>
          <w:szCs w:val="22"/>
          <w:rtl/>
          <w:lang w:eastAsia="he-IL"/>
        </w:rPr>
        <w:t>-51,</w:t>
      </w:r>
      <w:r w:rsidRPr="00F41E78">
        <w:rPr>
          <w:rFonts w:cs="FrankRuehl" w:hint="cs"/>
          <w:sz w:val="18"/>
          <w:szCs w:val="22"/>
          <w:rtl/>
          <w:lang w:eastAsia="he-IL"/>
        </w:rPr>
        <w:t>6</w:t>
      </w:r>
      <w:r w:rsidRPr="00F41E78">
        <w:rPr>
          <w:rFonts w:cs="FrankRuehl"/>
          <w:sz w:val="18"/>
          <w:szCs w:val="22"/>
          <w:rtl/>
          <w:lang w:eastAsia="he-IL"/>
        </w:rPr>
        <w:t xml:space="preserve">00 </w:t>
      </w:r>
      <w:r w:rsidRPr="00F41E78">
        <w:rPr>
          <w:rFonts w:cs="FrankRuehl" w:hint="eastAsia"/>
          <w:sz w:val="18"/>
          <w:szCs w:val="22"/>
          <w:rtl/>
          <w:lang w:eastAsia="he-IL"/>
        </w:rPr>
        <w:t>יח</w:t>
      </w:r>
      <w:r w:rsidRPr="00F41E78">
        <w:rPr>
          <w:rFonts w:cs="FrankRuehl"/>
          <w:sz w:val="18"/>
          <w:szCs w:val="22"/>
          <w:rtl/>
          <w:lang w:eastAsia="he-IL"/>
        </w:rPr>
        <w:t xml:space="preserve">"ד </w:t>
      </w:r>
      <w:r w:rsidRPr="00F41E78">
        <w:rPr>
          <w:rFonts w:cs="FrankRuehl" w:hint="cs"/>
          <w:sz w:val="18"/>
          <w:szCs w:val="22"/>
          <w:rtl/>
          <w:lang w:eastAsia="he-IL"/>
        </w:rPr>
        <w:t xml:space="preserve">לעומת </w:t>
      </w:r>
      <w:r w:rsidRPr="00F41E78">
        <w:rPr>
          <w:rFonts w:cs="FrankRuehl"/>
          <w:sz w:val="18"/>
          <w:szCs w:val="22"/>
          <w:rtl/>
          <w:lang w:eastAsia="he-IL"/>
        </w:rPr>
        <w:t>33,</w:t>
      </w:r>
      <w:r w:rsidRPr="00F41E78">
        <w:rPr>
          <w:rFonts w:cs="FrankRuehl" w:hint="cs"/>
          <w:sz w:val="18"/>
          <w:szCs w:val="22"/>
          <w:rtl/>
          <w:lang w:eastAsia="he-IL"/>
        </w:rPr>
        <w:t>7</w:t>
      </w:r>
      <w:r w:rsidRPr="00F41E78">
        <w:rPr>
          <w:rFonts w:cs="FrankRuehl"/>
          <w:sz w:val="18"/>
          <w:szCs w:val="22"/>
          <w:rtl/>
          <w:lang w:eastAsia="he-IL"/>
        </w:rPr>
        <w:t xml:space="preserve">00 </w:t>
      </w:r>
      <w:r w:rsidRPr="00F41E78">
        <w:rPr>
          <w:rFonts w:cs="FrankRuehl" w:hint="eastAsia"/>
          <w:sz w:val="18"/>
          <w:szCs w:val="22"/>
          <w:rtl/>
          <w:lang w:eastAsia="he-IL"/>
        </w:rPr>
        <w:t>יח</w:t>
      </w:r>
      <w:r w:rsidRPr="00F41E78">
        <w:rPr>
          <w:rFonts w:cs="FrankRuehl"/>
          <w:sz w:val="18"/>
          <w:szCs w:val="22"/>
          <w:rtl/>
          <w:lang w:eastAsia="he-IL"/>
        </w:rPr>
        <w:t xml:space="preserve">"ד </w:t>
      </w:r>
      <w:r w:rsidRPr="00F41E78">
        <w:rPr>
          <w:rFonts w:cs="FrankRuehl" w:hint="eastAsia"/>
          <w:sz w:val="18"/>
          <w:szCs w:val="22"/>
          <w:rtl/>
          <w:lang w:eastAsia="he-IL"/>
        </w:rPr>
        <w:t>בלבד בפועל</w:t>
      </w:r>
      <w:r w:rsidRPr="00F41E78">
        <w:rPr>
          <w:rFonts w:cs="FrankRuehl"/>
          <w:sz w:val="18"/>
          <w:szCs w:val="22"/>
          <w:rtl/>
          <w:lang w:eastAsia="he-IL"/>
        </w:rPr>
        <w:t>.</w:t>
      </w:r>
    </w:p>
    <w:p w:rsidR="00D22B16" w:rsidRPr="00F41E78" w:rsidP="00D22B16">
      <w:pPr>
        <w:pStyle w:val="RESHET"/>
        <w:keepLines/>
        <w:rPr>
          <w:rtl/>
        </w:rPr>
      </w:pPr>
      <w:r w:rsidRPr="00F41E78">
        <w:rPr>
          <w:rFonts w:hint="cs"/>
          <w:rtl/>
        </w:rPr>
        <w:t>יוצא אפוא כי רמ"י לא פרסמה מכרזים לשיווק קרקעות הכוללים כמות מספיקה של יח"ד שתאפשר עמידה ביעדי השיווק הלאומיים, לפי מה שקבעה במסגרת תכנית העבודה, ובעשותה כן פגעה ביכולת להגדיל את ההיצע בשוק הדיור.</w:t>
      </w:r>
    </w:p>
    <w:p w:rsidR="00D22B16" w:rsidRPr="00F41E78" w:rsidP="00D22B16">
      <w:pPr>
        <w:pStyle w:val="RESHET"/>
        <w:keepLines/>
        <w:rPr>
          <w:rtl/>
        </w:rPr>
      </w:pPr>
      <w:r w:rsidRPr="00F41E78">
        <w:rPr>
          <w:rFonts w:hint="cs"/>
          <w:rtl/>
        </w:rPr>
        <w:t xml:space="preserve">לדעת משרד מבקר המדינה, העובדה שרמ"י לא עמדה ביעדי השיווק תרמה למחסור בקרקע זמינה לבנייה למגורים, בייחוד באזורי הביקוש, וביכולת הגדלת ההיצע מול הביקוש הגדל; ובעקיפין הייתה התנהלותה זו גם אחת הסיבות שתרמו לידי עליית מחירי הדיור. </w:t>
      </w:r>
    </w:p>
    <w:p w:rsidR="00D22B16" w:rsidRPr="00F41E78" w:rsidP="00D22B16">
      <w:pPr>
        <w:pStyle w:val="RESHET"/>
        <w:keepLines/>
      </w:pPr>
      <w:r w:rsidRPr="00F41E78">
        <w:rPr>
          <w:rFonts w:hint="cs"/>
          <w:rtl/>
        </w:rPr>
        <w:t>עוד יצוין כי בהיעדר עדכון ויידוע של הממשלה בדבר אי-עמידה ביעדים לא החזיקה הממשלה, כגוף המתווה את המדיניות, בתמונת מצב מלאה.</w:t>
      </w:r>
    </w:p>
    <w:p w:rsidR="00282703" w:rsidRPr="00BB0589" w:rsidP="00A7557B">
      <w:pPr>
        <w:spacing w:after="120" w:line="230" w:lineRule="exact"/>
        <w:jc w:val="both"/>
        <w:rPr>
          <w:rFonts w:cs="FrankRuehl"/>
          <w:sz w:val="18"/>
          <w:szCs w:val="22"/>
          <w:rtl/>
          <w:lang w:eastAsia="he-IL"/>
        </w:rPr>
      </w:pPr>
    </w:p>
    <w:p w:rsidR="00E97EDA" w:rsidRPr="00CB33CD" w:rsidP="00A7557B">
      <w:pPr>
        <w:pStyle w:val="KOT5"/>
        <w:rPr>
          <w:rtl/>
          <w:lang w:eastAsia="he-IL"/>
        </w:rPr>
      </w:pPr>
      <w:bookmarkStart w:id="56" w:name="_Toc368500015"/>
      <w:r w:rsidRPr="00CB33CD">
        <w:rPr>
          <w:rFonts w:hint="cs"/>
          <w:rtl/>
          <w:lang w:eastAsia="he-IL"/>
        </w:rPr>
        <w:t>חסמים</w:t>
      </w:r>
      <w:bookmarkEnd w:id="56"/>
      <w:r w:rsidRPr="00CB33CD">
        <w:rPr>
          <w:rFonts w:hint="cs"/>
          <w:rtl/>
          <w:lang w:eastAsia="he-IL"/>
        </w:rPr>
        <w:t xml:space="preserve"> לשיווק קרקע</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כאמור, מלאי תכנוני זמין למגורים פירושו תכניות מפורטות מאושרות של קרקע המיועדת למגורים הזמינה לשיווק ליזמים, כדי שאלו יוכלו לאחר הזכייה במכרז לקבל היתרי בנייה. </w:t>
      </w:r>
    </w:p>
    <w:p w:rsidR="00E97EDA" w:rsidRPr="00F41E78" w:rsidP="003D6B99">
      <w:pPr>
        <w:spacing w:after="120" w:line="230" w:lineRule="exact"/>
        <w:jc w:val="both"/>
        <w:rPr>
          <w:rFonts w:cs="FrankRuehl"/>
          <w:sz w:val="18"/>
          <w:szCs w:val="22"/>
          <w:rtl/>
          <w:lang w:eastAsia="he-IL"/>
        </w:rPr>
      </w:pPr>
      <w:r w:rsidRPr="00F41E78">
        <w:rPr>
          <w:rFonts w:cs="FrankRuehl" w:hint="cs"/>
          <w:sz w:val="18"/>
          <w:szCs w:val="22"/>
          <w:rtl/>
          <w:lang w:eastAsia="he-IL"/>
        </w:rPr>
        <w:t>מדו"ח עתודות קרקע שהפיקה רמ"י במאי 2010 עולה כי בשנת 2010 נמצאו בהליכי תכנון</w:t>
      </w:r>
      <w:r w:rsidRPr="00F41E78">
        <w:rPr>
          <w:rFonts w:cs="FrankRuehl" w:hint="cs"/>
          <w:sz w:val="18"/>
          <w:szCs w:val="22"/>
          <w:rtl/>
          <w:lang w:eastAsia="he-IL"/>
        </w:rPr>
        <w:t xml:space="preserve"> </w:t>
      </w:r>
      <w:r w:rsidRPr="00F41E78">
        <w:rPr>
          <w:rFonts w:cs="FrankRuehl" w:hint="cs"/>
          <w:sz w:val="18"/>
          <w:szCs w:val="22"/>
          <w:rtl/>
          <w:lang w:eastAsia="he-IL"/>
        </w:rPr>
        <w:t xml:space="preserve">תכניות בהיקף של כ-280,000 יח"ד; וכ-160,000 יח"ד כבר אושרו.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במחקר שערך מכון דש"א בשנת 2010</w:t>
      </w:r>
      <w:r>
        <w:rPr>
          <w:rFonts w:cs="FrankRuehl"/>
          <w:sz w:val="18"/>
          <w:szCs w:val="22"/>
          <w:vertAlign w:val="superscript"/>
          <w:rtl/>
          <w:lang w:eastAsia="he-IL"/>
        </w:rPr>
        <w:footnoteReference w:id="251"/>
      </w:r>
      <w:r w:rsidRPr="00F41E78">
        <w:rPr>
          <w:rFonts w:cs="FrankRuehl" w:hint="cs"/>
          <w:sz w:val="18"/>
          <w:szCs w:val="22"/>
          <w:rtl/>
          <w:lang w:eastAsia="he-IL"/>
        </w:rPr>
        <w:t xml:space="preserve"> נמצא כי ביח"ד שאושרו קיימת כמות לא מבוטלת של יח"ד שאינן ניתנות לשיווק בשל חסמים שונים ולעתים יותר מחסם אחד לתכנית.</w:t>
      </w:r>
    </w:p>
    <w:p w:rsidR="00E97EDA" w:rsidRPr="00F41E78" w:rsidP="00BB0589">
      <w:pPr>
        <w:spacing w:after="240" w:line="230" w:lineRule="exact"/>
        <w:jc w:val="both"/>
        <w:rPr>
          <w:rFonts w:cs="FrankRuehl"/>
          <w:sz w:val="18"/>
          <w:szCs w:val="22"/>
          <w:rtl/>
          <w:lang w:eastAsia="he-IL"/>
        </w:rPr>
      </w:pPr>
      <w:r w:rsidRPr="00F41E78">
        <w:rPr>
          <w:rFonts w:cs="FrankRuehl" w:hint="cs"/>
          <w:sz w:val="18"/>
          <w:szCs w:val="22"/>
          <w:rtl/>
          <w:lang w:eastAsia="he-IL"/>
        </w:rPr>
        <w:t xml:space="preserve">עוד נמצא כי ב-33.5% מיחידות הדיור שאושרו במוסדות התכנון במחוז הדרום נרשמו חסמים לשיווק; במחוז ירושלים - ב-50%, במחוז הצפון - 42.8%, במחוז חיפה - 76.4%, </w:t>
      </w:r>
      <w:r w:rsidRPr="00582A43">
        <w:rPr>
          <w:rFonts w:cs="FrankRuehl" w:hint="cs"/>
          <w:sz w:val="18"/>
          <w:szCs w:val="22"/>
          <w:rtl/>
          <w:lang w:eastAsia="he-IL"/>
        </w:rPr>
        <w:t>במחוז המרכז</w:t>
      </w:r>
      <w:r w:rsidRPr="00582A43" w:rsidR="00F769B2">
        <w:rPr>
          <w:rFonts w:cs="FrankRuehl" w:hint="cs"/>
          <w:sz w:val="18"/>
          <w:szCs w:val="22"/>
          <w:rtl/>
          <w:lang w:eastAsia="he-IL"/>
        </w:rPr>
        <w:t xml:space="preserve"> -</w:t>
      </w:r>
      <w:r w:rsidRPr="00582A43">
        <w:rPr>
          <w:rFonts w:cs="FrankRuehl" w:hint="cs"/>
          <w:sz w:val="18"/>
          <w:szCs w:val="22"/>
          <w:rtl/>
          <w:lang w:eastAsia="he-IL"/>
        </w:rPr>
        <w:t xml:space="preserve"> 42.4% ובמחוז</w:t>
      </w:r>
      <w:r w:rsidRPr="00F41E78">
        <w:rPr>
          <w:rFonts w:cs="FrankRuehl" w:hint="cs"/>
          <w:sz w:val="18"/>
          <w:szCs w:val="22"/>
          <w:rtl/>
          <w:lang w:eastAsia="he-IL"/>
        </w:rPr>
        <w:t xml:space="preserve"> תל אביב - 57.6%.</w:t>
      </w:r>
    </w:p>
    <w:p w:rsidR="00D22B16" w:rsidRPr="00F41E78" w:rsidP="00D22B16">
      <w:pPr>
        <w:pStyle w:val="RESHET"/>
        <w:keepLines/>
        <w:rPr>
          <w:rtl/>
        </w:rPr>
      </w:pPr>
      <w:r w:rsidRPr="00F41E78">
        <w:rPr>
          <w:rFonts w:hint="cs"/>
          <w:rtl/>
        </w:rPr>
        <w:t>יוצא אפוא שמתוך מלאי תכנוני מאושר לשיווק של 157,400 יח"ד עמד מלאי התכניות הזמינות לשיווק (ונטולות חסמים) על 81,231 יח"ד בלבד (כ-52%).</w:t>
      </w:r>
    </w:p>
    <w:p w:rsidR="00E97EDA" w:rsidRPr="00F41E78" w:rsidP="00BB0589">
      <w:pPr>
        <w:spacing w:before="180" w:after="240" w:line="230" w:lineRule="exact"/>
        <w:jc w:val="both"/>
        <w:rPr>
          <w:rFonts w:cs="FrankRuehl"/>
          <w:sz w:val="18"/>
          <w:szCs w:val="22"/>
          <w:rtl/>
          <w:lang w:eastAsia="he-IL"/>
        </w:rPr>
      </w:pPr>
      <w:r w:rsidRPr="00F41E78">
        <w:rPr>
          <w:rFonts w:cs="FrankRuehl" w:hint="eastAsia"/>
          <w:sz w:val="18"/>
          <w:szCs w:val="22"/>
          <w:rtl/>
          <w:lang w:eastAsia="he-IL"/>
        </w:rPr>
        <w:t>מעיון</w:t>
      </w:r>
      <w:r w:rsidRPr="00F41E78">
        <w:rPr>
          <w:rFonts w:cs="FrankRuehl"/>
          <w:sz w:val="18"/>
          <w:szCs w:val="22"/>
          <w:rtl/>
          <w:lang w:eastAsia="he-IL"/>
        </w:rPr>
        <w:t xml:space="preserve"> </w:t>
      </w:r>
      <w:r w:rsidRPr="00F41E78">
        <w:rPr>
          <w:rFonts w:cs="FrankRuehl" w:hint="eastAsia"/>
          <w:sz w:val="18"/>
          <w:szCs w:val="22"/>
          <w:rtl/>
          <w:lang w:eastAsia="he-IL"/>
        </w:rPr>
        <w:t>בתכניות</w:t>
      </w:r>
      <w:r w:rsidRPr="00F41E78">
        <w:rPr>
          <w:rFonts w:cs="FrankRuehl"/>
          <w:sz w:val="18"/>
          <w:szCs w:val="22"/>
          <w:rtl/>
          <w:lang w:eastAsia="he-IL"/>
        </w:rPr>
        <w:t xml:space="preserve"> </w:t>
      </w:r>
      <w:r w:rsidRPr="00F41E78">
        <w:rPr>
          <w:rFonts w:cs="FrankRuehl" w:hint="eastAsia"/>
          <w:sz w:val="18"/>
          <w:szCs w:val="22"/>
          <w:rtl/>
          <w:lang w:eastAsia="he-IL"/>
        </w:rPr>
        <w:t>העבודה</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רמ</w:t>
      </w:r>
      <w:r w:rsidRPr="00F41E78">
        <w:rPr>
          <w:rFonts w:cs="FrankRuehl"/>
          <w:sz w:val="18"/>
          <w:szCs w:val="22"/>
          <w:rtl/>
          <w:lang w:eastAsia="he-IL"/>
        </w:rPr>
        <w:t xml:space="preserve">"י </w:t>
      </w:r>
      <w:r w:rsidRPr="00F41E78">
        <w:rPr>
          <w:rFonts w:cs="FrankRuehl" w:hint="eastAsia"/>
          <w:sz w:val="18"/>
          <w:szCs w:val="22"/>
          <w:rtl/>
          <w:lang w:eastAsia="he-IL"/>
        </w:rPr>
        <w:t>לשיווק</w:t>
      </w:r>
      <w:r w:rsidRPr="00F41E78">
        <w:rPr>
          <w:rFonts w:cs="FrankRuehl"/>
          <w:sz w:val="18"/>
          <w:szCs w:val="22"/>
          <w:rtl/>
          <w:lang w:eastAsia="he-IL"/>
        </w:rPr>
        <w:t xml:space="preserve"> </w:t>
      </w:r>
      <w:r w:rsidRPr="00F41E78">
        <w:rPr>
          <w:rFonts w:cs="FrankRuehl" w:hint="eastAsia"/>
          <w:sz w:val="18"/>
          <w:szCs w:val="22"/>
          <w:rtl/>
          <w:lang w:eastAsia="he-IL"/>
        </w:rPr>
        <w:t>לשנים</w:t>
      </w:r>
      <w:r w:rsidRPr="00F41E78">
        <w:rPr>
          <w:rFonts w:cs="FrankRuehl"/>
          <w:sz w:val="18"/>
          <w:szCs w:val="22"/>
          <w:rtl/>
          <w:lang w:eastAsia="he-IL"/>
        </w:rPr>
        <w:t xml:space="preserve"> 2014-2007 עולה כי </w:t>
      </w:r>
      <w:r w:rsidRPr="00F41E78">
        <w:rPr>
          <w:rFonts w:cs="FrankRuehl" w:hint="eastAsia"/>
          <w:sz w:val="18"/>
          <w:szCs w:val="22"/>
          <w:rtl/>
          <w:lang w:eastAsia="he-IL"/>
        </w:rPr>
        <w:t>מופיע</w:t>
      </w:r>
      <w:r w:rsidRPr="00F41E78">
        <w:rPr>
          <w:rFonts w:cs="FrankRuehl"/>
          <w:sz w:val="18"/>
          <w:szCs w:val="22"/>
          <w:rtl/>
          <w:lang w:eastAsia="he-IL"/>
        </w:rPr>
        <w:t xml:space="preserve"> בהן מספר לא מבוטל של יח"ד שלא היו זמינות לשיווק במועד אישור תכנית העבודה </w:t>
      </w:r>
      <w:r w:rsidRPr="00F41E78">
        <w:rPr>
          <w:rFonts w:cs="FrankRuehl" w:hint="eastAsia"/>
          <w:sz w:val="18"/>
          <w:szCs w:val="22"/>
          <w:rtl/>
          <w:lang w:eastAsia="he-IL"/>
        </w:rPr>
        <w:t>אם</w:t>
      </w:r>
      <w:r w:rsidRPr="00F41E78">
        <w:rPr>
          <w:rFonts w:cs="FrankRuehl"/>
          <w:sz w:val="18"/>
          <w:szCs w:val="22"/>
          <w:rtl/>
          <w:lang w:eastAsia="he-IL"/>
        </w:rPr>
        <w:t xml:space="preserve"> </w:t>
      </w:r>
      <w:r w:rsidRPr="00F41E78">
        <w:rPr>
          <w:rFonts w:cs="FrankRuehl" w:hint="eastAsia"/>
          <w:sz w:val="18"/>
          <w:szCs w:val="22"/>
          <w:rtl/>
          <w:lang w:eastAsia="he-IL"/>
        </w:rPr>
        <w:t>בשל</w:t>
      </w:r>
      <w:r w:rsidRPr="00F41E78">
        <w:rPr>
          <w:rFonts w:cs="FrankRuehl"/>
          <w:sz w:val="18"/>
          <w:szCs w:val="22"/>
          <w:rtl/>
          <w:lang w:eastAsia="he-IL"/>
        </w:rPr>
        <w:t xml:space="preserve"> היעדר תכניות </w:t>
      </w:r>
      <w:r w:rsidRPr="00F41E78">
        <w:rPr>
          <w:rFonts w:cs="FrankRuehl" w:hint="eastAsia"/>
          <w:sz w:val="18"/>
          <w:szCs w:val="22"/>
          <w:rtl/>
          <w:lang w:eastAsia="he-IL"/>
        </w:rPr>
        <w:t>מפורטות</w:t>
      </w:r>
      <w:r w:rsidRPr="00F41E78">
        <w:rPr>
          <w:rFonts w:cs="FrankRuehl"/>
          <w:sz w:val="18"/>
          <w:szCs w:val="22"/>
          <w:rtl/>
          <w:lang w:eastAsia="he-IL"/>
        </w:rPr>
        <w:t xml:space="preserve"> תקפות </w:t>
      </w:r>
      <w:r w:rsidRPr="00F41E78">
        <w:rPr>
          <w:rFonts w:cs="FrankRuehl" w:hint="eastAsia"/>
          <w:sz w:val="18"/>
          <w:szCs w:val="22"/>
          <w:rtl/>
          <w:lang w:eastAsia="he-IL"/>
        </w:rPr>
        <w:t>אם</w:t>
      </w:r>
      <w:r w:rsidRPr="00F41E78">
        <w:rPr>
          <w:rFonts w:cs="FrankRuehl"/>
          <w:sz w:val="18"/>
          <w:szCs w:val="22"/>
          <w:rtl/>
          <w:lang w:eastAsia="he-IL"/>
        </w:rPr>
        <w:t xml:space="preserve"> </w:t>
      </w:r>
      <w:r w:rsidRPr="00F41E78">
        <w:rPr>
          <w:rFonts w:cs="FrankRuehl" w:hint="eastAsia"/>
          <w:sz w:val="18"/>
          <w:szCs w:val="22"/>
          <w:rtl/>
          <w:lang w:eastAsia="he-IL"/>
        </w:rPr>
        <w:t>בגלל</w:t>
      </w:r>
      <w:r w:rsidRPr="00F41E78">
        <w:rPr>
          <w:rFonts w:cs="FrankRuehl"/>
          <w:sz w:val="18"/>
          <w:szCs w:val="22"/>
          <w:rtl/>
          <w:lang w:eastAsia="he-IL"/>
        </w:rPr>
        <w:t xml:space="preserve"> חסמי שיווק שונים</w:t>
      </w:r>
      <w:r>
        <w:rPr>
          <w:rFonts w:cs="FrankRuehl"/>
          <w:sz w:val="18"/>
          <w:szCs w:val="22"/>
          <w:vertAlign w:val="superscript"/>
          <w:rtl/>
          <w:lang w:eastAsia="he-IL"/>
        </w:rPr>
        <w:footnoteReference w:id="252"/>
      </w:r>
      <w:r w:rsidRPr="00F41E78">
        <w:rPr>
          <w:rFonts w:cs="FrankRuehl"/>
          <w:sz w:val="18"/>
          <w:szCs w:val="22"/>
          <w:rtl/>
          <w:lang w:eastAsia="he-IL"/>
        </w:rPr>
        <w:t>.</w:t>
      </w:r>
      <w:r w:rsidRPr="00F41E78">
        <w:rPr>
          <w:rFonts w:cs="FrankRuehl" w:hint="cs"/>
          <w:sz w:val="18"/>
          <w:szCs w:val="22"/>
          <w:rtl/>
          <w:lang w:eastAsia="he-IL"/>
        </w:rPr>
        <w:t xml:space="preserve"> </w:t>
      </w:r>
    </w:p>
    <w:p w:rsidR="00D22B16" w:rsidRPr="00F41E78" w:rsidP="00D22B16">
      <w:pPr>
        <w:pStyle w:val="RESHET"/>
        <w:keepLines/>
        <w:rPr>
          <w:rtl/>
        </w:rPr>
      </w:pPr>
      <w:r w:rsidRPr="00F41E78">
        <w:rPr>
          <w:rFonts w:hint="cs"/>
          <w:rtl/>
        </w:rPr>
        <w:t xml:space="preserve">משרד מבקר המדינה מעיר כי היעדים בתכניות העבודה של רמ"י היו נמוכים מלכתחילה מיעדי הממשלה. אם ינוכו יחידות הדיור שלהן חסמי שיווק, הפער אף יגדל. </w:t>
      </w:r>
    </w:p>
    <w:p w:rsidR="00D22B16" w:rsidRPr="00F41E78" w:rsidP="00D22B16">
      <w:pPr>
        <w:pStyle w:val="RESHET"/>
        <w:keepLines/>
        <w:rPr>
          <w:rtl/>
        </w:rPr>
      </w:pPr>
      <w:r w:rsidRPr="00F41E78">
        <w:rPr>
          <w:rFonts w:hint="cs"/>
          <w:rtl/>
        </w:rPr>
        <w:t>יתרה מזאת, הצגה של מלאי כה גדול של יח"ד שאינן זמינות לשיווק בתכנית העבודה עלולה להטעות את מקבלי ההחלטות משום שהסיכוי להצליח בשיווקן מוטל בספק.</w:t>
      </w:r>
    </w:p>
    <w:p w:rsidR="00D22B16" w:rsidRPr="00F41E78" w:rsidP="00D22B16">
      <w:pPr>
        <w:pStyle w:val="RESHET"/>
        <w:keepLines/>
        <w:rPr>
          <w:rtl/>
        </w:rPr>
      </w:pPr>
      <w:r w:rsidRPr="00F41E78">
        <w:rPr>
          <w:rFonts w:hint="cs"/>
          <w:rtl/>
        </w:rPr>
        <w:t>בהינתן כי אין רמ"י מחזיקה בתכניות זמינות לשיווק מספיקות, על פי יעדי הממשלה ואף במספרים נמוכים מיעדי תכניות העבודה שלה עצמה, מן הראוי היה שרמ"י תציג בפני מועצת מקרקעי ישראל והממשלה תמונת מצב אמתית כדי שיהיה אפשר להיערך למציאת פתרונות להגברת היצע הקרקעות למגורים.</w:t>
      </w:r>
    </w:p>
    <w:p w:rsidR="00E97EDA" w:rsidRPr="00F41E78" w:rsidP="00BB0589">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כדי לבחון את זמינות המלאי התכנוני המאושר לשיווק בחן משרד מבקר המדינה את תכנית העבודה לשיווק של רמ"י לשנים 2014-2013. נמצא כי גם בתכנית עבודה זו קיימת כמות גדולה של יח"ד שבפועל אינן זמינות לשיווק.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נמצא כי במסגרת תכנית עבודה זו עיקר חסמי השיווק הוא מחלוקות עם הרשויות המקומיות (62 תכניות), חסמים הקשורים לנושאי ביוב וניקוז (54 תכניות), פינוי קרקע (41 תכניות), חסמי תחבורה למיניהם (34 תכניות), חסמי פדיון קרקע (34 תכניות), חסמי עתיקות (19 תכניות) וחסמי תשתיות לאומיות (15 תכניות). כפי שיובהר להלן, חלק ניכר מהחסמים עולים כבר בשלביו המוקדמים של התכנון. להלן דוגמאות:</w:t>
      </w:r>
    </w:p>
    <w:p w:rsidR="00FA6646" w:rsidRPr="00FA6646" w:rsidP="00A7557B">
      <w:pPr>
        <w:spacing w:after="120" w:line="230" w:lineRule="exact"/>
        <w:jc w:val="both"/>
        <w:rPr>
          <w:rFonts w:cs="FrankRuehl"/>
          <w:sz w:val="20"/>
          <w:szCs w:val="22"/>
          <w:rtl/>
          <w:lang w:eastAsia="he-IL"/>
        </w:rPr>
      </w:pPr>
      <w:r w:rsidRPr="00F41E78">
        <w:rPr>
          <w:rFonts w:cs="FrankRuehl"/>
          <w:bCs/>
          <w:spacing w:val="40"/>
          <w:sz w:val="18"/>
          <w:szCs w:val="22"/>
          <w:rtl/>
        </w:rPr>
        <w:t>רמת גן - פרויקט המשטרה (</w:t>
      </w:r>
      <w:r w:rsidRPr="00F41E78">
        <w:rPr>
          <w:rFonts w:cs="FrankRuehl" w:hint="eastAsia"/>
          <w:bCs/>
          <w:spacing w:val="40"/>
          <w:sz w:val="18"/>
          <w:szCs w:val="22"/>
          <w:rtl/>
        </w:rPr>
        <w:t>תכנית</w:t>
      </w:r>
      <w:r w:rsidRPr="00F41E78">
        <w:rPr>
          <w:rFonts w:cs="FrankRuehl"/>
          <w:bCs/>
          <w:spacing w:val="40"/>
          <w:sz w:val="18"/>
          <w:szCs w:val="22"/>
          <w:rtl/>
        </w:rPr>
        <w:t xml:space="preserve"> </w:t>
      </w:r>
      <w:r w:rsidRPr="00F41E78">
        <w:rPr>
          <w:rFonts w:cs="FrankRuehl" w:hint="eastAsia"/>
          <w:bCs/>
          <w:spacing w:val="40"/>
          <w:sz w:val="18"/>
          <w:szCs w:val="22"/>
          <w:rtl/>
        </w:rPr>
        <w:t>מפורטת</w:t>
      </w:r>
      <w:r w:rsidRPr="00F41E78">
        <w:rPr>
          <w:rFonts w:cs="FrankRuehl"/>
          <w:bCs/>
          <w:spacing w:val="40"/>
          <w:sz w:val="18"/>
          <w:szCs w:val="22"/>
          <w:rtl/>
        </w:rPr>
        <w:t xml:space="preserve"> רג/1113):</w:t>
      </w:r>
      <w:r w:rsidRPr="00F41E78">
        <w:rPr>
          <w:rFonts w:cs="FrankRuehl"/>
          <w:sz w:val="18"/>
          <w:szCs w:val="22"/>
          <w:rtl/>
          <w:lang w:eastAsia="he-IL"/>
        </w:rPr>
        <w:t xml:space="preserve"> </w:t>
      </w:r>
      <w:r w:rsidRPr="00F41E78">
        <w:rPr>
          <w:rFonts w:cs="FrankRuehl" w:hint="cs"/>
          <w:sz w:val="18"/>
          <w:szCs w:val="22"/>
          <w:rtl/>
          <w:lang w:eastAsia="he-IL"/>
        </w:rPr>
        <w:t>התכנית הזאת נועדה לבניית 200 יח"ד על חלק ממתחם תחנת משטרת רמת גן. התכנית נדונה לראשונה כבר במרץ 1997, אז החליטו רמ"י, משטרת ישראל ועיריית רמת גן כי המשטרה תפנה חלק משטח התחנה.</w:t>
      </w:r>
      <w:r w:rsidRPr="00CB33CD">
        <w:rPr>
          <w:rFonts w:hint="cs"/>
          <w:szCs w:val="20"/>
          <w:rtl/>
          <w:lang w:eastAsia="he-IL"/>
        </w:rPr>
        <w:t xml:space="preserve"> </w:t>
      </w:r>
      <w:r w:rsidRPr="00FA6646">
        <w:rPr>
          <w:rFonts w:cs="FrankRuehl" w:hint="cs"/>
          <w:sz w:val="20"/>
          <w:szCs w:val="22"/>
          <w:rtl/>
          <w:lang w:eastAsia="he-IL"/>
        </w:rPr>
        <w:t xml:space="preserve">נכון ליולי 2013 פונה חלק מהמתחם אך לא ניתן להתחיל בעבודות כי לטענת המשטרה </w:t>
      </w:r>
      <w:r w:rsidRPr="00FA6646">
        <w:rPr>
          <w:rFonts w:cs="FrankRuehl" w:hint="eastAsia"/>
          <w:sz w:val="20"/>
          <w:szCs w:val="22"/>
          <w:rtl/>
          <w:lang w:eastAsia="he-IL"/>
        </w:rPr>
        <w:t>הן</w:t>
      </w:r>
      <w:r w:rsidRPr="00FA6646">
        <w:rPr>
          <w:rFonts w:cs="FrankRuehl"/>
          <w:sz w:val="20"/>
          <w:szCs w:val="22"/>
          <w:rtl/>
          <w:lang w:eastAsia="he-IL"/>
        </w:rPr>
        <w:t xml:space="preserve"> </w:t>
      </w:r>
      <w:r w:rsidRPr="00FA6646">
        <w:rPr>
          <w:rFonts w:cs="FrankRuehl" w:hint="eastAsia"/>
          <w:sz w:val="20"/>
          <w:szCs w:val="22"/>
          <w:rtl/>
          <w:lang w:eastAsia="he-IL"/>
        </w:rPr>
        <w:t>יפריעו</w:t>
      </w:r>
      <w:r w:rsidRPr="00FA6646">
        <w:rPr>
          <w:rFonts w:cs="FrankRuehl" w:hint="cs"/>
          <w:sz w:val="20"/>
          <w:szCs w:val="22"/>
          <w:rtl/>
          <w:lang w:eastAsia="he-IL"/>
        </w:rPr>
        <w:t xml:space="preserve"> לתפקודו השוטף של מרחב דן; לכן, בזמן ביצוע העבודות יש להעביר את תחנת המשטרה בכללותה למבנה קבע או זמני אחר.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בתשובתו מדצמבר 2013 ציין ראש עיריית רמת גן כי משטרת ישראל עדיין מעכבת את הפרויקט משום שטרם איתרה שטח חלופי להעתקת התחנה אליו.</w:t>
      </w:r>
    </w:p>
    <w:p w:rsidR="00E97EDA" w:rsidRPr="00CB33CD" w:rsidP="00A7557B">
      <w:pPr>
        <w:spacing w:after="120" w:line="230" w:lineRule="exact"/>
        <w:jc w:val="both"/>
        <w:rPr>
          <w:szCs w:val="20"/>
          <w:rtl/>
          <w:lang w:eastAsia="he-IL"/>
        </w:rPr>
      </w:pPr>
      <w:r w:rsidRPr="00F41E78">
        <w:rPr>
          <w:rFonts w:cs="FrankRuehl"/>
          <w:bCs/>
          <w:spacing w:val="40"/>
          <w:sz w:val="18"/>
          <w:szCs w:val="22"/>
          <w:rtl/>
        </w:rPr>
        <w:t>כפר יונה</w:t>
      </w:r>
      <w:r w:rsidRPr="00F41E78">
        <w:rPr>
          <w:rFonts w:cs="FrankRuehl" w:hint="cs"/>
          <w:bCs/>
          <w:spacing w:val="40"/>
          <w:sz w:val="18"/>
          <w:szCs w:val="22"/>
          <w:rtl/>
        </w:rPr>
        <w:t xml:space="preserve"> </w:t>
      </w:r>
      <w:r w:rsidRPr="00F41E78">
        <w:rPr>
          <w:rFonts w:cs="FrankRuehl"/>
          <w:bCs/>
          <w:spacing w:val="40"/>
          <w:sz w:val="18"/>
          <w:szCs w:val="22"/>
          <w:rtl/>
        </w:rPr>
        <w:t>-מקב"ת ינוב (הצ/135/1/2 או צש/70/2/0):</w:t>
      </w:r>
      <w:r w:rsidRPr="00F41E78">
        <w:rPr>
          <w:rFonts w:cs="FrankRuehl"/>
          <w:sz w:val="18"/>
          <w:szCs w:val="22"/>
          <w:rtl/>
        </w:rPr>
        <w:t xml:space="preserve"> </w:t>
      </w:r>
      <w:r w:rsidRPr="00F41E78">
        <w:rPr>
          <w:rFonts w:cs="FrankRuehl" w:hint="cs"/>
          <w:sz w:val="18"/>
          <w:szCs w:val="22"/>
          <w:rtl/>
          <w:lang w:eastAsia="he-IL"/>
        </w:rPr>
        <w:t xml:space="preserve">במקורה פורסמה תכנית זו במכרז של רמ"י למתן רשות לתכנון ולאופציה לרכישת זכויות במקרקעין, כבר בינואר 1996. לאחר קביעת זוכה במכרז החל התכנון. במהלך השנים שחלפו העלתה המועצה המקומית טענות בדבר חוסר התאמה בין התכנית לצרכים המקומיים. אף שחלפו יותר מ-18 שנים ואף על פי שהתכנית מופיעה בתכנית העבודה לשיווק לשנים 2014-2013 היא טרם שווקה, בעיקר בשל חסמי תשתיות התחבורה. </w:t>
      </w:r>
    </w:p>
    <w:p w:rsidR="00E97EDA" w:rsidRPr="00F41E78" w:rsidP="00A74551">
      <w:pPr>
        <w:spacing w:after="120" w:line="230" w:lineRule="exact"/>
        <w:jc w:val="both"/>
        <w:rPr>
          <w:rFonts w:cs="FrankRuehl"/>
          <w:sz w:val="18"/>
          <w:szCs w:val="22"/>
          <w:rtl/>
          <w:lang w:eastAsia="he-IL"/>
        </w:rPr>
      </w:pPr>
      <w:r w:rsidRPr="00F41E78">
        <w:rPr>
          <w:rFonts w:cs="FrankRuehl"/>
          <w:b/>
          <w:bCs/>
          <w:spacing w:val="40"/>
          <w:sz w:val="18"/>
          <w:szCs w:val="22"/>
          <w:rtl/>
        </w:rPr>
        <w:t>תל אביב - נס לגויים (</w:t>
      </w:r>
      <w:r w:rsidRPr="00F41E78">
        <w:rPr>
          <w:rFonts w:cs="FrankRuehl" w:hint="eastAsia"/>
          <w:b/>
          <w:bCs/>
          <w:spacing w:val="40"/>
          <w:sz w:val="18"/>
          <w:szCs w:val="22"/>
          <w:rtl/>
        </w:rPr>
        <w:t>תכנית</w:t>
      </w:r>
      <w:r w:rsidRPr="00F41E78">
        <w:rPr>
          <w:rFonts w:cs="FrankRuehl"/>
          <w:b/>
          <w:bCs/>
          <w:spacing w:val="40"/>
          <w:sz w:val="18"/>
          <w:szCs w:val="22"/>
          <w:rtl/>
        </w:rPr>
        <w:t xml:space="preserve"> </w:t>
      </w:r>
      <w:r w:rsidRPr="00F41E78">
        <w:rPr>
          <w:rFonts w:cs="FrankRuehl" w:hint="eastAsia"/>
          <w:b/>
          <w:bCs/>
          <w:spacing w:val="40"/>
          <w:sz w:val="18"/>
          <w:szCs w:val="22"/>
          <w:rtl/>
        </w:rPr>
        <w:t>מפורטת</w:t>
      </w:r>
      <w:r w:rsidRPr="00F41E78">
        <w:rPr>
          <w:rFonts w:cs="FrankRuehl"/>
          <w:b/>
          <w:bCs/>
          <w:spacing w:val="40"/>
          <w:sz w:val="18"/>
          <w:szCs w:val="22"/>
          <w:rtl/>
        </w:rPr>
        <w:t xml:space="preserve"> תא/2523/במ/14)</w:t>
      </w:r>
      <w:r w:rsidRPr="00F41E78">
        <w:rPr>
          <w:rFonts w:cs="FrankRuehl"/>
          <w:b/>
          <w:bCs/>
          <w:sz w:val="18"/>
          <w:szCs w:val="22"/>
          <w:rtl/>
        </w:rPr>
        <w:t>:</w:t>
      </w:r>
      <w:r w:rsidRPr="00F41E78">
        <w:rPr>
          <w:rFonts w:cs="FrankRuehl"/>
          <w:sz w:val="18"/>
          <w:szCs w:val="22"/>
          <w:rtl/>
        </w:rPr>
        <w:t xml:space="preserve"> </w:t>
      </w:r>
      <w:r w:rsidRPr="00F41E78">
        <w:rPr>
          <w:rFonts w:cs="FrankRuehl" w:hint="cs"/>
          <w:sz w:val="18"/>
          <w:szCs w:val="22"/>
          <w:rtl/>
          <w:lang w:eastAsia="he-IL"/>
        </w:rPr>
        <w:t xml:space="preserve">בעקבות המלצת שר השיכון דנה הוועדה לפטור ממכרז של רמ"י, במאי 1991, בעניין הקצאת הקרקע לעמותה חרדית במטרה להקים קריה חרדית במתחם. התב"ע אושרה כבר בשנת 1993. ראש העיר התנגד להקצאה זו בשל אופי האוכלוסייה החרדית החורג ממאפייני האוכלוסייה באזור. לאחר שהתכנית לא מומשה, נכון לאוגוסט 2013 רמ"י ועיריית תל אביב-יפו מקדמות תכנית חדשה שתחול על שטח של כ-200 דונם הכוללת בנייתן של 1,700 יח"ד. התכנית נמצאת בשלבי הפקדה והיא מופיעה בתכנית העבודה לשיווק של רמ"י לשנים 2014-2013. </w:t>
      </w:r>
    </w:p>
    <w:p w:rsidR="00E97EDA" w:rsidRPr="00F41E78" w:rsidP="00BB0589">
      <w:pPr>
        <w:spacing w:after="240" w:line="230" w:lineRule="exact"/>
        <w:jc w:val="both"/>
        <w:rPr>
          <w:rFonts w:cs="FrankRuehl"/>
          <w:sz w:val="18"/>
          <w:szCs w:val="22"/>
          <w:rtl/>
          <w:lang w:eastAsia="he-IL"/>
        </w:rPr>
      </w:pPr>
      <w:r w:rsidRPr="00F41E78">
        <w:rPr>
          <w:rFonts w:cs="FrankRuehl"/>
          <w:bCs/>
          <w:spacing w:val="40"/>
          <w:sz w:val="18"/>
          <w:szCs w:val="22"/>
          <w:rtl/>
        </w:rPr>
        <w:t>חולון - מגדלי נמיר (</w:t>
      </w:r>
      <w:r w:rsidRPr="00F41E78">
        <w:rPr>
          <w:rFonts w:cs="FrankRuehl" w:hint="eastAsia"/>
          <w:bCs/>
          <w:spacing w:val="40"/>
          <w:sz w:val="18"/>
          <w:szCs w:val="22"/>
          <w:rtl/>
        </w:rPr>
        <w:t>תכנית</w:t>
      </w:r>
      <w:r w:rsidRPr="00F41E78">
        <w:rPr>
          <w:rFonts w:cs="FrankRuehl"/>
          <w:bCs/>
          <w:spacing w:val="40"/>
          <w:sz w:val="18"/>
          <w:szCs w:val="22"/>
          <w:rtl/>
        </w:rPr>
        <w:t xml:space="preserve"> מפורטת ח/444):</w:t>
      </w:r>
      <w:r w:rsidRPr="00F41E78">
        <w:rPr>
          <w:rFonts w:cs="FrankRuehl"/>
          <w:sz w:val="18"/>
          <w:szCs w:val="22"/>
          <w:rtl/>
        </w:rPr>
        <w:t xml:space="preserve"> </w:t>
      </w:r>
      <w:r w:rsidRPr="00F41E78">
        <w:rPr>
          <w:rFonts w:cs="FrankRuehl" w:hint="cs"/>
          <w:sz w:val="18"/>
          <w:szCs w:val="22"/>
          <w:rtl/>
          <w:lang w:eastAsia="he-IL"/>
        </w:rPr>
        <w:t>תכנית זו נועדה לבניית 224 יח"ד בשני מגדלים במקום שעמד "המרכז הטכנולוגי נמיר" שהחזקתו והפעלתו מצויות בידי הדיור הממשלתי. ביולי 1999 הוגשה לרמ"י הערכת שמאות שקבעה כי הפרויקט יהיה כדאי כל עוד ייבנו לפחות 240 יח"ד, ככל הנראה בשני מגדלים בני 30 קומות כל אחד. אף שחלפו כ-14 שנה ממועד פרסום הערכת הכדאיות ואף על פי שהתכנית כלולה בתכנית העבודה לשיווק של רמ"י לשנים 2014-2013, המתחם טרם שווק.</w:t>
      </w:r>
    </w:p>
    <w:p w:rsidR="00D22B16" w:rsidRPr="00F41E78" w:rsidP="00D22B16">
      <w:pPr>
        <w:pStyle w:val="RESHET"/>
        <w:keepLines/>
        <w:rPr>
          <w:rtl/>
        </w:rPr>
      </w:pPr>
      <w:r w:rsidRPr="00F41E78">
        <w:rPr>
          <w:rFonts w:hint="cs"/>
          <w:rtl/>
        </w:rPr>
        <w:t>יוצא אפוא כי אופן הצגת תכנית השיווק של רמ"י בפני מקבלי ההחלטות - תכנית לשיווק שכללה מספר לא מבוטל של יח"ד שידוע על חסמים לשיווקן - לא סיפק תמונת מצב מהימנה של שוק הנדל"ן.</w:t>
      </w:r>
    </w:p>
    <w:p w:rsidR="00D22B16" w:rsidRPr="00F41E78" w:rsidP="00D22B16">
      <w:pPr>
        <w:pStyle w:val="RESHET"/>
        <w:keepLines/>
        <w:rPr>
          <w:rtl/>
        </w:rPr>
      </w:pPr>
      <w:r w:rsidRPr="00F41E78">
        <w:rPr>
          <w:rFonts w:hint="cs"/>
          <w:rtl/>
        </w:rPr>
        <w:t xml:space="preserve">לדעת משרד מבקר המדינה, אין זה סביר כי יותר מעשור לאחר מועד תכנונה או אישורה של תכנית מפורטת, יחידות הדיור הכלולות בה עדיין אינן זמינות לשיווק. </w:t>
      </w:r>
    </w:p>
    <w:p w:rsidR="00E97EDA" w:rsidRPr="00F41E78" w:rsidP="00BB0589">
      <w:pPr>
        <w:spacing w:before="180" w:after="120" w:line="230" w:lineRule="exact"/>
        <w:jc w:val="both"/>
        <w:rPr>
          <w:rFonts w:cs="FrankRuehl"/>
          <w:sz w:val="18"/>
          <w:szCs w:val="22"/>
          <w:rtl/>
          <w:lang w:eastAsia="he-IL"/>
        </w:rPr>
      </w:pPr>
      <w:r w:rsidRPr="00F41E78">
        <w:rPr>
          <w:rFonts w:cs="FrankRuehl" w:hint="cs"/>
          <w:sz w:val="18"/>
          <w:szCs w:val="22"/>
          <w:rtl/>
          <w:lang w:eastAsia="he-IL"/>
        </w:rPr>
        <w:t>בתשובתה של רמ"י ציין מנהל רמ"י כי כדי לפתור את המחלוקות עם הרשויות המקומיות ולשחרר חסמים המעכבים פרויקטים גדולים קיבלה הממשלה החלטה, בספטמבר 2013, שמועצת רמ"י אימצה בנובמבר 2013, הנוגעת לעקרונות החתימה על הסכמי גג עם רשויות מקומיות לטובת הסרת חסמי שיווק ופיתוח. מול כל רשות רלוונטית ייחתם הסכם גג שיאגד בתוכו גם את משרדי הממשלה הרלוונטיים שיסייעו בפתרון המחלוקות ובהסרת החסמים כדי לאפשר בנייתן של יח"ד מהר ככל האפשר.</w:t>
      </w:r>
    </w:p>
    <w:p w:rsidR="00E97EDA" w:rsidRPr="00F41E78" w:rsidP="00BB0589">
      <w:pPr>
        <w:spacing w:after="240" w:line="230" w:lineRule="exact"/>
        <w:jc w:val="both"/>
        <w:rPr>
          <w:rFonts w:cs="FrankRuehl"/>
          <w:sz w:val="18"/>
          <w:szCs w:val="22"/>
          <w:rtl/>
          <w:lang w:eastAsia="he-IL"/>
        </w:rPr>
      </w:pPr>
      <w:r w:rsidRPr="00F41E78">
        <w:rPr>
          <w:rFonts w:cs="FrankRuehl" w:hint="cs"/>
          <w:sz w:val="18"/>
          <w:szCs w:val="22"/>
          <w:rtl/>
          <w:lang w:eastAsia="he-IL"/>
        </w:rPr>
        <w:t>מנהל רמ"י ציין למשל את ההסכם עם עיריית קריית גת שיאפשר את שיווקן של כ-2,000 יח"ד בזמן הקרוב. עוד ציין כי צפויים להיחתם בקרוב הסכמים נוספים עם כמה רשויות מקומיות (ראש העין, מודיעין וקריית ביאליק).</w:t>
      </w:r>
    </w:p>
    <w:p w:rsidR="00D22B16" w:rsidRPr="00F41E78" w:rsidP="00D22B16">
      <w:pPr>
        <w:pStyle w:val="RESHET"/>
        <w:keepLines/>
        <w:rPr>
          <w:rtl/>
        </w:rPr>
      </w:pPr>
      <w:r w:rsidRPr="00F41E78">
        <w:rPr>
          <w:rFonts w:hint="cs"/>
          <w:rtl/>
        </w:rPr>
        <w:t>משרד מבקר המדינה מציין כי ראוי יהיה לבחון בעתיד את תרומתם של הסכמי הגג לפתרון המחלוקות עם הרשויות המקומיות ולקיצור משך הטיפול בחסמים למיניהם.</w:t>
      </w:r>
    </w:p>
    <w:p w:rsidR="00D22B16" w:rsidRPr="00F41E78" w:rsidP="00D22B16">
      <w:pPr>
        <w:pStyle w:val="RESHET"/>
        <w:keepLines/>
        <w:rPr>
          <w:rtl/>
        </w:rPr>
      </w:pPr>
      <w:r w:rsidRPr="00F41E78">
        <w:rPr>
          <w:rFonts w:hint="cs"/>
          <w:rtl/>
        </w:rPr>
        <w:t xml:space="preserve">כאמור, חלק מהפרויקטים המוזכרים לעיל מופיעים בתכניות העבודה לשיווק של רמ"י ושל משרד הבינוי לשנים 2014-2013, אף שהחסמים הבולטים בהן טרם טופלו למרות הזמן הרב שחלף. </w:t>
      </w:r>
    </w:p>
    <w:p w:rsidR="00D22B16" w:rsidRPr="00F41E78" w:rsidP="00D22B16">
      <w:pPr>
        <w:pStyle w:val="RESHET"/>
        <w:keepLines/>
      </w:pPr>
      <w:r w:rsidRPr="00F41E78">
        <w:rPr>
          <w:rFonts w:hint="cs"/>
          <w:rtl/>
        </w:rPr>
        <w:t xml:space="preserve">מהביקורת עולה כי רוב החסמים עלו כבר בהליכי התכנון המוקדמים </w:t>
      </w:r>
      <w:r w:rsidRPr="00F41E78">
        <w:rPr>
          <w:rFonts w:hint="eastAsia"/>
          <w:rtl/>
        </w:rPr>
        <w:t>ו</w:t>
      </w:r>
      <w:r w:rsidRPr="00F41E78">
        <w:rPr>
          <w:rFonts w:hint="cs"/>
          <w:rtl/>
        </w:rPr>
        <w:t xml:space="preserve">נמשכו שנים רבות. </w:t>
      </w:r>
      <w:r w:rsidRPr="00582A43">
        <w:rPr>
          <w:rFonts w:hint="cs"/>
          <w:rtl/>
        </w:rPr>
        <w:t xml:space="preserve">הועלה </w:t>
      </w:r>
      <w:r w:rsidRPr="00582A43" w:rsidR="00AB054F">
        <w:rPr>
          <w:rFonts w:hint="cs"/>
          <w:rtl/>
        </w:rPr>
        <w:t xml:space="preserve">כי </w:t>
      </w:r>
      <w:r w:rsidRPr="00582A43">
        <w:rPr>
          <w:rFonts w:hint="cs"/>
          <w:rtl/>
        </w:rPr>
        <w:t>אם מדובר</w:t>
      </w:r>
      <w:r w:rsidRPr="00F41E78">
        <w:rPr>
          <w:rFonts w:hint="cs"/>
          <w:rtl/>
        </w:rPr>
        <w:t xml:space="preserve"> בחסמי תכנון (כמו תשתיות ותחבורה), מן הראוי לנסות ולפתור חסמים אלו כבר במהלך התכנון ולפני מתן תוקף לתכנית כדי שבסופו של דבר תאושר תכנית מפורטת נטולת חסמים וזמינה לשיווק. באופן הזה יהיה אפשר להגדיל את המלאי התכנוני של היצע הקרקעות הזמינות לשיווק ולאמוד באופן מדויק יותר את המועד הריאלי לשיווקן.</w:t>
      </w:r>
    </w:p>
    <w:p w:rsidR="00E97EDA" w:rsidRPr="00CB33CD" w:rsidP="00A7557B">
      <w:pPr>
        <w:pStyle w:val="KOT5"/>
        <w:rPr>
          <w:rtl/>
          <w:lang w:eastAsia="he-IL"/>
        </w:rPr>
      </w:pPr>
      <w:r w:rsidRPr="00CB33CD">
        <w:rPr>
          <w:rFonts w:hint="cs"/>
          <w:rtl/>
          <w:lang w:eastAsia="he-IL"/>
        </w:rPr>
        <w:t>עסקאות מקרקעין</w:t>
      </w:r>
    </w:p>
    <w:p w:rsidR="00E97EDA" w:rsidRPr="00CB33CD" w:rsidP="00A7557B">
      <w:pPr>
        <w:pStyle w:val="KOT6"/>
        <w:rPr>
          <w:rtl/>
          <w:lang w:eastAsia="he-IL"/>
        </w:rPr>
      </w:pPr>
      <w:bookmarkStart w:id="57" w:name="_Toc368500016"/>
      <w:r w:rsidRPr="00CB33CD">
        <w:rPr>
          <w:rFonts w:hint="cs"/>
          <w:rtl/>
          <w:lang w:eastAsia="he-IL"/>
        </w:rPr>
        <w:t>עסקאות שנחתמו בפועל ביחס למכרזים שפרסמה רמ"י</w:t>
      </w:r>
      <w:bookmarkEnd w:id="57"/>
    </w:p>
    <w:p w:rsidR="00E97EDA" w:rsidRPr="00F41E78" w:rsidP="00BB0589">
      <w:pPr>
        <w:spacing w:after="240" w:line="230" w:lineRule="exact"/>
        <w:jc w:val="both"/>
        <w:rPr>
          <w:rFonts w:cs="FrankRuehl"/>
          <w:sz w:val="18"/>
          <w:szCs w:val="22"/>
          <w:rtl/>
          <w:lang w:eastAsia="he-IL"/>
        </w:rPr>
      </w:pPr>
      <w:r w:rsidRPr="00F41E78">
        <w:rPr>
          <w:rFonts w:cs="FrankRuehl" w:hint="cs"/>
          <w:sz w:val="18"/>
          <w:szCs w:val="22"/>
          <w:rtl/>
          <w:lang w:eastAsia="he-IL"/>
        </w:rPr>
        <w:t xml:space="preserve">כאמור, לקבלת תמונה מהימנה על הצלחה בשיווקים יש לבחון את מספר יחידות הדיור שבגינן נחתמות בסופו של דבר עסקאות. </w:t>
      </w:r>
    </w:p>
    <w:p w:rsidR="00D22B16" w:rsidRPr="00F41E78" w:rsidP="00D22B16">
      <w:pPr>
        <w:pStyle w:val="RESHET"/>
        <w:keepLines/>
        <w:rPr>
          <w:rtl/>
        </w:rPr>
      </w:pPr>
      <w:r w:rsidRPr="00F41E78">
        <w:rPr>
          <w:rtl/>
        </w:rPr>
        <w:t xml:space="preserve">נמצא כי רמ"י </w:t>
      </w:r>
      <w:r w:rsidRPr="00F41E78">
        <w:rPr>
          <w:rFonts w:hint="cs"/>
          <w:rtl/>
        </w:rPr>
        <w:t xml:space="preserve">ומשרד הבינוי הציגו בפרסומיהם את </w:t>
      </w:r>
      <w:r w:rsidRPr="00F41E78">
        <w:rPr>
          <w:rtl/>
        </w:rPr>
        <w:t>מספר יחידות הדיור שפורסמו לשיווק</w:t>
      </w:r>
      <w:r w:rsidRPr="00F41E78">
        <w:rPr>
          <w:rFonts w:hint="cs"/>
          <w:rtl/>
        </w:rPr>
        <w:t>, אף</w:t>
      </w:r>
      <w:r w:rsidRPr="00F41E78">
        <w:rPr>
          <w:rtl/>
        </w:rPr>
        <w:t xml:space="preserve"> שכאמור השיווק </w:t>
      </w:r>
      <w:r w:rsidRPr="00F41E78">
        <w:rPr>
          <w:rFonts w:hint="cs"/>
          <w:rtl/>
        </w:rPr>
        <w:t>ממומש</w:t>
      </w:r>
      <w:r w:rsidRPr="00F41E78">
        <w:rPr>
          <w:rtl/>
        </w:rPr>
        <w:t xml:space="preserve"> רק כאשר נחתמת עסקה בין הזוכה במכרז </w:t>
      </w:r>
      <w:r w:rsidRPr="00F41E78">
        <w:rPr>
          <w:rFonts w:hint="cs"/>
          <w:rtl/>
        </w:rPr>
        <w:t>ו</w:t>
      </w:r>
      <w:r w:rsidRPr="00F41E78">
        <w:rPr>
          <w:rtl/>
        </w:rPr>
        <w:t>בין רמ"י</w:t>
      </w:r>
      <w:r w:rsidRPr="00F41E78">
        <w:rPr>
          <w:rFonts w:hint="cs"/>
          <w:rtl/>
        </w:rPr>
        <w:t>.</w:t>
      </w:r>
    </w:p>
    <w:p w:rsidR="00D22B16" w:rsidRPr="00F41E78" w:rsidP="00D22B16">
      <w:pPr>
        <w:pStyle w:val="RESHET"/>
        <w:keepLines/>
        <w:rPr>
          <w:rtl/>
        </w:rPr>
      </w:pPr>
      <w:r w:rsidRPr="00F41E78">
        <w:rPr>
          <w:rFonts w:hint="cs"/>
          <w:rtl/>
        </w:rPr>
        <w:t>מבקר המדינה מעיר כי רמ"י ומשרד הבינוי לא הציגו תמונה מדויקת של כמות יחידות הדיור ששווקו בהצלחה</w:t>
      </w:r>
      <w:r w:rsidRPr="00F41E78">
        <w:rPr>
          <w:rtl/>
        </w:rPr>
        <w:t xml:space="preserve">. </w:t>
      </w:r>
    </w:p>
    <w:p w:rsidR="00E97EDA" w:rsidRPr="00F41E78" w:rsidP="00BB0589">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בהשוואה שערך משרד מבקר המדינה בין מספרי יחידות הדיור שפורסמו במכרזים במהלך </w:t>
      </w:r>
      <w:r w:rsidR="00A74551">
        <w:rPr>
          <w:rFonts w:cs="FrankRuehl"/>
          <w:sz w:val="18"/>
          <w:szCs w:val="22"/>
          <w:rtl/>
          <w:lang w:eastAsia="he-IL"/>
        </w:rPr>
        <w:br/>
      </w:r>
      <w:r w:rsidRPr="00F41E78">
        <w:rPr>
          <w:rFonts w:cs="FrankRuehl" w:hint="cs"/>
          <w:sz w:val="18"/>
          <w:szCs w:val="22"/>
          <w:rtl/>
          <w:lang w:eastAsia="he-IL"/>
        </w:rPr>
        <w:t>2014-2007 ובין מספר יחידות הדיור שנכללו בעסקאות שנחתמו בפועל (תוצאת מכרזים בלבד) נמצאו פערים גדולים.</w:t>
      </w:r>
    </w:p>
    <w:p w:rsidR="00E97EDA" w:rsidRPr="006A0657" w:rsidP="00BB0589">
      <w:pPr>
        <w:pStyle w:val="tab-name"/>
        <w:rPr>
          <w:rtl/>
          <w:lang w:eastAsia="he-IL"/>
        </w:rPr>
      </w:pPr>
      <w:r w:rsidRPr="00BB0589">
        <w:rPr>
          <w:rFonts w:hint="cs"/>
          <w:b w:val="0"/>
          <w:bCs w:val="0"/>
          <w:sz w:val="20"/>
          <w:szCs w:val="20"/>
          <w:rtl/>
          <w:lang w:eastAsia="he-IL"/>
        </w:rPr>
        <w:t xml:space="preserve">לוח </w:t>
      </w:r>
      <w:r w:rsidRPr="00BB0589" w:rsidR="00BB0589">
        <w:rPr>
          <w:rFonts w:hint="cs"/>
          <w:b w:val="0"/>
          <w:bCs w:val="0"/>
          <w:sz w:val="20"/>
          <w:szCs w:val="20"/>
          <w:rtl/>
          <w:lang w:eastAsia="he-IL"/>
        </w:rPr>
        <w:t xml:space="preserve">1 </w:t>
      </w:r>
      <w:r w:rsidRPr="00BB0589" w:rsidR="00BB0589">
        <w:rPr>
          <w:b w:val="0"/>
          <w:bCs w:val="0"/>
          <w:sz w:val="20"/>
          <w:szCs w:val="20"/>
          <w:lang w:eastAsia="he-IL"/>
        </w:rPr>
        <w:br/>
      </w:r>
      <w:r w:rsidRPr="006A0657">
        <w:rPr>
          <w:rFonts w:hint="cs"/>
          <w:rtl/>
          <w:lang w:eastAsia="he-IL"/>
        </w:rPr>
        <w:t>יח"ד שפורסמו במכרזים ויח"ד שנכללו בעסקאות שנחתמו בפועל, 2014-2007</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CellMar>
          <w:left w:w="0" w:type="dxa"/>
          <w:right w:w="0" w:type="dxa"/>
        </w:tblCellMar>
        <w:tblLook w:val="04A0"/>
      </w:tblPr>
      <w:tblGrid>
        <w:gridCol w:w="1556"/>
        <w:gridCol w:w="2178"/>
        <w:gridCol w:w="2957"/>
      </w:tblGrid>
      <w:tr w:rsidTr="00BB0589">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CellMar>
            <w:left w:w="0" w:type="dxa"/>
            <w:right w:w="0" w:type="dxa"/>
          </w:tblCellMar>
          <w:tblLook w:val="04A0"/>
        </w:tblPrEx>
        <w:trPr>
          <w:jc w:val="center"/>
        </w:trPr>
        <w:tc>
          <w:tcPr>
            <w:tcW w:w="1417" w:type="dxa"/>
            <w:tcBorders>
              <w:top w:val="single" w:sz="12" w:space="0" w:color="auto"/>
              <w:bottom w:val="single" w:sz="12" w:space="0" w:color="auto"/>
            </w:tcBorders>
            <w:shd w:val="pct10" w:color="auto" w:fill="auto"/>
            <w:noWrap/>
            <w:tcMar>
              <w:top w:w="0" w:type="dxa"/>
              <w:left w:w="108" w:type="dxa"/>
              <w:bottom w:w="0" w:type="dxa"/>
              <w:right w:w="108" w:type="dxa"/>
            </w:tcMar>
            <w:vAlign w:val="bottom"/>
            <w:hideMark/>
          </w:tcPr>
          <w:p w:rsidR="00E97EDA" w:rsidRPr="00BB0589" w:rsidP="00BB0589">
            <w:pPr>
              <w:spacing w:before="40" w:after="40" w:line="200" w:lineRule="exact"/>
              <w:jc w:val="center"/>
              <w:rPr>
                <w:rFonts w:ascii="Arial" w:eastAsia="Calibri" w:hAnsi="Arial" w:cs="FrankRuehl"/>
                <w:b/>
                <w:bCs/>
                <w:szCs w:val="20"/>
              </w:rPr>
            </w:pPr>
            <w:r w:rsidRPr="00BB0589">
              <w:rPr>
                <w:rFonts w:ascii="Arial" w:eastAsia="Calibri" w:hAnsi="Arial" w:cs="FrankRuehl"/>
                <w:b/>
                <w:bCs/>
                <w:szCs w:val="20"/>
                <w:rtl/>
              </w:rPr>
              <w:t>שנה</w:t>
            </w:r>
          </w:p>
        </w:tc>
        <w:tc>
          <w:tcPr>
            <w:tcW w:w="1984" w:type="dxa"/>
            <w:tcBorders>
              <w:top w:val="single" w:sz="12" w:space="0" w:color="auto"/>
              <w:bottom w:val="single" w:sz="12" w:space="0" w:color="auto"/>
            </w:tcBorders>
            <w:shd w:val="pct10" w:color="auto" w:fill="auto"/>
            <w:tcMar>
              <w:top w:w="0" w:type="dxa"/>
              <w:left w:w="108" w:type="dxa"/>
              <w:bottom w:w="0" w:type="dxa"/>
              <w:right w:w="108" w:type="dxa"/>
            </w:tcMar>
            <w:vAlign w:val="bottom"/>
            <w:hideMark/>
          </w:tcPr>
          <w:p w:rsidR="00E97EDA" w:rsidRPr="00BB0589" w:rsidP="00BB0589">
            <w:pPr>
              <w:spacing w:before="40" w:after="40" w:line="200" w:lineRule="exact"/>
              <w:jc w:val="center"/>
              <w:rPr>
                <w:rFonts w:ascii="Arial" w:eastAsia="Calibri" w:hAnsi="Arial" w:cs="FrankRuehl"/>
                <w:b/>
                <w:bCs/>
                <w:szCs w:val="20"/>
              </w:rPr>
            </w:pPr>
            <w:r w:rsidRPr="00BB0589">
              <w:rPr>
                <w:rFonts w:ascii="Arial" w:eastAsia="Calibri" w:hAnsi="Arial" w:cs="FrankRuehl"/>
                <w:b/>
                <w:bCs/>
                <w:szCs w:val="20"/>
                <w:rtl/>
              </w:rPr>
              <w:t xml:space="preserve">יח"ד שפורסמו </w:t>
            </w:r>
            <w:r w:rsidRPr="00BB0589">
              <w:rPr>
                <w:rFonts w:ascii="Arial" w:eastAsia="Calibri" w:hAnsi="Arial" w:cs="FrankRuehl" w:hint="cs"/>
                <w:b/>
                <w:bCs/>
                <w:szCs w:val="20"/>
                <w:rtl/>
              </w:rPr>
              <w:t>במכרזים</w:t>
            </w:r>
          </w:p>
        </w:tc>
        <w:tc>
          <w:tcPr>
            <w:tcW w:w="2693" w:type="dxa"/>
            <w:tcBorders>
              <w:top w:val="single" w:sz="12" w:space="0" w:color="auto"/>
              <w:bottom w:val="single" w:sz="12" w:space="0" w:color="auto"/>
            </w:tcBorders>
            <w:shd w:val="pct10" w:color="auto" w:fill="auto"/>
            <w:tcMar>
              <w:top w:w="0" w:type="dxa"/>
              <w:left w:w="108" w:type="dxa"/>
              <w:bottom w:w="0" w:type="dxa"/>
              <w:right w:w="108" w:type="dxa"/>
            </w:tcMar>
            <w:vAlign w:val="bottom"/>
            <w:hideMark/>
          </w:tcPr>
          <w:p w:rsidR="00E97EDA" w:rsidRPr="00BB0589" w:rsidP="00BB0589">
            <w:pPr>
              <w:spacing w:before="40" w:after="40" w:line="200" w:lineRule="exact"/>
              <w:jc w:val="center"/>
              <w:rPr>
                <w:rFonts w:ascii="Arial" w:eastAsia="Calibri" w:hAnsi="Arial" w:cs="FrankRuehl"/>
                <w:b/>
                <w:bCs/>
                <w:szCs w:val="20"/>
              </w:rPr>
            </w:pPr>
            <w:r w:rsidRPr="00BB0589">
              <w:rPr>
                <w:rFonts w:ascii="Arial" w:eastAsia="Calibri" w:hAnsi="Arial" w:cs="FrankRuehl" w:hint="cs"/>
                <w:b/>
                <w:bCs/>
                <w:szCs w:val="20"/>
                <w:rtl/>
              </w:rPr>
              <w:t>יח"ד ב</w:t>
            </w:r>
            <w:r w:rsidRPr="00BB0589">
              <w:rPr>
                <w:rFonts w:ascii="Arial" w:eastAsia="Calibri" w:hAnsi="Arial" w:cs="FrankRuehl"/>
                <w:b/>
                <w:bCs/>
                <w:szCs w:val="20"/>
                <w:rtl/>
              </w:rPr>
              <w:t>עסקאות שנחתמו</w:t>
            </w:r>
            <w:r w:rsidRPr="00BB0589">
              <w:rPr>
                <w:rFonts w:ascii="Arial" w:eastAsia="Calibri" w:hAnsi="Arial" w:cs="FrankRuehl" w:hint="cs"/>
                <w:b/>
                <w:bCs/>
                <w:szCs w:val="20"/>
                <w:rtl/>
              </w:rPr>
              <w:t xml:space="preserve"> בפועל </w:t>
            </w:r>
            <w:r w:rsidR="00BB0589">
              <w:rPr>
                <w:rFonts w:ascii="Arial" w:eastAsia="Calibri" w:hAnsi="Arial" w:cs="FrankRuehl"/>
                <w:b/>
                <w:bCs/>
                <w:szCs w:val="20"/>
              </w:rPr>
              <w:br/>
            </w:r>
            <w:r w:rsidRPr="00BB0589">
              <w:rPr>
                <w:rFonts w:ascii="Arial" w:eastAsia="Calibri" w:hAnsi="Arial" w:cs="FrankRuehl" w:hint="cs"/>
                <w:b/>
                <w:bCs/>
                <w:szCs w:val="20"/>
                <w:rtl/>
              </w:rPr>
              <w:t>(כתוצאה ממכרז)</w:t>
            </w:r>
          </w:p>
        </w:tc>
      </w:tr>
      <w:tr w:rsidTr="00BB0589">
        <w:tblPrEx>
          <w:tblW w:w="6691" w:type="dxa"/>
          <w:jc w:val="center"/>
          <w:tblCellMar>
            <w:left w:w="0" w:type="dxa"/>
            <w:right w:w="0" w:type="dxa"/>
          </w:tblCellMar>
          <w:tblLook w:val="04A0"/>
        </w:tblPrEx>
        <w:trPr>
          <w:jc w:val="center"/>
        </w:trPr>
        <w:tc>
          <w:tcPr>
            <w:tcW w:w="1417" w:type="dxa"/>
            <w:tcBorders>
              <w:top w:val="single" w:sz="12" w:space="0" w:color="auto"/>
            </w:tcBorders>
            <w:shd w:val="clear" w:color="auto" w:fill="auto"/>
            <w:noWrap/>
            <w:tcMar>
              <w:top w:w="0" w:type="dxa"/>
              <w:left w:w="108" w:type="dxa"/>
              <w:bottom w:w="0" w:type="dxa"/>
              <w:right w:w="108" w:type="dxa"/>
            </w:tcMar>
            <w:vAlign w:val="center"/>
            <w:hideMark/>
          </w:tcPr>
          <w:p w:rsidR="00E97EDA" w:rsidRPr="00BB0589" w:rsidP="00BB0589">
            <w:pPr>
              <w:pStyle w:val="FootnoteText"/>
              <w:spacing w:before="40" w:after="40" w:line="200" w:lineRule="exact"/>
              <w:rPr>
                <w:rFonts w:ascii="Arial" w:eastAsia="Calibri" w:hAnsi="Arial" w:cs="FrankRuehl"/>
                <w:sz w:val="24"/>
              </w:rPr>
            </w:pPr>
            <w:r w:rsidRPr="00BB0589">
              <w:rPr>
                <w:rFonts w:ascii="Arial" w:eastAsia="Calibri" w:hAnsi="Arial" w:cs="FrankRuehl"/>
                <w:sz w:val="24"/>
                <w:rtl/>
              </w:rPr>
              <w:t>2007</w:t>
            </w:r>
          </w:p>
        </w:tc>
        <w:tc>
          <w:tcPr>
            <w:tcW w:w="1984" w:type="dxa"/>
            <w:tcBorders>
              <w:top w:val="single" w:sz="12" w:space="0" w:color="auto"/>
            </w:tcBorders>
            <w:shd w:val="clear" w:color="auto" w:fill="auto"/>
            <w:tcMar>
              <w:top w:w="0" w:type="dxa"/>
              <w:left w:w="108" w:type="dxa"/>
              <w:bottom w:w="0" w:type="dxa"/>
              <w:right w:w="108" w:type="dxa"/>
            </w:tcMar>
            <w:hideMark/>
          </w:tcPr>
          <w:p w:rsidR="00E97EDA" w:rsidRPr="00BB0589" w:rsidP="00BB0589">
            <w:pPr>
              <w:spacing w:before="40" w:after="40" w:line="200" w:lineRule="exact"/>
              <w:ind w:left="510"/>
              <w:rPr>
                <w:rFonts w:ascii="Arial" w:eastAsia="Calibri" w:hAnsi="Arial" w:cs="FrankRuehl"/>
                <w:szCs w:val="20"/>
              </w:rPr>
            </w:pPr>
            <w:r w:rsidRPr="00BB0589">
              <w:rPr>
                <w:rFonts w:ascii="Arial" w:eastAsia="Calibri" w:hAnsi="Arial" w:cs="FrankRuehl"/>
                <w:szCs w:val="20"/>
                <w:rtl/>
              </w:rPr>
              <w:t>15,365</w:t>
            </w:r>
          </w:p>
        </w:tc>
        <w:tc>
          <w:tcPr>
            <w:tcW w:w="2693" w:type="dxa"/>
            <w:tcBorders>
              <w:top w:val="single" w:sz="12" w:space="0" w:color="auto"/>
            </w:tcBorders>
            <w:shd w:val="clear" w:color="auto" w:fill="auto"/>
            <w:tcMar>
              <w:top w:w="0" w:type="dxa"/>
              <w:left w:w="108" w:type="dxa"/>
              <w:bottom w:w="0" w:type="dxa"/>
              <w:right w:w="108" w:type="dxa"/>
            </w:tcMar>
            <w:hideMark/>
          </w:tcPr>
          <w:p w:rsidR="00E97EDA" w:rsidRPr="00BB0589" w:rsidP="00BB0589">
            <w:pPr>
              <w:spacing w:before="40" w:after="40" w:line="200" w:lineRule="exact"/>
              <w:ind w:left="907"/>
              <w:rPr>
                <w:rFonts w:ascii="Arial" w:eastAsia="Calibri" w:hAnsi="Arial" w:cs="FrankRuehl"/>
                <w:szCs w:val="20"/>
              </w:rPr>
            </w:pPr>
            <w:r w:rsidRPr="00BB0589">
              <w:rPr>
                <w:rFonts w:ascii="Arial" w:eastAsia="Calibri" w:hAnsi="Arial" w:cs="FrankRuehl"/>
                <w:szCs w:val="20"/>
                <w:rtl/>
              </w:rPr>
              <w:t>4,647</w:t>
            </w:r>
          </w:p>
        </w:tc>
      </w:tr>
      <w:tr w:rsidTr="00BB0589">
        <w:tblPrEx>
          <w:tblW w:w="6691" w:type="dxa"/>
          <w:jc w:val="center"/>
          <w:tblCellMar>
            <w:left w:w="0" w:type="dxa"/>
            <w:right w:w="0" w:type="dxa"/>
          </w:tblCellMar>
          <w:tblLook w:val="04A0"/>
        </w:tblPrEx>
        <w:trPr>
          <w:jc w:val="center"/>
        </w:trPr>
        <w:tc>
          <w:tcPr>
            <w:tcW w:w="1417" w:type="dxa"/>
            <w:shd w:val="clear" w:color="auto" w:fill="auto"/>
            <w:noWrap/>
            <w:tcMar>
              <w:top w:w="0" w:type="dxa"/>
              <w:left w:w="108" w:type="dxa"/>
              <w:bottom w:w="0" w:type="dxa"/>
              <w:right w:w="108" w:type="dxa"/>
            </w:tcMar>
            <w:vAlign w:val="center"/>
            <w:hideMark/>
          </w:tcPr>
          <w:p w:rsidR="00E97EDA" w:rsidRPr="00BB0589" w:rsidP="00BB0589">
            <w:pPr>
              <w:spacing w:before="40" w:after="40" w:line="200" w:lineRule="exact"/>
              <w:rPr>
                <w:rFonts w:ascii="Arial" w:eastAsia="Calibri" w:hAnsi="Arial" w:cs="FrankRuehl"/>
                <w:szCs w:val="20"/>
              </w:rPr>
            </w:pPr>
            <w:r w:rsidRPr="00BB0589">
              <w:rPr>
                <w:rFonts w:ascii="Arial" w:eastAsia="Calibri" w:hAnsi="Arial" w:cs="FrankRuehl"/>
                <w:szCs w:val="20"/>
                <w:rtl/>
              </w:rPr>
              <w:t>2008</w:t>
            </w:r>
          </w:p>
        </w:tc>
        <w:tc>
          <w:tcPr>
            <w:tcW w:w="1984" w:type="dxa"/>
            <w:shd w:val="clear" w:color="auto" w:fill="auto"/>
            <w:tcMar>
              <w:top w:w="0" w:type="dxa"/>
              <w:left w:w="108" w:type="dxa"/>
              <w:bottom w:w="0" w:type="dxa"/>
              <w:right w:w="108" w:type="dxa"/>
            </w:tcMar>
            <w:hideMark/>
          </w:tcPr>
          <w:p w:rsidR="00E97EDA" w:rsidRPr="00BB0589" w:rsidP="00BB0589">
            <w:pPr>
              <w:spacing w:before="40" w:after="40" w:line="200" w:lineRule="exact"/>
              <w:ind w:left="510"/>
              <w:rPr>
                <w:rFonts w:ascii="Arial" w:eastAsia="Calibri" w:hAnsi="Arial" w:cs="FrankRuehl"/>
                <w:szCs w:val="20"/>
              </w:rPr>
            </w:pPr>
            <w:r w:rsidRPr="00BB0589">
              <w:rPr>
                <w:rFonts w:ascii="Arial" w:eastAsia="Calibri" w:hAnsi="Arial" w:cs="FrankRuehl"/>
                <w:szCs w:val="20"/>
                <w:rtl/>
              </w:rPr>
              <w:t>17,627</w:t>
            </w:r>
          </w:p>
        </w:tc>
        <w:tc>
          <w:tcPr>
            <w:tcW w:w="2693" w:type="dxa"/>
            <w:shd w:val="clear" w:color="auto" w:fill="auto"/>
            <w:tcMar>
              <w:top w:w="0" w:type="dxa"/>
              <w:left w:w="108" w:type="dxa"/>
              <w:bottom w:w="0" w:type="dxa"/>
              <w:right w:w="108" w:type="dxa"/>
            </w:tcMar>
            <w:hideMark/>
          </w:tcPr>
          <w:p w:rsidR="00E97EDA" w:rsidRPr="00BB0589" w:rsidP="00BB0589">
            <w:pPr>
              <w:spacing w:before="40" w:after="40" w:line="200" w:lineRule="exact"/>
              <w:ind w:left="907"/>
              <w:rPr>
                <w:rFonts w:ascii="Arial" w:eastAsia="Calibri" w:hAnsi="Arial" w:cs="FrankRuehl"/>
                <w:szCs w:val="20"/>
              </w:rPr>
            </w:pPr>
            <w:r w:rsidRPr="00BB0589">
              <w:rPr>
                <w:rFonts w:ascii="Arial" w:eastAsia="Calibri" w:hAnsi="Arial" w:cs="FrankRuehl"/>
                <w:szCs w:val="20"/>
                <w:rtl/>
              </w:rPr>
              <w:t>7,165</w:t>
            </w:r>
          </w:p>
        </w:tc>
      </w:tr>
      <w:tr w:rsidTr="00BB0589">
        <w:tblPrEx>
          <w:tblW w:w="6691" w:type="dxa"/>
          <w:jc w:val="center"/>
          <w:tblCellMar>
            <w:left w:w="0" w:type="dxa"/>
            <w:right w:w="0" w:type="dxa"/>
          </w:tblCellMar>
          <w:tblLook w:val="04A0"/>
        </w:tblPrEx>
        <w:trPr>
          <w:jc w:val="center"/>
        </w:trPr>
        <w:tc>
          <w:tcPr>
            <w:tcW w:w="1417" w:type="dxa"/>
            <w:shd w:val="clear" w:color="auto" w:fill="auto"/>
            <w:noWrap/>
            <w:tcMar>
              <w:top w:w="0" w:type="dxa"/>
              <w:left w:w="108" w:type="dxa"/>
              <w:bottom w:w="0" w:type="dxa"/>
              <w:right w:w="108" w:type="dxa"/>
            </w:tcMar>
            <w:vAlign w:val="center"/>
            <w:hideMark/>
          </w:tcPr>
          <w:p w:rsidR="00E97EDA" w:rsidRPr="00BB0589" w:rsidP="00BB0589">
            <w:pPr>
              <w:spacing w:before="40" w:after="40" w:line="200" w:lineRule="exact"/>
              <w:rPr>
                <w:rFonts w:ascii="Arial" w:eastAsia="Calibri" w:hAnsi="Arial" w:cs="FrankRuehl"/>
                <w:szCs w:val="20"/>
              </w:rPr>
            </w:pPr>
            <w:r w:rsidRPr="00BB0589">
              <w:rPr>
                <w:rFonts w:ascii="Arial" w:eastAsia="Calibri" w:hAnsi="Arial" w:cs="FrankRuehl"/>
                <w:szCs w:val="20"/>
                <w:rtl/>
              </w:rPr>
              <w:t>2009</w:t>
            </w:r>
          </w:p>
        </w:tc>
        <w:tc>
          <w:tcPr>
            <w:tcW w:w="1984" w:type="dxa"/>
            <w:shd w:val="clear" w:color="auto" w:fill="auto"/>
            <w:tcMar>
              <w:top w:w="0" w:type="dxa"/>
              <w:left w:w="108" w:type="dxa"/>
              <w:bottom w:w="0" w:type="dxa"/>
              <w:right w:w="108" w:type="dxa"/>
            </w:tcMar>
            <w:hideMark/>
          </w:tcPr>
          <w:p w:rsidR="00E97EDA" w:rsidRPr="00BB0589" w:rsidP="00BB0589">
            <w:pPr>
              <w:spacing w:before="40" w:after="40" w:line="200" w:lineRule="exact"/>
              <w:ind w:left="510"/>
              <w:rPr>
                <w:rFonts w:ascii="Arial" w:eastAsia="Calibri" w:hAnsi="Arial" w:cs="FrankRuehl"/>
                <w:szCs w:val="20"/>
              </w:rPr>
            </w:pPr>
            <w:r w:rsidRPr="00BB0589">
              <w:rPr>
                <w:rFonts w:ascii="Arial" w:eastAsia="Calibri" w:hAnsi="Arial" w:cs="FrankRuehl"/>
                <w:szCs w:val="20"/>
                <w:rtl/>
              </w:rPr>
              <w:t>20,577</w:t>
            </w:r>
          </w:p>
        </w:tc>
        <w:tc>
          <w:tcPr>
            <w:tcW w:w="2693" w:type="dxa"/>
            <w:shd w:val="clear" w:color="auto" w:fill="auto"/>
            <w:tcMar>
              <w:top w:w="0" w:type="dxa"/>
              <w:left w:w="108" w:type="dxa"/>
              <w:bottom w:w="0" w:type="dxa"/>
              <w:right w:w="108" w:type="dxa"/>
            </w:tcMar>
            <w:hideMark/>
          </w:tcPr>
          <w:p w:rsidR="00E97EDA" w:rsidRPr="00BB0589" w:rsidP="00BB0589">
            <w:pPr>
              <w:spacing w:before="40" w:after="40" w:line="200" w:lineRule="exact"/>
              <w:ind w:left="907"/>
              <w:rPr>
                <w:rFonts w:ascii="Arial" w:eastAsia="Calibri" w:hAnsi="Arial" w:cs="FrankRuehl"/>
                <w:szCs w:val="20"/>
              </w:rPr>
            </w:pPr>
            <w:r w:rsidRPr="00BB0589">
              <w:rPr>
                <w:rFonts w:ascii="Arial" w:eastAsia="Calibri" w:hAnsi="Arial" w:cs="FrankRuehl"/>
                <w:szCs w:val="20"/>
                <w:rtl/>
              </w:rPr>
              <w:t>9,975</w:t>
            </w:r>
          </w:p>
        </w:tc>
      </w:tr>
      <w:tr w:rsidTr="00BB0589">
        <w:tblPrEx>
          <w:tblW w:w="6691" w:type="dxa"/>
          <w:jc w:val="center"/>
          <w:tblCellMar>
            <w:left w:w="0" w:type="dxa"/>
            <w:right w:w="0" w:type="dxa"/>
          </w:tblCellMar>
          <w:tblLook w:val="04A0"/>
        </w:tblPrEx>
        <w:trPr>
          <w:jc w:val="center"/>
        </w:trPr>
        <w:tc>
          <w:tcPr>
            <w:tcW w:w="1417" w:type="dxa"/>
            <w:shd w:val="clear" w:color="auto" w:fill="auto"/>
            <w:noWrap/>
            <w:tcMar>
              <w:top w:w="0" w:type="dxa"/>
              <w:left w:w="108" w:type="dxa"/>
              <w:bottom w:w="0" w:type="dxa"/>
              <w:right w:w="108" w:type="dxa"/>
            </w:tcMar>
            <w:vAlign w:val="center"/>
            <w:hideMark/>
          </w:tcPr>
          <w:p w:rsidR="00E97EDA" w:rsidRPr="00BB0589" w:rsidP="00BB0589">
            <w:pPr>
              <w:spacing w:before="40" w:after="40" w:line="200" w:lineRule="exact"/>
              <w:rPr>
                <w:rFonts w:ascii="Arial" w:eastAsia="Calibri" w:hAnsi="Arial" w:cs="FrankRuehl"/>
                <w:szCs w:val="20"/>
              </w:rPr>
            </w:pPr>
            <w:r w:rsidRPr="00BB0589">
              <w:rPr>
                <w:rFonts w:ascii="Arial" w:eastAsia="Calibri" w:hAnsi="Arial" w:cs="FrankRuehl"/>
                <w:szCs w:val="20"/>
                <w:rtl/>
              </w:rPr>
              <w:t>2010</w:t>
            </w:r>
          </w:p>
        </w:tc>
        <w:tc>
          <w:tcPr>
            <w:tcW w:w="1984" w:type="dxa"/>
            <w:shd w:val="clear" w:color="auto" w:fill="auto"/>
            <w:tcMar>
              <w:top w:w="0" w:type="dxa"/>
              <w:left w:w="108" w:type="dxa"/>
              <w:bottom w:w="0" w:type="dxa"/>
              <w:right w:w="108" w:type="dxa"/>
            </w:tcMar>
            <w:hideMark/>
          </w:tcPr>
          <w:p w:rsidR="00E97EDA" w:rsidRPr="00BB0589" w:rsidP="00BB0589">
            <w:pPr>
              <w:spacing w:before="40" w:after="40" w:line="200" w:lineRule="exact"/>
              <w:ind w:left="510"/>
              <w:rPr>
                <w:rFonts w:ascii="Arial" w:eastAsia="Calibri" w:hAnsi="Arial" w:cs="FrankRuehl"/>
                <w:szCs w:val="20"/>
              </w:rPr>
            </w:pPr>
            <w:r w:rsidRPr="00BB0589">
              <w:rPr>
                <w:rFonts w:ascii="Arial" w:eastAsia="Calibri" w:hAnsi="Arial" w:cs="FrankRuehl"/>
                <w:szCs w:val="20"/>
                <w:rtl/>
              </w:rPr>
              <w:t>25,583</w:t>
            </w:r>
          </w:p>
        </w:tc>
        <w:tc>
          <w:tcPr>
            <w:tcW w:w="2693" w:type="dxa"/>
            <w:shd w:val="clear" w:color="auto" w:fill="auto"/>
            <w:tcMar>
              <w:top w:w="0" w:type="dxa"/>
              <w:left w:w="108" w:type="dxa"/>
              <w:bottom w:w="0" w:type="dxa"/>
              <w:right w:w="108" w:type="dxa"/>
            </w:tcMar>
            <w:hideMark/>
          </w:tcPr>
          <w:p w:rsidR="00E97EDA" w:rsidRPr="00BB0589" w:rsidP="00BB0589">
            <w:pPr>
              <w:spacing w:before="40" w:after="40" w:line="200" w:lineRule="exact"/>
              <w:ind w:left="907"/>
              <w:rPr>
                <w:rFonts w:ascii="Arial" w:eastAsia="Calibri" w:hAnsi="Arial" w:cs="FrankRuehl"/>
                <w:szCs w:val="20"/>
              </w:rPr>
            </w:pPr>
            <w:r w:rsidRPr="00BB0589">
              <w:rPr>
                <w:rFonts w:ascii="Arial" w:eastAsia="Calibri" w:hAnsi="Arial" w:cs="FrankRuehl"/>
                <w:szCs w:val="20"/>
                <w:rtl/>
              </w:rPr>
              <w:t>16,715</w:t>
            </w:r>
          </w:p>
        </w:tc>
      </w:tr>
      <w:tr w:rsidTr="00BB0589">
        <w:tblPrEx>
          <w:tblW w:w="6691" w:type="dxa"/>
          <w:jc w:val="center"/>
          <w:tblCellMar>
            <w:left w:w="0" w:type="dxa"/>
            <w:right w:w="0" w:type="dxa"/>
          </w:tblCellMar>
          <w:tblLook w:val="04A0"/>
        </w:tblPrEx>
        <w:trPr>
          <w:jc w:val="center"/>
        </w:trPr>
        <w:tc>
          <w:tcPr>
            <w:tcW w:w="1417" w:type="dxa"/>
            <w:shd w:val="clear" w:color="auto" w:fill="auto"/>
            <w:noWrap/>
            <w:tcMar>
              <w:top w:w="0" w:type="dxa"/>
              <w:left w:w="108" w:type="dxa"/>
              <w:bottom w:w="0" w:type="dxa"/>
              <w:right w:w="108" w:type="dxa"/>
            </w:tcMar>
            <w:vAlign w:val="center"/>
            <w:hideMark/>
          </w:tcPr>
          <w:p w:rsidR="00E97EDA" w:rsidRPr="00BB0589" w:rsidP="00BB0589">
            <w:pPr>
              <w:spacing w:before="40" w:after="40" w:line="200" w:lineRule="exact"/>
              <w:rPr>
                <w:rFonts w:ascii="Arial" w:eastAsia="Calibri" w:hAnsi="Arial" w:cs="FrankRuehl"/>
                <w:szCs w:val="20"/>
              </w:rPr>
            </w:pPr>
            <w:r w:rsidRPr="00BB0589">
              <w:rPr>
                <w:rFonts w:ascii="Arial" w:eastAsia="Calibri" w:hAnsi="Arial" w:cs="FrankRuehl"/>
                <w:szCs w:val="20"/>
                <w:rtl/>
              </w:rPr>
              <w:t>2011</w:t>
            </w:r>
          </w:p>
        </w:tc>
        <w:tc>
          <w:tcPr>
            <w:tcW w:w="1984" w:type="dxa"/>
            <w:shd w:val="clear" w:color="auto" w:fill="auto"/>
            <w:tcMar>
              <w:top w:w="0" w:type="dxa"/>
              <w:left w:w="108" w:type="dxa"/>
              <w:bottom w:w="0" w:type="dxa"/>
              <w:right w:w="108" w:type="dxa"/>
            </w:tcMar>
            <w:hideMark/>
          </w:tcPr>
          <w:p w:rsidR="00E97EDA" w:rsidRPr="00BB0589" w:rsidP="00BB0589">
            <w:pPr>
              <w:spacing w:before="40" w:after="40" w:line="200" w:lineRule="exact"/>
              <w:ind w:left="510"/>
              <w:rPr>
                <w:rFonts w:ascii="Arial" w:eastAsia="Calibri" w:hAnsi="Arial" w:cs="FrankRuehl"/>
                <w:szCs w:val="20"/>
              </w:rPr>
            </w:pPr>
            <w:r w:rsidRPr="00BB0589">
              <w:rPr>
                <w:rFonts w:ascii="Arial" w:eastAsia="Calibri" w:hAnsi="Arial" w:cs="FrankRuehl"/>
                <w:szCs w:val="20"/>
                <w:rtl/>
              </w:rPr>
              <w:t>39,444</w:t>
            </w:r>
          </w:p>
        </w:tc>
        <w:tc>
          <w:tcPr>
            <w:tcW w:w="2693" w:type="dxa"/>
            <w:shd w:val="clear" w:color="auto" w:fill="auto"/>
            <w:tcMar>
              <w:top w:w="0" w:type="dxa"/>
              <w:left w:w="108" w:type="dxa"/>
              <w:bottom w:w="0" w:type="dxa"/>
              <w:right w:w="108" w:type="dxa"/>
            </w:tcMar>
            <w:hideMark/>
          </w:tcPr>
          <w:p w:rsidR="00E97EDA" w:rsidRPr="00BB0589" w:rsidP="00BB0589">
            <w:pPr>
              <w:spacing w:before="40" w:after="40" w:line="200" w:lineRule="exact"/>
              <w:ind w:left="907"/>
              <w:rPr>
                <w:rFonts w:ascii="Arial" w:eastAsia="Calibri" w:hAnsi="Arial" w:cs="FrankRuehl"/>
                <w:szCs w:val="20"/>
              </w:rPr>
            </w:pPr>
            <w:r w:rsidRPr="00BB0589">
              <w:rPr>
                <w:rFonts w:ascii="Arial" w:eastAsia="Calibri" w:hAnsi="Arial" w:cs="FrankRuehl"/>
                <w:szCs w:val="20"/>
                <w:rtl/>
              </w:rPr>
              <w:t>18,277</w:t>
            </w:r>
          </w:p>
        </w:tc>
      </w:tr>
      <w:tr w:rsidTr="00BB0589">
        <w:tblPrEx>
          <w:tblW w:w="6691" w:type="dxa"/>
          <w:jc w:val="center"/>
          <w:tblCellMar>
            <w:left w:w="0" w:type="dxa"/>
            <w:right w:w="0" w:type="dxa"/>
          </w:tblCellMar>
          <w:tblLook w:val="04A0"/>
        </w:tblPrEx>
        <w:trPr>
          <w:jc w:val="center"/>
        </w:trPr>
        <w:tc>
          <w:tcPr>
            <w:tcW w:w="1417" w:type="dxa"/>
            <w:shd w:val="clear" w:color="auto" w:fill="auto"/>
            <w:noWrap/>
            <w:tcMar>
              <w:top w:w="0" w:type="dxa"/>
              <w:left w:w="108" w:type="dxa"/>
              <w:bottom w:w="0" w:type="dxa"/>
              <w:right w:w="108" w:type="dxa"/>
            </w:tcMar>
            <w:vAlign w:val="center"/>
            <w:hideMark/>
          </w:tcPr>
          <w:p w:rsidR="00E97EDA" w:rsidRPr="00BB0589" w:rsidP="00BB0589">
            <w:pPr>
              <w:spacing w:before="40" w:after="40" w:line="200" w:lineRule="exact"/>
              <w:rPr>
                <w:rFonts w:ascii="Arial" w:eastAsia="Calibri" w:hAnsi="Arial" w:cs="FrankRuehl"/>
                <w:szCs w:val="20"/>
              </w:rPr>
            </w:pPr>
            <w:r w:rsidRPr="00BB0589">
              <w:rPr>
                <w:rFonts w:ascii="Arial" w:eastAsia="Calibri" w:hAnsi="Arial" w:cs="FrankRuehl"/>
                <w:szCs w:val="20"/>
                <w:rtl/>
              </w:rPr>
              <w:t>2012</w:t>
            </w:r>
          </w:p>
        </w:tc>
        <w:tc>
          <w:tcPr>
            <w:tcW w:w="1984" w:type="dxa"/>
            <w:shd w:val="clear" w:color="auto" w:fill="auto"/>
            <w:tcMar>
              <w:top w:w="0" w:type="dxa"/>
              <w:left w:w="108" w:type="dxa"/>
              <w:bottom w:w="0" w:type="dxa"/>
              <w:right w:w="108" w:type="dxa"/>
            </w:tcMar>
            <w:hideMark/>
          </w:tcPr>
          <w:p w:rsidR="00E97EDA" w:rsidRPr="00BB0589" w:rsidP="00BB0589">
            <w:pPr>
              <w:spacing w:before="40" w:after="40" w:line="200" w:lineRule="exact"/>
              <w:ind w:left="510"/>
              <w:rPr>
                <w:rFonts w:ascii="Arial" w:eastAsia="Calibri" w:hAnsi="Arial" w:cs="FrankRuehl"/>
                <w:szCs w:val="20"/>
              </w:rPr>
            </w:pPr>
            <w:r w:rsidRPr="00BB0589">
              <w:rPr>
                <w:rFonts w:ascii="Arial" w:eastAsia="Calibri" w:hAnsi="Arial" w:cs="FrankRuehl"/>
                <w:szCs w:val="20"/>
                <w:rtl/>
              </w:rPr>
              <w:t>33,665</w:t>
            </w:r>
          </w:p>
        </w:tc>
        <w:tc>
          <w:tcPr>
            <w:tcW w:w="2693" w:type="dxa"/>
            <w:shd w:val="clear" w:color="auto" w:fill="auto"/>
            <w:tcMar>
              <w:top w:w="0" w:type="dxa"/>
              <w:left w:w="108" w:type="dxa"/>
              <w:bottom w:w="0" w:type="dxa"/>
              <w:right w:w="108" w:type="dxa"/>
            </w:tcMar>
            <w:hideMark/>
          </w:tcPr>
          <w:p w:rsidR="00E97EDA" w:rsidRPr="00BB0589" w:rsidP="00BB0589">
            <w:pPr>
              <w:spacing w:before="40" w:after="40" w:line="200" w:lineRule="exact"/>
              <w:ind w:left="907"/>
              <w:rPr>
                <w:rFonts w:ascii="Arial" w:eastAsia="Calibri" w:hAnsi="Arial" w:cs="FrankRuehl"/>
                <w:szCs w:val="20"/>
              </w:rPr>
            </w:pPr>
            <w:r w:rsidRPr="00BB0589">
              <w:rPr>
                <w:rFonts w:ascii="Arial" w:eastAsia="Calibri" w:hAnsi="Arial" w:cs="FrankRuehl"/>
                <w:szCs w:val="20"/>
                <w:rtl/>
              </w:rPr>
              <w:t>9,102</w:t>
            </w:r>
          </w:p>
        </w:tc>
      </w:tr>
      <w:tr w:rsidTr="00BB0589">
        <w:tblPrEx>
          <w:tblW w:w="6691" w:type="dxa"/>
          <w:jc w:val="center"/>
          <w:tblCellMar>
            <w:left w:w="0" w:type="dxa"/>
            <w:right w:w="0" w:type="dxa"/>
          </w:tblCellMar>
          <w:tblLook w:val="04A0"/>
        </w:tblPrEx>
        <w:trPr>
          <w:jc w:val="center"/>
        </w:trPr>
        <w:tc>
          <w:tcPr>
            <w:tcW w:w="1417" w:type="dxa"/>
            <w:shd w:val="clear" w:color="auto" w:fill="auto"/>
            <w:noWrap/>
            <w:tcMar>
              <w:top w:w="0" w:type="dxa"/>
              <w:left w:w="108" w:type="dxa"/>
              <w:bottom w:w="0" w:type="dxa"/>
              <w:right w:w="108" w:type="dxa"/>
            </w:tcMar>
            <w:vAlign w:val="center"/>
            <w:hideMark/>
          </w:tcPr>
          <w:p w:rsidR="00E97EDA" w:rsidRPr="00BB0589" w:rsidP="00BB0589">
            <w:pPr>
              <w:spacing w:before="40" w:after="40" w:line="200" w:lineRule="exact"/>
              <w:rPr>
                <w:rFonts w:ascii="Arial" w:eastAsia="Calibri" w:hAnsi="Arial" w:cs="FrankRuehl"/>
                <w:szCs w:val="20"/>
              </w:rPr>
            </w:pPr>
            <w:r w:rsidRPr="00BB0589">
              <w:rPr>
                <w:rFonts w:ascii="Arial" w:eastAsia="Calibri" w:hAnsi="Arial" w:cs="FrankRuehl"/>
                <w:szCs w:val="20"/>
                <w:rtl/>
              </w:rPr>
              <w:t>2013</w:t>
            </w:r>
          </w:p>
        </w:tc>
        <w:tc>
          <w:tcPr>
            <w:tcW w:w="1984" w:type="dxa"/>
            <w:shd w:val="clear" w:color="auto" w:fill="auto"/>
            <w:tcMar>
              <w:top w:w="0" w:type="dxa"/>
              <w:left w:w="108" w:type="dxa"/>
              <w:bottom w:w="0" w:type="dxa"/>
              <w:right w:w="108" w:type="dxa"/>
            </w:tcMar>
            <w:hideMark/>
          </w:tcPr>
          <w:p w:rsidR="00E97EDA" w:rsidRPr="00BB0589" w:rsidP="00BB0589">
            <w:pPr>
              <w:spacing w:before="40" w:after="40" w:line="200" w:lineRule="exact"/>
              <w:ind w:left="510"/>
              <w:rPr>
                <w:rFonts w:ascii="Arial" w:eastAsia="Calibri" w:hAnsi="Arial" w:cs="FrankRuehl"/>
                <w:szCs w:val="20"/>
              </w:rPr>
            </w:pPr>
            <w:r w:rsidRPr="00BB0589">
              <w:rPr>
                <w:rFonts w:ascii="Arial" w:eastAsia="Calibri" w:hAnsi="Arial" w:cs="FrankRuehl"/>
                <w:szCs w:val="20"/>
                <w:rtl/>
              </w:rPr>
              <w:t>29,971</w:t>
            </w:r>
          </w:p>
        </w:tc>
        <w:tc>
          <w:tcPr>
            <w:tcW w:w="2693" w:type="dxa"/>
            <w:shd w:val="clear" w:color="auto" w:fill="auto"/>
            <w:tcMar>
              <w:top w:w="0" w:type="dxa"/>
              <w:left w:w="108" w:type="dxa"/>
              <w:bottom w:w="0" w:type="dxa"/>
              <w:right w:w="108" w:type="dxa"/>
            </w:tcMar>
            <w:hideMark/>
          </w:tcPr>
          <w:p w:rsidR="00E97EDA" w:rsidRPr="00BB0589" w:rsidP="00BB0589">
            <w:pPr>
              <w:spacing w:before="40" w:after="40" w:line="200" w:lineRule="exact"/>
              <w:ind w:left="907"/>
              <w:rPr>
                <w:rFonts w:ascii="Arial" w:eastAsia="Calibri" w:hAnsi="Arial" w:cs="FrankRuehl"/>
                <w:szCs w:val="20"/>
              </w:rPr>
            </w:pPr>
            <w:r w:rsidRPr="00BB0589">
              <w:rPr>
                <w:rFonts w:ascii="Arial" w:eastAsia="Calibri" w:hAnsi="Arial" w:cs="FrankRuehl"/>
                <w:szCs w:val="20"/>
                <w:rtl/>
              </w:rPr>
              <w:t>20,126</w:t>
            </w:r>
          </w:p>
        </w:tc>
      </w:tr>
      <w:tr w:rsidTr="00BB0589">
        <w:tblPrEx>
          <w:tblW w:w="6691" w:type="dxa"/>
          <w:jc w:val="center"/>
          <w:tblCellMar>
            <w:left w:w="0" w:type="dxa"/>
            <w:right w:w="0" w:type="dxa"/>
          </w:tblCellMar>
          <w:tblLook w:val="04A0"/>
        </w:tblPrEx>
        <w:trPr>
          <w:jc w:val="center"/>
        </w:trPr>
        <w:tc>
          <w:tcPr>
            <w:tcW w:w="1417" w:type="dxa"/>
            <w:tcBorders>
              <w:bottom w:val="single" w:sz="12" w:space="0" w:color="auto"/>
            </w:tcBorders>
            <w:shd w:val="clear" w:color="auto" w:fill="auto"/>
            <w:noWrap/>
            <w:tcMar>
              <w:top w:w="0" w:type="dxa"/>
              <w:left w:w="108" w:type="dxa"/>
              <w:bottom w:w="0" w:type="dxa"/>
              <w:right w:w="108" w:type="dxa"/>
            </w:tcMar>
            <w:vAlign w:val="center"/>
            <w:hideMark/>
          </w:tcPr>
          <w:p w:rsidR="00E97EDA" w:rsidRPr="00BB0589" w:rsidP="00BB0589">
            <w:pPr>
              <w:spacing w:before="40" w:after="40" w:line="200" w:lineRule="exact"/>
              <w:rPr>
                <w:rFonts w:ascii="Arial" w:eastAsia="Calibri" w:hAnsi="Arial" w:cs="FrankRuehl"/>
                <w:szCs w:val="20"/>
              </w:rPr>
            </w:pPr>
            <w:r w:rsidRPr="00BB0589">
              <w:rPr>
                <w:rFonts w:ascii="Arial" w:eastAsia="Calibri" w:hAnsi="Arial" w:cs="FrankRuehl"/>
                <w:szCs w:val="20"/>
                <w:rtl/>
              </w:rPr>
              <w:t>2014</w:t>
            </w:r>
            <w:r w:rsidR="00BB0589">
              <w:rPr>
                <w:rFonts w:ascii="Arial" w:eastAsia="Calibri" w:hAnsi="Arial" w:cs="FrankRuehl" w:hint="cs"/>
                <w:szCs w:val="20"/>
                <w:rtl/>
              </w:rPr>
              <w:t xml:space="preserve"> </w:t>
            </w:r>
            <w:r w:rsidRPr="00BB0589">
              <w:rPr>
                <w:rFonts w:ascii="Arial" w:eastAsia="Calibri" w:hAnsi="Arial" w:cs="FrankRuehl" w:hint="cs"/>
                <w:szCs w:val="20"/>
                <w:rtl/>
              </w:rPr>
              <w:t>(</w:t>
            </w:r>
            <w:r w:rsidRPr="00BB0589">
              <w:rPr>
                <w:rFonts w:ascii="Arial" w:eastAsia="Calibri" w:hAnsi="Arial" w:cs="FrankRuehl"/>
                <w:szCs w:val="20"/>
                <w:rtl/>
              </w:rPr>
              <w:t>עד יולי</w:t>
            </w:r>
            <w:r w:rsidRPr="00BB0589">
              <w:rPr>
                <w:rFonts w:ascii="Arial" w:eastAsia="Calibri" w:hAnsi="Arial" w:cs="FrankRuehl" w:hint="cs"/>
                <w:szCs w:val="20"/>
                <w:rtl/>
              </w:rPr>
              <w:t>)</w:t>
            </w:r>
          </w:p>
        </w:tc>
        <w:tc>
          <w:tcPr>
            <w:tcW w:w="1984" w:type="dxa"/>
            <w:tcBorders>
              <w:bottom w:val="single" w:sz="12" w:space="0" w:color="auto"/>
            </w:tcBorders>
            <w:shd w:val="clear" w:color="auto" w:fill="auto"/>
            <w:tcMar>
              <w:top w:w="0" w:type="dxa"/>
              <w:left w:w="108" w:type="dxa"/>
              <w:bottom w:w="0" w:type="dxa"/>
              <w:right w:w="108" w:type="dxa"/>
            </w:tcMar>
            <w:hideMark/>
          </w:tcPr>
          <w:p w:rsidR="00E97EDA" w:rsidRPr="00BB0589" w:rsidP="00BB0589">
            <w:pPr>
              <w:spacing w:before="40" w:after="40" w:line="200" w:lineRule="exact"/>
              <w:ind w:left="510"/>
              <w:rPr>
                <w:rFonts w:ascii="Arial" w:eastAsia="Calibri" w:hAnsi="Arial" w:cs="FrankRuehl"/>
                <w:szCs w:val="20"/>
              </w:rPr>
            </w:pPr>
            <w:r w:rsidRPr="00BB0589">
              <w:rPr>
                <w:rFonts w:ascii="Arial" w:eastAsia="Calibri" w:hAnsi="Arial" w:cs="FrankRuehl"/>
                <w:szCs w:val="20"/>
                <w:rtl/>
              </w:rPr>
              <w:t>17,390</w:t>
            </w:r>
          </w:p>
        </w:tc>
        <w:tc>
          <w:tcPr>
            <w:tcW w:w="2693" w:type="dxa"/>
            <w:tcBorders>
              <w:bottom w:val="single" w:sz="12" w:space="0" w:color="auto"/>
            </w:tcBorders>
            <w:shd w:val="clear" w:color="auto" w:fill="auto"/>
            <w:tcMar>
              <w:top w:w="0" w:type="dxa"/>
              <w:left w:w="108" w:type="dxa"/>
              <w:bottom w:w="0" w:type="dxa"/>
              <w:right w:w="108" w:type="dxa"/>
            </w:tcMar>
            <w:hideMark/>
          </w:tcPr>
          <w:p w:rsidR="00E97EDA" w:rsidRPr="00BB0589" w:rsidP="00BB0589">
            <w:pPr>
              <w:spacing w:before="40" w:after="40" w:line="200" w:lineRule="exact"/>
              <w:ind w:left="907"/>
              <w:rPr>
                <w:rFonts w:ascii="Arial" w:eastAsia="Calibri" w:hAnsi="Arial" w:cs="FrankRuehl"/>
                <w:szCs w:val="20"/>
              </w:rPr>
            </w:pPr>
            <w:r w:rsidRPr="00BB0589">
              <w:rPr>
                <w:rFonts w:ascii="Arial" w:eastAsia="Calibri" w:hAnsi="Arial" w:cs="FrankRuehl"/>
                <w:szCs w:val="20"/>
                <w:rtl/>
              </w:rPr>
              <w:t>10,979</w:t>
            </w:r>
          </w:p>
        </w:tc>
      </w:tr>
      <w:tr w:rsidTr="00BB0589">
        <w:tblPrEx>
          <w:tblW w:w="6691" w:type="dxa"/>
          <w:jc w:val="center"/>
          <w:tblCellMar>
            <w:left w:w="0" w:type="dxa"/>
            <w:right w:w="0" w:type="dxa"/>
          </w:tblCellMar>
          <w:tblLook w:val="04A0"/>
        </w:tblPrEx>
        <w:trPr>
          <w:jc w:val="center"/>
        </w:trPr>
        <w:tc>
          <w:tcPr>
            <w:tcW w:w="1417" w:type="dxa"/>
            <w:tcBorders>
              <w:top w:val="single" w:sz="12" w:space="0" w:color="auto"/>
              <w:bottom w:val="single" w:sz="12" w:space="0" w:color="auto"/>
            </w:tcBorders>
            <w:shd w:val="pct10" w:color="auto" w:fill="auto"/>
            <w:noWrap/>
            <w:tcMar>
              <w:top w:w="0" w:type="dxa"/>
              <w:left w:w="108" w:type="dxa"/>
              <w:bottom w:w="0" w:type="dxa"/>
              <w:right w:w="108" w:type="dxa"/>
            </w:tcMar>
            <w:vAlign w:val="center"/>
            <w:hideMark/>
          </w:tcPr>
          <w:p w:rsidR="00E97EDA" w:rsidRPr="00BB0589" w:rsidP="00BB0589">
            <w:pPr>
              <w:spacing w:before="40" w:after="40" w:line="200" w:lineRule="exact"/>
              <w:jc w:val="right"/>
              <w:rPr>
                <w:rFonts w:ascii="Arial" w:eastAsia="Calibri" w:hAnsi="Arial" w:cs="FrankRuehl"/>
                <w:b/>
                <w:bCs/>
                <w:szCs w:val="20"/>
              </w:rPr>
            </w:pPr>
            <w:r w:rsidRPr="00BB0589">
              <w:rPr>
                <w:rFonts w:ascii="Arial" w:eastAsia="Calibri" w:hAnsi="Arial" w:cs="FrankRuehl"/>
                <w:b/>
                <w:bCs/>
                <w:szCs w:val="20"/>
                <w:rtl/>
              </w:rPr>
              <w:t>סה"כ</w:t>
            </w:r>
          </w:p>
        </w:tc>
        <w:tc>
          <w:tcPr>
            <w:tcW w:w="1984" w:type="dxa"/>
            <w:tcBorders>
              <w:top w:val="single" w:sz="12" w:space="0" w:color="auto"/>
              <w:bottom w:val="single" w:sz="12" w:space="0" w:color="auto"/>
            </w:tcBorders>
            <w:shd w:val="pct10" w:color="auto" w:fill="auto"/>
            <w:tcMar>
              <w:top w:w="0" w:type="dxa"/>
              <w:left w:w="108" w:type="dxa"/>
              <w:bottom w:w="0" w:type="dxa"/>
              <w:right w:w="108" w:type="dxa"/>
            </w:tcMar>
            <w:hideMark/>
          </w:tcPr>
          <w:p w:rsidR="00E97EDA" w:rsidRPr="00BB0589" w:rsidP="00BB0589">
            <w:pPr>
              <w:spacing w:before="40" w:after="40" w:line="200" w:lineRule="exact"/>
              <w:ind w:left="510"/>
              <w:rPr>
                <w:rFonts w:ascii="Arial" w:eastAsia="Calibri" w:hAnsi="Arial" w:cs="FrankRuehl"/>
                <w:b/>
                <w:bCs/>
                <w:szCs w:val="20"/>
              </w:rPr>
            </w:pPr>
            <w:r w:rsidRPr="00BB0589">
              <w:rPr>
                <w:rFonts w:ascii="Arial" w:eastAsia="Calibri" w:hAnsi="Arial" w:cs="FrankRuehl"/>
                <w:b/>
                <w:bCs/>
                <w:szCs w:val="20"/>
                <w:rtl/>
              </w:rPr>
              <w:t>199,622</w:t>
            </w:r>
          </w:p>
        </w:tc>
        <w:tc>
          <w:tcPr>
            <w:tcW w:w="2693" w:type="dxa"/>
            <w:tcBorders>
              <w:top w:val="single" w:sz="12" w:space="0" w:color="auto"/>
              <w:bottom w:val="single" w:sz="12" w:space="0" w:color="auto"/>
            </w:tcBorders>
            <w:shd w:val="pct10" w:color="auto" w:fill="auto"/>
            <w:tcMar>
              <w:top w:w="0" w:type="dxa"/>
              <w:left w:w="108" w:type="dxa"/>
              <w:bottom w:w="0" w:type="dxa"/>
              <w:right w:w="108" w:type="dxa"/>
            </w:tcMar>
            <w:hideMark/>
          </w:tcPr>
          <w:p w:rsidR="00E97EDA" w:rsidRPr="00BB0589" w:rsidP="00BB0589">
            <w:pPr>
              <w:spacing w:before="40" w:after="40" w:line="200" w:lineRule="exact"/>
              <w:ind w:left="907"/>
              <w:rPr>
                <w:rFonts w:ascii="Arial" w:eastAsia="Calibri" w:hAnsi="Arial" w:cs="FrankRuehl"/>
                <w:b/>
                <w:bCs/>
                <w:szCs w:val="20"/>
              </w:rPr>
            </w:pPr>
            <w:r w:rsidRPr="00BB0589">
              <w:rPr>
                <w:rFonts w:ascii="Arial" w:eastAsia="Calibri" w:hAnsi="Arial" w:cs="FrankRuehl"/>
                <w:b/>
                <w:bCs/>
                <w:szCs w:val="20"/>
                <w:rtl/>
              </w:rPr>
              <w:t>96,986</w:t>
            </w:r>
          </w:p>
        </w:tc>
      </w:tr>
    </w:tbl>
    <w:p w:rsidR="00E97EDA" w:rsidRPr="00CB33CD" w:rsidP="00A7557B">
      <w:pPr>
        <w:rPr>
          <w:szCs w:val="20"/>
          <w:rtl/>
          <w:lang w:eastAsia="he-IL"/>
        </w:rPr>
      </w:pPr>
    </w:p>
    <w:p w:rsidR="00D22B16" w:rsidRPr="00F41E78" w:rsidP="00D22B16">
      <w:pPr>
        <w:pStyle w:val="RESHET"/>
        <w:keepLines/>
        <w:rPr>
          <w:rtl/>
        </w:rPr>
      </w:pPr>
      <w:bookmarkStart w:id="58" w:name="_Toc368500020"/>
      <w:r w:rsidRPr="00F41E78">
        <w:rPr>
          <w:rFonts w:hint="cs"/>
          <w:rtl/>
        </w:rPr>
        <w:t xml:space="preserve">מהנתונים המוצגים עולה כי היקף העסקאות שנחתמו משנת 2007 עד יולי 2014 היה </w:t>
      </w:r>
      <w:r>
        <w:rPr>
          <w:rtl/>
        </w:rPr>
        <w:br/>
      </w:r>
      <w:r w:rsidRPr="00F41E78">
        <w:rPr>
          <w:rFonts w:hint="cs"/>
          <w:rtl/>
        </w:rPr>
        <w:t xml:space="preserve">כ-49% (בממוצע) ממספר יחידות הדיור שפורסמו במכרזים. עוד יצוין כי מספר העסקאות שנחתמו בשנים 2013-2007 מהווה 37% בלבד מיעדי השיווק השנתיים שקבעה רמ"י במסגרת תכניות העבודה שלה. </w:t>
      </w:r>
    </w:p>
    <w:p w:rsidR="00D22B16" w:rsidRPr="00F41E78" w:rsidP="00D22B16">
      <w:pPr>
        <w:pStyle w:val="RESHET"/>
        <w:keepLines/>
        <w:rPr>
          <w:rtl/>
        </w:rPr>
      </w:pPr>
      <w:r w:rsidRPr="00F41E78">
        <w:rPr>
          <w:rFonts w:hint="cs"/>
          <w:rtl/>
        </w:rPr>
        <w:t>משרד מבקר המדינה מעיר כי ראוי היה שרמ"י ומשרד הבינוי יבחנו את הסיבה להיעדר מימושם של יותר מ-50% מהמכרזים שפורסמו. עליהם להפיק את הלקחים הנדרשים כדי לשפר את אופן שיווק יחידות הדיור.</w:t>
      </w:r>
    </w:p>
    <w:p w:rsidR="00E97EDA" w:rsidRPr="00F41E78" w:rsidP="00A7557B">
      <w:pPr>
        <w:spacing w:after="120" w:line="230" w:lineRule="exact"/>
        <w:jc w:val="both"/>
        <w:rPr>
          <w:rFonts w:cs="FrankRuehl"/>
          <w:b/>
          <w:bCs/>
          <w:sz w:val="18"/>
          <w:szCs w:val="22"/>
          <w:rtl/>
          <w:lang w:eastAsia="he-IL"/>
        </w:rPr>
      </w:pPr>
    </w:p>
    <w:p w:rsidR="00E97EDA" w:rsidRPr="00CB33CD" w:rsidP="00A7557B">
      <w:pPr>
        <w:pStyle w:val="KOT6"/>
        <w:rPr>
          <w:rtl/>
          <w:lang w:eastAsia="he-IL"/>
        </w:rPr>
      </w:pPr>
      <w:r w:rsidRPr="00CB33CD">
        <w:rPr>
          <w:rFonts w:hint="cs"/>
          <w:rtl/>
          <w:lang w:eastAsia="he-IL"/>
        </w:rPr>
        <w:t>עסקאות שנחתמו במקרקעין בפועל ביחס ליעדי הממשלה</w:t>
      </w:r>
    </w:p>
    <w:p w:rsidR="00E97EDA" w:rsidRPr="00F41E78" w:rsidP="00BB0589">
      <w:pPr>
        <w:spacing w:after="240" w:line="230" w:lineRule="exact"/>
        <w:jc w:val="both"/>
        <w:rPr>
          <w:rFonts w:cs="FrankRuehl"/>
          <w:sz w:val="18"/>
          <w:szCs w:val="22"/>
          <w:rtl/>
          <w:lang w:eastAsia="he-IL"/>
        </w:rPr>
      </w:pPr>
      <w:r w:rsidRPr="00F41E78">
        <w:rPr>
          <w:rFonts w:cs="FrankRuehl" w:hint="cs"/>
          <w:sz w:val="18"/>
          <w:szCs w:val="22"/>
          <w:rtl/>
          <w:lang w:eastAsia="he-IL"/>
        </w:rPr>
        <w:t xml:space="preserve">לקבלת תמונה מהימנה על אופן השגת יעדי השיווק יש לבחון אותם על פי מספר יחידות הדיור שבגינן נחתמו עסקאות, מכיוון שלעתים לא כל יחידות הדיור שפורסמו במכרז אכן שווקו. </w:t>
      </w:r>
    </w:p>
    <w:p w:rsidR="00D22B16" w:rsidRPr="00F41E78" w:rsidP="00D22B16">
      <w:pPr>
        <w:pStyle w:val="RESHET"/>
        <w:keepLines/>
        <w:rPr>
          <w:rtl/>
        </w:rPr>
      </w:pPr>
      <w:r w:rsidRPr="00F41E78">
        <w:rPr>
          <w:rFonts w:hint="cs"/>
          <w:rtl/>
        </w:rPr>
        <w:t>משרד מבקר המדינה בחן את מספר יחידות הדיור ששיווקן הסתיים בעסקאות (בפטור ממכרז ובמכרז) ביחס ליעדי השיווק שהוכתבו בהחלטות הממשלה, בשנים 2013-2007. בדיקה זו העלתה כי בשנים האמורות נחתמו עסקאות שכללו יח"ד בהיקף של כ-66% (בממוצע) מיעדי הממשלה.</w:t>
      </w:r>
    </w:p>
    <w:p w:rsidR="00D22B16" w:rsidRPr="00F41E78" w:rsidP="00D22B16">
      <w:pPr>
        <w:pStyle w:val="RESHET"/>
        <w:keepLines/>
        <w:rPr>
          <w:rtl/>
        </w:rPr>
      </w:pPr>
      <w:r w:rsidRPr="00F41E78">
        <w:rPr>
          <w:rFonts w:hint="cs"/>
          <w:rtl/>
        </w:rPr>
        <w:t>יש לציין כי בשנת 2012 נחתמו עסקאות שכללו יח"ד בהיקף של 38% בלבד מיעדי הממשלה. לעומת זאת, בשנת 2013 נחתמו עסקאות שכללו יח"ד בהיקף הגדול ב-20% מיעדי הממשלה.</w:t>
      </w:r>
    </w:p>
    <w:p w:rsidR="00E97EDA" w:rsidRPr="00F41E78" w:rsidP="00BB0589">
      <w:pPr>
        <w:spacing w:before="180" w:after="120" w:line="230" w:lineRule="exact"/>
        <w:jc w:val="both"/>
        <w:rPr>
          <w:rFonts w:cs="FrankRuehl"/>
          <w:sz w:val="18"/>
          <w:szCs w:val="22"/>
          <w:lang w:eastAsia="he-IL"/>
        </w:rPr>
      </w:pPr>
      <w:r w:rsidRPr="00F41E78">
        <w:rPr>
          <w:rFonts w:cs="FrankRuehl" w:hint="cs"/>
          <w:sz w:val="18"/>
          <w:szCs w:val="22"/>
          <w:rtl/>
          <w:lang w:eastAsia="he-IL"/>
        </w:rPr>
        <w:t>משרד האוצר מסר בתשובתו למשרד מבקר המדינה מדצמבר 2014 כי בשנים 2014-2013 עומדת הממשלה ביעדים אשר הציבה לעצמה הן בתכנון והן בשיווק.</w:t>
      </w:r>
    </w:p>
    <w:p w:rsidR="00282703" w:rsidRPr="00F41E78" w:rsidP="00A7557B">
      <w:pPr>
        <w:spacing w:after="120" w:line="230" w:lineRule="exact"/>
        <w:jc w:val="both"/>
        <w:rPr>
          <w:rFonts w:cs="FrankRuehl"/>
          <w:sz w:val="18"/>
          <w:szCs w:val="22"/>
          <w:lang w:eastAsia="he-IL"/>
        </w:rPr>
      </w:pPr>
    </w:p>
    <w:p w:rsidR="00282703" w:rsidRPr="00F41E78" w:rsidP="00A7557B">
      <w:pPr>
        <w:spacing w:after="120" w:line="230" w:lineRule="exact"/>
        <w:jc w:val="both"/>
        <w:rPr>
          <w:rFonts w:cs="FrankRuehl"/>
          <w:sz w:val="18"/>
          <w:szCs w:val="22"/>
          <w:rtl/>
          <w:lang w:eastAsia="he-IL"/>
        </w:rPr>
      </w:pPr>
    </w:p>
    <w:p w:rsidR="00E97EDA" w:rsidRPr="00CB33CD" w:rsidP="00A7557B">
      <w:pPr>
        <w:pStyle w:val="KOT4"/>
        <w:rPr>
          <w:rtl/>
          <w:lang w:eastAsia="he-IL"/>
        </w:rPr>
      </w:pPr>
      <w:r w:rsidRPr="00CB33CD">
        <w:rPr>
          <w:rFonts w:hint="cs"/>
          <w:rtl/>
          <w:lang w:eastAsia="he-IL"/>
        </w:rPr>
        <w:t>התאמת השיווק לגידול במשקי הבית</w:t>
      </w:r>
      <w:bookmarkEnd w:id="58"/>
      <w:r w:rsidRPr="00CB33CD">
        <w:rPr>
          <w:rFonts w:hint="cs"/>
          <w:rtl/>
          <w:lang w:eastAsia="he-IL"/>
        </w:rPr>
        <w:t xml:space="preserve"> במחוזות</w:t>
      </w:r>
    </w:p>
    <w:p w:rsidR="00E97EDA" w:rsidRPr="00F41E78" w:rsidP="00A7557B">
      <w:pPr>
        <w:spacing w:after="120" w:line="230" w:lineRule="exact"/>
        <w:jc w:val="both"/>
        <w:rPr>
          <w:rFonts w:cs="FrankRuehl"/>
          <w:sz w:val="18"/>
          <w:szCs w:val="22"/>
          <w:lang w:eastAsia="he-IL"/>
        </w:rPr>
      </w:pPr>
      <w:r w:rsidRPr="00F41E78">
        <w:rPr>
          <w:rFonts w:cs="FrankRuehl" w:hint="cs"/>
          <w:sz w:val="18"/>
          <w:szCs w:val="22"/>
          <w:rtl/>
          <w:lang w:eastAsia="he-IL"/>
        </w:rPr>
        <w:t>מעבר לחשיבות שבהשגת יעדי השיווק ובהגברת קצב השיווק באופן ניכר, עולה הצורך גם בהתאמת השיווק לאזורי הביקוש ולגידול במשקי הבית במחוזות השונים. ככל שהשיווק ייעשה באופן מכוון ואיכותי יותר, דהיינו שיווק באזורי ביקוש על פי הגידול בקצב האוכלוסייה וצורכי הציבור, כך יצלח יותר. אם לא ייעשה השיווק באופן האמור, רוב סיכוייו להיכשל או להביא לידי הצפה באזורים מסוימים, ואזורי הביקוש יוותרו ללא כל מענה לביקושי הציבור ולצורכי משקי הבית.</w:t>
      </w:r>
    </w:p>
    <w:p w:rsidR="00282703" w:rsidRPr="00F41E78" w:rsidP="00A7557B">
      <w:pPr>
        <w:spacing w:after="120" w:line="230" w:lineRule="exact"/>
        <w:jc w:val="both"/>
        <w:rPr>
          <w:rFonts w:cs="FrankRuehl"/>
          <w:b/>
          <w:bCs/>
          <w:sz w:val="18"/>
          <w:szCs w:val="22"/>
          <w:u w:val="single"/>
          <w:rtl/>
          <w:lang w:eastAsia="he-IL"/>
        </w:rPr>
      </w:pPr>
    </w:p>
    <w:p w:rsidR="00E97EDA" w:rsidRPr="00CB33CD" w:rsidP="00A7557B">
      <w:pPr>
        <w:pStyle w:val="KOT5"/>
        <w:rPr>
          <w:rtl/>
          <w:lang w:eastAsia="he-IL"/>
        </w:rPr>
      </w:pPr>
      <w:bookmarkStart w:id="59" w:name="_Toc368500022"/>
      <w:r w:rsidRPr="00CB33CD">
        <w:rPr>
          <w:rFonts w:hint="cs"/>
          <w:rtl/>
          <w:lang w:eastAsia="he-IL"/>
        </w:rPr>
        <w:t>התאמת השיווק לגידול במשקי הבית</w:t>
      </w:r>
      <w:bookmarkEnd w:id="59"/>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כאמור, בנושא ייזום התכנון, כמו גם בנושא השיווק, ניתן לצפות כי מספר יחידות הדיור המפורסמות על מקרקעי ישראל ושבגינן נחתמות עסקאות, יתאים לגידול היחסי במשקי הבית במחוזות. </w:t>
      </w:r>
    </w:p>
    <w:p w:rsidR="00E97EDA" w:rsidRPr="00F41E78" w:rsidP="00BB0589">
      <w:pPr>
        <w:spacing w:after="240" w:line="230" w:lineRule="exact"/>
        <w:jc w:val="both"/>
        <w:rPr>
          <w:rFonts w:cs="FrankRuehl"/>
          <w:sz w:val="18"/>
          <w:szCs w:val="22"/>
          <w:rtl/>
          <w:lang w:eastAsia="he-IL"/>
        </w:rPr>
      </w:pPr>
      <w:r w:rsidRPr="00F41E78">
        <w:rPr>
          <w:rFonts w:cs="FrankRuehl" w:hint="cs"/>
          <w:sz w:val="18"/>
          <w:szCs w:val="22"/>
          <w:rtl/>
          <w:lang w:eastAsia="he-IL"/>
        </w:rPr>
        <w:t>מבדיקת הגידול היחסי במשקי הבית במחוזות לעומת העסקאות שנחתמו, בקרקעות שאינן פרטיות, בשנים 2012-2007, עולה כדלקמן:</w:t>
      </w:r>
    </w:p>
    <w:p w:rsidR="00E97EDA" w:rsidRPr="00BA7C50" w:rsidP="00BB0589">
      <w:pPr>
        <w:pStyle w:val="tab-name"/>
        <w:rPr>
          <w:rtl/>
          <w:lang w:eastAsia="he-IL"/>
        </w:rPr>
      </w:pPr>
      <w:r w:rsidRPr="00BB0589">
        <w:rPr>
          <w:rFonts w:hint="cs"/>
          <w:b w:val="0"/>
          <w:bCs w:val="0"/>
          <w:sz w:val="20"/>
          <w:szCs w:val="20"/>
          <w:rtl/>
          <w:lang w:eastAsia="he-IL"/>
        </w:rPr>
        <w:t xml:space="preserve">לוח </w:t>
      </w:r>
      <w:r w:rsidRPr="00BB0589" w:rsidR="00BB0589">
        <w:rPr>
          <w:rFonts w:hint="cs"/>
          <w:b w:val="0"/>
          <w:bCs w:val="0"/>
          <w:sz w:val="20"/>
          <w:szCs w:val="20"/>
          <w:rtl/>
          <w:lang w:eastAsia="he-IL"/>
        </w:rPr>
        <w:t>2</w:t>
      </w:r>
      <w:r w:rsidRPr="00BB0589" w:rsidR="00BB0589">
        <w:rPr>
          <w:b w:val="0"/>
          <w:bCs w:val="0"/>
          <w:sz w:val="20"/>
          <w:szCs w:val="20"/>
          <w:rtl/>
          <w:lang w:eastAsia="he-IL"/>
        </w:rPr>
        <w:br/>
      </w:r>
      <w:r w:rsidRPr="00F41E78">
        <w:rPr>
          <w:rFonts w:hint="cs"/>
          <w:rtl/>
          <w:lang w:eastAsia="he-IL"/>
        </w:rPr>
        <w:t>הגידול היחסי במשקי הבית ומספר יחידות הדיור בעסקאות שנחתמו לפי מחוזות, 2012-2007</w:t>
      </w:r>
    </w:p>
    <w:tbl>
      <w:tblPr>
        <w:bidiVisual/>
        <w:tblW w:w="6688" w:type="dxa"/>
        <w:jc w:val="center"/>
        <w:tblBorders>
          <w:top w:val="single" w:sz="12" w:space="0" w:color="auto"/>
          <w:left w:val="single" w:sz="12" w:space="0" w:color="auto"/>
          <w:bottom w:val="single" w:sz="12" w:space="0" w:color="auto"/>
          <w:right w:val="single" w:sz="12" w:space="0" w:color="auto"/>
          <w:insideV w:val="single" w:sz="4" w:space="0" w:color="auto"/>
        </w:tblBorders>
        <w:tblLayout w:type="fixed"/>
        <w:tblLook w:val="0000"/>
      </w:tblPr>
      <w:tblGrid>
        <w:gridCol w:w="1077"/>
        <w:gridCol w:w="1531"/>
        <w:gridCol w:w="2040"/>
        <w:gridCol w:w="2040"/>
      </w:tblGrid>
      <w:tr w:rsidTr="00AF3E1B">
        <w:tblPrEx>
          <w:tblW w:w="6688" w:type="dxa"/>
          <w:jc w:val="center"/>
          <w:tblBorders>
            <w:top w:val="single" w:sz="12" w:space="0" w:color="auto"/>
            <w:left w:val="single" w:sz="12" w:space="0" w:color="auto"/>
            <w:bottom w:val="single" w:sz="12" w:space="0" w:color="auto"/>
            <w:right w:val="single" w:sz="12" w:space="0" w:color="auto"/>
            <w:insideV w:val="single" w:sz="4" w:space="0" w:color="auto"/>
          </w:tblBorders>
          <w:tblLayout w:type="fixed"/>
          <w:tblLook w:val="0000"/>
        </w:tblPrEx>
        <w:trPr>
          <w:jc w:val="center"/>
        </w:trPr>
        <w:tc>
          <w:tcPr>
            <w:tcW w:w="1077" w:type="dxa"/>
            <w:tcBorders>
              <w:top w:val="single" w:sz="12" w:space="0" w:color="auto"/>
              <w:bottom w:val="single" w:sz="12" w:space="0" w:color="auto"/>
            </w:tcBorders>
            <w:shd w:val="pct10" w:color="auto" w:fill="FFFFFF"/>
            <w:noWrap/>
            <w:vAlign w:val="bottom"/>
          </w:tcPr>
          <w:p w:rsidR="00E97EDA" w:rsidRPr="00BB0589" w:rsidP="00BB0589">
            <w:pPr>
              <w:keepNext/>
              <w:keepLines/>
              <w:spacing w:before="40" w:after="40" w:line="200" w:lineRule="exact"/>
              <w:jc w:val="center"/>
              <w:rPr>
                <w:rFonts w:cs="FrankRuehl"/>
                <w:szCs w:val="20"/>
              </w:rPr>
            </w:pPr>
            <w:r w:rsidRPr="00BB0589">
              <w:rPr>
                <w:rFonts w:ascii="Arial" w:hAnsi="Arial" w:cs="FrankRuehl" w:hint="cs"/>
                <w:b/>
                <w:bCs/>
                <w:szCs w:val="20"/>
                <w:rtl/>
              </w:rPr>
              <w:t>מחוז</w:t>
            </w:r>
          </w:p>
        </w:tc>
        <w:tc>
          <w:tcPr>
            <w:tcW w:w="1531" w:type="dxa"/>
            <w:tcBorders>
              <w:top w:val="single" w:sz="12" w:space="0" w:color="auto"/>
              <w:bottom w:val="single" w:sz="12" w:space="0" w:color="auto"/>
            </w:tcBorders>
            <w:shd w:val="pct10" w:color="auto" w:fill="FFFFFF"/>
            <w:vAlign w:val="bottom"/>
          </w:tcPr>
          <w:p w:rsidR="00E97EDA" w:rsidRPr="00BB0589" w:rsidP="00BB0589">
            <w:pPr>
              <w:keepNext/>
              <w:keepLines/>
              <w:spacing w:before="40" w:after="40" w:line="200" w:lineRule="exact"/>
              <w:jc w:val="center"/>
              <w:rPr>
                <w:rFonts w:ascii="Arial" w:hAnsi="Arial" w:cs="FrankRuehl"/>
                <w:b/>
                <w:bCs/>
                <w:szCs w:val="20"/>
              </w:rPr>
            </w:pPr>
            <w:r w:rsidRPr="00BB0589">
              <w:rPr>
                <w:rFonts w:ascii="Arial" w:hAnsi="Arial" w:cs="FrankRuehl" w:hint="eastAsia"/>
                <w:b/>
                <w:bCs/>
                <w:szCs w:val="20"/>
                <w:rtl/>
              </w:rPr>
              <w:t>גידול</w:t>
            </w:r>
            <w:r w:rsidRPr="00BB0589">
              <w:rPr>
                <w:rFonts w:ascii="Arial" w:hAnsi="Arial" w:cs="FrankRuehl"/>
                <w:b/>
                <w:bCs/>
                <w:szCs w:val="20"/>
                <w:rtl/>
              </w:rPr>
              <w:t xml:space="preserve"> </w:t>
            </w:r>
            <w:r w:rsidRPr="00BB0589">
              <w:rPr>
                <w:rFonts w:ascii="Arial" w:hAnsi="Arial" w:cs="FrankRuehl" w:hint="eastAsia"/>
                <w:b/>
                <w:bCs/>
                <w:szCs w:val="20"/>
                <w:rtl/>
              </w:rPr>
              <w:t>יחסי</w:t>
            </w:r>
            <w:r w:rsidRPr="00BB0589">
              <w:rPr>
                <w:rFonts w:ascii="Arial" w:hAnsi="Arial" w:cs="FrankRuehl"/>
                <w:b/>
                <w:bCs/>
                <w:szCs w:val="20"/>
                <w:rtl/>
              </w:rPr>
              <w:t xml:space="preserve"> </w:t>
            </w:r>
            <w:r w:rsidR="004B0348">
              <w:rPr>
                <w:rFonts w:ascii="Arial" w:hAnsi="Arial" w:cs="FrankRuehl"/>
                <w:b/>
                <w:bCs/>
                <w:szCs w:val="20"/>
              </w:rPr>
              <w:br/>
            </w:r>
            <w:r w:rsidRPr="00BB0589">
              <w:rPr>
                <w:rFonts w:ascii="Arial" w:hAnsi="Arial" w:cs="FrankRuehl" w:hint="eastAsia"/>
                <w:b/>
                <w:bCs/>
                <w:szCs w:val="20"/>
                <w:rtl/>
              </w:rPr>
              <w:t>במשקי</w:t>
            </w:r>
            <w:r w:rsidRPr="00BB0589">
              <w:rPr>
                <w:rFonts w:ascii="Arial" w:hAnsi="Arial" w:cs="FrankRuehl"/>
                <w:b/>
                <w:bCs/>
                <w:szCs w:val="20"/>
                <w:rtl/>
              </w:rPr>
              <w:t xml:space="preserve"> </w:t>
            </w:r>
            <w:r w:rsidRPr="00BB0589">
              <w:rPr>
                <w:rFonts w:ascii="Arial" w:hAnsi="Arial" w:cs="FrankRuehl" w:hint="eastAsia"/>
                <w:b/>
                <w:bCs/>
                <w:szCs w:val="20"/>
                <w:rtl/>
              </w:rPr>
              <w:t>הבית</w:t>
            </w:r>
          </w:p>
        </w:tc>
        <w:tc>
          <w:tcPr>
            <w:tcW w:w="2040" w:type="dxa"/>
            <w:tcBorders>
              <w:top w:val="single" w:sz="12" w:space="0" w:color="auto"/>
              <w:bottom w:val="single" w:sz="12" w:space="0" w:color="auto"/>
            </w:tcBorders>
            <w:shd w:val="pct10" w:color="auto" w:fill="FFFFFF"/>
            <w:vAlign w:val="bottom"/>
          </w:tcPr>
          <w:p w:rsidR="00E97EDA" w:rsidRPr="00BB0589" w:rsidP="00BB0589">
            <w:pPr>
              <w:keepNext/>
              <w:keepLines/>
              <w:spacing w:before="40" w:after="40" w:line="200" w:lineRule="exact"/>
              <w:jc w:val="center"/>
              <w:rPr>
                <w:rFonts w:ascii="Arial" w:hAnsi="Arial" w:cs="FrankRuehl"/>
                <w:b/>
                <w:bCs/>
                <w:szCs w:val="20"/>
              </w:rPr>
            </w:pPr>
            <w:r w:rsidRPr="00BB0589">
              <w:rPr>
                <w:rFonts w:ascii="Arial" w:hAnsi="Arial" w:cs="FrankRuehl" w:hint="cs"/>
                <w:b/>
                <w:bCs/>
                <w:szCs w:val="20"/>
                <w:rtl/>
              </w:rPr>
              <w:t xml:space="preserve">מספר יח"ד </w:t>
            </w:r>
            <w:r w:rsidR="004B0348">
              <w:rPr>
                <w:rFonts w:ascii="Arial" w:hAnsi="Arial" w:cs="FrankRuehl"/>
                <w:b/>
                <w:bCs/>
                <w:szCs w:val="20"/>
              </w:rPr>
              <w:br/>
            </w:r>
            <w:r w:rsidRPr="00BB0589">
              <w:rPr>
                <w:rFonts w:ascii="Arial" w:hAnsi="Arial" w:cs="FrankRuehl" w:hint="cs"/>
                <w:b/>
                <w:bCs/>
                <w:szCs w:val="20"/>
                <w:rtl/>
              </w:rPr>
              <w:t xml:space="preserve">בעסקאות שנחתמו </w:t>
            </w:r>
            <w:r w:rsidR="004B0348">
              <w:rPr>
                <w:rFonts w:ascii="Arial" w:hAnsi="Arial" w:cs="FrankRuehl"/>
                <w:b/>
                <w:bCs/>
                <w:szCs w:val="20"/>
              </w:rPr>
              <w:br/>
            </w:r>
            <w:r w:rsidRPr="00BB0589">
              <w:rPr>
                <w:rFonts w:ascii="Arial" w:hAnsi="Arial" w:cs="FrankRuehl" w:hint="cs"/>
                <w:b/>
                <w:bCs/>
                <w:szCs w:val="20"/>
                <w:rtl/>
              </w:rPr>
              <w:t>(בפטור ובמכרז)</w:t>
            </w:r>
          </w:p>
        </w:tc>
        <w:tc>
          <w:tcPr>
            <w:tcW w:w="2040" w:type="dxa"/>
            <w:tcBorders>
              <w:top w:val="single" w:sz="12" w:space="0" w:color="auto"/>
              <w:bottom w:val="single" w:sz="12" w:space="0" w:color="auto"/>
            </w:tcBorders>
            <w:shd w:val="pct10" w:color="auto" w:fill="FFFFFF"/>
            <w:vAlign w:val="bottom"/>
          </w:tcPr>
          <w:p w:rsidR="00E97EDA" w:rsidRPr="00BB0589" w:rsidP="00BB0589">
            <w:pPr>
              <w:keepNext/>
              <w:keepLines/>
              <w:spacing w:before="40" w:after="40" w:line="200" w:lineRule="exact"/>
              <w:jc w:val="center"/>
              <w:rPr>
                <w:rFonts w:ascii="Arial" w:hAnsi="Arial" w:cs="FrankRuehl"/>
                <w:b/>
                <w:bCs/>
                <w:szCs w:val="20"/>
              </w:rPr>
            </w:pPr>
            <w:r w:rsidRPr="00BB0589">
              <w:rPr>
                <w:rFonts w:ascii="Arial" w:hAnsi="Arial" w:cs="FrankRuehl" w:hint="cs"/>
                <w:b/>
                <w:bCs/>
                <w:szCs w:val="20"/>
                <w:rtl/>
              </w:rPr>
              <w:t>היחס בין הגידול (היחסי) במשקי הבית ובין העסקאות שנחתמו (בפטור ובמכרז)</w:t>
            </w:r>
          </w:p>
        </w:tc>
      </w:tr>
      <w:tr w:rsidTr="004B0348">
        <w:tblPrEx>
          <w:tblW w:w="6688" w:type="dxa"/>
          <w:jc w:val="center"/>
          <w:tblLayout w:type="fixed"/>
          <w:tblLook w:val="0000"/>
        </w:tblPrEx>
        <w:trPr>
          <w:jc w:val="center"/>
        </w:trPr>
        <w:tc>
          <w:tcPr>
            <w:tcW w:w="1077" w:type="dxa"/>
            <w:tcBorders>
              <w:top w:val="single" w:sz="12" w:space="0" w:color="auto"/>
            </w:tcBorders>
            <w:noWrap/>
            <w:vAlign w:val="center"/>
          </w:tcPr>
          <w:p w:rsidR="00E97EDA" w:rsidRPr="004B0348" w:rsidP="004B0348">
            <w:pPr>
              <w:pStyle w:val="FootnoteText"/>
              <w:keepNext/>
              <w:keepLines/>
              <w:spacing w:before="40" w:after="40" w:line="200" w:lineRule="exact"/>
              <w:rPr>
                <w:rFonts w:cs="FrankRuehl"/>
                <w:sz w:val="24"/>
              </w:rPr>
            </w:pPr>
            <w:r w:rsidRPr="004B0348">
              <w:rPr>
                <w:rFonts w:cs="FrankRuehl" w:hint="cs"/>
                <w:sz w:val="24"/>
                <w:rtl/>
              </w:rPr>
              <w:t>הדרום</w:t>
            </w:r>
          </w:p>
        </w:tc>
        <w:tc>
          <w:tcPr>
            <w:tcW w:w="1531" w:type="dxa"/>
            <w:tcBorders>
              <w:top w:val="single" w:sz="12" w:space="0" w:color="auto"/>
            </w:tcBorders>
            <w:vAlign w:val="center"/>
          </w:tcPr>
          <w:p w:rsidR="00E97EDA" w:rsidRPr="00BB0589" w:rsidP="004B0348">
            <w:pPr>
              <w:keepNext/>
              <w:keepLines/>
              <w:spacing w:before="40" w:after="40" w:line="200" w:lineRule="exact"/>
              <w:ind w:left="397"/>
              <w:rPr>
                <w:rFonts w:cs="FrankRuehl"/>
                <w:szCs w:val="20"/>
              </w:rPr>
            </w:pPr>
            <w:r w:rsidRPr="00BB0589">
              <w:rPr>
                <w:rFonts w:cs="FrankRuehl" w:hint="cs"/>
                <w:szCs w:val="20"/>
                <w:rtl/>
              </w:rPr>
              <w:t>27,500</w:t>
            </w:r>
          </w:p>
        </w:tc>
        <w:tc>
          <w:tcPr>
            <w:tcW w:w="2040" w:type="dxa"/>
            <w:tcBorders>
              <w:top w:val="single" w:sz="12" w:space="0" w:color="auto"/>
            </w:tcBorders>
            <w:vAlign w:val="center"/>
          </w:tcPr>
          <w:p w:rsidR="00E97EDA" w:rsidRPr="00BB0589" w:rsidP="004B0348">
            <w:pPr>
              <w:keepNext/>
              <w:keepLines/>
              <w:spacing w:before="40" w:after="40" w:line="200" w:lineRule="exact"/>
              <w:ind w:left="567"/>
              <w:rPr>
                <w:rFonts w:cs="FrankRuehl"/>
                <w:szCs w:val="20"/>
              </w:rPr>
            </w:pPr>
            <w:r w:rsidRPr="00BB0589">
              <w:rPr>
                <w:rFonts w:cs="FrankRuehl" w:hint="cs"/>
                <w:szCs w:val="20"/>
                <w:rtl/>
              </w:rPr>
              <w:t>16,900</w:t>
            </w:r>
          </w:p>
        </w:tc>
        <w:tc>
          <w:tcPr>
            <w:tcW w:w="2040" w:type="dxa"/>
            <w:tcBorders>
              <w:top w:val="single" w:sz="12" w:space="0" w:color="auto"/>
            </w:tcBorders>
            <w:vAlign w:val="bottom"/>
          </w:tcPr>
          <w:p w:rsidR="00E97EDA" w:rsidRPr="00BB0589" w:rsidP="004B0348">
            <w:pPr>
              <w:keepNext/>
              <w:keepLines/>
              <w:spacing w:before="40" w:after="40" w:line="200" w:lineRule="exact"/>
              <w:ind w:left="567"/>
              <w:rPr>
                <w:rFonts w:cs="FrankRuehl"/>
                <w:szCs w:val="20"/>
              </w:rPr>
            </w:pPr>
            <w:r w:rsidRPr="00BB0589">
              <w:rPr>
                <w:rFonts w:cs="FrankRuehl" w:hint="cs"/>
                <w:szCs w:val="20"/>
                <w:rtl/>
              </w:rPr>
              <w:t>61%</w:t>
            </w:r>
          </w:p>
        </w:tc>
      </w:tr>
      <w:tr w:rsidTr="004B0348">
        <w:tblPrEx>
          <w:tblW w:w="6688" w:type="dxa"/>
          <w:jc w:val="center"/>
          <w:tblLayout w:type="fixed"/>
          <w:tblLook w:val="0000"/>
        </w:tblPrEx>
        <w:trPr>
          <w:jc w:val="center"/>
        </w:trPr>
        <w:tc>
          <w:tcPr>
            <w:tcW w:w="1077" w:type="dxa"/>
            <w:noWrap/>
            <w:vAlign w:val="center"/>
          </w:tcPr>
          <w:p w:rsidR="00E97EDA" w:rsidRPr="00BB0589" w:rsidP="004B0348">
            <w:pPr>
              <w:spacing w:before="40" w:after="40" w:line="200" w:lineRule="exact"/>
              <w:rPr>
                <w:rFonts w:cs="FrankRuehl"/>
                <w:szCs w:val="20"/>
              </w:rPr>
            </w:pPr>
            <w:r w:rsidRPr="00BB0589">
              <w:rPr>
                <w:rFonts w:cs="FrankRuehl" w:hint="cs"/>
                <w:szCs w:val="20"/>
                <w:rtl/>
              </w:rPr>
              <w:t>הצפון</w:t>
            </w:r>
          </w:p>
        </w:tc>
        <w:tc>
          <w:tcPr>
            <w:tcW w:w="1531" w:type="dxa"/>
            <w:vAlign w:val="center"/>
          </w:tcPr>
          <w:p w:rsidR="00E97EDA" w:rsidRPr="00BB0589" w:rsidP="004B0348">
            <w:pPr>
              <w:spacing w:before="40" w:after="40" w:line="200" w:lineRule="exact"/>
              <w:ind w:left="397"/>
              <w:rPr>
                <w:rFonts w:cs="FrankRuehl"/>
                <w:szCs w:val="20"/>
              </w:rPr>
            </w:pPr>
            <w:r w:rsidRPr="00BB0589">
              <w:rPr>
                <w:rFonts w:cs="FrankRuehl" w:hint="cs"/>
                <w:szCs w:val="20"/>
                <w:rtl/>
              </w:rPr>
              <w:t>32,736</w:t>
            </w:r>
          </w:p>
        </w:tc>
        <w:tc>
          <w:tcPr>
            <w:tcW w:w="2040" w:type="dxa"/>
            <w:vAlign w:val="center"/>
          </w:tcPr>
          <w:p w:rsidR="00E97EDA" w:rsidRPr="00BB0589" w:rsidP="004B0348">
            <w:pPr>
              <w:spacing w:before="40" w:after="40" w:line="200" w:lineRule="exact"/>
              <w:ind w:left="567"/>
              <w:rPr>
                <w:rFonts w:cs="FrankRuehl"/>
                <w:szCs w:val="20"/>
              </w:rPr>
            </w:pPr>
            <w:r w:rsidRPr="00BB0589">
              <w:rPr>
                <w:rFonts w:cs="FrankRuehl" w:hint="cs"/>
                <w:szCs w:val="20"/>
                <w:rtl/>
              </w:rPr>
              <w:t>20,181</w:t>
            </w:r>
          </w:p>
        </w:tc>
        <w:tc>
          <w:tcPr>
            <w:tcW w:w="2040" w:type="dxa"/>
            <w:vAlign w:val="bottom"/>
          </w:tcPr>
          <w:p w:rsidR="00E97EDA" w:rsidRPr="00BB0589" w:rsidP="004B0348">
            <w:pPr>
              <w:spacing w:before="40" w:after="40" w:line="200" w:lineRule="exact"/>
              <w:ind w:left="567"/>
              <w:rPr>
                <w:rFonts w:cs="FrankRuehl"/>
                <w:szCs w:val="20"/>
              </w:rPr>
            </w:pPr>
            <w:r w:rsidRPr="00BB0589">
              <w:rPr>
                <w:rFonts w:cs="FrankRuehl" w:hint="cs"/>
                <w:szCs w:val="20"/>
                <w:rtl/>
              </w:rPr>
              <w:t>62%</w:t>
            </w:r>
          </w:p>
        </w:tc>
      </w:tr>
      <w:tr w:rsidTr="004B0348">
        <w:tblPrEx>
          <w:tblW w:w="6688" w:type="dxa"/>
          <w:jc w:val="center"/>
          <w:tblLayout w:type="fixed"/>
          <w:tblLook w:val="0000"/>
        </w:tblPrEx>
        <w:trPr>
          <w:jc w:val="center"/>
        </w:trPr>
        <w:tc>
          <w:tcPr>
            <w:tcW w:w="1077" w:type="dxa"/>
            <w:noWrap/>
            <w:vAlign w:val="center"/>
          </w:tcPr>
          <w:p w:rsidR="00E97EDA" w:rsidRPr="00BB0589" w:rsidP="004B0348">
            <w:pPr>
              <w:spacing w:before="40" w:after="40" w:line="200" w:lineRule="exact"/>
              <w:rPr>
                <w:rFonts w:cs="FrankRuehl"/>
                <w:szCs w:val="20"/>
              </w:rPr>
            </w:pPr>
            <w:r w:rsidRPr="00BB0589">
              <w:rPr>
                <w:rFonts w:cs="FrankRuehl" w:hint="cs"/>
                <w:szCs w:val="20"/>
                <w:rtl/>
              </w:rPr>
              <w:t>חיפה</w:t>
            </w:r>
          </w:p>
        </w:tc>
        <w:tc>
          <w:tcPr>
            <w:tcW w:w="1531" w:type="dxa"/>
            <w:vAlign w:val="center"/>
          </w:tcPr>
          <w:p w:rsidR="00E97EDA" w:rsidRPr="00BB0589" w:rsidP="004B0348">
            <w:pPr>
              <w:spacing w:before="40" w:after="40" w:line="200" w:lineRule="exact"/>
              <w:ind w:left="397"/>
              <w:rPr>
                <w:rFonts w:cs="FrankRuehl"/>
                <w:szCs w:val="20"/>
              </w:rPr>
            </w:pPr>
            <w:r w:rsidRPr="00BB0589">
              <w:rPr>
                <w:rFonts w:cs="FrankRuehl" w:hint="cs"/>
                <w:szCs w:val="20"/>
                <w:rtl/>
              </w:rPr>
              <w:t>17,340</w:t>
            </w:r>
          </w:p>
        </w:tc>
        <w:tc>
          <w:tcPr>
            <w:tcW w:w="2040" w:type="dxa"/>
            <w:vAlign w:val="center"/>
          </w:tcPr>
          <w:p w:rsidR="00E97EDA" w:rsidRPr="00BB0589" w:rsidP="004B0348">
            <w:pPr>
              <w:spacing w:before="40" w:after="40" w:line="200" w:lineRule="exact"/>
              <w:ind w:left="567"/>
              <w:rPr>
                <w:rFonts w:cs="FrankRuehl"/>
                <w:szCs w:val="20"/>
              </w:rPr>
            </w:pPr>
            <w:r w:rsidRPr="00BB0589">
              <w:rPr>
                <w:rFonts w:cs="FrankRuehl" w:hint="cs"/>
                <w:szCs w:val="20"/>
                <w:rtl/>
              </w:rPr>
              <w:t>11,929</w:t>
            </w:r>
          </w:p>
        </w:tc>
        <w:tc>
          <w:tcPr>
            <w:tcW w:w="2040" w:type="dxa"/>
            <w:vAlign w:val="bottom"/>
          </w:tcPr>
          <w:p w:rsidR="00E97EDA" w:rsidRPr="00BB0589" w:rsidP="004B0348">
            <w:pPr>
              <w:spacing w:before="40" w:after="40" w:line="200" w:lineRule="exact"/>
              <w:ind w:left="567"/>
              <w:rPr>
                <w:rFonts w:cs="FrankRuehl"/>
                <w:szCs w:val="20"/>
              </w:rPr>
            </w:pPr>
            <w:r w:rsidRPr="00BB0589">
              <w:rPr>
                <w:rFonts w:cs="FrankRuehl" w:hint="cs"/>
                <w:szCs w:val="20"/>
                <w:rtl/>
              </w:rPr>
              <w:t>69%</w:t>
            </w:r>
          </w:p>
        </w:tc>
      </w:tr>
      <w:tr w:rsidTr="004B0348">
        <w:tblPrEx>
          <w:tblW w:w="6688" w:type="dxa"/>
          <w:jc w:val="center"/>
          <w:tblLayout w:type="fixed"/>
          <w:tblLook w:val="0000"/>
        </w:tblPrEx>
        <w:trPr>
          <w:jc w:val="center"/>
        </w:trPr>
        <w:tc>
          <w:tcPr>
            <w:tcW w:w="1077" w:type="dxa"/>
            <w:noWrap/>
            <w:vAlign w:val="center"/>
          </w:tcPr>
          <w:p w:rsidR="00E97EDA" w:rsidRPr="00BB0589" w:rsidP="004B0348">
            <w:pPr>
              <w:spacing w:before="40" w:after="40" w:line="200" w:lineRule="exact"/>
              <w:rPr>
                <w:rFonts w:cs="FrankRuehl"/>
                <w:szCs w:val="20"/>
              </w:rPr>
            </w:pPr>
            <w:r w:rsidRPr="00BB0589">
              <w:rPr>
                <w:rFonts w:cs="FrankRuehl" w:hint="cs"/>
                <w:szCs w:val="20"/>
                <w:rtl/>
              </w:rPr>
              <w:t>המרכז</w:t>
            </w:r>
          </w:p>
        </w:tc>
        <w:tc>
          <w:tcPr>
            <w:tcW w:w="1531" w:type="dxa"/>
            <w:vAlign w:val="center"/>
          </w:tcPr>
          <w:p w:rsidR="00E97EDA" w:rsidRPr="00BB0589" w:rsidP="004B0348">
            <w:pPr>
              <w:spacing w:before="40" w:after="40" w:line="200" w:lineRule="exact"/>
              <w:ind w:left="397"/>
              <w:rPr>
                <w:rFonts w:cs="FrankRuehl"/>
                <w:szCs w:val="20"/>
              </w:rPr>
            </w:pPr>
            <w:r w:rsidRPr="00BB0589">
              <w:rPr>
                <w:rFonts w:cs="FrankRuehl" w:hint="cs"/>
                <w:szCs w:val="20"/>
                <w:rtl/>
              </w:rPr>
              <w:t>65,764</w:t>
            </w:r>
          </w:p>
        </w:tc>
        <w:tc>
          <w:tcPr>
            <w:tcW w:w="2040" w:type="dxa"/>
            <w:vAlign w:val="center"/>
          </w:tcPr>
          <w:p w:rsidR="00E97EDA" w:rsidRPr="00BB0589" w:rsidP="004B0348">
            <w:pPr>
              <w:spacing w:before="40" w:after="40" w:line="200" w:lineRule="exact"/>
              <w:ind w:left="567"/>
              <w:rPr>
                <w:rFonts w:cs="FrankRuehl"/>
                <w:szCs w:val="20"/>
              </w:rPr>
            </w:pPr>
            <w:r w:rsidRPr="00BB0589">
              <w:rPr>
                <w:rFonts w:cs="FrankRuehl" w:hint="cs"/>
                <w:szCs w:val="20"/>
                <w:rtl/>
              </w:rPr>
              <w:t>25,696</w:t>
            </w:r>
          </w:p>
        </w:tc>
        <w:tc>
          <w:tcPr>
            <w:tcW w:w="2040" w:type="dxa"/>
            <w:vAlign w:val="bottom"/>
          </w:tcPr>
          <w:p w:rsidR="00E97EDA" w:rsidRPr="00BB0589" w:rsidP="004B0348">
            <w:pPr>
              <w:spacing w:before="40" w:after="40" w:line="200" w:lineRule="exact"/>
              <w:ind w:left="567"/>
              <w:rPr>
                <w:rFonts w:cs="FrankRuehl"/>
                <w:szCs w:val="20"/>
              </w:rPr>
            </w:pPr>
            <w:r w:rsidRPr="00BB0589">
              <w:rPr>
                <w:rFonts w:cs="FrankRuehl" w:hint="cs"/>
                <w:szCs w:val="20"/>
                <w:rtl/>
              </w:rPr>
              <w:t>39%</w:t>
            </w:r>
          </w:p>
        </w:tc>
      </w:tr>
      <w:tr w:rsidTr="004B0348">
        <w:tblPrEx>
          <w:tblW w:w="6688" w:type="dxa"/>
          <w:jc w:val="center"/>
          <w:tblLayout w:type="fixed"/>
          <w:tblLook w:val="0000"/>
        </w:tblPrEx>
        <w:trPr>
          <w:jc w:val="center"/>
        </w:trPr>
        <w:tc>
          <w:tcPr>
            <w:tcW w:w="1077" w:type="dxa"/>
            <w:noWrap/>
            <w:vAlign w:val="center"/>
          </w:tcPr>
          <w:p w:rsidR="00E97EDA" w:rsidRPr="00BB0589" w:rsidP="004B0348">
            <w:pPr>
              <w:spacing w:before="40" w:after="40" w:line="200" w:lineRule="exact"/>
              <w:rPr>
                <w:rFonts w:ascii="Calibri" w:hAnsi="Calibri" w:cs="FrankRuehl"/>
                <w:sz w:val="22"/>
                <w:szCs w:val="20"/>
              </w:rPr>
            </w:pPr>
            <w:r w:rsidRPr="00BB0589">
              <w:rPr>
                <w:rFonts w:cs="FrankRuehl" w:hint="cs"/>
                <w:szCs w:val="20"/>
                <w:rtl/>
              </w:rPr>
              <w:t>תל אביב</w:t>
            </w:r>
          </w:p>
        </w:tc>
        <w:tc>
          <w:tcPr>
            <w:tcW w:w="1531" w:type="dxa"/>
            <w:vAlign w:val="center"/>
          </w:tcPr>
          <w:p w:rsidR="00E97EDA" w:rsidRPr="00BB0589" w:rsidP="004B0348">
            <w:pPr>
              <w:spacing w:before="40" w:after="40" w:line="200" w:lineRule="exact"/>
              <w:ind w:left="397"/>
              <w:rPr>
                <w:rFonts w:cs="FrankRuehl"/>
                <w:szCs w:val="20"/>
              </w:rPr>
            </w:pPr>
            <w:r w:rsidRPr="00BB0589">
              <w:rPr>
                <w:rFonts w:cs="FrankRuehl" w:hint="cs"/>
                <w:szCs w:val="20"/>
                <w:rtl/>
              </w:rPr>
              <w:t>21,995</w:t>
            </w:r>
          </w:p>
        </w:tc>
        <w:tc>
          <w:tcPr>
            <w:tcW w:w="2040" w:type="dxa"/>
            <w:vAlign w:val="center"/>
          </w:tcPr>
          <w:p w:rsidR="00E97EDA" w:rsidRPr="00BB0589" w:rsidP="004B0348">
            <w:pPr>
              <w:spacing w:before="40" w:after="40" w:line="200" w:lineRule="exact"/>
              <w:ind w:left="567"/>
              <w:rPr>
                <w:rFonts w:cs="FrankRuehl"/>
                <w:szCs w:val="20"/>
              </w:rPr>
            </w:pPr>
            <w:r w:rsidRPr="00BB0589">
              <w:rPr>
                <w:rFonts w:cs="FrankRuehl" w:hint="cs"/>
                <w:szCs w:val="20"/>
                <w:rtl/>
              </w:rPr>
              <w:t>5,555</w:t>
            </w:r>
          </w:p>
        </w:tc>
        <w:tc>
          <w:tcPr>
            <w:tcW w:w="2040" w:type="dxa"/>
            <w:vAlign w:val="bottom"/>
          </w:tcPr>
          <w:p w:rsidR="00E97EDA" w:rsidRPr="00BB0589" w:rsidP="004B0348">
            <w:pPr>
              <w:spacing w:before="40" w:after="40" w:line="200" w:lineRule="exact"/>
              <w:ind w:left="567"/>
              <w:rPr>
                <w:rFonts w:cs="FrankRuehl"/>
                <w:szCs w:val="20"/>
              </w:rPr>
            </w:pPr>
            <w:r w:rsidRPr="00BB0589">
              <w:rPr>
                <w:rFonts w:cs="FrankRuehl" w:hint="cs"/>
                <w:szCs w:val="20"/>
                <w:rtl/>
              </w:rPr>
              <w:t>25%</w:t>
            </w:r>
          </w:p>
        </w:tc>
      </w:tr>
      <w:tr w:rsidTr="004B0348">
        <w:tblPrEx>
          <w:tblW w:w="6688" w:type="dxa"/>
          <w:jc w:val="center"/>
          <w:tblLayout w:type="fixed"/>
          <w:tblLook w:val="0000"/>
        </w:tblPrEx>
        <w:trPr>
          <w:jc w:val="center"/>
        </w:trPr>
        <w:tc>
          <w:tcPr>
            <w:tcW w:w="1077" w:type="dxa"/>
            <w:tcBorders>
              <w:bottom w:val="single" w:sz="12" w:space="0" w:color="auto"/>
            </w:tcBorders>
            <w:noWrap/>
            <w:vAlign w:val="center"/>
          </w:tcPr>
          <w:p w:rsidR="00E97EDA" w:rsidRPr="00BB0589" w:rsidP="004B0348">
            <w:pPr>
              <w:spacing w:before="40" w:after="40" w:line="200" w:lineRule="exact"/>
              <w:rPr>
                <w:rFonts w:cs="FrankRuehl"/>
                <w:szCs w:val="20"/>
              </w:rPr>
            </w:pPr>
            <w:r w:rsidRPr="00BB0589">
              <w:rPr>
                <w:rFonts w:cs="FrankRuehl" w:hint="cs"/>
                <w:szCs w:val="20"/>
                <w:rtl/>
              </w:rPr>
              <w:t>ירושלים</w:t>
            </w:r>
          </w:p>
        </w:tc>
        <w:tc>
          <w:tcPr>
            <w:tcW w:w="1531" w:type="dxa"/>
            <w:tcBorders>
              <w:bottom w:val="single" w:sz="12" w:space="0" w:color="auto"/>
            </w:tcBorders>
            <w:vAlign w:val="center"/>
          </w:tcPr>
          <w:p w:rsidR="00E97EDA" w:rsidRPr="00BB0589" w:rsidP="004B0348">
            <w:pPr>
              <w:spacing w:before="40" w:after="40" w:line="200" w:lineRule="exact"/>
              <w:ind w:left="397"/>
              <w:rPr>
                <w:rFonts w:cs="FrankRuehl"/>
                <w:szCs w:val="20"/>
              </w:rPr>
            </w:pPr>
            <w:r w:rsidRPr="00BB0589">
              <w:rPr>
                <w:rFonts w:cs="FrankRuehl" w:hint="cs"/>
                <w:szCs w:val="20"/>
                <w:rtl/>
              </w:rPr>
              <w:t>22,748</w:t>
            </w:r>
          </w:p>
        </w:tc>
        <w:tc>
          <w:tcPr>
            <w:tcW w:w="2040" w:type="dxa"/>
            <w:tcBorders>
              <w:bottom w:val="single" w:sz="12" w:space="0" w:color="auto"/>
            </w:tcBorders>
            <w:vAlign w:val="center"/>
          </w:tcPr>
          <w:p w:rsidR="00E97EDA" w:rsidRPr="00BB0589" w:rsidP="004B0348">
            <w:pPr>
              <w:spacing w:before="40" w:after="40" w:line="200" w:lineRule="exact"/>
              <w:ind w:left="567"/>
              <w:rPr>
                <w:rFonts w:cs="FrankRuehl"/>
                <w:szCs w:val="20"/>
              </w:rPr>
            </w:pPr>
            <w:r w:rsidRPr="00BB0589">
              <w:rPr>
                <w:rFonts w:cs="FrankRuehl" w:hint="cs"/>
                <w:szCs w:val="20"/>
                <w:rtl/>
              </w:rPr>
              <w:t>18,522</w:t>
            </w:r>
          </w:p>
        </w:tc>
        <w:tc>
          <w:tcPr>
            <w:tcW w:w="2040" w:type="dxa"/>
            <w:tcBorders>
              <w:bottom w:val="single" w:sz="12" w:space="0" w:color="auto"/>
            </w:tcBorders>
            <w:vAlign w:val="bottom"/>
          </w:tcPr>
          <w:p w:rsidR="00E97EDA" w:rsidRPr="00BB0589" w:rsidP="004B0348">
            <w:pPr>
              <w:spacing w:before="40" w:after="40" w:line="200" w:lineRule="exact"/>
              <w:ind w:left="567"/>
              <w:rPr>
                <w:rFonts w:cs="FrankRuehl"/>
                <w:szCs w:val="20"/>
              </w:rPr>
            </w:pPr>
            <w:r w:rsidRPr="00BB0589">
              <w:rPr>
                <w:rFonts w:cs="FrankRuehl" w:hint="cs"/>
                <w:szCs w:val="20"/>
                <w:rtl/>
              </w:rPr>
              <w:t>81%</w:t>
            </w:r>
          </w:p>
        </w:tc>
      </w:tr>
      <w:tr w:rsidTr="004B0348">
        <w:tblPrEx>
          <w:tblW w:w="6688" w:type="dxa"/>
          <w:jc w:val="center"/>
          <w:tblLayout w:type="fixed"/>
          <w:tblLook w:val="0000"/>
        </w:tblPrEx>
        <w:trPr>
          <w:jc w:val="center"/>
        </w:trPr>
        <w:tc>
          <w:tcPr>
            <w:tcW w:w="1077" w:type="dxa"/>
            <w:tcBorders>
              <w:top w:val="single" w:sz="12" w:space="0" w:color="auto"/>
              <w:bottom w:val="single" w:sz="12" w:space="0" w:color="auto"/>
            </w:tcBorders>
            <w:shd w:val="pct10" w:color="auto" w:fill="auto"/>
            <w:noWrap/>
            <w:vAlign w:val="center"/>
          </w:tcPr>
          <w:p w:rsidR="00E97EDA" w:rsidRPr="00BB0589" w:rsidP="004B0348">
            <w:pPr>
              <w:spacing w:before="40" w:after="40" w:line="200" w:lineRule="exact"/>
              <w:jc w:val="right"/>
              <w:rPr>
                <w:rFonts w:cs="FrankRuehl"/>
                <w:b/>
                <w:bCs/>
                <w:szCs w:val="20"/>
                <w:rtl/>
              </w:rPr>
            </w:pPr>
            <w:r w:rsidRPr="00BB0589">
              <w:rPr>
                <w:rFonts w:cs="FrankRuehl" w:hint="cs"/>
                <w:b/>
                <w:bCs/>
                <w:szCs w:val="20"/>
                <w:rtl/>
              </w:rPr>
              <w:t>סך הכול</w:t>
            </w:r>
          </w:p>
        </w:tc>
        <w:tc>
          <w:tcPr>
            <w:tcW w:w="1531" w:type="dxa"/>
            <w:tcBorders>
              <w:top w:val="single" w:sz="12" w:space="0" w:color="auto"/>
              <w:bottom w:val="single" w:sz="12" w:space="0" w:color="auto"/>
            </w:tcBorders>
            <w:shd w:val="pct10" w:color="auto" w:fill="auto"/>
            <w:vAlign w:val="center"/>
          </w:tcPr>
          <w:p w:rsidR="00E97EDA" w:rsidRPr="00BB0589" w:rsidP="004B0348">
            <w:pPr>
              <w:spacing w:before="40" w:after="40" w:line="200" w:lineRule="exact"/>
              <w:ind w:left="397"/>
              <w:rPr>
                <w:rFonts w:cs="FrankRuehl"/>
                <w:b/>
                <w:bCs/>
                <w:szCs w:val="20"/>
                <w:rtl/>
              </w:rPr>
            </w:pPr>
            <w:r w:rsidRPr="00BB0589">
              <w:rPr>
                <w:rFonts w:cs="FrankRuehl"/>
                <w:b/>
                <w:bCs/>
                <w:szCs w:val="20"/>
                <w:rtl/>
              </w:rPr>
              <w:t>188,083</w:t>
            </w:r>
          </w:p>
        </w:tc>
        <w:tc>
          <w:tcPr>
            <w:tcW w:w="2040" w:type="dxa"/>
            <w:tcBorders>
              <w:top w:val="single" w:sz="12" w:space="0" w:color="auto"/>
              <w:bottom w:val="single" w:sz="12" w:space="0" w:color="auto"/>
            </w:tcBorders>
            <w:shd w:val="pct10" w:color="auto" w:fill="auto"/>
            <w:vAlign w:val="center"/>
          </w:tcPr>
          <w:p w:rsidR="00E97EDA" w:rsidRPr="00BB0589" w:rsidP="004B0348">
            <w:pPr>
              <w:spacing w:before="40" w:after="40" w:line="200" w:lineRule="exact"/>
              <w:ind w:left="567"/>
              <w:rPr>
                <w:rFonts w:cs="FrankRuehl"/>
                <w:b/>
                <w:bCs/>
                <w:szCs w:val="20"/>
                <w:rtl/>
              </w:rPr>
            </w:pPr>
            <w:r w:rsidRPr="00BB0589">
              <w:rPr>
                <w:rFonts w:cs="FrankRuehl"/>
                <w:b/>
                <w:bCs/>
                <w:szCs w:val="20"/>
                <w:rtl/>
              </w:rPr>
              <w:t>98,783</w:t>
            </w:r>
          </w:p>
        </w:tc>
        <w:tc>
          <w:tcPr>
            <w:tcW w:w="2040" w:type="dxa"/>
            <w:tcBorders>
              <w:top w:val="single" w:sz="12" w:space="0" w:color="auto"/>
              <w:bottom w:val="single" w:sz="12" w:space="0" w:color="auto"/>
            </w:tcBorders>
            <w:shd w:val="pct10" w:color="auto" w:fill="auto"/>
            <w:vAlign w:val="bottom"/>
          </w:tcPr>
          <w:p w:rsidR="00E97EDA" w:rsidRPr="00BB0589" w:rsidP="004B0348">
            <w:pPr>
              <w:spacing w:before="40" w:after="40" w:line="200" w:lineRule="exact"/>
              <w:ind w:left="567"/>
              <w:rPr>
                <w:rFonts w:cs="FrankRuehl"/>
                <w:b/>
                <w:bCs/>
                <w:szCs w:val="20"/>
                <w:rtl/>
              </w:rPr>
            </w:pPr>
            <w:r w:rsidRPr="00BB0589">
              <w:rPr>
                <w:rFonts w:cs="FrankRuehl" w:hint="cs"/>
                <w:b/>
                <w:bCs/>
                <w:szCs w:val="20"/>
                <w:rtl/>
              </w:rPr>
              <w:t>53%</w:t>
            </w:r>
          </w:p>
        </w:tc>
      </w:tr>
    </w:tbl>
    <w:p w:rsidR="00FA6646" w:rsidRPr="00FA6646" w:rsidP="004B0348">
      <w:pPr>
        <w:spacing w:before="240" w:after="240" w:line="230" w:lineRule="exact"/>
        <w:jc w:val="both"/>
        <w:rPr>
          <w:rFonts w:cs="FrankRuehl"/>
          <w:sz w:val="20"/>
          <w:szCs w:val="22"/>
          <w:rtl/>
          <w:lang w:eastAsia="he-IL"/>
        </w:rPr>
      </w:pPr>
      <w:r w:rsidRPr="00F41E78">
        <w:rPr>
          <w:rFonts w:cs="FrankRuehl" w:hint="cs"/>
          <w:sz w:val="18"/>
          <w:szCs w:val="22"/>
          <w:rtl/>
          <w:lang w:eastAsia="he-IL"/>
        </w:rPr>
        <w:t xml:space="preserve">כעולה מן הנתונים, בעוד </w:t>
      </w:r>
      <w:r w:rsidRPr="00F41E78">
        <w:rPr>
          <w:rFonts w:cs="FrankRuehl" w:hint="eastAsia"/>
          <w:sz w:val="18"/>
          <w:szCs w:val="22"/>
          <w:rtl/>
          <w:lang w:eastAsia="he-IL"/>
        </w:rPr>
        <w:t>שהגידול</w:t>
      </w:r>
      <w:r w:rsidRPr="00F41E78">
        <w:rPr>
          <w:rFonts w:cs="FrankRuehl"/>
          <w:sz w:val="18"/>
          <w:szCs w:val="22"/>
          <w:rtl/>
          <w:lang w:eastAsia="he-IL"/>
        </w:rPr>
        <w:t xml:space="preserve"> </w:t>
      </w:r>
      <w:r w:rsidRPr="00F41E78">
        <w:rPr>
          <w:rFonts w:cs="FrankRuehl" w:hint="eastAsia"/>
          <w:sz w:val="18"/>
          <w:szCs w:val="22"/>
          <w:rtl/>
          <w:lang w:eastAsia="he-IL"/>
        </w:rPr>
        <w:t>היחסי</w:t>
      </w:r>
      <w:r w:rsidRPr="00F41E78">
        <w:rPr>
          <w:rFonts w:cs="FrankRuehl"/>
          <w:sz w:val="18"/>
          <w:szCs w:val="22"/>
          <w:rtl/>
          <w:lang w:eastAsia="he-IL"/>
        </w:rPr>
        <w:t xml:space="preserve"> </w:t>
      </w:r>
      <w:r w:rsidRPr="00F41E78">
        <w:rPr>
          <w:rFonts w:cs="FrankRuehl" w:hint="eastAsia"/>
          <w:sz w:val="18"/>
          <w:szCs w:val="22"/>
          <w:rtl/>
          <w:lang w:eastAsia="he-IL"/>
        </w:rPr>
        <w:t>במשקי</w:t>
      </w:r>
      <w:r w:rsidRPr="00F41E78">
        <w:rPr>
          <w:rFonts w:cs="FrankRuehl"/>
          <w:sz w:val="18"/>
          <w:szCs w:val="22"/>
          <w:rtl/>
          <w:lang w:eastAsia="he-IL"/>
        </w:rPr>
        <w:t xml:space="preserve"> </w:t>
      </w:r>
      <w:r w:rsidRPr="00F41E78">
        <w:rPr>
          <w:rFonts w:cs="FrankRuehl" w:hint="eastAsia"/>
          <w:sz w:val="18"/>
          <w:szCs w:val="22"/>
          <w:rtl/>
          <w:lang w:eastAsia="he-IL"/>
        </w:rPr>
        <w:t>הבית</w:t>
      </w:r>
      <w:r w:rsidRPr="00F41E78">
        <w:rPr>
          <w:rFonts w:cs="FrankRuehl" w:hint="cs"/>
          <w:sz w:val="18"/>
          <w:szCs w:val="22"/>
          <w:rtl/>
          <w:lang w:eastAsia="he-IL"/>
        </w:rPr>
        <w:t xml:space="preserve"> עמד על 188,083, נחתמו עסקאות לגבי 98,783 יח"ד; כלומר נרשם מחסור של כ-50% ביח"ד לגביהן נחתמו עסקאות.</w:t>
      </w:r>
      <w:r w:rsidRPr="00CB33CD">
        <w:rPr>
          <w:rFonts w:hint="cs"/>
          <w:szCs w:val="20"/>
          <w:rtl/>
          <w:lang w:eastAsia="he-IL"/>
        </w:rPr>
        <w:t xml:space="preserve"> </w:t>
      </w:r>
      <w:r w:rsidRPr="00FA6646">
        <w:rPr>
          <w:rFonts w:cs="FrankRuehl" w:hint="cs"/>
          <w:sz w:val="20"/>
          <w:szCs w:val="22"/>
          <w:rtl/>
          <w:lang w:eastAsia="he-IL"/>
        </w:rPr>
        <w:t>מחסור זה ניכר בייחוד במחוז תל אביב (25%) ובמחוז המרכז (39%).</w:t>
      </w:r>
    </w:p>
    <w:p w:rsidR="00D22B16" w:rsidRPr="00F41E78" w:rsidP="00FF1578">
      <w:pPr>
        <w:pStyle w:val="RESHET"/>
        <w:keepLines/>
      </w:pPr>
      <w:r w:rsidRPr="00F41E78">
        <w:rPr>
          <w:rFonts w:hint="cs"/>
          <w:rtl/>
        </w:rPr>
        <w:t>יוצא אפוא כי בשנים 2012-2007 לא הייתה כל התאמה בין הגידול היחסי במשקי הבית ובין מספר יחידות הדיור שבגינן נחתמו עסקאות, וממילא לא שיווקה רמ"י</w:t>
      </w:r>
      <w:r w:rsidR="00C75E4D">
        <w:rPr>
          <w:rFonts w:hint="cs"/>
          <w:rtl/>
        </w:rPr>
        <w:t xml:space="preserve"> </w:t>
      </w:r>
      <w:r w:rsidRPr="00F41E78">
        <w:rPr>
          <w:rFonts w:hint="cs"/>
          <w:rtl/>
        </w:rPr>
        <w:t>מלאי קרקעות שהתאים לביקושים הצפויים באותם מחוזות. הדבר יצר פער הולך וגדל של ביקוש מול היצע, ובעקיפין גרם לעלייה במחירי הדיור. הגדלת ההיצע של קרקעות למגורים באופן שוטף, ולא רק בעתות משבר ומצוקה בשוק הדיור, עשויה הייתה ליצור תחרות בשוק שתשפיע לטובה על מחירי הדיור. לכן בבואה לקבוע את תכנית השיווק שלה, מן הראוי שרמ"י תתייחס לגידול הצפוי במשקי הבית בחלוקה למחוזות ולאזורים ספציפיים.</w:t>
      </w:r>
    </w:p>
    <w:p w:rsidR="00282703"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bookmarkStart w:id="60" w:name="_Toc368500023"/>
      <w:r w:rsidRPr="00CB33CD">
        <w:rPr>
          <w:rFonts w:hint="cs"/>
          <w:rtl/>
          <w:lang w:eastAsia="he-IL"/>
        </w:rPr>
        <w:t>אופן הצגת נתוני השיווק</w:t>
      </w:r>
      <w:bookmarkEnd w:id="60"/>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בנתונים שהציגו רמ"י ומשרד הבינוי בדוחות הסטטיסטיים השונים קיימות אי-התאמות. לעתים נספרו יח"ד ששווקו באמצעות מכרז בלבד ולעתים נספרו גם יח"ד ששווקו באמצעות מחיר למשתכן. לפעמים נספרות גם יחידות הדיור ששווקו בפטור ממכרז, ולא בכל הדוחות נספרות יחידות הדיור בניהולה של חברת עמידר. כמו כן, לא תמיד מופיעים הנתונים בניכוי ביטולים.</w:t>
      </w:r>
    </w:p>
    <w:p w:rsidR="00E97EDA" w:rsidRPr="00F41E78" w:rsidP="004B0348">
      <w:pPr>
        <w:spacing w:after="240" w:line="230" w:lineRule="exact"/>
        <w:jc w:val="both"/>
        <w:rPr>
          <w:rFonts w:cs="FrankRuehl"/>
          <w:sz w:val="18"/>
          <w:szCs w:val="22"/>
          <w:rtl/>
          <w:lang w:eastAsia="he-IL"/>
        </w:rPr>
      </w:pPr>
      <w:r w:rsidRPr="00F41E78">
        <w:rPr>
          <w:rFonts w:cs="FrankRuehl" w:hint="cs"/>
          <w:sz w:val="18"/>
          <w:szCs w:val="22"/>
          <w:rtl/>
          <w:lang w:eastAsia="he-IL"/>
        </w:rPr>
        <w:t xml:space="preserve">לדוגמה, בין נתוני השיווק לשנת 2009 שפורסמו בדוח הפעילות של רמ"י ובין אלו שפורסמו בחוברת המידע "ענף הבנייה בישראל ניתוח כלכלי - 2012" של משרד הבינוי נרשם פער של יותר מ-4,000 יח"ד; ובשנת 2011 נרשם פער של כ-10,000 יח"ד. </w:t>
      </w:r>
    </w:p>
    <w:p w:rsidR="00D22B16" w:rsidRPr="00F41E78" w:rsidP="00D22B16">
      <w:pPr>
        <w:pStyle w:val="RESHET"/>
        <w:keepLines/>
        <w:rPr>
          <w:rtl/>
        </w:rPr>
      </w:pPr>
      <w:r w:rsidRPr="00F41E78">
        <w:rPr>
          <w:rFonts w:hint="cs"/>
          <w:rtl/>
        </w:rPr>
        <w:t xml:space="preserve">לדעת משרד מבקר המדינה, ראוי שהמידע בדבר יחידות הדיור שפורסמו ונחתמו בגינן עסקאות יוצג באופן עקבי ושיטתי ובהתאמה בין הגופים הרלוונטיים; הכול כדי להציג תמונת מצב מהימנה ואמינה של שוק הדיור שתאפשר קיומו של תהליך קבלת החלטות אסטרטגיות, קביעת יעדים נכונים ובניית מדיניות התואמת למצב השוק. </w:t>
      </w:r>
    </w:p>
    <w:p w:rsidR="004B0348" w:rsidP="004B0348">
      <w:pPr>
        <w:spacing w:after="120" w:line="230" w:lineRule="exact"/>
        <w:jc w:val="both"/>
        <w:rPr>
          <w:rFonts w:cs="FrankRuehl"/>
          <w:sz w:val="22"/>
          <w:szCs w:val="22"/>
          <w:rtl/>
        </w:rPr>
      </w:pPr>
    </w:p>
    <w:p w:rsidR="004B0348" w:rsidP="004B0348">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4B0348" w:rsidP="004B0348">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 xml:space="preserve">מועצת מקרקעי ישראל אמונה על קביעת מטרות ויעדים קרקעיים ועל קביעת מדיניותה של רמ"י. אולם לאורך שנים לא קבעה מועצת מקרקעי ישראל מדיניות ברורה בנושאי השיווק ולא קיבלה החלטות מפורשות הנוגעות לשיווק מקרקעין למגורים שמכוחן ייגזרו המדיניות, המטרות והיעדים הספציפיים של רמ"י </w:t>
      </w:r>
      <w:r w:rsidRPr="00F41E78">
        <w:rPr>
          <w:rFonts w:hint="eastAsia"/>
          <w:rtl/>
        </w:rPr>
        <w:t>ושל</w:t>
      </w:r>
      <w:r w:rsidRPr="00F41E78">
        <w:rPr>
          <w:rtl/>
        </w:rPr>
        <w:t xml:space="preserve"> </w:t>
      </w:r>
      <w:r w:rsidRPr="00F41E78">
        <w:rPr>
          <w:rFonts w:hint="eastAsia"/>
          <w:rtl/>
        </w:rPr>
        <w:t>משרד הבינוי</w:t>
      </w:r>
      <w:r w:rsidRPr="00F41E78">
        <w:rPr>
          <w:rFonts w:hint="cs"/>
          <w:rtl/>
        </w:rPr>
        <w:t xml:space="preserve">. </w:t>
      </w:r>
    </w:p>
    <w:p w:rsidR="00D22B16" w:rsidRPr="00F41E78" w:rsidP="00D22B16">
      <w:pPr>
        <w:pStyle w:val="RESHET"/>
        <w:keepLines/>
        <w:rPr>
          <w:rtl/>
        </w:rPr>
      </w:pPr>
      <w:r w:rsidRPr="00F41E78">
        <w:rPr>
          <w:rFonts w:hint="cs"/>
          <w:rtl/>
        </w:rPr>
        <w:t xml:space="preserve">רמ"י ומשרד הבינוי לא עמדו ביעדי הממשלה לשיווק. יתרה מזאת, לא נמצא כי התקיים דיון או בירור כלשהו במסגרת גופים אלו בנוגע לאי-השגת היעדים. רמ"י ומשרד הבינוי גם לא ניתחו מצב זה, וממילא לא העלו בפני הממשלה את חוסר יכולתם לעמוד ביעדים שקבעה, כדי לאפשר לה להיערך למתן פתרונות אלטרנטיביים להשגת יעדי השיווק. </w:t>
      </w:r>
    </w:p>
    <w:p w:rsidR="00D22B16" w:rsidRPr="00F41E78" w:rsidP="00D22B16">
      <w:pPr>
        <w:pStyle w:val="RESHET"/>
        <w:keepLines/>
        <w:rPr>
          <w:rtl/>
        </w:rPr>
      </w:pPr>
      <w:r w:rsidRPr="00F41E78">
        <w:rPr>
          <w:rFonts w:hint="cs"/>
          <w:rtl/>
        </w:rPr>
        <w:t xml:space="preserve">נוסף לכך, נראה כי רמ"י לא הציגה לממשלה תמונת מצב מלאה של שוק הנדל"ן, שתאפשר לה לקבוע יעדים ריאליים בהחלטותיה הנוגעות לנושא זה התואמים למידע השיווקי המצוי בידיה. </w:t>
      </w:r>
    </w:p>
    <w:p w:rsidR="00D22B16" w:rsidRPr="00F41E78" w:rsidP="00D22B16">
      <w:pPr>
        <w:pStyle w:val="RESHET"/>
        <w:keepLines/>
        <w:rPr>
          <w:rtl/>
        </w:rPr>
      </w:pPr>
      <w:r w:rsidRPr="00F41E78">
        <w:rPr>
          <w:rFonts w:hint="cs"/>
          <w:rtl/>
        </w:rPr>
        <w:t>רמ"י ומשרד הבינוי לא התאימו את השיווק של יחידות הדיור להתפתחות אזורי הביקוש למגורים ולגידול משקי הבית, על פי המחוזות השונים בארץ.</w:t>
      </w:r>
    </w:p>
    <w:p w:rsidR="00D22B16" w:rsidRPr="00F41E78" w:rsidP="00D22B16">
      <w:pPr>
        <w:pStyle w:val="RESHET"/>
        <w:keepLines/>
        <w:rPr>
          <w:rtl/>
        </w:rPr>
      </w:pPr>
      <w:r w:rsidRPr="00F41E78">
        <w:rPr>
          <w:rFonts w:hint="cs"/>
          <w:rtl/>
        </w:rPr>
        <w:t xml:space="preserve">חלק ניכר ממלאי הקרקעות המופיע בתכניות העבודה לשיווק של רמ"י ושל משרד הבינוי אינו זמין בפועל לשיווק בשל חסמים למיניהם. בעקבות כך נרשם פער גדול בין מספר יחידות הדיור המופיע בתכנית העבודה למספר המפורסם לשיווק. פער גדול נוצר גם בין מספר יחידות הדיור שפורסמו ובין מספר יחידות הדיור שבגינן נחתמו בפועל עסקאות. </w:t>
      </w:r>
    </w:p>
    <w:p w:rsidR="00E97EDA" w:rsidRPr="00F41E78" w:rsidP="00A7557B">
      <w:pPr>
        <w:spacing w:after="120" w:line="230" w:lineRule="exact"/>
        <w:jc w:val="both"/>
        <w:rPr>
          <w:rFonts w:cs="FrankRuehl"/>
          <w:sz w:val="18"/>
          <w:szCs w:val="22"/>
          <w:rtl/>
          <w:lang w:eastAsia="he-IL"/>
        </w:rPr>
      </w:pPr>
    </w:p>
    <w:p w:rsidR="00E97EDA" w:rsidRPr="00F41E78" w:rsidP="00A7557B">
      <w:pPr>
        <w:spacing w:after="120" w:line="230" w:lineRule="exact"/>
        <w:jc w:val="both"/>
        <w:rPr>
          <w:rFonts w:cs="FrankRuehl"/>
          <w:sz w:val="18"/>
          <w:szCs w:val="22"/>
          <w:rtl/>
          <w:lang w:eastAsia="he-IL"/>
        </w:rPr>
      </w:pPr>
    </w:p>
    <w:p w:rsidR="00C75E4D" w:rsidP="00A74551">
      <w:pPr>
        <w:pStyle w:val="KOT2"/>
        <w:outlineLvl w:val="0"/>
        <w:rPr>
          <w:b w:val="0"/>
          <w:bCs w:val="0"/>
          <w:sz w:val="28"/>
          <w:szCs w:val="28"/>
          <w:rtl/>
        </w:rPr>
        <w:sectPr w:rsidSect="004A767A">
          <w:footnotePr>
            <w:numRestart w:val="eachSect"/>
          </w:footnotePr>
          <w:pgSz w:w="11906" w:h="16838" w:code="9"/>
          <w:pgMar w:top="1758" w:right="2552" w:bottom="4253" w:left="2552" w:header="1247" w:footer="1134" w:gutter="0"/>
          <w:cols w:space="720"/>
          <w:rtlGutter/>
        </w:sectPr>
      </w:pPr>
      <w:bookmarkStart w:id="61" w:name="_Toc364926545"/>
    </w:p>
    <w:p w:rsidR="00E97EDA" w:rsidRPr="00CB33CD" w:rsidP="00A74551">
      <w:pPr>
        <w:pStyle w:val="KOT2"/>
        <w:outlineLvl w:val="0"/>
        <w:rPr>
          <w:rtl/>
        </w:rPr>
      </w:pPr>
      <w:r w:rsidRPr="00A74551">
        <w:rPr>
          <w:rFonts w:hint="cs"/>
          <w:b w:val="0"/>
          <w:bCs w:val="0"/>
          <w:sz w:val="28"/>
          <w:szCs w:val="28"/>
          <w:rtl/>
        </w:rPr>
        <w:t>פרק שמיני</w:t>
      </w:r>
      <w:r w:rsidRPr="00A74551">
        <w:rPr>
          <w:b w:val="0"/>
          <w:bCs w:val="0"/>
          <w:sz w:val="28"/>
          <w:szCs w:val="28"/>
          <w:rtl/>
        </w:rPr>
        <w:br/>
      </w:r>
      <w:r w:rsidRPr="00CB33CD">
        <w:rPr>
          <w:rFonts w:hint="cs"/>
          <w:rtl/>
        </w:rPr>
        <w:t>מחירי הקרקע</w:t>
      </w:r>
      <w:bookmarkEnd w:id="61"/>
      <w:r>
        <w:rPr>
          <w:rFonts w:hint="cs"/>
          <w:rtl/>
        </w:rPr>
        <w:t xml:space="preserve"> (מקרקעי ישראל)</w:t>
      </w:r>
    </w:p>
    <w:p w:rsidR="00E97EDA" w:rsidRPr="00F41E78" w:rsidP="004B0348">
      <w:pPr>
        <w:spacing w:after="240" w:line="230" w:lineRule="exact"/>
        <w:jc w:val="both"/>
        <w:rPr>
          <w:rFonts w:cs="FrankRuehl"/>
          <w:sz w:val="18"/>
          <w:szCs w:val="22"/>
          <w:rtl/>
          <w:lang w:eastAsia="he-IL"/>
        </w:rPr>
      </w:pPr>
      <w:r w:rsidRPr="00F41E78">
        <w:rPr>
          <w:rFonts w:cs="FrankRuehl" w:hint="cs"/>
          <w:sz w:val="18"/>
          <w:szCs w:val="22"/>
          <w:rtl/>
          <w:lang w:eastAsia="he-IL"/>
        </w:rPr>
        <w:t xml:space="preserve">שיטת שיווק הקרקעות הנפוצה של רמ"י היא באמצעות מכרז שבו נקבע מחיר מינימום לקרקע. נקודת המוצא היא שאת עלות הקרקע יכסה היזם באמצעות מחיר הדירה שיקבל מהרוכש. יוצא אפוא שההצעות נגזרות מהמחיר הצפוי של הדירה בשוק. </w:t>
      </w:r>
    </w:p>
    <w:p w:rsidR="00D22B16" w:rsidRPr="00F41E78" w:rsidP="00D22B16">
      <w:pPr>
        <w:pStyle w:val="RESHET"/>
        <w:keepLines/>
        <w:rPr>
          <w:rtl/>
        </w:rPr>
      </w:pPr>
      <w:r w:rsidRPr="00F41E78">
        <w:rPr>
          <w:rFonts w:hint="cs"/>
          <w:rtl/>
        </w:rPr>
        <w:t xml:space="preserve">למחיר הקרקע חלק מרכזי במחירי הדיור. כאשר היצע הקרקעות למגורים קטן באופן יחסי ואינו נותן מענה לביקוש, מחירי הדיור עולים ובהתאם גם מחירי הקרקע. אם כך, ככל שישווקו יותר קרקעות יגדל ההיצע; הדבר ימתן את עליית מחירי הדיור ועשוי למנוע את העלייה במחירי הקרקע. </w:t>
      </w:r>
    </w:p>
    <w:p w:rsidR="00E97EDA" w:rsidRPr="00F41E78" w:rsidP="004B0348">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קביעת מחיר הקרקע המיועדת לשיווק נעשית באמצעות שמאי הקובע את המחיר על פי מספר פרמטרים ובהם מחירי הדיור באזור המיועד לשיווק. לאחר קביעת מחיר הקרקע רמ"י משווקת את הקרקע בהנחה מהערך המקסימלי שנקבע, וזאת על פי מפת אזורי העדיפות שקבעו הממשלות לאורך השנים ולפי החלטות מועצת מקרקעי ישראל בדבר גובה ההנחה. </w:t>
      </w:r>
    </w:p>
    <w:p w:rsidR="00E97EDA" w:rsidRPr="00F41E78" w:rsidP="00A7557B">
      <w:pPr>
        <w:spacing w:after="120" w:line="230" w:lineRule="exact"/>
        <w:jc w:val="both"/>
        <w:rPr>
          <w:rFonts w:cs="FrankRuehl"/>
          <w:sz w:val="18"/>
          <w:szCs w:val="22"/>
          <w:lang w:eastAsia="he-IL"/>
        </w:rPr>
      </w:pPr>
    </w:p>
    <w:p w:rsidR="00282703" w:rsidRPr="00F41E78" w:rsidP="00A7557B">
      <w:pPr>
        <w:spacing w:after="120" w:line="230" w:lineRule="exact"/>
        <w:jc w:val="both"/>
        <w:rPr>
          <w:rFonts w:cs="FrankRuehl"/>
          <w:sz w:val="18"/>
          <w:szCs w:val="22"/>
          <w:rtl/>
          <w:lang w:eastAsia="he-IL"/>
        </w:rPr>
      </w:pPr>
    </w:p>
    <w:p w:rsidR="00E97EDA" w:rsidRPr="00CB33CD" w:rsidP="00A7557B">
      <w:pPr>
        <w:pStyle w:val="KOT4"/>
        <w:rPr>
          <w:rtl/>
          <w:lang w:eastAsia="he-IL"/>
        </w:rPr>
      </w:pPr>
      <w:r w:rsidRPr="00CB33CD">
        <w:rPr>
          <w:rFonts w:hint="cs"/>
          <w:rtl/>
          <w:lang w:eastAsia="he-IL"/>
        </w:rPr>
        <w:t>מחירי הקרקע מול מחירי הדיור</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לפי מחקר שנערך בבנק ישראל</w:t>
      </w:r>
      <w:r>
        <w:rPr>
          <w:rFonts w:cs="FrankRuehl"/>
          <w:sz w:val="18"/>
          <w:szCs w:val="22"/>
          <w:vertAlign w:val="superscript"/>
          <w:rtl/>
          <w:lang w:eastAsia="he-IL"/>
        </w:rPr>
        <w:footnoteReference w:id="253"/>
      </w:r>
      <w:r w:rsidRPr="00F41E78">
        <w:rPr>
          <w:rFonts w:cs="FrankRuehl" w:hint="cs"/>
          <w:sz w:val="18"/>
          <w:szCs w:val="22"/>
          <w:rtl/>
          <w:lang w:eastAsia="he-IL"/>
        </w:rPr>
        <w:t>, מסד הנתונים לחישוב המחיר הוא תוצאות המכרזים שרמ"י פרסמה בנוגע למקרקעין שנועדו לבנייה למגורים רוויה או נמוכה או צמודת קרקע (כ-89% בבנייה רוויה).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מהמחקר עולה כי מחיר הקרקע הוא מרכיב מהותי במחיר הדירה לצרכן, בייחוד באזורי ביקוש. בישראל מחיר הקרקע, </w:t>
      </w:r>
      <w:r w:rsidRPr="00F41E78">
        <w:rPr>
          <w:rFonts w:cs="FrankRuehl" w:hint="eastAsia"/>
          <w:sz w:val="18"/>
          <w:szCs w:val="22"/>
          <w:rtl/>
          <w:lang w:eastAsia="he-IL"/>
        </w:rPr>
        <w:t>בממוצע</w:t>
      </w:r>
      <w:r w:rsidRPr="00F41E78">
        <w:rPr>
          <w:rFonts w:cs="FrankRuehl"/>
          <w:sz w:val="18"/>
          <w:szCs w:val="22"/>
          <w:rtl/>
          <w:lang w:eastAsia="he-IL"/>
        </w:rPr>
        <w:t xml:space="preserve"> </w:t>
      </w:r>
      <w:r w:rsidRPr="00F41E78">
        <w:rPr>
          <w:rFonts w:cs="FrankRuehl" w:hint="eastAsia"/>
          <w:sz w:val="18"/>
          <w:szCs w:val="22"/>
          <w:rtl/>
          <w:lang w:eastAsia="he-IL"/>
        </w:rPr>
        <w:t>כלל</w:t>
      </w:r>
      <w:r w:rsidRPr="00F41E78">
        <w:rPr>
          <w:rFonts w:cs="FrankRuehl" w:hint="cs"/>
          <w:sz w:val="18"/>
          <w:szCs w:val="22"/>
          <w:rtl/>
          <w:lang w:eastAsia="he-IL"/>
        </w:rPr>
        <w:t>-</w:t>
      </w:r>
      <w:r w:rsidRPr="00F41E78">
        <w:rPr>
          <w:rFonts w:cs="FrankRuehl" w:hint="eastAsia"/>
          <w:sz w:val="18"/>
          <w:szCs w:val="22"/>
          <w:rtl/>
          <w:lang w:eastAsia="he-IL"/>
        </w:rPr>
        <w:t>ארצי</w:t>
      </w:r>
      <w:r w:rsidRPr="00F41E78">
        <w:rPr>
          <w:rFonts w:cs="FrankRuehl"/>
          <w:sz w:val="18"/>
          <w:szCs w:val="22"/>
          <w:rtl/>
          <w:lang w:eastAsia="he-IL"/>
        </w:rPr>
        <w:t xml:space="preserve"> </w:t>
      </w:r>
      <w:r w:rsidRPr="00F41E78">
        <w:rPr>
          <w:rFonts w:cs="FrankRuehl" w:hint="eastAsia"/>
          <w:sz w:val="18"/>
          <w:szCs w:val="22"/>
          <w:rtl/>
          <w:lang w:eastAsia="he-IL"/>
        </w:rPr>
        <w:t>לשנים</w:t>
      </w:r>
      <w:r w:rsidRPr="00F41E78">
        <w:rPr>
          <w:rFonts w:cs="FrankRuehl"/>
          <w:sz w:val="18"/>
          <w:szCs w:val="22"/>
          <w:rtl/>
          <w:lang w:eastAsia="he-IL"/>
        </w:rPr>
        <w:t xml:space="preserve"> 2010-2009, </w:t>
      </w:r>
      <w:r w:rsidRPr="00F41E78">
        <w:rPr>
          <w:rFonts w:cs="FrankRuehl" w:hint="eastAsia"/>
          <w:sz w:val="18"/>
          <w:szCs w:val="22"/>
          <w:rtl/>
          <w:lang w:eastAsia="he-IL"/>
        </w:rPr>
        <w:t>מתקרב</w:t>
      </w:r>
      <w:r w:rsidRPr="00F41E78">
        <w:rPr>
          <w:rFonts w:cs="FrankRuehl"/>
          <w:sz w:val="18"/>
          <w:szCs w:val="22"/>
          <w:rtl/>
          <w:lang w:eastAsia="he-IL"/>
        </w:rPr>
        <w:t xml:space="preserve"> </w:t>
      </w:r>
      <w:r w:rsidRPr="00F41E78">
        <w:rPr>
          <w:rFonts w:cs="FrankRuehl" w:hint="eastAsia"/>
          <w:sz w:val="18"/>
          <w:szCs w:val="22"/>
          <w:rtl/>
          <w:lang w:eastAsia="he-IL"/>
        </w:rPr>
        <w:t>ל</w:t>
      </w:r>
      <w:r w:rsidRPr="00F41E78">
        <w:rPr>
          <w:rFonts w:cs="FrankRuehl" w:hint="cs"/>
          <w:sz w:val="18"/>
          <w:szCs w:val="22"/>
          <w:rtl/>
          <w:lang w:eastAsia="he-IL"/>
        </w:rPr>
        <w:t>-33%</w:t>
      </w:r>
      <w:r w:rsidRPr="00F41E78">
        <w:rPr>
          <w:rFonts w:cs="FrankRuehl"/>
          <w:sz w:val="18"/>
          <w:szCs w:val="22"/>
          <w:rtl/>
          <w:lang w:eastAsia="he-IL"/>
        </w:rPr>
        <w:t xml:space="preserve"> </w:t>
      </w:r>
      <w:r w:rsidRPr="00F41E78">
        <w:rPr>
          <w:rFonts w:cs="FrankRuehl" w:hint="eastAsia"/>
          <w:sz w:val="18"/>
          <w:szCs w:val="22"/>
          <w:rtl/>
          <w:lang w:eastAsia="he-IL"/>
        </w:rPr>
        <w:t>ממחיר</w:t>
      </w:r>
      <w:r w:rsidRPr="00F41E78">
        <w:rPr>
          <w:rFonts w:cs="FrankRuehl"/>
          <w:sz w:val="18"/>
          <w:szCs w:val="22"/>
          <w:rtl/>
          <w:lang w:eastAsia="he-IL"/>
        </w:rPr>
        <w:t xml:space="preserve"> </w:t>
      </w:r>
      <w:r w:rsidRPr="00F41E78">
        <w:rPr>
          <w:rFonts w:cs="FrankRuehl" w:hint="eastAsia"/>
          <w:sz w:val="18"/>
          <w:szCs w:val="22"/>
          <w:rtl/>
          <w:lang w:eastAsia="he-IL"/>
        </w:rPr>
        <w:t>הדירה</w:t>
      </w:r>
      <w:r w:rsidRPr="00F41E78">
        <w:rPr>
          <w:rFonts w:cs="FrankRuehl"/>
          <w:sz w:val="18"/>
          <w:szCs w:val="22"/>
          <w:rtl/>
          <w:lang w:eastAsia="he-IL"/>
        </w:rPr>
        <w:t xml:space="preserve"> </w:t>
      </w:r>
      <w:r w:rsidRPr="00F41E78">
        <w:rPr>
          <w:rFonts w:cs="FrankRuehl" w:hint="eastAsia"/>
          <w:sz w:val="18"/>
          <w:szCs w:val="22"/>
          <w:rtl/>
          <w:lang w:eastAsia="he-IL"/>
        </w:rPr>
        <w:t>לצרכן</w:t>
      </w:r>
      <w:r w:rsidRPr="00F41E78">
        <w:rPr>
          <w:rFonts w:cs="FrankRuehl" w:hint="cs"/>
          <w:sz w:val="18"/>
          <w:szCs w:val="22"/>
          <w:rtl/>
          <w:lang w:eastAsia="he-IL"/>
        </w:rPr>
        <w:t>. במרכז הארץ חלקה של הקרקע גבוה בהרבה מאשר בפריפריה</w:t>
      </w:r>
      <w:r>
        <w:rPr>
          <w:rFonts w:cs="FrankRuehl"/>
          <w:sz w:val="18"/>
          <w:szCs w:val="22"/>
          <w:vertAlign w:val="superscript"/>
          <w:rtl/>
          <w:lang w:eastAsia="he-IL"/>
        </w:rPr>
        <w:footnoteReference w:id="254"/>
      </w:r>
      <w:r w:rsidRPr="00F41E78">
        <w:rPr>
          <w:rFonts w:cs="FrankRuehl" w:hint="cs"/>
          <w:sz w:val="18"/>
          <w:szCs w:val="22"/>
          <w:rtl/>
          <w:lang w:eastAsia="he-IL"/>
        </w:rPr>
        <w:t>.</w:t>
      </w:r>
    </w:p>
    <w:p w:rsidR="00E97EDA" w:rsidRPr="00F41E78" w:rsidP="004B0348">
      <w:pPr>
        <w:spacing w:after="240" w:line="230" w:lineRule="exact"/>
        <w:jc w:val="both"/>
        <w:rPr>
          <w:rFonts w:cs="FrankRuehl"/>
          <w:sz w:val="18"/>
          <w:szCs w:val="22"/>
          <w:rtl/>
          <w:lang w:eastAsia="he-IL"/>
        </w:rPr>
      </w:pPr>
      <w:r w:rsidRPr="00F41E78">
        <w:rPr>
          <w:rFonts w:cs="FrankRuehl" w:hint="cs"/>
          <w:sz w:val="18"/>
          <w:szCs w:val="22"/>
          <w:rtl/>
          <w:lang w:eastAsia="he-IL"/>
        </w:rPr>
        <w:t xml:space="preserve">עם זאת, נמצאו הבדלים </w:t>
      </w:r>
      <w:r w:rsidRPr="00F41E78">
        <w:rPr>
          <w:rFonts w:cs="FrankRuehl" w:hint="eastAsia"/>
          <w:sz w:val="18"/>
          <w:szCs w:val="22"/>
          <w:rtl/>
          <w:lang w:eastAsia="he-IL"/>
        </w:rPr>
        <w:t>בשינויים</w:t>
      </w:r>
      <w:r w:rsidRPr="00F41E78">
        <w:rPr>
          <w:rFonts w:cs="FrankRuehl"/>
          <w:sz w:val="18"/>
          <w:szCs w:val="22"/>
          <w:rtl/>
          <w:lang w:eastAsia="he-IL"/>
        </w:rPr>
        <w:t xml:space="preserve"> </w:t>
      </w:r>
      <w:r w:rsidRPr="00F41E78">
        <w:rPr>
          <w:rFonts w:cs="FrankRuehl" w:hint="eastAsia"/>
          <w:sz w:val="18"/>
          <w:szCs w:val="22"/>
          <w:rtl/>
          <w:lang w:eastAsia="he-IL"/>
        </w:rPr>
        <w:t>במחירי</w:t>
      </w:r>
      <w:r w:rsidRPr="00F41E78">
        <w:rPr>
          <w:rFonts w:cs="FrankRuehl"/>
          <w:sz w:val="18"/>
          <w:szCs w:val="22"/>
          <w:rtl/>
          <w:lang w:eastAsia="he-IL"/>
        </w:rPr>
        <w:t xml:space="preserve"> </w:t>
      </w:r>
      <w:r w:rsidRPr="00F41E78">
        <w:rPr>
          <w:rFonts w:cs="FrankRuehl" w:hint="eastAsia"/>
          <w:sz w:val="18"/>
          <w:szCs w:val="22"/>
          <w:rtl/>
          <w:lang w:eastAsia="he-IL"/>
        </w:rPr>
        <w:t>הקרקע</w:t>
      </w:r>
      <w:r w:rsidRPr="00F41E78">
        <w:rPr>
          <w:rFonts w:cs="FrankRuehl"/>
          <w:sz w:val="18"/>
          <w:szCs w:val="22"/>
          <w:rtl/>
          <w:lang w:eastAsia="he-IL"/>
        </w:rPr>
        <w:t xml:space="preserve"> </w:t>
      </w:r>
      <w:r w:rsidRPr="00F41E78">
        <w:rPr>
          <w:rFonts w:cs="FrankRuehl" w:hint="eastAsia"/>
          <w:sz w:val="18"/>
          <w:szCs w:val="22"/>
          <w:rtl/>
          <w:lang w:eastAsia="he-IL"/>
        </w:rPr>
        <w:t>ובמחירי</w:t>
      </w:r>
      <w:r w:rsidRPr="00F41E78">
        <w:rPr>
          <w:rFonts w:cs="FrankRuehl"/>
          <w:sz w:val="18"/>
          <w:szCs w:val="22"/>
          <w:rtl/>
          <w:lang w:eastAsia="he-IL"/>
        </w:rPr>
        <w:t xml:space="preserve"> </w:t>
      </w:r>
      <w:r w:rsidRPr="00F41E78">
        <w:rPr>
          <w:rFonts w:cs="FrankRuehl" w:hint="eastAsia"/>
          <w:sz w:val="18"/>
          <w:szCs w:val="22"/>
          <w:rtl/>
          <w:lang w:eastAsia="he-IL"/>
        </w:rPr>
        <w:t>הדיור</w:t>
      </w:r>
      <w:r w:rsidRPr="00F41E78">
        <w:rPr>
          <w:rFonts w:cs="FrankRuehl" w:hint="cs"/>
          <w:sz w:val="18"/>
          <w:szCs w:val="22"/>
          <w:rtl/>
          <w:lang w:eastAsia="he-IL"/>
        </w:rPr>
        <w:t xml:space="preserve"> בין מרכז הארץ לפריפריה. בשנים 2011-2006 עלו מחירי הקרקע ליח"ד בבנייה רוויה באזור המרכז בכ-60% וכך גם מחירי הדיור; בפריפריה עליית מחירי הקרקע הייתה מתונה יותר (כ-15%) לעומת עלייה של מחירי הדיור </w:t>
      </w:r>
      <w:r w:rsidR="004B0348">
        <w:rPr>
          <w:rFonts w:cs="FrankRuehl"/>
          <w:sz w:val="18"/>
          <w:szCs w:val="22"/>
          <w:lang w:eastAsia="he-IL"/>
        </w:rPr>
        <w:br/>
      </w:r>
      <w:r w:rsidRPr="00F41E78">
        <w:rPr>
          <w:rFonts w:cs="FrankRuehl" w:hint="cs"/>
          <w:sz w:val="18"/>
          <w:szCs w:val="22"/>
          <w:rtl/>
          <w:lang w:eastAsia="he-IL"/>
        </w:rPr>
        <w:t>בכ-50%.</w:t>
      </w:r>
    </w:p>
    <w:p w:rsidR="00D22B16" w:rsidRPr="00F41E78" w:rsidP="00D22B16">
      <w:pPr>
        <w:pStyle w:val="RESHET"/>
        <w:keepLines/>
        <w:rPr>
          <w:rtl/>
        </w:rPr>
      </w:pPr>
      <w:r w:rsidRPr="00F41E78">
        <w:rPr>
          <w:rFonts w:hint="cs"/>
          <w:rtl/>
        </w:rPr>
        <w:t>מהנתונים עולה כי במרכז הארץ אחוז התייקרות הקרקע תואם לאחוז עליית מחירי הדיור, דהיינו ביקוש גבוה לדיור והיצע מוגבל של קרקע לבנייה. לעומת זאת, בפריפריה שבה רוב הקרקעות מצויות בניהולה של רמ"י, המתאם חלש יותר; וזאת משום שניתן למתן את עליית מחירי הדיור באמצעות שיווק נרחב של קרקעות בפרק זמן קצר יותר. יוצא אפוא ששיווק נרחב של קרקע עשוי לתרום לירידה במחירי הדיור.</w:t>
      </w:r>
    </w:p>
    <w:p w:rsidR="00D22B16" w:rsidRPr="00F41E78" w:rsidP="00D22B16">
      <w:pPr>
        <w:pStyle w:val="RESHET"/>
        <w:keepLines/>
      </w:pPr>
      <w:r w:rsidRPr="00F41E78">
        <w:rPr>
          <w:rFonts w:hint="cs"/>
          <w:rtl/>
        </w:rPr>
        <w:t xml:space="preserve">עם זאת, נמצא כי גם כאשר מחיר הקרקע במכרזים שפרסמה רמ"י לכאורה ירד הן במרכז הארץ הן באזורי עדיפות לאומית, הוזלה זו אינה באה תמיד לידי ביטוי במחירי הדיור. </w:t>
      </w:r>
    </w:p>
    <w:p w:rsidR="00282703"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פעילות רמ"י להורדת מחירי הקרקע ותוצאותיה</w:t>
      </w:r>
    </w:p>
    <w:p w:rsidR="00E97EDA" w:rsidRPr="00CB33CD" w:rsidP="00A7557B">
      <w:pPr>
        <w:pStyle w:val="KOT6"/>
        <w:rPr>
          <w:rtl/>
          <w:lang w:eastAsia="he-IL"/>
        </w:rPr>
      </w:pPr>
      <w:r w:rsidRPr="00CB33CD">
        <w:rPr>
          <w:rFonts w:hint="cs"/>
          <w:rtl/>
          <w:lang w:eastAsia="he-IL"/>
        </w:rPr>
        <w:t xml:space="preserve">הורדת מחירי המינימום במכרזים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על פי נתוניה</w:t>
      </w:r>
      <w:r>
        <w:rPr>
          <w:rFonts w:cs="FrankRuehl"/>
          <w:sz w:val="18"/>
          <w:szCs w:val="22"/>
          <w:vertAlign w:val="superscript"/>
          <w:rtl/>
          <w:lang w:eastAsia="he-IL"/>
        </w:rPr>
        <w:footnoteReference w:id="255"/>
      </w:r>
      <w:r w:rsidRPr="00F41E78">
        <w:rPr>
          <w:rFonts w:cs="FrankRuehl"/>
          <w:sz w:val="18"/>
          <w:szCs w:val="22"/>
          <w:rtl/>
          <w:lang w:eastAsia="he-IL"/>
        </w:rPr>
        <w:t xml:space="preserve"> </w:t>
      </w:r>
      <w:r w:rsidRPr="00F41E78">
        <w:rPr>
          <w:rFonts w:cs="FrankRuehl" w:hint="cs"/>
          <w:sz w:val="18"/>
          <w:szCs w:val="22"/>
          <w:rtl/>
          <w:lang w:eastAsia="he-IL"/>
        </w:rPr>
        <w:t>נקטה רמ"י</w:t>
      </w:r>
      <w:r w:rsidRPr="00F41E78">
        <w:rPr>
          <w:rFonts w:cs="FrankRuehl" w:hint="cs"/>
          <w:sz w:val="18"/>
          <w:szCs w:val="22"/>
          <w:rtl/>
          <w:lang w:eastAsia="he-IL"/>
        </w:rPr>
        <w:t xml:space="preserve"> </w:t>
      </w:r>
      <w:r w:rsidRPr="00F41E78">
        <w:rPr>
          <w:rFonts w:cs="FrankRuehl" w:hint="cs"/>
          <w:sz w:val="18"/>
          <w:szCs w:val="22"/>
          <w:rtl/>
          <w:lang w:eastAsia="he-IL"/>
        </w:rPr>
        <w:t xml:space="preserve">כמה פעולות שיביאו לידי ירידת מחירי הדיור ובהן הורדת מחיר המינימום במכרזי הרשות מ-50% מהערכת השמאי ל-35% במרכז הארץ ול-25% באזורי עדיפות לאומית, כחלק מיישום המלצות ועדת טרכטנברג. נוסף לכך, רמ"י הקלה על הקבלנים את פריסת התשלומים על הקרקע, ואף נתנה תמריצים ליזמים שסיימו את הבנייה בתקופה קצרה </w:t>
      </w:r>
      <w:r w:rsidRPr="00F41E78">
        <w:rPr>
          <w:rFonts w:cs="FrankRuehl" w:hint="eastAsia"/>
          <w:sz w:val="18"/>
          <w:szCs w:val="22"/>
          <w:rtl/>
          <w:lang w:eastAsia="he-IL"/>
        </w:rPr>
        <w:t>מהמתוכנן</w:t>
      </w:r>
      <w:r w:rsidRPr="00F41E78">
        <w:rPr>
          <w:rFonts w:cs="FrankRuehl"/>
          <w:sz w:val="18"/>
          <w:szCs w:val="22"/>
          <w:rtl/>
          <w:lang w:eastAsia="he-IL"/>
        </w:rPr>
        <w:t xml:space="preserve">, </w:t>
      </w:r>
      <w:r w:rsidRPr="00F41E78">
        <w:rPr>
          <w:rFonts w:cs="FrankRuehl" w:hint="eastAsia"/>
          <w:sz w:val="18"/>
          <w:szCs w:val="22"/>
          <w:rtl/>
          <w:lang w:eastAsia="he-IL"/>
        </w:rPr>
        <w:t>שיכלו</w:t>
      </w:r>
      <w:r w:rsidRPr="00F41E78">
        <w:rPr>
          <w:rFonts w:cs="FrankRuehl"/>
          <w:sz w:val="18"/>
          <w:szCs w:val="22"/>
          <w:rtl/>
          <w:lang w:eastAsia="he-IL"/>
        </w:rPr>
        <w:t xml:space="preserve"> להגיע עד ל</w:t>
      </w:r>
      <w:r w:rsidRPr="00F41E78">
        <w:rPr>
          <w:rFonts w:cs="FrankRuehl" w:hint="eastAsia"/>
          <w:sz w:val="18"/>
          <w:szCs w:val="22"/>
          <w:rtl/>
          <w:lang w:eastAsia="he-IL"/>
        </w:rPr>
        <w:t>כדי</w:t>
      </w:r>
      <w:r w:rsidRPr="00F41E78">
        <w:rPr>
          <w:rFonts w:cs="FrankRuehl"/>
          <w:sz w:val="18"/>
          <w:szCs w:val="22"/>
          <w:rtl/>
          <w:lang w:eastAsia="he-IL"/>
        </w:rPr>
        <w:t xml:space="preserve"> 15% </w:t>
      </w:r>
      <w:r w:rsidRPr="00F41E78">
        <w:rPr>
          <w:rFonts w:cs="FrankRuehl" w:hint="eastAsia"/>
          <w:sz w:val="18"/>
          <w:szCs w:val="22"/>
          <w:rtl/>
          <w:lang w:eastAsia="he-IL"/>
        </w:rPr>
        <w:t>ממחיר</w:t>
      </w:r>
      <w:r w:rsidRPr="00F41E78">
        <w:rPr>
          <w:rFonts w:cs="FrankRuehl"/>
          <w:sz w:val="18"/>
          <w:szCs w:val="22"/>
          <w:rtl/>
          <w:lang w:eastAsia="he-IL"/>
        </w:rPr>
        <w:t xml:space="preserve"> </w:t>
      </w:r>
      <w:r w:rsidRPr="00F41E78">
        <w:rPr>
          <w:rFonts w:cs="FrankRuehl" w:hint="eastAsia"/>
          <w:sz w:val="18"/>
          <w:szCs w:val="22"/>
          <w:rtl/>
          <w:lang w:eastAsia="he-IL"/>
        </w:rPr>
        <w:t>הקרקע</w:t>
      </w:r>
      <w:r w:rsidRPr="00F41E78">
        <w:rPr>
          <w:rFonts w:cs="FrankRuehl"/>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על פי ניתוח מכרזי הקרקע של רמ"י, משנת 2012 החלה להסתמן מגמה של ירידה במחירי הקרקע, בעיקר בבנייה רוויה, לעומת מחירי הדיור שבהם חלה עלייה חדה משנת 2008 ונמשכה גם בשנת 2013.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לצורך ניתוח השינוי במחירי הקרקע נבדקו נתוני שיווק של בנייה רוויה בכמה ערים מתוך התמקדות באזורי ביקוש. לצורך הניתוח נבדקו אותן ערים, אותן שכונות ואותן תכניות.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מהנתונים עולה כי פעילות רמ"י הביאה לידי ירידה במחירי הקרקע, בייחוד באזורי ביקוש, אך זו לא באה לידי ביטוי במחירי הדיור. מניתוח ראשוני של מכרזי רמ"י שפורסמו בשנת 2013 עלה כי המצב במשק והצהרות הממשלה בנושא הורדת מחירי הדיור מעוררים בקרב היזמים ציפייה לירידה או לפחות להתמתנות בעליית מחירי הדיור. לפיכך, במכרזי רמ"י היזמים מגישים הצעות נמוכות יותר באופן יחסי. חרף זאת טרם ירדו מחירי הדיור.</w:t>
      </w:r>
    </w:p>
    <w:p w:rsidR="00E97EDA" w:rsidRPr="00F41E78" w:rsidP="004B0348">
      <w:pPr>
        <w:spacing w:after="240" w:line="230" w:lineRule="exact"/>
        <w:jc w:val="both"/>
        <w:rPr>
          <w:rFonts w:cs="FrankRuehl"/>
          <w:sz w:val="18"/>
          <w:szCs w:val="22"/>
          <w:rtl/>
          <w:lang w:eastAsia="he-IL"/>
        </w:rPr>
      </w:pPr>
      <w:r w:rsidRPr="00F41E78">
        <w:rPr>
          <w:rFonts w:cs="FrankRuehl" w:hint="cs"/>
          <w:sz w:val="18"/>
          <w:szCs w:val="22"/>
          <w:rtl/>
          <w:lang w:eastAsia="he-IL"/>
        </w:rPr>
        <w:t>בתשובתו ציין מנהל רמ"י כי לנוכח המאמצים בשיווק קרקעות נמדדה בשנים 2013-2012, על פי נתוני רמ"י, ירידה ממוצעת של כ-30% במחירי הקרקע ליח"ד, שלא באה לידי ביטוי במחיר יחידת הדיור.</w:t>
      </w:r>
    </w:p>
    <w:p w:rsidR="00D22B16" w:rsidRPr="00F41E78" w:rsidP="00D22B16">
      <w:pPr>
        <w:pStyle w:val="RESHET"/>
        <w:keepLines/>
        <w:rPr>
          <w:rtl/>
        </w:rPr>
      </w:pPr>
      <w:r w:rsidRPr="00F41E78">
        <w:rPr>
          <w:rFonts w:hint="cs"/>
          <w:rtl/>
        </w:rPr>
        <w:t>משרד מבקר המדינה מציין כי כפי שהשתקף בנתונים, ירידה לבדה במחירי הקרקע, ללא כל טיפול בהיצע הכולל של יח"ד זמינות לשיווק, לא הביאה לידי הוזלה במחירי הדיור.</w:t>
      </w:r>
    </w:p>
    <w:p w:rsidR="00E97EDA" w:rsidRPr="00F41E78" w:rsidP="00A7557B">
      <w:pPr>
        <w:spacing w:after="120" w:line="230" w:lineRule="exact"/>
        <w:jc w:val="both"/>
        <w:rPr>
          <w:rFonts w:cs="FrankRuehl"/>
          <w:sz w:val="18"/>
          <w:szCs w:val="22"/>
          <w:rtl/>
          <w:lang w:eastAsia="he-IL"/>
        </w:rPr>
      </w:pPr>
    </w:p>
    <w:p w:rsidR="00E97EDA" w:rsidRPr="00CB33CD" w:rsidP="00A7557B">
      <w:pPr>
        <w:pStyle w:val="KOT6"/>
        <w:rPr>
          <w:rtl/>
          <w:lang w:eastAsia="he-IL"/>
        </w:rPr>
      </w:pPr>
      <w:r w:rsidRPr="00CB33CD">
        <w:rPr>
          <w:rFonts w:hint="cs"/>
          <w:rtl/>
          <w:lang w:eastAsia="he-IL"/>
        </w:rPr>
        <w:t>מכירת זכויות על קרקע שנקנתה במכרז של רמ"י</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כאמור, מחיר הקרקע נקבע לפי היקף הביקוש. כל עוד הביקוש יהיה גבוה מההיצע הצפוי, גם למחיר נמוך של קרקע לא תהיה בהכרח השפעה של ממש על מחיר יחידת דיור. הביקוש הגבוה </w:t>
      </w:r>
      <w:r w:rsidRPr="00F41E78">
        <w:rPr>
          <w:rFonts w:cs="FrankRuehl" w:hint="cs"/>
          <w:sz w:val="18"/>
          <w:szCs w:val="22"/>
          <w:rtl/>
          <w:lang w:eastAsia="he-IL"/>
        </w:rPr>
        <w:t xml:space="preserve">ליח"ד לא יוצר בהכרח תמריץ ליזם להוריד את מחירי יחידות הדיור, גם אם מחיר הקרקע נמוך באופן יחסי. בדרך כלל, לא ניתן לבודד את מחיר הקרקע מהמחיר שבו נמכרת יחידת דיור. אולם היזם מוכר לעתים את הקרקע במחיר גבוה מהמחיר שהוא שילם לרמ"י ואת הרווח הוא גורף לכיסו.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לדוגמה, בפרויקטים "עיר ימים" בנתניה ובעיר חריש מכרה רמ"י את הקרקע ליזם פרטי במחיר לכאורה נמוך משווי השוק. על פניו, מהלך זה אמור היה להוזיל חלק ניכר מעלויות הקבלן וכפועל יוצא להוזיל גם את מחיר יחידת הדיור לרוכש הפרטי. בפועל, שני היזמים שזכו במכרז הקרקע של רמ"י העדיפו למכור את הקרקע במחיר גבוה יותר ממחיר הקנייה מרמ"י ולגרוף את הרווח לכיסם.</w:t>
      </w:r>
    </w:p>
    <w:p w:rsidR="00E97EDA" w:rsidRPr="00F41E78" w:rsidP="004B0348">
      <w:pPr>
        <w:spacing w:after="240" w:line="230" w:lineRule="exact"/>
        <w:jc w:val="both"/>
        <w:rPr>
          <w:rFonts w:cs="FrankRuehl"/>
          <w:sz w:val="18"/>
          <w:szCs w:val="22"/>
          <w:rtl/>
          <w:lang w:eastAsia="he-IL"/>
        </w:rPr>
      </w:pPr>
      <w:r w:rsidRPr="00F41E78">
        <w:rPr>
          <w:rFonts w:cs="FrankRuehl" w:hint="cs"/>
          <w:sz w:val="18"/>
          <w:szCs w:val="22"/>
          <w:rtl/>
          <w:lang w:eastAsia="he-IL"/>
        </w:rPr>
        <w:t xml:space="preserve">מהדוגמאות עולה שכבר בעת פרסום המכרז היו בשוק רוכשים פוטנציאלים (שלא זכו במכרז) שהיו מוכנים לשלם על הקרקע מחיר גבוה יותר מהמחיר שנקבע במכרז ושולם לרמ"י. אם כך, בפועל מחיר הקרקע גבוה מהמחיר שנקבע במכרז, לכן מחירי יחידות הדיור בפרויקטים אלו לא ישקפו בהכרח את המחיר הנמוך יחסית של הקרקע שנקבע במכרז. </w:t>
      </w:r>
    </w:p>
    <w:p w:rsidR="00D22B16" w:rsidRPr="00F41E78" w:rsidP="00D22B16">
      <w:pPr>
        <w:pStyle w:val="RESHET"/>
        <w:keepLines/>
        <w:rPr>
          <w:rtl/>
        </w:rPr>
      </w:pPr>
      <w:r w:rsidRPr="00F41E78">
        <w:rPr>
          <w:rFonts w:hint="cs"/>
          <w:rtl/>
        </w:rPr>
        <w:t>יוצא אפוא שבסופו של דבר מחירי הדיור לא ישקפו בהכרח את המחיר הנמוך יחסית של הקרקע שהמדינה קיבלה בעבורה, אלא ישקפו את גובה הביקוש ליח"ד בפרויקט כלשהו או באזור מסוים, וכפועל יוצא ישקפו גם את המחיר שהיזם יהיה מוכן לשלם בעבור הקרקע.</w:t>
      </w:r>
    </w:p>
    <w:p w:rsidR="00D22B16" w:rsidRPr="00F41E78" w:rsidP="00D22B16">
      <w:pPr>
        <w:pStyle w:val="RESHET"/>
        <w:keepLines/>
        <w:rPr>
          <w:rtl/>
        </w:rPr>
      </w:pPr>
      <w:r w:rsidRPr="00F41E78">
        <w:rPr>
          <w:rFonts w:hint="cs"/>
          <w:rtl/>
        </w:rPr>
        <w:t xml:space="preserve">לדעת משרד מבקר המדינה, פעולות של הורדת מחיר הקרקע ללא ביצוע פעולות משלימות להורדת מחיר של יחידת דיור פוגעות ביכולתם של הגופים הרלוונטיים להוריד או לכל הפחות למתן את מחירי הדיור. מן הראוי שרמ"י תגביר את קצב שיווק הקרקעות בד בבד עם ביצוע פעולות נוספות שיבטיחו את השתקפותה של ההוזלה גם במחירי הדיור לרוכש הפרטי. </w:t>
      </w:r>
    </w:p>
    <w:p w:rsidR="00E97EDA" w:rsidRPr="00F41E78" w:rsidP="004B0348">
      <w:pPr>
        <w:spacing w:before="180" w:after="120" w:line="230" w:lineRule="exact"/>
        <w:jc w:val="both"/>
        <w:rPr>
          <w:rFonts w:cs="FrankRuehl"/>
          <w:sz w:val="18"/>
          <w:szCs w:val="22"/>
          <w:rtl/>
          <w:lang w:eastAsia="he-IL"/>
        </w:rPr>
      </w:pPr>
      <w:r w:rsidRPr="00F41E78">
        <w:rPr>
          <w:rFonts w:cs="FrankRuehl" w:hint="cs"/>
          <w:sz w:val="18"/>
          <w:szCs w:val="22"/>
          <w:rtl/>
          <w:lang w:eastAsia="he-IL"/>
        </w:rPr>
        <w:t>בתשובתו כתב מנהל רמ"י כי לא ניתן להוריד את מחירי הדיור במדינה ללא קביעת מחיר קבוע ליחידת דיור באזור מסוים - "מחיר מטרה" - שיהיה נמוך בכ-15% ממחיר השוק שלה. עוד ציין כי מהלך כזה יהיה אפקטיבי אם תשווק כמות גדולה של יח"ד במחיר מטרה באזורי ביקוש, שישפיעו על כל שוק הדיור. ללא מהלך כזה, היכול להתבצע רק בידי הממשלה, לא ניתן בעת הזאת להוריד את מחירי הדיור בישראל.</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בתשובתו מינואר 2014 מסר סגן הממונה על </w:t>
      </w:r>
      <w:r w:rsidR="00E204CF">
        <w:rPr>
          <w:rFonts w:cs="FrankRuehl" w:hint="cs"/>
          <w:sz w:val="18"/>
          <w:szCs w:val="22"/>
          <w:rtl/>
          <w:lang w:eastAsia="he-IL"/>
        </w:rPr>
        <w:t xml:space="preserve">אגף התקציבים </w:t>
      </w:r>
      <w:r w:rsidRPr="00F41E78">
        <w:rPr>
          <w:rFonts w:cs="FrankRuehl" w:hint="cs"/>
          <w:sz w:val="18"/>
          <w:szCs w:val="22"/>
          <w:rtl/>
          <w:lang w:eastAsia="he-IL"/>
        </w:rPr>
        <w:t>כי אכן ניתן לקבוע מחיר מטרה, אך רק כאשר כמות גדולה של יח"ד משווקת באזורי ביקוש בתוך פרק זמן קצר. מאחר שלמדינה אין מלאי גדול של קרקעות זמינות לשיווק באזורי ביקוש, הרי שיווק כמות קטנה יחסית של יח"ד במסגרת מחיר מטרה עשוי לגרום לכישלון המכרזים בשל הפגיעה ברווחיות היזמים, או לחלופין מתן הטבות גדולות למתי מעט, מהלך שלא ישפיע באופן מהותי ורחב על מחירי הדיור.</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הוא ציין כי שימוש בשיטת מחיר מטרה דורש פיקוח אינטנסיבי מצד המדינה על עמידת הקבלן בהתחייבויותיו, ובהן עמידה בסטנדרט הבנייה לפי המפרט הטכני, היקף עבודות הגמר ולבסוף מחיר יחידת הדיור לקונה. פיקוח כזה דורש היערכות מיוחדת והקצאת משאבים ועלול להגביר את החיכוך בין הקבלן למדינה.</w:t>
      </w:r>
    </w:p>
    <w:p w:rsidR="004B0348" w:rsidP="004B0348">
      <w:pPr>
        <w:spacing w:after="120" w:line="230" w:lineRule="exact"/>
        <w:jc w:val="both"/>
        <w:rPr>
          <w:rFonts w:cs="FrankRuehl"/>
          <w:sz w:val="22"/>
          <w:szCs w:val="22"/>
          <w:rtl/>
        </w:rPr>
      </w:pPr>
    </w:p>
    <w:p w:rsidR="004B0348" w:rsidP="004B0348">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4B0348" w:rsidP="004B0348">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משרד מבקר המדינה מציין כי הוזלה של מחירי הקרקע מצד רמ"י, בלי שתלווה בהגדלה ניכרת של היקף שיווק הקרקע למגורים, לא תתרום בהכרח להוזלה במחיר יחידת הדיור לצרכן.</w:t>
      </w:r>
    </w:p>
    <w:p w:rsidR="00D22B16" w:rsidRPr="00F41E78" w:rsidP="00D22B16">
      <w:pPr>
        <w:pStyle w:val="RESHET"/>
        <w:keepLines/>
        <w:rPr>
          <w:rtl/>
        </w:rPr>
      </w:pPr>
      <w:r w:rsidRPr="00F41E78">
        <w:rPr>
          <w:rFonts w:hint="cs"/>
          <w:rtl/>
        </w:rPr>
        <w:t xml:space="preserve">לכן, יש לבחון הוזלה במחיר הקרקע ליזם בד בבד עם איתור פתרונות נוספים שישקללו הנחות והקלות הנובעות מעלות הקרקע ליזם, ויבואו לידי ביטוי במחירי הדיור; והכול מתוך תיאום מלא בין כל הגורמים הרלוונטיים הנוגעים לשוק הדיור. </w:t>
      </w:r>
    </w:p>
    <w:p w:rsidR="00D22B16" w:rsidRPr="00F41E78" w:rsidP="00D22B16">
      <w:pPr>
        <w:pStyle w:val="RESHET"/>
        <w:keepLines/>
        <w:rPr>
          <w:rtl/>
        </w:rPr>
      </w:pPr>
      <w:r w:rsidRPr="00F41E78">
        <w:rPr>
          <w:rFonts w:hint="cs"/>
          <w:rtl/>
        </w:rPr>
        <w:t xml:space="preserve">יצוין כי באפריל 2014 קיבלה הממשלה החלטה להנחות את רמ"י לשווק קרקעות בשיטת מחיר מטרה בשנים 2019-2014. הכוונה הטמונה בהחלטה זו היא לשווק בשנים האמורות </w:t>
      </w:r>
      <w:r w:rsidR="00C75E4D">
        <w:rPr>
          <w:rtl/>
        </w:rPr>
        <w:br/>
      </w:r>
      <w:r w:rsidRPr="00F41E78">
        <w:rPr>
          <w:rFonts w:hint="cs"/>
          <w:rtl/>
        </w:rPr>
        <w:t>כ-66,000 יח"ד בבנייה רוויה על פי כללים והנחיות ספציפיים שתקבע רמ"י.</w:t>
      </w:r>
    </w:p>
    <w:p w:rsidR="00E97EDA" w:rsidRPr="00F41E78" w:rsidP="00A7557B">
      <w:pPr>
        <w:spacing w:after="120" w:line="230" w:lineRule="exact"/>
        <w:jc w:val="both"/>
        <w:rPr>
          <w:rFonts w:cs="FrankRuehl"/>
          <w:b/>
          <w:bCs/>
          <w:sz w:val="18"/>
          <w:szCs w:val="22"/>
          <w:rtl/>
          <w:lang w:eastAsia="he-IL"/>
        </w:rPr>
      </w:pPr>
    </w:p>
    <w:p w:rsidR="00C75E4D" w:rsidP="00A74551">
      <w:pPr>
        <w:pStyle w:val="KOT2"/>
        <w:outlineLvl w:val="0"/>
        <w:rPr>
          <w:b w:val="0"/>
          <w:bCs w:val="0"/>
          <w:sz w:val="28"/>
          <w:szCs w:val="28"/>
          <w:rtl/>
        </w:rPr>
        <w:sectPr w:rsidSect="004A767A">
          <w:footnotePr>
            <w:numRestart w:val="eachSect"/>
          </w:footnotePr>
          <w:pgSz w:w="11906" w:h="16838" w:code="9"/>
          <w:pgMar w:top="1758" w:right="2552" w:bottom="4253" w:left="2552" w:header="1247" w:footer="1134" w:gutter="0"/>
          <w:cols w:space="720"/>
          <w:rtlGutter/>
        </w:sectPr>
      </w:pPr>
    </w:p>
    <w:p w:rsidR="00E97EDA" w:rsidRPr="00CB33CD" w:rsidP="00A74551">
      <w:pPr>
        <w:pStyle w:val="KOT2"/>
        <w:outlineLvl w:val="0"/>
        <w:rPr>
          <w:rtl/>
        </w:rPr>
      </w:pPr>
      <w:r w:rsidRPr="00A74551">
        <w:rPr>
          <w:rFonts w:hint="cs"/>
          <w:b w:val="0"/>
          <w:bCs w:val="0"/>
          <w:sz w:val="28"/>
          <w:szCs w:val="28"/>
          <w:rtl/>
        </w:rPr>
        <w:t>פרק תשיעי</w:t>
      </w:r>
      <w:r w:rsidRPr="00A74551">
        <w:rPr>
          <w:b w:val="0"/>
          <w:bCs w:val="0"/>
          <w:sz w:val="28"/>
          <w:szCs w:val="28"/>
          <w:rtl/>
        </w:rPr>
        <w:br/>
      </w:r>
      <w:r w:rsidRPr="00A74551">
        <w:rPr>
          <w:rFonts w:hint="eastAsia"/>
          <w:rtl/>
        </w:rPr>
        <w:t>מימוש</w:t>
      </w:r>
      <w:r w:rsidRPr="00A74551">
        <w:rPr>
          <w:rtl/>
        </w:rPr>
        <w:t xml:space="preserve"> </w:t>
      </w:r>
      <w:r w:rsidRPr="00A74551">
        <w:rPr>
          <w:rFonts w:hint="eastAsia"/>
          <w:rtl/>
        </w:rPr>
        <w:t>תכניות</w:t>
      </w:r>
      <w:r w:rsidRPr="00A74551">
        <w:rPr>
          <w:rtl/>
        </w:rPr>
        <w:t xml:space="preserve"> </w:t>
      </w:r>
      <w:r w:rsidRPr="00A74551">
        <w:rPr>
          <w:rFonts w:hint="eastAsia"/>
          <w:rtl/>
        </w:rPr>
        <w:t>למגורים</w:t>
      </w:r>
      <w:r w:rsidRPr="00A74551">
        <w:rPr>
          <w:rtl/>
        </w:rPr>
        <w:t xml:space="preserve"> - </w:t>
      </w:r>
      <w:r w:rsidRPr="00A74551" w:rsidR="00282703">
        <w:br/>
      </w:r>
      <w:r w:rsidRPr="00A74551">
        <w:rPr>
          <w:rFonts w:hint="eastAsia"/>
          <w:rtl/>
        </w:rPr>
        <w:t>פיתוח</w:t>
      </w:r>
      <w:r w:rsidRPr="00A74551">
        <w:rPr>
          <w:rtl/>
        </w:rPr>
        <w:t xml:space="preserve"> </w:t>
      </w:r>
      <w:r w:rsidRPr="00A74551">
        <w:rPr>
          <w:rFonts w:hint="eastAsia"/>
          <w:rtl/>
        </w:rPr>
        <w:t>הקרקע</w:t>
      </w:r>
      <w:r w:rsidRPr="00A74551">
        <w:rPr>
          <w:rtl/>
        </w:rPr>
        <w:t xml:space="preserve"> </w:t>
      </w:r>
      <w:r w:rsidRPr="00A74551">
        <w:rPr>
          <w:rFonts w:hint="eastAsia"/>
          <w:rtl/>
        </w:rPr>
        <w:t>ותהליכי</w:t>
      </w:r>
      <w:r w:rsidRPr="00A74551">
        <w:rPr>
          <w:rtl/>
        </w:rPr>
        <w:t xml:space="preserve"> </w:t>
      </w:r>
      <w:r w:rsidRPr="00A74551">
        <w:rPr>
          <w:rFonts w:hint="eastAsia"/>
          <w:rtl/>
        </w:rPr>
        <w:t>רישוי</w:t>
      </w:r>
      <w:r w:rsidRPr="00A74551">
        <w:rPr>
          <w:rtl/>
        </w:rPr>
        <w:t xml:space="preserve"> </w:t>
      </w:r>
      <w:r w:rsidRPr="00A74551">
        <w:rPr>
          <w:rFonts w:hint="eastAsia"/>
          <w:rtl/>
        </w:rPr>
        <w:t>הבנייה</w:t>
      </w:r>
    </w:p>
    <w:p w:rsidR="00E97EDA" w:rsidRPr="00F41E78" w:rsidP="00A7557B">
      <w:pPr>
        <w:spacing w:after="120" w:line="230" w:lineRule="exact"/>
        <w:jc w:val="both"/>
        <w:rPr>
          <w:rFonts w:cs="FrankRuehl"/>
          <w:sz w:val="18"/>
          <w:szCs w:val="22"/>
          <w:lang w:eastAsia="he-IL"/>
        </w:rPr>
      </w:pPr>
      <w:r w:rsidRPr="00F41E78">
        <w:rPr>
          <w:rFonts w:cs="FrankRuehl" w:hint="cs"/>
          <w:sz w:val="18"/>
          <w:szCs w:val="22"/>
          <w:rtl/>
          <w:lang w:eastAsia="he-IL"/>
        </w:rPr>
        <w:t xml:space="preserve">מימוש תכניות למגורים הוא השלב האחרון בשרשרת הייצור. השלבים החשובים בתהליך המימוש של התכניות מצויים באחריות השלטון המקומי. כאמור, הרשויות המקומיות נושאות באחריות לביצוע עבודות הפיתוח של תשתיות מוניציפליות שהן תנאי הכרחי לבניית שכונות מגורים, והרשויות הן אלו המוסמכות לקבל החלטות בתהליכי רישוי הבנייה. </w:t>
      </w:r>
      <w:r w:rsidRPr="00F41E78">
        <w:rPr>
          <w:rFonts w:cs="FrankRuehl" w:hint="eastAsia"/>
          <w:sz w:val="18"/>
          <w:szCs w:val="22"/>
          <w:rtl/>
          <w:lang w:eastAsia="he-IL"/>
        </w:rPr>
        <w:t>בפרק</w:t>
      </w:r>
      <w:r w:rsidRPr="00F41E78">
        <w:rPr>
          <w:rFonts w:cs="FrankRuehl"/>
          <w:sz w:val="18"/>
          <w:szCs w:val="22"/>
          <w:rtl/>
          <w:lang w:eastAsia="he-IL"/>
        </w:rPr>
        <w:t xml:space="preserve"> </w:t>
      </w:r>
      <w:r w:rsidRPr="00F41E78">
        <w:rPr>
          <w:rFonts w:cs="FrankRuehl" w:hint="eastAsia"/>
          <w:sz w:val="18"/>
          <w:szCs w:val="22"/>
          <w:rtl/>
          <w:lang w:eastAsia="he-IL"/>
        </w:rPr>
        <w:t>על</w:t>
      </w:r>
      <w:r w:rsidRPr="00F41E78">
        <w:rPr>
          <w:rFonts w:cs="FrankRuehl"/>
          <w:sz w:val="18"/>
          <w:szCs w:val="22"/>
          <w:rtl/>
          <w:lang w:eastAsia="he-IL"/>
        </w:rPr>
        <w:t xml:space="preserve"> </w:t>
      </w:r>
      <w:r w:rsidRPr="00F41E78">
        <w:rPr>
          <w:rFonts w:cs="FrankRuehl" w:hint="eastAsia"/>
          <w:sz w:val="18"/>
          <w:szCs w:val="22"/>
          <w:rtl/>
          <w:lang w:eastAsia="he-IL"/>
        </w:rPr>
        <w:t>שיווק</w:t>
      </w:r>
      <w:r w:rsidRPr="00F41E78">
        <w:rPr>
          <w:rFonts w:cs="FrankRuehl"/>
          <w:sz w:val="18"/>
          <w:szCs w:val="22"/>
          <w:rtl/>
          <w:lang w:eastAsia="he-IL"/>
        </w:rPr>
        <w:t xml:space="preserve"> </w:t>
      </w:r>
      <w:r w:rsidRPr="00F41E78">
        <w:rPr>
          <w:rFonts w:cs="FrankRuehl" w:hint="eastAsia"/>
          <w:sz w:val="18"/>
          <w:szCs w:val="22"/>
          <w:rtl/>
          <w:lang w:eastAsia="he-IL"/>
        </w:rPr>
        <w:t>קרקעות</w:t>
      </w:r>
      <w:r w:rsidRPr="00F41E78">
        <w:rPr>
          <w:rFonts w:cs="FrankRuehl"/>
          <w:sz w:val="18"/>
          <w:szCs w:val="22"/>
          <w:rtl/>
          <w:lang w:eastAsia="he-IL"/>
        </w:rPr>
        <w:t xml:space="preserve"> </w:t>
      </w:r>
      <w:r w:rsidRPr="00F41E78">
        <w:rPr>
          <w:rFonts w:cs="FrankRuehl" w:hint="eastAsia"/>
          <w:sz w:val="18"/>
          <w:szCs w:val="22"/>
          <w:rtl/>
          <w:lang w:eastAsia="he-IL"/>
        </w:rPr>
        <w:t>לעיל</w:t>
      </w:r>
      <w:r w:rsidRPr="00F41E78">
        <w:rPr>
          <w:rFonts w:cs="FrankRuehl"/>
          <w:sz w:val="18"/>
          <w:szCs w:val="22"/>
          <w:rtl/>
          <w:lang w:eastAsia="he-IL"/>
        </w:rPr>
        <w:t xml:space="preserve"> </w:t>
      </w:r>
      <w:r w:rsidRPr="00F41E78">
        <w:rPr>
          <w:rFonts w:cs="FrankRuehl" w:hint="eastAsia"/>
          <w:sz w:val="18"/>
          <w:szCs w:val="22"/>
          <w:rtl/>
          <w:lang w:eastAsia="he-IL"/>
        </w:rPr>
        <w:t>הוצגו</w:t>
      </w:r>
      <w:r w:rsidRPr="00F41E78">
        <w:rPr>
          <w:rFonts w:cs="FrankRuehl"/>
          <w:sz w:val="18"/>
          <w:szCs w:val="22"/>
          <w:rtl/>
          <w:lang w:eastAsia="he-IL"/>
        </w:rPr>
        <w:t xml:space="preserve"> </w:t>
      </w:r>
      <w:r w:rsidRPr="00F41E78">
        <w:rPr>
          <w:rFonts w:cs="FrankRuehl" w:hint="eastAsia"/>
          <w:sz w:val="18"/>
          <w:szCs w:val="22"/>
          <w:rtl/>
          <w:lang w:eastAsia="he-IL"/>
        </w:rPr>
        <w:t>חסמים</w:t>
      </w:r>
      <w:r w:rsidRPr="00F41E78">
        <w:rPr>
          <w:rFonts w:cs="FrankRuehl"/>
          <w:sz w:val="18"/>
          <w:szCs w:val="22"/>
          <w:rtl/>
          <w:lang w:eastAsia="he-IL"/>
        </w:rPr>
        <w:t xml:space="preserve"> </w:t>
      </w:r>
      <w:r w:rsidRPr="00F41E78">
        <w:rPr>
          <w:rFonts w:cs="FrankRuehl" w:hint="eastAsia"/>
          <w:sz w:val="18"/>
          <w:szCs w:val="22"/>
          <w:rtl/>
          <w:lang w:eastAsia="he-IL"/>
        </w:rPr>
        <w:t>המונעים</w:t>
      </w:r>
      <w:r w:rsidRPr="00F41E78">
        <w:rPr>
          <w:rFonts w:cs="FrankRuehl"/>
          <w:sz w:val="18"/>
          <w:szCs w:val="22"/>
          <w:rtl/>
          <w:lang w:eastAsia="he-IL"/>
        </w:rPr>
        <w:t xml:space="preserve"> </w:t>
      </w:r>
      <w:r w:rsidRPr="00F41E78">
        <w:rPr>
          <w:rFonts w:cs="FrankRuehl" w:hint="eastAsia"/>
          <w:sz w:val="18"/>
          <w:szCs w:val="22"/>
          <w:rtl/>
          <w:lang w:eastAsia="he-IL"/>
        </w:rPr>
        <w:t>שיווק</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קרקע</w:t>
      </w:r>
      <w:r w:rsidRPr="00F41E78">
        <w:rPr>
          <w:rFonts w:cs="FrankRuehl"/>
          <w:sz w:val="18"/>
          <w:szCs w:val="22"/>
          <w:rtl/>
          <w:lang w:eastAsia="he-IL"/>
        </w:rPr>
        <w:t xml:space="preserve"> </w:t>
      </w:r>
      <w:r w:rsidRPr="00F41E78">
        <w:rPr>
          <w:rFonts w:cs="FrankRuehl" w:hint="eastAsia"/>
          <w:sz w:val="18"/>
          <w:szCs w:val="22"/>
          <w:rtl/>
          <w:lang w:eastAsia="he-IL"/>
        </w:rPr>
        <w:t>למגורים</w:t>
      </w:r>
      <w:r w:rsidRPr="00F41E78">
        <w:rPr>
          <w:rFonts w:cs="FrankRuehl"/>
          <w:sz w:val="18"/>
          <w:szCs w:val="22"/>
          <w:rtl/>
          <w:lang w:eastAsia="he-IL"/>
        </w:rPr>
        <w:t xml:space="preserve"> </w:t>
      </w:r>
      <w:r w:rsidRPr="00F41E78">
        <w:rPr>
          <w:rFonts w:cs="FrankRuehl" w:hint="eastAsia"/>
          <w:sz w:val="18"/>
          <w:szCs w:val="22"/>
          <w:rtl/>
          <w:lang w:eastAsia="he-IL"/>
        </w:rPr>
        <w:t>ובסופו</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דבר</w:t>
      </w:r>
      <w:r w:rsidRPr="00F41E78">
        <w:rPr>
          <w:rFonts w:cs="FrankRuehl"/>
          <w:sz w:val="18"/>
          <w:szCs w:val="22"/>
          <w:rtl/>
          <w:lang w:eastAsia="he-IL"/>
        </w:rPr>
        <w:t xml:space="preserve"> </w:t>
      </w:r>
      <w:r w:rsidRPr="00F41E78">
        <w:rPr>
          <w:rFonts w:cs="FrankRuehl" w:hint="eastAsia"/>
          <w:sz w:val="18"/>
          <w:szCs w:val="22"/>
          <w:rtl/>
          <w:lang w:eastAsia="he-IL"/>
        </w:rPr>
        <w:t>ללא</w:t>
      </w:r>
      <w:r w:rsidRPr="00F41E78">
        <w:rPr>
          <w:rFonts w:cs="FrankRuehl"/>
          <w:sz w:val="18"/>
          <w:szCs w:val="22"/>
          <w:rtl/>
          <w:lang w:eastAsia="he-IL"/>
        </w:rPr>
        <w:t xml:space="preserve"> </w:t>
      </w:r>
      <w:r w:rsidRPr="00F41E78">
        <w:rPr>
          <w:rFonts w:cs="FrankRuehl" w:hint="eastAsia"/>
          <w:sz w:val="18"/>
          <w:szCs w:val="22"/>
          <w:rtl/>
          <w:lang w:eastAsia="he-IL"/>
        </w:rPr>
        <w:t>שיווק</w:t>
      </w:r>
      <w:r w:rsidRPr="00F41E78">
        <w:rPr>
          <w:rFonts w:cs="FrankRuehl"/>
          <w:sz w:val="18"/>
          <w:szCs w:val="22"/>
          <w:rtl/>
          <w:lang w:eastAsia="he-IL"/>
        </w:rPr>
        <w:t xml:space="preserve"> </w:t>
      </w:r>
      <w:r w:rsidRPr="00F41E78">
        <w:rPr>
          <w:rFonts w:cs="FrankRuehl" w:hint="eastAsia"/>
          <w:sz w:val="18"/>
          <w:szCs w:val="22"/>
          <w:rtl/>
          <w:lang w:eastAsia="he-IL"/>
        </w:rPr>
        <w:t>הקרקע</w:t>
      </w:r>
      <w:r w:rsidRPr="00F41E78">
        <w:rPr>
          <w:rFonts w:cs="FrankRuehl"/>
          <w:sz w:val="18"/>
          <w:szCs w:val="22"/>
          <w:rtl/>
          <w:lang w:eastAsia="he-IL"/>
        </w:rPr>
        <w:t xml:space="preserve"> </w:t>
      </w:r>
      <w:r w:rsidRPr="00F41E78">
        <w:rPr>
          <w:rFonts w:cs="FrankRuehl" w:hint="eastAsia"/>
          <w:sz w:val="18"/>
          <w:szCs w:val="22"/>
          <w:rtl/>
          <w:lang w:eastAsia="he-IL"/>
        </w:rPr>
        <w:t>התכנית</w:t>
      </w:r>
      <w:r w:rsidRPr="00F41E78">
        <w:rPr>
          <w:rFonts w:cs="FrankRuehl"/>
          <w:sz w:val="18"/>
          <w:szCs w:val="22"/>
          <w:rtl/>
          <w:lang w:eastAsia="he-IL"/>
        </w:rPr>
        <w:t xml:space="preserve"> </w:t>
      </w:r>
      <w:r w:rsidRPr="00F41E78">
        <w:rPr>
          <w:rFonts w:cs="FrankRuehl" w:hint="eastAsia"/>
          <w:sz w:val="18"/>
          <w:szCs w:val="22"/>
          <w:rtl/>
          <w:lang w:eastAsia="he-IL"/>
        </w:rPr>
        <w:t>אינה</w:t>
      </w:r>
      <w:r w:rsidRPr="00F41E78">
        <w:rPr>
          <w:rFonts w:cs="FrankRuehl"/>
          <w:sz w:val="18"/>
          <w:szCs w:val="22"/>
          <w:rtl/>
          <w:lang w:eastAsia="he-IL"/>
        </w:rPr>
        <w:t xml:space="preserve"> </w:t>
      </w:r>
      <w:r w:rsidRPr="00F41E78">
        <w:rPr>
          <w:rFonts w:cs="FrankRuehl" w:hint="eastAsia"/>
          <w:sz w:val="18"/>
          <w:szCs w:val="22"/>
          <w:rtl/>
          <w:lang w:eastAsia="he-IL"/>
        </w:rPr>
        <w:t>מתממשת</w:t>
      </w:r>
      <w:r w:rsidRPr="00F41E78">
        <w:rPr>
          <w:rFonts w:cs="FrankRuehl"/>
          <w:sz w:val="18"/>
          <w:szCs w:val="22"/>
          <w:rtl/>
          <w:lang w:eastAsia="he-IL"/>
        </w:rPr>
        <w:t>.</w:t>
      </w:r>
      <w:r w:rsidRPr="00F41E78">
        <w:rPr>
          <w:rFonts w:cs="FrankRuehl" w:hint="cs"/>
          <w:sz w:val="18"/>
          <w:szCs w:val="22"/>
          <w:rtl/>
          <w:lang w:eastAsia="he-IL"/>
        </w:rPr>
        <w:t xml:space="preserve"> פרק זה ירחיב את היריעה בסוגיית מימוש תכניות למגורים ויוצגו בו ממצאים הנוגעים לחסמים נוספים המעכבים מימוש תכניות בכלל הקרקעות.</w:t>
      </w:r>
    </w:p>
    <w:p w:rsidR="00282703" w:rsidRPr="00F41E78" w:rsidP="00A7557B">
      <w:pPr>
        <w:spacing w:after="120" w:line="230" w:lineRule="exact"/>
        <w:jc w:val="both"/>
        <w:rPr>
          <w:rFonts w:cs="FrankRuehl"/>
          <w:sz w:val="18"/>
          <w:szCs w:val="22"/>
          <w:lang w:eastAsia="he-IL"/>
        </w:rPr>
      </w:pPr>
    </w:p>
    <w:p w:rsidR="00282703" w:rsidRPr="00F41E78" w:rsidP="00A7557B">
      <w:pPr>
        <w:spacing w:after="120" w:line="230" w:lineRule="exact"/>
        <w:jc w:val="both"/>
        <w:rPr>
          <w:rFonts w:cs="FrankRuehl"/>
          <w:sz w:val="18"/>
          <w:szCs w:val="22"/>
          <w:rtl/>
          <w:lang w:eastAsia="he-IL"/>
        </w:rPr>
      </w:pPr>
    </w:p>
    <w:p w:rsidR="00E97EDA" w:rsidRPr="00CB33CD" w:rsidP="00A7557B">
      <w:pPr>
        <w:pStyle w:val="KOT4"/>
        <w:rPr>
          <w:rtl/>
          <w:lang w:eastAsia="he-IL"/>
        </w:rPr>
      </w:pPr>
      <w:r w:rsidRPr="00CB33CD">
        <w:rPr>
          <w:rFonts w:hint="cs"/>
          <w:rtl/>
          <w:lang w:eastAsia="he-IL"/>
        </w:rPr>
        <w:t>תהליכי מימוש תכניות למגורים</w:t>
      </w:r>
    </w:p>
    <w:p w:rsidR="00E97EDA" w:rsidRPr="004B0348" w:rsidP="004B0348">
      <w:pPr>
        <w:pStyle w:val="BodyText"/>
        <w:spacing w:before="0" w:after="240"/>
        <w:rPr>
          <w:sz w:val="18"/>
          <w:rtl/>
          <w:lang w:eastAsia="he-IL"/>
        </w:rPr>
      </w:pPr>
      <w:r w:rsidRPr="004B0348">
        <w:rPr>
          <w:rFonts w:hint="cs"/>
          <w:sz w:val="18"/>
          <w:rtl/>
          <w:lang w:eastAsia="he-IL"/>
        </w:rPr>
        <w:t xml:space="preserve">על פי חוק התכנון והבנייה, כדי לבנות על קרקע ולהשתמש בה ישנו צורך בהיתר בנייה לכל מבנה ומבנה. ככלל, הוועדות המקומיות או רשויות הרישוי המקומיות מוציאות את היתרי הבנייה בדרך שנקבעה בחוק ובתקנות. בסעיף 145(ז) לחוק נקבע כי היתר בנייה מותנה באישור תכנית עם הוראות מפורטות (כמו פירוט ייעודי הקרקע, הגדרת קווי בניין, מספר הקומות ושטחי הבנייה המותרים). </w:t>
      </w:r>
    </w:p>
    <w:p w:rsidR="00D22B16" w:rsidRPr="00F41E78" w:rsidP="00D22B16">
      <w:pPr>
        <w:pStyle w:val="RESHET"/>
        <w:keepLines/>
        <w:rPr>
          <w:rtl/>
        </w:rPr>
      </w:pPr>
      <w:r w:rsidRPr="00F41E78">
        <w:rPr>
          <w:rFonts w:hint="cs"/>
          <w:rtl/>
        </w:rPr>
        <w:t xml:space="preserve">תהליך רישוי הבנייה מצוי אפוא בנתיב הקריטי של שרשרת הייצור - אין בנייה ללא היתר ואין היתר ללא תכנית. אולם מימוש תכניות </w:t>
      </w:r>
      <w:r w:rsidRPr="00F41E78">
        <w:rPr>
          <w:rtl/>
        </w:rPr>
        <w:t>למגורים</w:t>
      </w:r>
      <w:r w:rsidRPr="00F41E78">
        <w:rPr>
          <w:rFonts w:hint="cs"/>
          <w:rtl/>
        </w:rPr>
        <w:t xml:space="preserve"> והגשת בקשות להיתר בנייה ייתכנו רק אם יתקיימו תנאים נוספים כמפורט להלן: </w:t>
      </w:r>
    </w:p>
    <w:p w:rsidR="00E97EDA" w:rsidRPr="00F41E78" w:rsidP="004B0348">
      <w:pPr>
        <w:spacing w:before="180" w:after="240" w:line="230" w:lineRule="exact"/>
        <w:jc w:val="both"/>
        <w:rPr>
          <w:rFonts w:cs="FrankRuehl"/>
          <w:sz w:val="18"/>
          <w:szCs w:val="22"/>
          <w:rtl/>
          <w:lang w:eastAsia="he-IL"/>
        </w:rPr>
      </w:pPr>
      <w:r w:rsidRPr="00F41E78">
        <w:rPr>
          <w:rFonts w:cs="FrankRuehl" w:hint="eastAsia"/>
          <w:bCs/>
          <w:spacing w:val="40"/>
          <w:sz w:val="18"/>
          <w:szCs w:val="22"/>
          <w:rtl/>
        </w:rPr>
        <w:t>חלוקת</w:t>
      </w:r>
      <w:r w:rsidRPr="00F41E78">
        <w:rPr>
          <w:rFonts w:cs="FrankRuehl"/>
          <w:bCs/>
          <w:spacing w:val="40"/>
          <w:sz w:val="18"/>
          <w:szCs w:val="22"/>
          <w:rtl/>
        </w:rPr>
        <w:t xml:space="preserve"> </w:t>
      </w:r>
      <w:r w:rsidRPr="00F41E78">
        <w:rPr>
          <w:rFonts w:cs="FrankRuehl" w:hint="eastAsia"/>
          <w:bCs/>
          <w:spacing w:val="40"/>
          <w:sz w:val="18"/>
          <w:szCs w:val="22"/>
          <w:rtl/>
        </w:rPr>
        <w:t>הקרקע</w:t>
      </w:r>
      <w:r w:rsidRPr="00F41E78">
        <w:rPr>
          <w:rFonts w:cs="FrankRuehl"/>
          <w:bCs/>
          <w:spacing w:val="40"/>
          <w:sz w:val="18"/>
          <w:szCs w:val="22"/>
          <w:rtl/>
        </w:rPr>
        <w:t xml:space="preserve"> </w:t>
      </w:r>
      <w:r w:rsidRPr="00F41E78">
        <w:rPr>
          <w:rFonts w:cs="FrankRuehl" w:hint="eastAsia"/>
          <w:bCs/>
          <w:spacing w:val="40"/>
          <w:sz w:val="18"/>
          <w:szCs w:val="22"/>
          <w:rtl/>
        </w:rPr>
        <w:t>למגרשים</w:t>
      </w:r>
      <w:r w:rsidRPr="00F41E78">
        <w:rPr>
          <w:rFonts w:cs="FrankRuehl"/>
          <w:bCs/>
          <w:spacing w:val="40"/>
          <w:sz w:val="18"/>
          <w:szCs w:val="22"/>
          <w:rtl/>
        </w:rPr>
        <w:t xml:space="preserve"> </w:t>
      </w:r>
      <w:r w:rsidRPr="00F41E78">
        <w:rPr>
          <w:rFonts w:cs="FrankRuehl" w:hint="eastAsia"/>
          <w:bCs/>
          <w:spacing w:val="40"/>
          <w:sz w:val="18"/>
          <w:szCs w:val="22"/>
          <w:rtl/>
        </w:rPr>
        <w:t>ולחלקות</w:t>
      </w:r>
      <w:r w:rsidRPr="00F41E78">
        <w:rPr>
          <w:rFonts w:cs="FrankRuehl"/>
          <w:bCs/>
          <w:spacing w:val="40"/>
          <w:sz w:val="18"/>
          <w:szCs w:val="22"/>
          <w:rtl/>
        </w:rPr>
        <w:t xml:space="preserve"> </w:t>
      </w:r>
      <w:r w:rsidRPr="00F41E78">
        <w:rPr>
          <w:rFonts w:cs="FrankRuehl" w:hint="eastAsia"/>
          <w:bCs/>
          <w:spacing w:val="40"/>
          <w:sz w:val="18"/>
          <w:szCs w:val="22"/>
          <w:rtl/>
        </w:rPr>
        <w:t>ורישום</w:t>
      </w:r>
      <w:r w:rsidRPr="00F41E78">
        <w:rPr>
          <w:rFonts w:cs="FrankRuehl"/>
          <w:bCs/>
          <w:spacing w:val="40"/>
          <w:sz w:val="18"/>
          <w:szCs w:val="22"/>
          <w:rtl/>
        </w:rPr>
        <w:t xml:space="preserve"> </w:t>
      </w:r>
      <w:r w:rsidRPr="00F41E78">
        <w:rPr>
          <w:rFonts w:cs="FrankRuehl" w:hint="eastAsia"/>
          <w:bCs/>
          <w:spacing w:val="40"/>
          <w:sz w:val="18"/>
          <w:szCs w:val="22"/>
          <w:rtl/>
        </w:rPr>
        <w:t>בפנקס</w:t>
      </w:r>
      <w:r w:rsidRPr="00F41E78">
        <w:rPr>
          <w:rFonts w:cs="FrankRuehl"/>
          <w:bCs/>
          <w:spacing w:val="40"/>
          <w:sz w:val="18"/>
          <w:szCs w:val="22"/>
          <w:rtl/>
        </w:rPr>
        <w:t xml:space="preserve"> </w:t>
      </w:r>
      <w:r w:rsidRPr="00F41E78">
        <w:rPr>
          <w:rFonts w:cs="FrankRuehl" w:hint="eastAsia"/>
          <w:bCs/>
          <w:spacing w:val="40"/>
          <w:sz w:val="18"/>
          <w:szCs w:val="22"/>
          <w:rtl/>
        </w:rPr>
        <w:t>המקרקעין</w:t>
      </w:r>
      <w:r w:rsidRPr="00F41E78">
        <w:rPr>
          <w:rFonts w:cs="FrankRuehl"/>
          <w:bCs/>
          <w:spacing w:val="40"/>
          <w:sz w:val="18"/>
          <w:szCs w:val="22"/>
          <w:rtl/>
        </w:rPr>
        <w:t>:</w:t>
      </w:r>
      <w:r w:rsidRPr="00F41E78">
        <w:rPr>
          <w:rFonts w:cs="FrankRuehl" w:hint="cs"/>
          <w:sz w:val="18"/>
          <w:szCs w:val="22"/>
          <w:rtl/>
          <w:lang w:eastAsia="he-IL"/>
        </w:rPr>
        <w:t xml:space="preserve"> בסעיף 137 לחוק התכנון והבנייה נקבע כי לא יינתן היתר בנייה לקרקע אלא על פי תשריט חלוקת קרקע שאושר, או באין תשריט כאמור - בהסכמת הוועדה המחוזית. הכללים לחלוקה של הקרקע למגרשים ולחלקות, לרבות חלוקה מחדש, וההיבטים הקנייניים והשמאיים הכרוכים בכך מפורטים בחוק ובתקנותיו. בחוק נקבעו גם עקרונות לחלוקה מחודשת של הקרקע, ובתקנות נקבע כי יש להכין טבלאות המפרטות את הקצאת הקרקע ואת האיזון של שווי החלקות והמגרשים לאחר החלוקה מחדש (להלן - טבלת איזון). לפי תקנה 11 בתקנות התכנון והבניה (תכנית איחוד וחלוקה), התשס"ט-2009, אין להוציא היתר לבנייה בקרקע שהוועדה המקומית לא אישרה בעבורה תכנית לצורכי רישום בפנקס המקרקעין. </w:t>
      </w:r>
    </w:p>
    <w:p w:rsidR="00D22B16" w:rsidRPr="00F41E78" w:rsidP="00D22B16">
      <w:pPr>
        <w:pStyle w:val="RESHET"/>
        <w:keepLines/>
        <w:rPr>
          <w:rtl/>
        </w:rPr>
      </w:pPr>
      <w:r w:rsidRPr="00F41E78">
        <w:rPr>
          <w:rFonts w:hint="cs"/>
          <w:rtl/>
        </w:rPr>
        <w:t xml:space="preserve">יוצא אפוא שאם התכניות המפורטות המאושרות החלות על הקרקע לא כללו הוראות בדבר חלוקת הקרקע למגרשים ולחלקות, לא ניתן להוציא מכוחן היתרי בנייה אלא אם תאשר הוועדה המקומית גם תשריט חלוקת קרקע וגם תכנית לצורכי רישום. </w:t>
      </w:r>
    </w:p>
    <w:p w:rsidR="00E97EDA" w:rsidRPr="00F41E78" w:rsidP="004B0348">
      <w:pPr>
        <w:spacing w:before="180" w:after="120" w:line="230" w:lineRule="exact"/>
        <w:jc w:val="both"/>
        <w:rPr>
          <w:rFonts w:cs="FrankRuehl"/>
          <w:sz w:val="18"/>
          <w:szCs w:val="22"/>
          <w:rtl/>
          <w:lang w:eastAsia="he-IL"/>
        </w:rPr>
      </w:pPr>
      <w:r w:rsidRPr="00F41E78">
        <w:rPr>
          <w:rFonts w:cs="FrankRuehl" w:hint="eastAsia"/>
          <w:bCs/>
          <w:spacing w:val="40"/>
          <w:sz w:val="18"/>
          <w:szCs w:val="22"/>
          <w:rtl/>
        </w:rPr>
        <w:t>פיתוח</w:t>
      </w:r>
      <w:r w:rsidRPr="00F41E78">
        <w:rPr>
          <w:rFonts w:cs="FrankRuehl"/>
          <w:bCs/>
          <w:spacing w:val="40"/>
          <w:sz w:val="18"/>
          <w:szCs w:val="22"/>
          <w:rtl/>
        </w:rPr>
        <w:t xml:space="preserve"> </w:t>
      </w:r>
      <w:r w:rsidRPr="00F41E78">
        <w:rPr>
          <w:rFonts w:cs="FrankRuehl" w:hint="eastAsia"/>
          <w:bCs/>
          <w:spacing w:val="40"/>
          <w:sz w:val="18"/>
          <w:szCs w:val="22"/>
          <w:rtl/>
        </w:rPr>
        <w:t>תשתיות</w:t>
      </w:r>
      <w:r w:rsidRPr="00F41E78">
        <w:rPr>
          <w:rFonts w:cs="FrankRuehl"/>
          <w:bCs/>
          <w:spacing w:val="40"/>
          <w:sz w:val="18"/>
          <w:szCs w:val="22"/>
          <w:rtl/>
        </w:rPr>
        <w:t xml:space="preserve"> </w:t>
      </w:r>
      <w:r w:rsidRPr="00F41E78">
        <w:rPr>
          <w:rFonts w:cs="FrankRuehl" w:hint="eastAsia"/>
          <w:bCs/>
          <w:spacing w:val="40"/>
          <w:sz w:val="18"/>
          <w:szCs w:val="22"/>
          <w:rtl/>
        </w:rPr>
        <w:t>מוניציפליות</w:t>
      </w:r>
      <w:r w:rsidRPr="00F41E78">
        <w:rPr>
          <w:rFonts w:cs="FrankRuehl"/>
          <w:bCs/>
          <w:spacing w:val="40"/>
          <w:sz w:val="18"/>
          <w:szCs w:val="22"/>
          <w:rtl/>
        </w:rPr>
        <w:t>:</w:t>
      </w:r>
      <w:r w:rsidRPr="00F41E78">
        <w:rPr>
          <w:rFonts w:cs="FrankRuehl" w:hint="cs"/>
          <w:sz w:val="18"/>
          <w:szCs w:val="22"/>
          <w:rtl/>
          <w:lang w:eastAsia="he-IL"/>
        </w:rPr>
        <w:t xml:space="preserve"> לשם הקמתן של שכונות מגורים חדשות שבהן מאות ואף אלפי יח"ד, נדרש לתכנן ולבנות תשתיות בתוך השכונות עצמן, ולפעמים גם מחוצה להן. ביצוע עבודות הפיתוח ובניית חלק ממוסדות הציבור הם באחריותן של הרשויות המקומיות והם כרוכים </w:t>
      </w:r>
      <w:r w:rsidRPr="00F41E78">
        <w:rPr>
          <w:rFonts w:cs="FrankRuehl" w:hint="cs"/>
          <w:sz w:val="18"/>
          <w:szCs w:val="22"/>
          <w:rtl/>
          <w:lang w:eastAsia="he-IL"/>
        </w:rPr>
        <w:t xml:space="preserve">בעלויות </w:t>
      </w:r>
      <w:r w:rsidRPr="00F41E78">
        <w:rPr>
          <w:rFonts w:cs="FrankRuehl"/>
          <w:sz w:val="18"/>
          <w:szCs w:val="22"/>
          <w:rtl/>
          <w:lang w:eastAsia="he-IL"/>
        </w:rPr>
        <w:t>גבוהות</w:t>
      </w:r>
      <w:r w:rsidRPr="00F41E78">
        <w:rPr>
          <w:rFonts w:cs="FrankRuehl" w:hint="cs"/>
          <w:sz w:val="18"/>
          <w:szCs w:val="22"/>
          <w:rtl/>
          <w:lang w:eastAsia="he-IL"/>
        </w:rPr>
        <w:t>. לרשויות המקומיות ניתנה סמכות לגבות אגרות והיטלים מבעלי הנכסים</w:t>
      </w:r>
      <w:r>
        <w:rPr>
          <w:rFonts w:cs="FrankRuehl"/>
          <w:sz w:val="18"/>
          <w:szCs w:val="22"/>
          <w:vertAlign w:val="superscript"/>
          <w:rtl/>
          <w:lang w:eastAsia="he-IL"/>
        </w:rPr>
        <w:footnoteReference w:id="256"/>
      </w:r>
      <w:r w:rsidRPr="00F41E78">
        <w:rPr>
          <w:rFonts w:cs="FrankRuehl" w:hint="cs"/>
          <w:sz w:val="18"/>
          <w:szCs w:val="22"/>
          <w:rtl/>
          <w:lang w:eastAsia="he-IL"/>
        </w:rPr>
        <w:t xml:space="preserve"> בשכונות המוקמות כדי לממן את פיתוח התשתיות, והן עושות זאת מכוח חוקי עזר שהן מחוקקות ובאמצעות גביית היטלים ואגרות מכוח חוק התכנון והבנייה. </w:t>
      </w:r>
    </w:p>
    <w:p w:rsidR="00E97EDA" w:rsidRPr="00F41E78" w:rsidP="00A7557B">
      <w:pPr>
        <w:spacing w:after="120" w:line="230" w:lineRule="exact"/>
        <w:jc w:val="both"/>
        <w:rPr>
          <w:rFonts w:cs="FrankRuehl"/>
          <w:sz w:val="18"/>
          <w:szCs w:val="22"/>
          <w:rtl/>
          <w:lang w:eastAsia="he-IL"/>
        </w:rPr>
      </w:pPr>
      <w:r w:rsidRPr="00F41E78">
        <w:rPr>
          <w:rFonts w:cs="FrankRuehl" w:hint="eastAsia"/>
          <w:bCs/>
          <w:spacing w:val="40"/>
          <w:sz w:val="18"/>
          <w:szCs w:val="22"/>
          <w:rtl/>
        </w:rPr>
        <w:t>הגשת</w:t>
      </w:r>
      <w:r w:rsidRPr="00F41E78">
        <w:rPr>
          <w:rFonts w:cs="FrankRuehl"/>
          <w:bCs/>
          <w:spacing w:val="40"/>
          <w:sz w:val="18"/>
          <w:szCs w:val="22"/>
          <w:rtl/>
        </w:rPr>
        <w:t xml:space="preserve"> </w:t>
      </w:r>
      <w:r w:rsidRPr="00F41E78">
        <w:rPr>
          <w:rFonts w:cs="FrankRuehl" w:hint="eastAsia"/>
          <w:bCs/>
          <w:spacing w:val="40"/>
          <w:sz w:val="18"/>
          <w:szCs w:val="22"/>
          <w:rtl/>
        </w:rPr>
        <w:t>בקשה</w:t>
      </w:r>
      <w:r w:rsidRPr="00F41E78">
        <w:rPr>
          <w:rFonts w:cs="FrankRuehl"/>
          <w:bCs/>
          <w:spacing w:val="40"/>
          <w:sz w:val="18"/>
          <w:szCs w:val="22"/>
          <w:rtl/>
        </w:rPr>
        <w:t xml:space="preserve"> </w:t>
      </w:r>
      <w:r w:rsidRPr="00F41E78">
        <w:rPr>
          <w:rFonts w:cs="FrankRuehl" w:hint="eastAsia"/>
          <w:bCs/>
          <w:spacing w:val="40"/>
          <w:sz w:val="18"/>
          <w:szCs w:val="22"/>
          <w:rtl/>
        </w:rPr>
        <w:t>להיתר</w:t>
      </w:r>
      <w:r w:rsidRPr="00F41E78">
        <w:rPr>
          <w:rFonts w:cs="FrankRuehl"/>
          <w:bCs/>
          <w:spacing w:val="40"/>
          <w:sz w:val="18"/>
          <w:szCs w:val="22"/>
          <w:rtl/>
        </w:rPr>
        <w:t xml:space="preserve"> </w:t>
      </w:r>
      <w:r w:rsidRPr="00F41E78">
        <w:rPr>
          <w:rFonts w:cs="FrankRuehl" w:hint="eastAsia"/>
          <w:bCs/>
          <w:spacing w:val="40"/>
          <w:sz w:val="18"/>
          <w:szCs w:val="22"/>
          <w:rtl/>
        </w:rPr>
        <w:t>בנייה</w:t>
      </w:r>
      <w:r w:rsidRPr="00F41E78">
        <w:rPr>
          <w:rFonts w:cs="FrankRuehl"/>
          <w:bCs/>
          <w:spacing w:val="40"/>
          <w:sz w:val="18"/>
          <w:szCs w:val="22"/>
          <w:rtl/>
        </w:rPr>
        <w:t xml:space="preserve"> </w:t>
      </w:r>
      <w:r w:rsidRPr="00F41E78">
        <w:rPr>
          <w:rFonts w:cs="FrankRuehl" w:hint="eastAsia"/>
          <w:bCs/>
          <w:spacing w:val="40"/>
          <w:sz w:val="18"/>
          <w:szCs w:val="22"/>
          <w:rtl/>
        </w:rPr>
        <w:t>ותהליך</w:t>
      </w:r>
      <w:r w:rsidRPr="00F41E78">
        <w:rPr>
          <w:rFonts w:cs="FrankRuehl"/>
          <w:bCs/>
          <w:spacing w:val="40"/>
          <w:sz w:val="18"/>
          <w:szCs w:val="22"/>
          <w:rtl/>
        </w:rPr>
        <w:t xml:space="preserve"> </w:t>
      </w:r>
      <w:r w:rsidRPr="00F41E78">
        <w:rPr>
          <w:rFonts w:cs="FrankRuehl" w:hint="eastAsia"/>
          <w:bCs/>
          <w:spacing w:val="40"/>
          <w:sz w:val="18"/>
          <w:szCs w:val="22"/>
          <w:rtl/>
        </w:rPr>
        <w:t>הרישוי</w:t>
      </w:r>
      <w:r w:rsidRPr="00F41E78">
        <w:rPr>
          <w:rFonts w:cs="FrankRuehl"/>
          <w:bCs/>
          <w:spacing w:val="40"/>
          <w:sz w:val="18"/>
          <w:szCs w:val="22"/>
          <w:rtl/>
        </w:rPr>
        <w:t>:</w:t>
      </w:r>
      <w:r w:rsidRPr="00F41E78">
        <w:rPr>
          <w:rFonts w:cs="FrankRuehl" w:hint="cs"/>
          <w:sz w:val="18"/>
          <w:szCs w:val="22"/>
          <w:rtl/>
          <w:lang w:eastAsia="he-IL"/>
        </w:rPr>
        <w:t xml:space="preserve"> כדי לקבל היתר בנייה לא די בקיום התנאים המפורטים לעיל. בעל הזכויות בקרקע נדרש להגיש בקשה להיתר בנייה במתכונת מסוימת שנקבעה בחוק התכנון והבנייה ובתקנותיו. </w:t>
      </w:r>
    </w:p>
    <w:p w:rsidR="00E97EDA" w:rsidRPr="00CB33CD" w:rsidP="00A7557B">
      <w:pPr>
        <w:tabs>
          <w:tab w:val="left" w:pos="588"/>
        </w:tabs>
        <w:spacing w:after="120" w:line="230" w:lineRule="exact"/>
        <w:ind w:left="12"/>
        <w:jc w:val="both"/>
        <w:rPr>
          <w:szCs w:val="20"/>
          <w:rtl/>
          <w:lang w:eastAsia="he-IL"/>
        </w:rPr>
      </w:pPr>
      <w:r w:rsidRPr="00F41E78">
        <w:rPr>
          <w:rFonts w:cs="FrankRuehl" w:hint="cs"/>
          <w:sz w:val="18"/>
          <w:szCs w:val="22"/>
          <w:rtl/>
          <w:lang w:eastAsia="he-IL"/>
        </w:rPr>
        <w:t>להלן תרשים המסכם באופן עקרוני את תהליך מימוש התכניות:</w:t>
      </w:r>
    </w:p>
    <w:p w:rsidR="00534F5E" w:rsidP="00A7557B">
      <w:pPr>
        <w:spacing w:line="240" w:lineRule="atLeast"/>
        <w:jc w:val="center"/>
        <w:rPr>
          <w:rFonts w:ascii="Arial" w:hAnsi="Arial" w:cs="Arial"/>
          <w:bCs/>
          <w:szCs w:val="26"/>
          <w:lang w:eastAsia="he-IL"/>
        </w:rPr>
      </w:pPr>
      <w:r>
        <w:rPr>
          <w:rFonts w:ascii="Arial" w:hAnsi="Arial" w:cs="Arial"/>
          <w:bCs/>
          <w:szCs w:val="26"/>
          <w:lang w:eastAsia="he-IL"/>
        </w:rPr>
        <w:pict>
          <v:shape id="_x0000_i1048" type="#_x0000_t75" style="width:334pt;height:194.5pt;mso-left-percent:-10001;mso-position-horizontal-relative:char;mso-position-vertical-relative:line;mso-top-percent:-10001">
            <v:imagedata r:id="rId36" o:title=""/>
            <w10:wrap type="none"/>
          </v:shape>
        </w:pict>
      </w:r>
    </w:p>
    <w:p w:rsidR="00065DC4" w:rsidRPr="004B0348" w:rsidP="004B0348">
      <w:pPr>
        <w:tabs>
          <w:tab w:val="left" w:pos="588"/>
        </w:tabs>
        <w:spacing w:after="120" w:line="230" w:lineRule="exact"/>
        <w:ind w:left="12"/>
        <w:jc w:val="both"/>
        <w:rPr>
          <w:rFonts w:cs="FrankRuehl"/>
          <w:sz w:val="18"/>
          <w:szCs w:val="22"/>
          <w:rtl/>
          <w:lang w:eastAsia="he-IL"/>
        </w:rPr>
      </w:pPr>
    </w:p>
    <w:p w:rsidR="00E97EDA" w:rsidRPr="00CB33CD" w:rsidP="00A7557B">
      <w:pPr>
        <w:pStyle w:val="KOT5"/>
        <w:rPr>
          <w:rtl/>
          <w:lang w:eastAsia="he-IL"/>
        </w:rPr>
      </w:pPr>
      <w:r w:rsidRPr="00CB33CD">
        <w:rPr>
          <w:rFonts w:hint="cs"/>
          <w:rtl/>
          <w:lang w:eastAsia="he-IL"/>
        </w:rPr>
        <w:t xml:space="preserve">משך תהליכי מימוש תכניות מפורטות </w:t>
      </w:r>
    </w:p>
    <w:p w:rsidR="00E97EDA" w:rsidRPr="00F41E78" w:rsidP="00A7557B">
      <w:pPr>
        <w:tabs>
          <w:tab w:val="left" w:pos="588"/>
        </w:tabs>
        <w:spacing w:after="120" w:line="230" w:lineRule="exact"/>
        <w:ind w:left="12"/>
        <w:jc w:val="both"/>
        <w:rPr>
          <w:rFonts w:cs="FrankRuehl"/>
          <w:sz w:val="18"/>
          <w:szCs w:val="22"/>
          <w:rtl/>
          <w:lang w:eastAsia="he-IL"/>
        </w:rPr>
      </w:pPr>
      <w:r w:rsidRPr="00F41E78">
        <w:rPr>
          <w:rFonts w:cs="FrankRuehl" w:hint="cs"/>
          <w:sz w:val="18"/>
          <w:szCs w:val="22"/>
          <w:rtl/>
          <w:lang w:eastAsia="he-IL"/>
        </w:rPr>
        <w:t>בביקורת נבדקו תהליכי המימוש של תכניות מפורטות למגורים בשבע רשויות מקומיות גדולות. לשם כך אותרו תכניות למגורים שאושרו בשנים 2012-2002 וכוללות יותר מ-50 יח"ד. נבדקו מהם הגורמים שעיכבו את הגשת הבקשות להיתרי הבנייה, כמה היתרי בנייה ניתנו ומהו משך הזמן הכולל שחלף מאישור התכניות עד מתן ההיתרים. להלן הפרטים:</w:t>
      </w:r>
    </w:p>
    <w:p w:rsidR="00E97EDA" w:rsidRPr="00F41E78" w:rsidP="00A7557B">
      <w:pPr>
        <w:tabs>
          <w:tab w:val="left" w:pos="588"/>
        </w:tabs>
        <w:spacing w:after="120" w:line="230" w:lineRule="exact"/>
        <w:ind w:left="12"/>
        <w:jc w:val="both"/>
        <w:rPr>
          <w:rFonts w:cs="FrankRuehl"/>
          <w:sz w:val="18"/>
          <w:szCs w:val="22"/>
          <w:rtl/>
          <w:lang w:eastAsia="he-IL"/>
        </w:rPr>
      </w:pPr>
    </w:p>
    <w:p w:rsidR="00E97EDA" w:rsidRPr="00BA7C50" w:rsidP="004B0348">
      <w:pPr>
        <w:pStyle w:val="tab-name"/>
        <w:rPr>
          <w:rtl/>
          <w:lang w:eastAsia="he-IL"/>
        </w:rPr>
      </w:pPr>
      <w:r>
        <w:rPr>
          <w:b w:val="0"/>
          <w:bCs w:val="0"/>
          <w:sz w:val="20"/>
          <w:szCs w:val="20"/>
          <w:rtl/>
          <w:lang w:eastAsia="he-IL"/>
        </w:rPr>
        <w:br w:type="page"/>
      </w:r>
      <w:r w:rsidRPr="004B0348" w:rsidR="005D58C9">
        <w:rPr>
          <w:rFonts w:hint="cs"/>
          <w:b w:val="0"/>
          <w:bCs w:val="0"/>
          <w:sz w:val="20"/>
          <w:szCs w:val="20"/>
          <w:rtl/>
          <w:lang w:eastAsia="he-IL"/>
        </w:rPr>
        <w:t xml:space="preserve">לוח </w:t>
      </w:r>
      <w:r w:rsidRPr="004B0348">
        <w:rPr>
          <w:rFonts w:hint="cs"/>
          <w:b w:val="0"/>
          <w:bCs w:val="0"/>
          <w:sz w:val="20"/>
          <w:szCs w:val="20"/>
          <w:rtl/>
          <w:lang w:eastAsia="he-IL"/>
        </w:rPr>
        <w:t>1</w:t>
      </w:r>
      <w:r w:rsidRPr="004B0348">
        <w:rPr>
          <w:b w:val="0"/>
          <w:bCs w:val="0"/>
          <w:sz w:val="20"/>
          <w:szCs w:val="20"/>
          <w:lang w:eastAsia="he-IL"/>
        </w:rPr>
        <w:br/>
      </w:r>
      <w:r w:rsidRPr="00BA7C50">
        <w:rPr>
          <w:rFonts w:hint="cs"/>
          <w:rtl/>
          <w:lang w:eastAsia="he-IL"/>
        </w:rPr>
        <w:t>מספר יחידות הדיור שניתנו להן היתרי בנייה מכוח תכנית שאושרו ברשויות מקומיות נבחרות, 2012-2002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9"/>
        <w:gridCol w:w="731"/>
        <w:gridCol w:w="720"/>
        <w:gridCol w:w="692"/>
        <w:gridCol w:w="789"/>
        <w:gridCol w:w="1020"/>
        <w:gridCol w:w="2017"/>
      </w:tblGrid>
      <w:tr w:rsidTr="004B034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12" w:space="0" w:color="auto"/>
              <w:left w:val="single" w:sz="12" w:space="0" w:color="auto"/>
              <w:bottom w:val="single" w:sz="12" w:space="0" w:color="auto"/>
            </w:tcBorders>
            <w:shd w:val="pct10" w:color="auto" w:fill="auto"/>
            <w:vAlign w:val="bottom"/>
          </w:tcPr>
          <w:p w:rsidR="00E97EDA" w:rsidRPr="00736CC3" w:rsidP="004B0348">
            <w:pPr>
              <w:tabs>
                <w:tab w:val="left" w:pos="588"/>
              </w:tabs>
              <w:spacing w:before="40" w:after="40" w:line="200" w:lineRule="exact"/>
              <w:jc w:val="center"/>
              <w:rPr>
                <w:rFonts w:cs="FrankRuehl"/>
                <w:b/>
                <w:bCs/>
                <w:sz w:val="20"/>
                <w:szCs w:val="20"/>
                <w:rtl/>
              </w:rPr>
            </w:pPr>
            <w:r w:rsidRPr="00736CC3">
              <w:rPr>
                <w:rFonts w:cs="FrankRuehl" w:hint="cs"/>
                <w:b/>
                <w:bCs/>
                <w:sz w:val="20"/>
                <w:szCs w:val="20"/>
                <w:rtl/>
              </w:rPr>
              <w:t>הרשות המקומית</w:t>
            </w:r>
          </w:p>
        </w:tc>
        <w:tc>
          <w:tcPr>
            <w:tcW w:w="0" w:type="auto"/>
            <w:tcBorders>
              <w:top w:val="single" w:sz="12" w:space="0" w:color="auto"/>
              <w:bottom w:val="single" w:sz="12" w:space="0" w:color="auto"/>
            </w:tcBorders>
            <w:shd w:val="pct10" w:color="auto" w:fill="auto"/>
            <w:vAlign w:val="bottom"/>
          </w:tcPr>
          <w:p w:rsidR="00E97EDA" w:rsidRPr="00736CC3" w:rsidP="004B0348">
            <w:pPr>
              <w:tabs>
                <w:tab w:val="left" w:pos="588"/>
              </w:tabs>
              <w:spacing w:before="40" w:after="40" w:line="200" w:lineRule="exact"/>
              <w:jc w:val="center"/>
              <w:rPr>
                <w:rFonts w:cs="FrankRuehl"/>
                <w:b/>
                <w:bCs/>
                <w:sz w:val="20"/>
                <w:szCs w:val="20"/>
                <w:rtl/>
              </w:rPr>
            </w:pPr>
            <w:r w:rsidRPr="00736CC3">
              <w:rPr>
                <w:rFonts w:cs="FrankRuehl" w:hint="cs"/>
                <w:b/>
                <w:bCs/>
                <w:sz w:val="20"/>
                <w:szCs w:val="20"/>
                <w:rtl/>
              </w:rPr>
              <w:t xml:space="preserve">מספר </w:t>
            </w:r>
            <w:r w:rsidRPr="00736CC3" w:rsidR="004B0348">
              <w:rPr>
                <w:rFonts w:cs="FrankRuehl"/>
                <w:b/>
                <w:bCs/>
                <w:sz w:val="20"/>
                <w:szCs w:val="20"/>
              </w:rPr>
              <w:br/>
            </w:r>
            <w:r w:rsidRPr="00736CC3">
              <w:rPr>
                <w:rFonts w:cs="FrankRuehl" w:hint="cs"/>
                <w:b/>
                <w:bCs/>
                <w:sz w:val="20"/>
                <w:szCs w:val="20"/>
                <w:rtl/>
              </w:rPr>
              <w:t xml:space="preserve">התכניות </w:t>
            </w:r>
            <w:r w:rsidRPr="00736CC3" w:rsidR="004B0348">
              <w:rPr>
                <w:rFonts w:cs="FrankRuehl"/>
                <w:b/>
                <w:bCs/>
                <w:sz w:val="20"/>
                <w:szCs w:val="20"/>
              </w:rPr>
              <w:br/>
            </w:r>
            <w:r w:rsidRPr="00736CC3">
              <w:rPr>
                <w:rFonts w:cs="FrankRuehl" w:hint="cs"/>
                <w:b/>
                <w:bCs/>
                <w:sz w:val="20"/>
                <w:szCs w:val="20"/>
                <w:rtl/>
              </w:rPr>
              <w:t>שנבדקו</w:t>
            </w:r>
          </w:p>
        </w:tc>
        <w:tc>
          <w:tcPr>
            <w:tcW w:w="0" w:type="auto"/>
            <w:tcBorders>
              <w:top w:val="single" w:sz="12" w:space="0" w:color="auto"/>
              <w:bottom w:val="single" w:sz="12" w:space="0" w:color="auto"/>
            </w:tcBorders>
            <w:shd w:val="pct10" w:color="auto" w:fill="auto"/>
            <w:vAlign w:val="bottom"/>
          </w:tcPr>
          <w:p w:rsidR="00E97EDA" w:rsidRPr="00736CC3" w:rsidP="004B0348">
            <w:pPr>
              <w:tabs>
                <w:tab w:val="left" w:pos="588"/>
              </w:tabs>
              <w:spacing w:before="40" w:after="40" w:line="200" w:lineRule="exact"/>
              <w:jc w:val="center"/>
              <w:rPr>
                <w:rFonts w:cs="FrankRuehl"/>
                <w:b/>
                <w:bCs/>
                <w:sz w:val="20"/>
                <w:szCs w:val="20"/>
                <w:rtl/>
              </w:rPr>
            </w:pPr>
            <w:r w:rsidRPr="00736CC3">
              <w:rPr>
                <w:rFonts w:cs="FrankRuehl" w:hint="cs"/>
                <w:b/>
                <w:bCs/>
                <w:sz w:val="20"/>
                <w:szCs w:val="20"/>
                <w:rtl/>
              </w:rPr>
              <w:t xml:space="preserve">מספר </w:t>
            </w:r>
            <w:r w:rsidRPr="00736CC3" w:rsidR="004B0348">
              <w:rPr>
                <w:rFonts w:cs="FrankRuehl"/>
                <w:b/>
                <w:bCs/>
                <w:sz w:val="20"/>
                <w:szCs w:val="20"/>
              </w:rPr>
              <w:br/>
            </w:r>
            <w:r w:rsidRPr="00736CC3">
              <w:rPr>
                <w:rFonts w:cs="FrankRuehl" w:hint="cs"/>
                <w:b/>
                <w:bCs/>
                <w:sz w:val="20"/>
                <w:szCs w:val="20"/>
                <w:rtl/>
              </w:rPr>
              <w:t xml:space="preserve">יחידות </w:t>
            </w:r>
            <w:r w:rsidRPr="00736CC3" w:rsidR="004B0348">
              <w:rPr>
                <w:rFonts w:cs="FrankRuehl"/>
                <w:b/>
                <w:bCs/>
                <w:sz w:val="20"/>
                <w:szCs w:val="20"/>
              </w:rPr>
              <w:br/>
            </w:r>
            <w:r w:rsidRPr="00736CC3">
              <w:rPr>
                <w:rFonts w:cs="FrankRuehl" w:hint="cs"/>
                <w:b/>
                <w:bCs/>
                <w:sz w:val="20"/>
                <w:szCs w:val="20"/>
                <w:rtl/>
              </w:rPr>
              <w:t xml:space="preserve">הדיור </w:t>
            </w:r>
            <w:r w:rsidRPr="00736CC3" w:rsidR="004B0348">
              <w:rPr>
                <w:rFonts w:cs="FrankRuehl"/>
                <w:b/>
                <w:bCs/>
                <w:sz w:val="20"/>
                <w:szCs w:val="20"/>
              </w:rPr>
              <w:br/>
            </w:r>
            <w:r w:rsidRPr="00736CC3">
              <w:rPr>
                <w:rFonts w:cs="FrankRuehl" w:hint="cs"/>
                <w:b/>
                <w:bCs/>
                <w:sz w:val="20"/>
                <w:szCs w:val="20"/>
                <w:rtl/>
              </w:rPr>
              <w:t>בתכניות</w:t>
            </w:r>
            <w:r w:rsidRPr="00736CC3" w:rsidR="004B0348">
              <w:rPr>
                <w:rFonts w:cs="FrankRuehl"/>
                <w:b/>
                <w:bCs/>
                <w:sz w:val="20"/>
                <w:szCs w:val="20"/>
              </w:rPr>
              <w:br/>
            </w:r>
            <w:r w:rsidRPr="00736CC3">
              <w:rPr>
                <w:rFonts w:cs="FrankRuehl" w:hint="cs"/>
                <w:b/>
                <w:bCs/>
                <w:sz w:val="20"/>
                <w:szCs w:val="20"/>
                <w:rtl/>
              </w:rPr>
              <w:t>שנבדקו</w:t>
            </w:r>
          </w:p>
        </w:tc>
        <w:tc>
          <w:tcPr>
            <w:tcW w:w="0" w:type="auto"/>
            <w:gridSpan w:val="2"/>
            <w:tcBorders>
              <w:top w:val="single" w:sz="12" w:space="0" w:color="auto"/>
              <w:bottom w:val="single" w:sz="12" w:space="0" w:color="auto"/>
            </w:tcBorders>
            <w:shd w:val="pct10" w:color="auto" w:fill="auto"/>
            <w:vAlign w:val="bottom"/>
          </w:tcPr>
          <w:p w:rsidR="00E97EDA" w:rsidRPr="00582A43" w:rsidP="0061764C">
            <w:pPr>
              <w:tabs>
                <w:tab w:val="left" w:pos="588"/>
              </w:tabs>
              <w:spacing w:before="40" w:after="40" w:line="200" w:lineRule="exact"/>
              <w:jc w:val="center"/>
              <w:rPr>
                <w:rFonts w:cs="FrankRuehl"/>
                <w:b/>
                <w:bCs/>
                <w:sz w:val="20"/>
                <w:szCs w:val="20"/>
                <w:rtl/>
              </w:rPr>
            </w:pPr>
            <w:r w:rsidRPr="00582A43">
              <w:rPr>
                <w:rFonts w:cs="FrankRuehl" w:hint="cs"/>
                <w:b/>
                <w:bCs/>
                <w:sz w:val="20"/>
                <w:szCs w:val="20"/>
                <w:rtl/>
              </w:rPr>
              <w:t xml:space="preserve">מספר יחידות </w:t>
            </w:r>
            <w:r w:rsidRPr="00582A43" w:rsidR="004B0348">
              <w:rPr>
                <w:rFonts w:cs="FrankRuehl"/>
                <w:b/>
                <w:bCs/>
                <w:sz w:val="20"/>
                <w:szCs w:val="20"/>
              </w:rPr>
              <w:br/>
            </w:r>
            <w:r w:rsidRPr="00582A43">
              <w:rPr>
                <w:rFonts w:cs="FrankRuehl" w:hint="cs"/>
                <w:b/>
                <w:bCs/>
                <w:sz w:val="20"/>
                <w:szCs w:val="20"/>
                <w:rtl/>
              </w:rPr>
              <w:t xml:space="preserve">הדיור שניתנו </w:t>
            </w:r>
            <w:r w:rsidRPr="00582A43" w:rsidR="004B0348">
              <w:rPr>
                <w:rFonts w:cs="FrankRuehl"/>
                <w:b/>
                <w:bCs/>
                <w:sz w:val="20"/>
                <w:szCs w:val="20"/>
              </w:rPr>
              <w:br/>
            </w:r>
            <w:r w:rsidRPr="00582A43">
              <w:rPr>
                <w:rFonts w:cs="FrankRuehl" w:hint="cs"/>
                <w:b/>
                <w:bCs/>
                <w:sz w:val="20"/>
                <w:szCs w:val="20"/>
                <w:rtl/>
              </w:rPr>
              <w:t>להן היתרי</w:t>
            </w:r>
            <w:r w:rsidRPr="00582A43" w:rsidR="0061764C">
              <w:rPr>
                <w:rFonts w:cs="FrankRuehl"/>
                <w:b/>
                <w:bCs/>
                <w:sz w:val="20"/>
                <w:szCs w:val="20"/>
                <w:rtl/>
              </w:rPr>
              <w:br/>
            </w:r>
            <w:r w:rsidRPr="00582A43">
              <w:rPr>
                <w:rFonts w:cs="FrankRuehl" w:hint="cs"/>
                <w:b/>
                <w:bCs/>
                <w:sz w:val="20"/>
                <w:szCs w:val="20"/>
                <w:rtl/>
              </w:rPr>
              <w:t>בנייה</w:t>
            </w:r>
            <w:r w:rsidRPr="00582A43" w:rsidR="0061764C">
              <w:rPr>
                <w:rFonts w:cs="FrankRuehl" w:hint="cs"/>
                <w:b/>
                <w:bCs/>
                <w:sz w:val="20"/>
                <w:szCs w:val="20"/>
                <w:rtl/>
              </w:rPr>
              <w:t xml:space="preserve"> ושיעורן</w:t>
            </w:r>
            <w:r w:rsidRPr="00582A43" w:rsidR="0061764C">
              <w:rPr>
                <w:rFonts w:cs="FrankRuehl"/>
                <w:b/>
                <w:bCs/>
                <w:sz w:val="20"/>
                <w:szCs w:val="20"/>
                <w:rtl/>
              </w:rPr>
              <w:br/>
            </w:r>
            <w:r w:rsidRPr="00582A43" w:rsidR="0061764C">
              <w:rPr>
                <w:rFonts w:cs="FrankRuehl" w:hint="cs"/>
                <w:b/>
                <w:bCs/>
                <w:sz w:val="20"/>
                <w:szCs w:val="20"/>
                <w:rtl/>
              </w:rPr>
              <w:t>מסך יחידות</w:t>
            </w:r>
            <w:r w:rsidRPr="00582A43" w:rsidR="0061764C">
              <w:rPr>
                <w:rFonts w:cs="FrankRuehl"/>
                <w:b/>
                <w:bCs/>
                <w:sz w:val="20"/>
                <w:szCs w:val="20"/>
                <w:rtl/>
              </w:rPr>
              <w:br/>
            </w:r>
            <w:r w:rsidRPr="00582A43" w:rsidR="0061764C">
              <w:rPr>
                <w:rFonts w:cs="FrankRuehl" w:hint="cs"/>
                <w:b/>
                <w:bCs/>
                <w:sz w:val="20"/>
                <w:szCs w:val="20"/>
                <w:rtl/>
              </w:rPr>
              <w:t>הדיור בתכניות שנבדקו</w:t>
            </w:r>
          </w:p>
        </w:tc>
        <w:tc>
          <w:tcPr>
            <w:tcW w:w="0" w:type="auto"/>
            <w:tcBorders>
              <w:top w:val="single" w:sz="12" w:space="0" w:color="auto"/>
              <w:bottom w:val="single" w:sz="12" w:space="0" w:color="auto"/>
            </w:tcBorders>
            <w:shd w:val="pct10" w:color="auto" w:fill="auto"/>
            <w:vAlign w:val="bottom"/>
          </w:tcPr>
          <w:p w:rsidR="00E97EDA" w:rsidRPr="00736CC3" w:rsidP="004B0348">
            <w:pPr>
              <w:tabs>
                <w:tab w:val="left" w:pos="588"/>
              </w:tabs>
              <w:spacing w:before="40" w:after="40" w:line="200" w:lineRule="exact"/>
              <w:jc w:val="center"/>
              <w:rPr>
                <w:rFonts w:cs="FrankRuehl"/>
                <w:b/>
                <w:bCs/>
                <w:sz w:val="20"/>
                <w:szCs w:val="20"/>
                <w:rtl/>
              </w:rPr>
            </w:pPr>
            <w:r w:rsidRPr="00736CC3">
              <w:rPr>
                <w:rFonts w:cs="FrankRuehl" w:hint="cs"/>
                <w:b/>
                <w:bCs/>
                <w:sz w:val="20"/>
                <w:szCs w:val="20"/>
                <w:rtl/>
              </w:rPr>
              <w:t xml:space="preserve">משך הזמן </w:t>
            </w:r>
            <w:r w:rsidRPr="00736CC3" w:rsidR="004B0348">
              <w:rPr>
                <w:rFonts w:cs="FrankRuehl"/>
                <w:b/>
                <w:bCs/>
                <w:sz w:val="20"/>
                <w:szCs w:val="20"/>
              </w:rPr>
              <w:br/>
            </w:r>
            <w:r w:rsidRPr="00736CC3">
              <w:rPr>
                <w:rFonts w:cs="FrankRuehl" w:hint="cs"/>
                <w:b/>
                <w:bCs/>
                <w:sz w:val="20"/>
                <w:szCs w:val="20"/>
                <w:rtl/>
              </w:rPr>
              <w:t xml:space="preserve">מאישור התכניות </w:t>
            </w:r>
            <w:r w:rsidRPr="00736CC3" w:rsidR="004B0348">
              <w:rPr>
                <w:rFonts w:cs="FrankRuehl"/>
                <w:b/>
                <w:bCs/>
                <w:sz w:val="20"/>
                <w:szCs w:val="20"/>
              </w:rPr>
              <w:br/>
            </w:r>
            <w:r w:rsidRPr="00736CC3">
              <w:rPr>
                <w:rFonts w:cs="FrankRuehl" w:hint="cs"/>
                <w:b/>
                <w:bCs/>
                <w:sz w:val="20"/>
                <w:szCs w:val="20"/>
                <w:rtl/>
              </w:rPr>
              <w:t xml:space="preserve">עד מתן </w:t>
            </w:r>
            <w:r w:rsidRPr="00736CC3" w:rsidR="004B0348">
              <w:rPr>
                <w:rFonts w:cs="FrankRuehl"/>
                <w:b/>
                <w:bCs/>
                <w:sz w:val="20"/>
                <w:szCs w:val="20"/>
              </w:rPr>
              <w:br/>
            </w:r>
            <w:r w:rsidRPr="00736CC3">
              <w:rPr>
                <w:rFonts w:cs="FrankRuehl" w:hint="cs"/>
                <w:b/>
                <w:bCs/>
                <w:sz w:val="20"/>
                <w:szCs w:val="20"/>
                <w:rtl/>
              </w:rPr>
              <w:t>היתרי בנייה</w:t>
            </w:r>
          </w:p>
        </w:tc>
        <w:tc>
          <w:tcPr>
            <w:tcW w:w="0" w:type="auto"/>
            <w:tcBorders>
              <w:top w:val="single" w:sz="12" w:space="0" w:color="auto"/>
              <w:bottom w:val="single" w:sz="12" w:space="0" w:color="auto"/>
              <w:right w:val="single" w:sz="12" w:space="0" w:color="auto"/>
            </w:tcBorders>
            <w:shd w:val="pct10" w:color="auto" w:fill="auto"/>
            <w:vAlign w:val="bottom"/>
          </w:tcPr>
          <w:p w:rsidR="00E97EDA" w:rsidRPr="00736CC3" w:rsidP="004B0348">
            <w:pPr>
              <w:tabs>
                <w:tab w:val="left" w:pos="588"/>
              </w:tabs>
              <w:spacing w:before="40" w:after="40" w:line="200" w:lineRule="exact"/>
              <w:jc w:val="center"/>
              <w:rPr>
                <w:rFonts w:cs="FrankRuehl"/>
                <w:b/>
                <w:bCs/>
                <w:sz w:val="20"/>
                <w:szCs w:val="20"/>
                <w:rtl/>
              </w:rPr>
            </w:pPr>
            <w:r w:rsidRPr="00736CC3">
              <w:rPr>
                <w:rFonts w:cs="FrankRuehl" w:hint="cs"/>
                <w:b/>
                <w:bCs/>
                <w:sz w:val="20"/>
                <w:szCs w:val="20"/>
                <w:rtl/>
              </w:rPr>
              <w:t xml:space="preserve">גורמים עיקריים המעכבים </w:t>
            </w:r>
            <w:r w:rsidRPr="00736CC3" w:rsidR="004B0348">
              <w:rPr>
                <w:rFonts w:cs="FrankRuehl"/>
                <w:b/>
                <w:bCs/>
                <w:sz w:val="20"/>
                <w:szCs w:val="20"/>
              </w:rPr>
              <w:br/>
            </w:r>
            <w:r w:rsidRPr="00736CC3">
              <w:rPr>
                <w:rFonts w:cs="FrankRuehl" w:hint="cs"/>
                <w:b/>
                <w:bCs/>
                <w:sz w:val="20"/>
                <w:szCs w:val="20"/>
                <w:rtl/>
              </w:rPr>
              <w:t>את מימוש התכניות</w:t>
            </w:r>
          </w:p>
        </w:tc>
      </w:tr>
      <w:tr w:rsidTr="004B0348">
        <w:tblPrEx>
          <w:tblW w:w="0" w:type="auto"/>
          <w:tblLook w:val="01E0"/>
        </w:tblPrEx>
        <w:tc>
          <w:tcPr>
            <w:tcW w:w="0" w:type="auto"/>
            <w:tcBorders>
              <w:top w:val="single" w:sz="12" w:space="0" w:color="auto"/>
              <w:left w:val="single" w:sz="12" w:space="0" w:color="auto"/>
              <w:bottom w:val="nil"/>
              <w:right w:val="single" w:sz="4" w:space="0" w:color="auto"/>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ראשון לציון</w:t>
            </w:r>
          </w:p>
        </w:tc>
        <w:tc>
          <w:tcPr>
            <w:tcW w:w="0" w:type="auto"/>
            <w:tcBorders>
              <w:top w:val="single" w:sz="12" w:space="0" w:color="auto"/>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15</w:t>
            </w:r>
          </w:p>
        </w:tc>
        <w:tc>
          <w:tcPr>
            <w:tcW w:w="0" w:type="auto"/>
            <w:tcBorders>
              <w:top w:val="single" w:sz="12" w:space="0" w:color="auto"/>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5,745</w:t>
            </w:r>
          </w:p>
        </w:tc>
        <w:tc>
          <w:tcPr>
            <w:tcW w:w="0" w:type="auto"/>
            <w:tcBorders>
              <w:top w:val="single" w:sz="12" w:space="0" w:color="auto"/>
              <w:left w:val="single" w:sz="4" w:space="0" w:color="auto"/>
              <w:bottom w:val="nil"/>
              <w:right w:val="nil"/>
            </w:tcBorders>
            <w:shd w:val="clear" w:color="auto" w:fill="auto"/>
          </w:tcPr>
          <w:p w:rsidR="00E97EDA" w:rsidRPr="00736CC3" w:rsidP="004B0348">
            <w:pPr>
              <w:tabs>
                <w:tab w:val="left" w:pos="588"/>
              </w:tabs>
              <w:spacing w:before="40" w:after="40" w:line="200" w:lineRule="exact"/>
              <w:jc w:val="right"/>
              <w:rPr>
                <w:rFonts w:cs="FrankRuehl"/>
                <w:sz w:val="20"/>
                <w:szCs w:val="20"/>
                <w:rtl/>
              </w:rPr>
            </w:pPr>
            <w:r w:rsidRPr="00736CC3">
              <w:rPr>
                <w:rFonts w:cs="FrankRuehl" w:hint="cs"/>
                <w:sz w:val="20"/>
                <w:szCs w:val="20"/>
                <w:rtl/>
              </w:rPr>
              <w:t>2,324</w:t>
            </w:r>
          </w:p>
        </w:tc>
        <w:tc>
          <w:tcPr>
            <w:tcW w:w="0" w:type="auto"/>
            <w:tcBorders>
              <w:top w:val="single" w:sz="12" w:space="0" w:color="auto"/>
              <w:left w:val="nil"/>
              <w:bottom w:val="nil"/>
              <w:right w:val="single" w:sz="4" w:space="0" w:color="auto"/>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(40%)</w:t>
            </w:r>
          </w:p>
        </w:tc>
        <w:tc>
          <w:tcPr>
            <w:tcW w:w="0" w:type="auto"/>
            <w:tcBorders>
              <w:top w:val="single" w:sz="12" w:space="0" w:color="auto"/>
              <w:left w:val="single" w:sz="4" w:space="0" w:color="auto"/>
              <w:bottom w:val="nil"/>
              <w:right w:val="single" w:sz="4" w:space="0" w:color="auto"/>
            </w:tcBorders>
            <w:shd w:val="clear" w:color="auto" w:fill="auto"/>
          </w:tcPr>
          <w:p w:rsidR="00E97EDA" w:rsidRPr="00736CC3" w:rsidP="004B0348">
            <w:pPr>
              <w:pStyle w:val="FootnoteText"/>
              <w:tabs>
                <w:tab w:val="left" w:pos="588"/>
              </w:tabs>
              <w:spacing w:before="40" w:after="40" w:line="200" w:lineRule="exact"/>
              <w:rPr>
                <w:rFonts w:ascii="Calibri" w:eastAsia="Calibri" w:hAnsi="Calibri" w:cs="FrankRuehl"/>
                <w:rtl/>
              </w:rPr>
            </w:pPr>
            <w:r w:rsidRPr="00736CC3">
              <w:rPr>
                <w:rFonts w:cs="FrankRuehl" w:hint="cs"/>
                <w:rtl/>
              </w:rPr>
              <w:t>כ-5 שנים</w:t>
            </w:r>
          </w:p>
        </w:tc>
        <w:tc>
          <w:tcPr>
            <w:tcW w:w="0" w:type="auto"/>
            <w:tcBorders>
              <w:top w:val="single" w:sz="12" w:space="0" w:color="auto"/>
              <w:left w:val="single" w:sz="4" w:space="0" w:color="auto"/>
              <w:bottom w:val="nil"/>
              <w:right w:val="single" w:sz="12" w:space="0" w:color="auto"/>
            </w:tcBorders>
            <w:shd w:val="clear" w:color="auto" w:fill="auto"/>
          </w:tcPr>
          <w:p w:rsidR="00E97EDA" w:rsidRPr="00736CC3" w:rsidP="004B0348">
            <w:pPr>
              <w:tabs>
                <w:tab w:val="left" w:pos="588"/>
              </w:tabs>
              <w:spacing w:before="40" w:after="40" w:line="200" w:lineRule="exact"/>
              <w:ind w:left="170" w:hanging="170"/>
              <w:rPr>
                <w:rFonts w:ascii="Calibri" w:eastAsia="Calibri" w:hAnsi="Calibri" w:cs="FrankRuehl"/>
                <w:sz w:val="20"/>
                <w:szCs w:val="20"/>
                <w:rtl/>
              </w:rPr>
            </w:pPr>
            <w:r w:rsidRPr="00736CC3">
              <w:rPr>
                <w:rFonts w:cs="FrankRuehl" w:hint="cs"/>
                <w:sz w:val="20"/>
                <w:szCs w:val="20"/>
                <w:rtl/>
              </w:rPr>
              <w:t xml:space="preserve">- </w:t>
            </w:r>
            <w:r w:rsidRPr="00736CC3" w:rsidR="004B0348">
              <w:rPr>
                <w:rFonts w:cs="FrankRuehl"/>
                <w:sz w:val="20"/>
                <w:szCs w:val="20"/>
              </w:rPr>
              <w:tab/>
            </w:r>
            <w:r w:rsidRPr="00736CC3">
              <w:rPr>
                <w:rFonts w:cs="FrankRuehl" w:hint="cs"/>
                <w:sz w:val="20"/>
                <w:szCs w:val="20"/>
                <w:rtl/>
              </w:rPr>
              <w:t>עיכובים בחלוקת הקרקע</w:t>
            </w:r>
          </w:p>
          <w:p w:rsidR="00E97EDA" w:rsidRPr="00736CC3" w:rsidP="004B0348">
            <w:pPr>
              <w:tabs>
                <w:tab w:val="left" w:pos="588"/>
              </w:tabs>
              <w:spacing w:before="40" w:after="40" w:line="200" w:lineRule="exact"/>
              <w:ind w:left="170" w:hanging="170"/>
              <w:rPr>
                <w:rFonts w:ascii="Calibri" w:eastAsia="Calibri" w:hAnsi="Calibri" w:cs="FrankRuehl"/>
                <w:sz w:val="20"/>
                <w:szCs w:val="20"/>
                <w:rtl/>
              </w:rPr>
            </w:pPr>
            <w:r w:rsidRPr="00736CC3">
              <w:rPr>
                <w:rFonts w:cs="FrankRuehl" w:hint="cs"/>
                <w:sz w:val="20"/>
                <w:szCs w:val="20"/>
                <w:rtl/>
              </w:rPr>
              <w:t xml:space="preserve">- </w:t>
            </w:r>
            <w:r w:rsidRPr="00736CC3" w:rsidR="004B0348">
              <w:rPr>
                <w:rFonts w:cs="FrankRuehl"/>
                <w:sz w:val="20"/>
                <w:szCs w:val="20"/>
              </w:rPr>
              <w:tab/>
            </w:r>
            <w:r w:rsidRPr="00736CC3">
              <w:rPr>
                <w:rFonts w:cs="FrankRuehl" w:hint="cs"/>
                <w:sz w:val="20"/>
                <w:szCs w:val="20"/>
                <w:rtl/>
              </w:rPr>
              <w:t>קושי במימוש תכניות להתחדשות עירונית</w:t>
            </w:r>
          </w:p>
        </w:tc>
      </w:tr>
      <w:tr w:rsidTr="004B0348">
        <w:tblPrEx>
          <w:tblW w:w="0" w:type="auto"/>
          <w:tblLook w:val="01E0"/>
        </w:tblPrEx>
        <w:tc>
          <w:tcPr>
            <w:tcW w:w="0" w:type="auto"/>
            <w:tcBorders>
              <w:top w:val="nil"/>
              <w:left w:val="single" w:sz="12" w:space="0" w:color="auto"/>
              <w:bottom w:val="nil"/>
              <w:right w:val="single" w:sz="4" w:space="0" w:color="auto"/>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נתניה</w:t>
            </w:r>
          </w:p>
        </w:tc>
        <w:tc>
          <w:tcPr>
            <w:tcW w:w="0" w:type="auto"/>
            <w:tcBorders>
              <w:top w:val="nil"/>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20</w:t>
            </w:r>
          </w:p>
        </w:tc>
        <w:tc>
          <w:tcPr>
            <w:tcW w:w="0" w:type="auto"/>
            <w:tcBorders>
              <w:top w:val="nil"/>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4,517</w:t>
            </w:r>
          </w:p>
        </w:tc>
        <w:tc>
          <w:tcPr>
            <w:tcW w:w="0" w:type="auto"/>
            <w:tcBorders>
              <w:top w:val="nil"/>
              <w:left w:val="single" w:sz="4" w:space="0" w:color="auto"/>
              <w:bottom w:val="nil"/>
              <w:right w:val="nil"/>
            </w:tcBorders>
            <w:shd w:val="clear" w:color="auto" w:fill="auto"/>
          </w:tcPr>
          <w:p w:rsidR="00E97EDA" w:rsidRPr="00736CC3" w:rsidP="004B0348">
            <w:pPr>
              <w:tabs>
                <w:tab w:val="left" w:pos="588"/>
              </w:tabs>
              <w:spacing w:before="40" w:after="40" w:line="200" w:lineRule="exact"/>
              <w:jc w:val="right"/>
              <w:rPr>
                <w:rFonts w:cs="FrankRuehl"/>
                <w:sz w:val="20"/>
                <w:szCs w:val="20"/>
                <w:rtl/>
              </w:rPr>
            </w:pPr>
            <w:r w:rsidRPr="00736CC3">
              <w:rPr>
                <w:rFonts w:cs="FrankRuehl" w:hint="cs"/>
                <w:sz w:val="20"/>
                <w:szCs w:val="20"/>
                <w:rtl/>
              </w:rPr>
              <w:t>427</w:t>
            </w:r>
          </w:p>
        </w:tc>
        <w:tc>
          <w:tcPr>
            <w:tcW w:w="0" w:type="auto"/>
            <w:tcBorders>
              <w:top w:val="nil"/>
              <w:left w:val="nil"/>
              <w:bottom w:val="nil"/>
              <w:right w:val="single" w:sz="4" w:space="0" w:color="auto"/>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(9.5%)</w:t>
            </w:r>
          </w:p>
        </w:tc>
        <w:tc>
          <w:tcPr>
            <w:tcW w:w="0" w:type="auto"/>
            <w:tcBorders>
              <w:top w:val="nil"/>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rPr>
                <w:rFonts w:ascii="Calibri" w:eastAsia="Calibri" w:hAnsi="Calibri" w:cs="FrankRuehl"/>
                <w:sz w:val="20"/>
                <w:szCs w:val="20"/>
                <w:rtl/>
              </w:rPr>
            </w:pPr>
            <w:r w:rsidRPr="00736CC3">
              <w:rPr>
                <w:rFonts w:cs="FrankRuehl" w:hint="cs"/>
                <w:sz w:val="20"/>
                <w:szCs w:val="20"/>
                <w:rtl/>
              </w:rPr>
              <w:t>כ-4 שנים</w:t>
            </w:r>
          </w:p>
        </w:tc>
        <w:tc>
          <w:tcPr>
            <w:tcW w:w="0" w:type="auto"/>
            <w:tcBorders>
              <w:top w:val="nil"/>
              <w:left w:val="single" w:sz="4" w:space="0" w:color="auto"/>
              <w:bottom w:val="nil"/>
              <w:right w:val="single" w:sz="12" w:space="0" w:color="auto"/>
            </w:tcBorders>
            <w:shd w:val="clear" w:color="auto" w:fill="auto"/>
          </w:tcPr>
          <w:p w:rsidR="00E97EDA" w:rsidRPr="00736CC3" w:rsidP="004B0348">
            <w:pPr>
              <w:tabs>
                <w:tab w:val="left" w:pos="588"/>
              </w:tabs>
              <w:spacing w:before="40" w:after="40" w:line="200" w:lineRule="exact"/>
              <w:ind w:left="170" w:hanging="170"/>
              <w:rPr>
                <w:rFonts w:ascii="Calibri" w:eastAsia="Calibri" w:hAnsi="Calibri" w:cs="FrankRuehl"/>
                <w:sz w:val="20"/>
                <w:szCs w:val="20"/>
                <w:rtl/>
              </w:rPr>
            </w:pPr>
            <w:r w:rsidRPr="00736CC3">
              <w:rPr>
                <w:rFonts w:cs="FrankRuehl" w:hint="cs"/>
                <w:sz w:val="20"/>
                <w:szCs w:val="20"/>
                <w:rtl/>
              </w:rPr>
              <w:t xml:space="preserve">- </w:t>
            </w:r>
            <w:r w:rsidRPr="00736CC3" w:rsidR="004B0348">
              <w:rPr>
                <w:rFonts w:cs="FrankRuehl"/>
                <w:sz w:val="20"/>
                <w:szCs w:val="20"/>
              </w:rPr>
              <w:tab/>
            </w:r>
            <w:r w:rsidRPr="00736CC3">
              <w:rPr>
                <w:rFonts w:cs="FrankRuehl" w:hint="cs"/>
                <w:sz w:val="20"/>
                <w:szCs w:val="20"/>
                <w:rtl/>
              </w:rPr>
              <w:t>קושי לממן את עבודות הפיתוח</w:t>
            </w:r>
          </w:p>
        </w:tc>
      </w:tr>
      <w:tr w:rsidTr="004B0348">
        <w:tblPrEx>
          <w:tblW w:w="0" w:type="auto"/>
          <w:tblLook w:val="01E0"/>
        </w:tblPrEx>
        <w:tc>
          <w:tcPr>
            <w:tcW w:w="0" w:type="auto"/>
            <w:tcBorders>
              <w:top w:val="nil"/>
              <w:left w:val="single" w:sz="12" w:space="0" w:color="auto"/>
              <w:bottom w:val="nil"/>
              <w:right w:val="single" w:sz="4" w:space="0" w:color="auto"/>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רחובות</w:t>
            </w:r>
          </w:p>
        </w:tc>
        <w:tc>
          <w:tcPr>
            <w:tcW w:w="0" w:type="auto"/>
            <w:tcBorders>
              <w:top w:val="nil"/>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7</w:t>
            </w:r>
          </w:p>
        </w:tc>
        <w:tc>
          <w:tcPr>
            <w:tcW w:w="0" w:type="auto"/>
            <w:tcBorders>
              <w:top w:val="nil"/>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3,807</w:t>
            </w:r>
          </w:p>
        </w:tc>
        <w:tc>
          <w:tcPr>
            <w:tcW w:w="0" w:type="auto"/>
            <w:tcBorders>
              <w:top w:val="nil"/>
              <w:left w:val="single" w:sz="4" w:space="0" w:color="auto"/>
              <w:bottom w:val="nil"/>
              <w:right w:val="nil"/>
            </w:tcBorders>
            <w:shd w:val="clear" w:color="auto" w:fill="auto"/>
          </w:tcPr>
          <w:p w:rsidR="00E97EDA" w:rsidRPr="00736CC3" w:rsidP="004B0348">
            <w:pPr>
              <w:tabs>
                <w:tab w:val="left" w:pos="588"/>
              </w:tabs>
              <w:spacing w:before="40" w:after="40" w:line="200" w:lineRule="exact"/>
              <w:jc w:val="right"/>
              <w:rPr>
                <w:rFonts w:cs="FrankRuehl"/>
                <w:sz w:val="20"/>
                <w:szCs w:val="20"/>
                <w:rtl/>
              </w:rPr>
            </w:pPr>
            <w:r w:rsidRPr="00736CC3">
              <w:rPr>
                <w:rFonts w:cs="FrankRuehl" w:hint="cs"/>
                <w:sz w:val="20"/>
                <w:szCs w:val="20"/>
                <w:rtl/>
              </w:rPr>
              <w:t>1,682</w:t>
            </w:r>
          </w:p>
        </w:tc>
        <w:tc>
          <w:tcPr>
            <w:tcW w:w="0" w:type="auto"/>
            <w:tcBorders>
              <w:top w:val="nil"/>
              <w:left w:val="nil"/>
              <w:bottom w:val="nil"/>
              <w:right w:val="single" w:sz="4" w:space="0" w:color="auto"/>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(43%)</w:t>
            </w:r>
          </w:p>
        </w:tc>
        <w:tc>
          <w:tcPr>
            <w:tcW w:w="0" w:type="auto"/>
            <w:tcBorders>
              <w:top w:val="nil"/>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rPr>
                <w:rFonts w:ascii="Calibri" w:eastAsia="Calibri" w:hAnsi="Calibri" w:cs="FrankRuehl"/>
                <w:sz w:val="20"/>
                <w:szCs w:val="20"/>
                <w:rtl/>
              </w:rPr>
            </w:pPr>
            <w:r w:rsidRPr="00736CC3">
              <w:rPr>
                <w:rFonts w:cs="FrankRuehl" w:hint="cs"/>
                <w:sz w:val="20"/>
                <w:szCs w:val="20"/>
                <w:rtl/>
              </w:rPr>
              <w:t>כ-5 שנים</w:t>
            </w:r>
          </w:p>
        </w:tc>
        <w:tc>
          <w:tcPr>
            <w:tcW w:w="0" w:type="auto"/>
            <w:tcBorders>
              <w:top w:val="nil"/>
              <w:left w:val="single" w:sz="4" w:space="0" w:color="auto"/>
              <w:bottom w:val="nil"/>
              <w:right w:val="single" w:sz="12" w:space="0" w:color="auto"/>
            </w:tcBorders>
            <w:shd w:val="clear" w:color="auto" w:fill="auto"/>
          </w:tcPr>
          <w:p w:rsidR="00E97EDA" w:rsidRPr="00736CC3" w:rsidP="004B0348">
            <w:pPr>
              <w:tabs>
                <w:tab w:val="left" w:pos="588"/>
              </w:tabs>
              <w:spacing w:before="40" w:after="40" w:line="200" w:lineRule="exact"/>
              <w:ind w:left="170" w:hanging="170"/>
              <w:rPr>
                <w:rFonts w:ascii="Calibri" w:eastAsia="Calibri" w:hAnsi="Calibri" w:cs="FrankRuehl"/>
                <w:sz w:val="20"/>
                <w:szCs w:val="20"/>
                <w:rtl/>
              </w:rPr>
            </w:pPr>
            <w:r w:rsidRPr="00736CC3">
              <w:rPr>
                <w:rFonts w:cs="FrankRuehl" w:hint="cs"/>
                <w:sz w:val="20"/>
                <w:szCs w:val="20"/>
                <w:rtl/>
              </w:rPr>
              <w:t xml:space="preserve">- </w:t>
            </w:r>
            <w:r w:rsidRPr="00736CC3" w:rsidR="004B0348">
              <w:rPr>
                <w:rFonts w:cs="FrankRuehl"/>
                <w:sz w:val="20"/>
                <w:szCs w:val="20"/>
              </w:rPr>
              <w:tab/>
            </w:r>
            <w:r w:rsidRPr="00736CC3">
              <w:rPr>
                <w:rFonts w:cs="FrankRuehl" w:hint="cs"/>
                <w:sz w:val="20"/>
                <w:szCs w:val="20"/>
                <w:rtl/>
              </w:rPr>
              <w:t>המגזר הפרטי קובע את עיתוי המימוש</w:t>
            </w:r>
          </w:p>
        </w:tc>
      </w:tr>
      <w:tr w:rsidTr="004B0348">
        <w:tblPrEx>
          <w:tblW w:w="0" w:type="auto"/>
          <w:tblLook w:val="01E0"/>
        </w:tblPrEx>
        <w:tc>
          <w:tcPr>
            <w:tcW w:w="0" w:type="auto"/>
            <w:tcBorders>
              <w:top w:val="nil"/>
              <w:left w:val="single" w:sz="12" w:space="0" w:color="auto"/>
              <w:bottom w:val="nil"/>
              <w:right w:val="single" w:sz="4" w:space="0" w:color="auto"/>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הוד השרון</w:t>
            </w:r>
          </w:p>
        </w:tc>
        <w:tc>
          <w:tcPr>
            <w:tcW w:w="0" w:type="auto"/>
            <w:tcBorders>
              <w:top w:val="nil"/>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22</w:t>
            </w:r>
          </w:p>
        </w:tc>
        <w:tc>
          <w:tcPr>
            <w:tcW w:w="0" w:type="auto"/>
            <w:tcBorders>
              <w:top w:val="nil"/>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4,964</w:t>
            </w:r>
          </w:p>
        </w:tc>
        <w:tc>
          <w:tcPr>
            <w:tcW w:w="0" w:type="auto"/>
            <w:tcBorders>
              <w:top w:val="nil"/>
              <w:left w:val="single" w:sz="4" w:space="0" w:color="auto"/>
              <w:bottom w:val="nil"/>
              <w:right w:val="nil"/>
            </w:tcBorders>
            <w:shd w:val="clear" w:color="auto" w:fill="auto"/>
          </w:tcPr>
          <w:p w:rsidR="00E97EDA" w:rsidRPr="00736CC3" w:rsidP="004B0348">
            <w:pPr>
              <w:tabs>
                <w:tab w:val="left" w:pos="588"/>
              </w:tabs>
              <w:spacing w:before="40" w:after="40" w:line="200" w:lineRule="exact"/>
              <w:jc w:val="right"/>
              <w:rPr>
                <w:rFonts w:cs="FrankRuehl"/>
                <w:sz w:val="20"/>
                <w:szCs w:val="20"/>
                <w:rtl/>
              </w:rPr>
            </w:pPr>
            <w:r w:rsidRPr="00736CC3">
              <w:rPr>
                <w:rFonts w:cs="FrankRuehl" w:hint="cs"/>
                <w:sz w:val="20"/>
                <w:szCs w:val="20"/>
                <w:rtl/>
              </w:rPr>
              <w:t>3,375</w:t>
            </w:r>
          </w:p>
        </w:tc>
        <w:tc>
          <w:tcPr>
            <w:tcW w:w="0" w:type="auto"/>
            <w:tcBorders>
              <w:top w:val="nil"/>
              <w:left w:val="nil"/>
              <w:bottom w:val="nil"/>
              <w:right w:val="single" w:sz="4" w:space="0" w:color="auto"/>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(68%)</w:t>
            </w:r>
          </w:p>
        </w:tc>
        <w:tc>
          <w:tcPr>
            <w:tcW w:w="0" w:type="auto"/>
            <w:tcBorders>
              <w:top w:val="nil"/>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rPr>
                <w:rFonts w:ascii="Calibri" w:eastAsia="Calibri" w:hAnsi="Calibri" w:cs="FrankRuehl"/>
                <w:sz w:val="20"/>
                <w:szCs w:val="20"/>
                <w:rtl/>
              </w:rPr>
            </w:pPr>
            <w:r w:rsidRPr="00736CC3">
              <w:rPr>
                <w:rFonts w:cs="FrankRuehl" w:hint="cs"/>
                <w:sz w:val="20"/>
                <w:szCs w:val="20"/>
                <w:rtl/>
              </w:rPr>
              <w:t>כ-4 שנים</w:t>
            </w:r>
          </w:p>
        </w:tc>
        <w:tc>
          <w:tcPr>
            <w:tcW w:w="0" w:type="auto"/>
            <w:tcBorders>
              <w:top w:val="nil"/>
              <w:left w:val="single" w:sz="4" w:space="0" w:color="auto"/>
              <w:bottom w:val="nil"/>
              <w:right w:val="single" w:sz="12" w:space="0" w:color="auto"/>
            </w:tcBorders>
            <w:shd w:val="clear" w:color="auto" w:fill="auto"/>
          </w:tcPr>
          <w:p w:rsidR="00E97EDA" w:rsidRPr="00736CC3" w:rsidP="004B0348">
            <w:pPr>
              <w:tabs>
                <w:tab w:val="left" w:pos="588"/>
              </w:tabs>
              <w:spacing w:before="40" w:after="40" w:line="200" w:lineRule="exact"/>
              <w:ind w:left="170" w:hanging="170"/>
              <w:rPr>
                <w:rFonts w:cs="FrankRuehl"/>
                <w:sz w:val="20"/>
                <w:szCs w:val="20"/>
                <w:rtl/>
              </w:rPr>
            </w:pPr>
            <w:r w:rsidRPr="00736CC3">
              <w:rPr>
                <w:rFonts w:cs="FrankRuehl" w:hint="cs"/>
                <w:sz w:val="20"/>
                <w:szCs w:val="20"/>
                <w:rtl/>
              </w:rPr>
              <w:t xml:space="preserve">- </w:t>
            </w:r>
            <w:r w:rsidRPr="00736CC3" w:rsidR="004B0348">
              <w:rPr>
                <w:rFonts w:cs="FrankRuehl"/>
                <w:sz w:val="20"/>
                <w:szCs w:val="20"/>
              </w:rPr>
              <w:tab/>
            </w:r>
            <w:r w:rsidRPr="00736CC3">
              <w:rPr>
                <w:rFonts w:cs="FrankRuehl" w:hint="cs"/>
                <w:sz w:val="20"/>
                <w:szCs w:val="20"/>
                <w:rtl/>
              </w:rPr>
              <w:t>המגזר הפרטי קובע את עיתוי המימוש</w:t>
            </w:r>
          </w:p>
          <w:p w:rsidR="00E97EDA" w:rsidRPr="00736CC3" w:rsidP="004B0348">
            <w:pPr>
              <w:tabs>
                <w:tab w:val="left" w:pos="588"/>
              </w:tabs>
              <w:spacing w:before="40" w:after="40" w:line="200" w:lineRule="exact"/>
              <w:ind w:left="170" w:hanging="170"/>
              <w:rPr>
                <w:rFonts w:ascii="Calibri" w:eastAsia="Calibri" w:hAnsi="Calibri" w:cs="FrankRuehl"/>
                <w:sz w:val="20"/>
                <w:szCs w:val="20"/>
                <w:rtl/>
              </w:rPr>
            </w:pPr>
            <w:r w:rsidRPr="00736CC3">
              <w:rPr>
                <w:rFonts w:cs="FrankRuehl" w:hint="cs"/>
                <w:sz w:val="20"/>
                <w:szCs w:val="20"/>
                <w:rtl/>
              </w:rPr>
              <w:t xml:space="preserve">- </w:t>
            </w:r>
            <w:r w:rsidRPr="00736CC3" w:rsidR="004B0348">
              <w:rPr>
                <w:rFonts w:cs="FrankRuehl"/>
                <w:sz w:val="20"/>
                <w:szCs w:val="20"/>
              </w:rPr>
              <w:tab/>
            </w:r>
            <w:r w:rsidRPr="00736CC3">
              <w:rPr>
                <w:rFonts w:cs="FrankRuehl" w:hint="cs"/>
                <w:sz w:val="20"/>
                <w:szCs w:val="20"/>
                <w:rtl/>
              </w:rPr>
              <w:t>עיכובים בחלוקת הקרקע</w:t>
            </w:r>
          </w:p>
        </w:tc>
      </w:tr>
      <w:tr w:rsidTr="004B0348">
        <w:tblPrEx>
          <w:tblW w:w="0" w:type="auto"/>
          <w:tblLook w:val="01E0"/>
        </w:tblPrEx>
        <w:tc>
          <w:tcPr>
            <w:tcW w:w="0" w:type="auto"/>
            <w:tcBorders>
              <w:top w:val="nil"/>
              <w:left w:val="single" w:sz="12" w:space="0" w:color="auto"/>
              <w:bottom w:val="nil"/>
              <w:right w:val="single" w:sz="4" w:space="0" w:color="auto"/>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פתח תקווה</w:t>
            </w:r>
          </w:p>
        </w:tc>
        <w:tc>
          <w:tcPr>
            <w:tcW w:w="0" w:type="auto"/>
            <w:tcBorders>
              <w:top w:val="nil"/>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27</w:t>
            </w:r>
          </w:p>
        </w:tc>
        <w:tc>
          <w:tcPr>
            <w:tcW w:w="0" w:type="auto"/>
            <w:tcBorders>
              <w:top w:val="nil"/>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10,572</w:t>
            </w:r>
          </w:p>
        </w:tc>
        <w:tc>
          <w:tcPr>
            <w:tcW w:w="0" w:type="auto"/>
            <w:tcBorders>
              <w:top w:val="nil"/>
              <w:left w:val="single" w:sz="4" w:space="0" w:color="auto"/>
              <w:bottom w:val="nil"/>
              <w:right w:val="nil"/>
            </w:tcBorders>
            <w:shd w:val="clear" w:color="auto" w:fill="auto"/>
          </w:tcPr>
          <w:p w:rsidR="00E97EDA" w:rsidRPr="00736CC3" w:rsidP="004B0348">
            <w:pPr>
              <w:tabs>
                <w:tab w:val="left" w:pos="588"/>
              </w:tabs>
              <w:spacing w:before="40" w:after="40" w:line="200" w:lineRule="exact"/>
              <w:jc w:val="right"/>
              <w:rPr>
                <w:rFonts w:cs="FrankRuehl"/>
                <w:sz w:val="20"/>
                <w:szCs w:val="20"/>
                <w:rtl/>
              </w:rPr>
            </w:pPr>
            <w:r w:rsidRPr="00736CC3">
              <w:rPr>
                <w:rFonts w:cs="FrankRuehl" w:hint="cs"/>
                <w:sz w:val="20"/>
                <w:szCs w:val="20"/>
                <w:rtl/>
              </w:rPr>
              <w:t>5,170</w:t>
            </w:r>
          </w:p>
        </w:tc>
        <w:tc>
          <w:tcPr>
            <w:tcW w:w="0" w:type="auto"/>
            <w:tcBorders>
              <w:top w:val="nil"/>
              <w:left w:val="nil"/>
              <w:bottom w:val="nil"/>
              <w:right w:val="single" w:sz="4" w:space="0" w:color="auto"/>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(49%)</w:t>
            </w:r>
          </w:p>
        </w:tc>
        <w:tc>
          <w:tcPr>
            <w:tcW w:w="0" w:type="auto"/>
            <w:tcBorders>
              <w:top w:val="nil"/>
              <w:left w:val="single" w:sz="4" w:space="0" w:color="auto"/>
              <w:bottom w:val="nil"/>
              <w:right w:val="single" w:sz="4" w:space="0" w:color="auto"/>
            </w:tcBorders>
            <w:shd w:val="clear" w:color="auto" w:fill="auto"/>
          </w:tcPr>
          <w:p w:rsidR="00E97EDA" w:rsidRPr="00736CC3" w:rsidP="004B0348">
            <w:pPr>
              <w:tabs>
                <w:tab w:val="left" w:pos="588"/>
              </w:tabs>
              <w:spacing w:before="40" w:after="40" w:line="200" w:lineRule="exact"/>
              <w:rPr>
                <w:rFonts w:ascii="Calibri" w:eastAsia="Calibri" w:hAnsi="Calibri" w:cs="FrankRuehl"/>
                <w:sz w:val="20"/>
                <w:szCs w:val="20"/>
                <w:rtl/>
              </w:rPr>
            </w:pPr>
            <w:r w:rsidRPr="00736CC3">
              <w:rPr>
                <w:rFonts w:cs="FrankRuehl" w:hint="cs"/>
                <w:sz w:val="20"/>
                <w:szCs w:val="20"/>
                <w:rtl/>
              </w:rPr>
              <w:t>כ-4 שנים</w:t>
            </w:r>
          </w:p>
        </w:tc>
        <w:tc>
          <w:tcPr>
            <w:tcW w:w="0" w:type="auto"/>
            <w:tcBorders>
              <w:top w:val="nil"/>
              <w:left w:val="single" w:sz="4" w:space="0" w:color="auto"/>
              <w:bottom w:val="nil"/>
              <w:right w:val="single" w:sz="12" w:space="0" w:color="auto"/>
            </w:tcBorders>
            <w:shd w:val="clear" w:color="auto" w:fill="auto"/>
          </w:tcPr>
          <w:p w:rsidR="00E97EDA" w:rsidRPr="00736CC3" w:rsidP="004B0348">
            <w:pPr>
              <w:tabs>
                <w:tab w:val="left" w:pos="588"/>
              </w:tabs>
              <w:spacing w:before="40" w:after="40" w:line="200" w:lineRule="exact"/>
              <w:ind w:left="170" w:hanging="170"/>
              <w:rPr>
                <w:rFonts w:ascii="Calibri" w:eastAsia="Calibri" w:hAnsi="Calibri" w:cs="FrankRuehl"/>
                <w:sz w:val="20"/>
                <w:szCs w:val="20"/>
                <w:rtl/>
              </w:rPr>
            </w:pPr>
            <w:r w:rsidRPr="00736CC3">
              <w:rPr>
                <w:rFonts w:cs="FrankRuehl" w:hint="cs"/>
                <w:sz w:val="20"/>
                <w:szCs w:val="20"/>
                <w:rtl/>
              </w:rPr>
              <w:t xml:space="preserve">- </w:t>
            </w:r>
            <w:r w:rsidRPr="00736CC3" w:rsidR="004B0348">
              <w:rPr>
                <w:rFonts w:cs="FrankRuehl"/>
                <w:sz w:val="20"/>
                <w:szCs w:val="20"/>
              </w:rPr>
              <w:tab/>
            </w:r>
            <w:r w:rsidRPr="00736CC3">
              <w:rPr>
                <w:rFonts w:cs="FrankRuehl" w:hint="cs"/>
                <w:sz w:val="20"/>
                <w:szCs w:val="20"/>
                <w:rtl/>
              </w:rPr>
              <w:t>קושי לממן את עבודות הפיתוח</w:t>
            </w:r>
          </w:p>
          <w:p w:rsidR="00E97EDA" w:rsidRPr="00736CC3" w:rsidP="004B0348">
            <w:pPr>
              <w:tabs>
                <w:tab w:val="left" w:pos="588"/>
              </w:tabs>
              <w:spacing w:before="40" w:after="40" w:line="200" w:lineRule="exact"/>
              <w:ind w:left="170" w:hanging="170"/>
              <w:rPr>
                <w:rFonts w:ascii="Calibri" w:eastAsia="Calibri" w:hAnsi="Calibri" w:cs="FrankRuehl"/>
                <w:sz w:val="20"/>
                <w:szCs w:val="20"/>
                <w:rtl/>
              </w:rPr>
            </w:pPr>
            <w:r w:rsidRPr="00736CC3">
              <w:rPr>
                <w:rFonts w:ascii="Calibri" w:eastAsia="Calibri" w:hAnsi="Calibri" w:cs="FrankRuehl"/>
                <w:sz w:val="20"/>
                <w:szCs w:val="20"/>
                <w:rtl/>
              </w:rPr>
              <w:t xml:space="preserve">- </w:t>
            </w:r>
            <w:r w:rsidRPr="00736CC3" w:rsidR="004B0348">
              <w:rPr>
                <w:rFonts w:ascii="Calibri" w:eastAsia="Calibri" w:hAnsi="Calibri" w:cs="FrankRuehl"/>
                <w:sz w:val="20"/>
                <w:szCs w:val="20"/>
              </w:rPr>
              <w:tab/>
            </w:r>
            <w:r w:rsidRPr="00736CC3">
              <w:rPr>
                <w:rFonts w:ascii="Calibri" w:eastAsia="Calibri" w:hAnsi="Calibri" w:cs="FrankRuehl"/>
                <w:sz w:val="20"/>
                <w:szCs w:val="20"/>
                <w:rtl/>
              </w:rPr>
              <w:t>המגזר הפרטי קובע את עיתוי המימוש</w:t>
            </w:r>
          </w:p>
          <w:p w:rsidR="00E97EDA" w:rsidRPr="00736CC3" w:rsidP="004B0348">
            <w:pPr>
              <w:pStyle w:val="FootnoteText"/>
              <w:tabs>
                <w:tab w:val="left" w:pos="588"/>
              </w:tabs>
              <w:spacing w:before="40" w:after="40" w:line="200" w:lineRule="exact"/>
              <w:ind w:left="170" w:hanging="170"/>
              <w:rPr>
                <w:rFonts w:ascii="Calibri" w:eastAsia="Calibri" w:hAnsi="Calibri" w:cs="FrankRuehl"/>
                <w:rtl/>
              </w:rPr>
            </w:pPr>
            <w:r w:rsidRPr="00736CC3">
              <w:rPr>
                <w:rFonts w:cs="FrankRuehl" w:hint="cs"/>
                <w:rtl/>
              </w:rPr>
              <w:t xml:space="preserve">- </w:t>
            </w:r>
            <w:r w:rsidRPr="00736CC3" w:rsidR="004B0348">
              <w:rPr>
                <w:rFonts w:cs="FrankRuehl"/>
              </w:rPr>
              <w:tab/>
            </w:r>
            <w:r w:rsidRPr="00736CC3">
              <w:rPr>
                <w:rFonts w:cs="FrankRuehl" w:hint="cs"/>
                <w:rtl/>
              </w:rPr>
              <w:t>קושי במימוש תכניות להתחדשות עירונית</w:t>
            </w:r>
          </w:p>
        </w:tc>
      </w:tr>
      <w:tr w:rsidTr="004B0348">
        <w:tblPrEx>
          <w:tblW w:w="0" w:type="auto"/>
          <w:tblLook w:val="01E0"/>
        </w:tblPrEx>
        <w:tc>
          <w:tcPr>
            <w:tcW w:w="0" w:type="auto"/>
            <w:tcBorders>
              <w:top w:val="nil"/>
              <w:left w:val="single" w:sz="12" w:space="0" w:color="auto"/>
              <w:bottom w:val="nil"/>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חיפה</w:t>
            </w:r>
          </w:p>
        </w:tc>
        <w:tc>
          <w:tcPr>
            <w:tcW w:w="0" w:type="auto"/>
            <w:tcBorders>
              <w:top w:val="nil"/>
              <w:bottom w:val="nil"/>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23</w:t>
            </w:r>
          </w:p>
        </w:tc>
        <w:tc>
          <w:tcPr>
            <w:tcW w:w="0" w:type="auto"/>
            <w:tcBorders>
              <w:top w:val="nil"/>
              <w:bottom w:val="nil"/>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6,320</w:t>
            </w:r>
          </w:p>
        </w:tc>
        <w:tc>
          <w:tcPr>
            <w:tcW w:w="0" w:type="auto"/>
            <w:tcBorders>
              <w:top w:val="nil"/>
              <w:bottom w:val="nil"/>
              <w:right w:val="nil"/>
            </w:tcBorders>
            <w:shd w:val="clear" w:color="auto" w:fill="auto"/>
          </w:tcPr>
          <w:p w:rsidR="00E97EDA" w:rsidRPr="00736CC3" w:rsidP="004B0348">
            <w:pPr>
              <w:tabs>
                <w:tab w:val="left" w:pos="588"/>
              </w:tabs>
              <w:spacing w:before="40" w:after="40" w:line="200" w:lineRule="exact"/>
              <w:jc w:val="right"/>
              <w:rPr>
                <w:rFonts w:cs="FrankRuehl"/>
                <w:sz w:val="20"/>
                <w:szCs w:val="20"/>
                <w:rtl/>
              </w:rPr>
            </w:pPr>
            <w:r w:rsidRPr="00736CC3">
              <w:rPr>
                <w:rFonts w:cs="FrankRuehl" w:hint="cs"/>
                <w:sz w:val="20"/>
                <w:szCs w:val="20"/>
                <w:rtl/>
              </w:rPr>
              <w:t>600</w:t>
            </w:r>
          </w:p>
        </w:tc>
        <w:tc>
          <w:tcPr>
            <w:tcW w:w="0" w:type="auto"/>
            <w:tcBorders>
              <w:top w:val="nil"/>
              <w:left w:val="nil"/>
              <w:bottom w:val="nil"/>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(9%)</w:t>
            </w:r>
          </w:p>
        </w:tc>
        <w:tc>
          <w:tcPr>
            <w:tcW w:w="0" w:type="auto"/>
            <w:tcBorders>
              <w:top w:val="nil"/>
              <w:bottom w:val="nil"/>
            </w:tcBorders>
            <w:shd w:val="clear" w:color="auto" w:fill="auto"/>
          </w:tcPr>
          <w:p w:rsidR="00E97EDA" w:rsidRPr="00736CC3" w:rsidP="004B0348">
            <w:pPr>
              <w:tabs>
                <w:tab w:val="left" w:pos="588"/>
              </w:tabs>
              <w:spacing w:before="40" w:after="40" w:line="200" w:lineRule="exact"/>
              <w:rPr>
                <w:rFonts w:ascii="Calibri" w:eastAsia="Calibri" w:hAnsi="Calibri" w:cs="FrankRuehl"/>
                <w:sz w:val="20"/>
                <w:szCs w:val="20"/>
                <w:rtl/>
              </w:rPr>
            </w:pPr>
            <w:r w:rsidRPr="00736CC3">
              <w:rPr>
                <w:rFonts w:cs="FrankRuehl" w:hint="cs"/>
                <w:sz w:val="20"/>
                <w:szCs w:val="20"/>
                <w:rtl/>
              </w:rPr>
              <w:t>כ-5 שנים</w:t>
            </w:r>
          </w:p>
        </w:tc>
        <w:tc>
          <w:tcPr>
            <w:tcW w:w="0" w:type="auto"/>
            <w:tcBorders>
              <w:top w:val="nil"/>
              <w:bottom w:val="nil"/>
              <w:right w:val="single" w:sz="12" w:space="0" w:color="auto"/>
            </w:tcBorders>
            <w:shd w:val="clear" w:color="auto" w:fill="auto"/>
          </w:tcPr>
          <w:p w:rsidR="00E97EDA" w:rsidRPr="00736CC3" w:rsidP="004B0348">
            <w:pPr>
              <w:tabs>
                <w:tab w:val="left" w:pos="588"/>
              </w:tabs>
              <w:spacing w:before="40" w:after="40" w:line="200" w:lineRule="exact"/>
              <w:ind w:left="170" w:hanging="170"/>
              <w:rPr>
                <w:rFonts w:ascii="Calibri" w:eastAsia="Calibri" w:hAnsi="Calibri" w:cs="FrankRuehl"/>
                <w:sz w:val="20"/>
                <w:szCs w:val="20"/>
                <w:rtl/>
              </w:rPr>
            </w:pPr>
            <w:r w:rsidRPr="00736CC3">
              <w:rPr>
                <w:rFonts w:cs="FrankRuehl" w:hint="cs"/>
                <w:sz w:val="20"/>
                <w:szCs w:val="20"/>
                <w:rtl/>
              </w:rPr>
              <w:t xml:space="preserve">- </w:t>
            </w:r>
            <w:r w:rsidRPr="00736CC3" w:rsidR="004B0348">
              <w:rPr>
                <w:rFonts w:cs="FrankRuehl"/>
                <w:sz w:val="20"/>
                <w:szCs w:val="20"/>
              </w:rPr>
              <w:tab/>
            </w:r>
            <w:r w:rsidRPr="00736CC3">
              <w:rPr>
                <w:rFonts w:cs="FrankRuehl" w:hint="cs"/>
                <w:sz w:val="20"/>
                <w:szCs w:val="20"/>
                <w:rtl/>
              </w:rPr>
              <w:t>קושי לממן את עבודות הפיתוח</w:t>
            </w:r>
          </w:p>
          <w:p w:rsidR="00E97EDA" w:rsidRPr="00736CC3" w:rsidP="004B0348">
            <w:pPr>
              <w:tabs>
                <w:tab w:val="left" w:pos="588"/>
              </w:tabs>
              <w:spacing w:before="40" w:after="40" w:line="200" w:lineRule="exact"/>
              <w:ind w:left="170" w:hanging="170"/>
              <w:rPr>
                <w:rFonts w:ascii="Calibri" w:eastAsia="Calibri" w:hAnsi="Calibri" w:cs="FrankRuehl"/>
                <w:sz w:val="20"/>
                <w:szCs w:val="20"/>
                <w:rtl/>
              </w:rPr>
            </w:pPr>
            <w:r w:rsidRPr="00736CC3">
              <w:rPr>
                <w:rFonts w:ascii="Calibri" w:eastAsia="Calibri" w:hAnsi="Calibri" w:cs="FrankRuehl"/>
                <w:sz w:val="20"/>
                <w:szCs w:val="20"/>
                <w:rtl/>
              </w:rPr>
              <w:t xml:space="preserve">- </w:t>
            </w:r>
            <w:r w:rsidRPr="00736CC3" w:rsidR="004B0348">
              <w:rPr>
                <w:rFonts w:ascii="Calibri" w:eastAsia="Calibri" w:hAnsi="Calibri" w:cs="FrankRuehl"/>
                <w:sz w:val="20"/>
                <w:szCs w:val="20"/>
              </w:rPr>
              <w:tab/>
            </w:r>
            <w:r w:rsidRPr="00736CC3">
              <w:rPr>
                <w:rFonts w:ascii="Calibri" w:eastAsia="Calibri" w:hAnsi="Calibri" w:cs="FrankRuehl"/>
                <w:sz w:val="20"/>
                <w:szCs w:val="20"/>
                <w:rtl/>
              </w:rPr>
              <w:t>המגזר הפרטי קובע את עיתוי המימוש</w:t>
            </w:r>
          </w:p>
        </w:tc>
      </w:tr>
      <w:tr w:rsidTr="004B0348">
        <w:tblPrEx>
          <w:tblW w:w="0" w:type="auto"/>
          <w:tblLook w:val="01E0"/>
        </w:tblPrEx>
        <w:tc>
          <w:tcPr>
            <w:tcW w:w="0" w:type="auto"/>
            <w:tcBorders>
              <w:top w:val="nil"/>
              <w:left w:val="single" w:sz="12" w:space="0" w:color="auto"/>
              <w:bottom w:val="single" w:sz="12" w:space="0" w:color="auto"/>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באר שבע</w:t>
            </w:r>
          </w:p>
        </w:tc>
        <w:tc>
          <w:tcPr>
            <w:tcW w:w="0" w:type="auto"/>
            <w:tcBorders>
              <w:top w:val="nil"/>
              <w:bottom w:val="single" w:sz="12" w:space="0" w:color="auto"/>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22</w:t>
            </w:r>
          </w:p>
        </w:tc>
        <w:tc>
          <w:tcPr>
            <w:tcW w:w="0" w:type="auto"/>
            <w:tcBorders>
              <w:top w:val="nil"/>
              <w:bottom w:val="single" w:sz="12" w:space="0" w:color="auto"/>
            </w:tcBorders>
            <w:shd w:val="clear" w:color="auto" w:fill="auto"/>
          </w:tcPr>
          <w:p w:rsidR="00E97EDA" w:rsidRPr="00736CC3" w:rsidP="004B0348">
            <w:pPr>
              <w:tabs>
                <w:tab w:val="left" w:pos="588"/>
              </w:tabs>
              <w:spacing w:before="40" w:after="40" w:line="200" w:lineRule="exact"/>
              <w:jc w:val="center"/>
              <w:rPr>
                <w:rFonts w:cs="FrankRuehl"/>
                <w:sz w:val="20"/>
                <w:szCs w:val="20"/>
                <w:rtl/>
              </w:rPr>
            </w:pPr>
            <w:r w:rsidRPr="00736CC3">
              <w:rPr>
                <w:rFonts w:cs="FrankRuehl" w:hint="cs"/>
                <w:sz w:val="20"/>
                <w:szCs w:val="20"/>
                <w:rtl/>
              </w:rPr>
              <w:t>10,950</w:t>
            </w:r>
          </w:p>
        </w:tc>
        <w:tc>
          <w:tcPr>
            <w:tcW w:w="0" w:type="auto"/>
            <w:tcBorders>
              <w:top w:val="nil"/>
              <w:bottom w:val="single" w:sz="12" w:space="0" w:color="auto"/>
              <w:right w:val="nil"/>
            </w:tcBorders>
            <w:shd w:val="clear" w:color="auto" w:fill="auto"/>
          </w:tcPr>
          <w:p w:rsidR="00E97EDA" w:rsidRPr="00736CC3" w:rsidP="004B0348">
            <w:pPr>
              <w:tabs>
                <w:tab w:val="left" w:pos="588"/>
              </w:tabs>
              <w:spacing w:before="40" w:after="40" w:line="200" w:lineRule="exact"/>
              <w:jc w:val="right"/>
              <w:rPr>
                <w:rFonts w:cs="FrankRuehl"/>
                <w:sz w:val="20"/>
                <w:szCs w:val="20"/>
                <w:rtl/>
              </w:rPr>
            </w:pPr>
            <w:r w:rsidRPr="00736CC3">
              <w:rPr>
                <w:rFonts w:cs="FrankRuehl" w:hint="cs"/>
                <w:sz w:val="20"/>
                <w:szCs w:val="20"/>
                <w:rtl/>
              </w:rPr>
              <w:t>2,525</w:t>
            </w:r>
          </w:p>
        </w:tc>
        <w:tc>
          <w:tcPr>
            <w:tcW w:w="0" w:type="auto"/>
            <w:tcBorders>
              <w:top w:val="nil"/>
              <w:left w:val="nil"/>
              <w:bottom w:val="single" w:sz="12" w:space="0" w:color="auto"/>
            </w:tcBorders>
            <w:shd w:val="clear" w:color="auto" w:fill="auto"/>
          </w:tcPr>
          <w:p w:rsidR="00E97EDA" w:rsidRPr="00736CC3" w:rsidP="004B0348">
            <w:pPr>
              <w:tabs>
                <w:tab w:val="left" w:pos="588"/>
              </w:tabs>
              <w:spacing w:before="40" w:after="40" w:line="200" w:lineRule="exact"/>
              <w:rPr>
                <w:rFonts w:cs="FrankRuehl"/>
                <w:sz w:val="20"/>
                <w:szCs w:val="20"/>
                <w:rtl/>
              </w:rPr>
            </w:pPr>
            <w:r w:rsidRPr="00736CC3">
              <w:rPr>
                <w:rFonts w:cs="FrankRuehl" w:hint="cs"/>
                <w:sz w:val="20"/>
                <w:szCs w:val="20"/>
                <w:rtl/>
              </w:rPr>
              <w:t>(23%)</w:t>
            </w:r>
          </w:p>
        </w:tc>
        <w:tc>
          <w:tcPr>
            <w:tcW w:w="0" w:type="auto"/>
            <w:tcBorders>
              <w:top w:val="nil"/>
              <w:bottom w:val="single" w:sz="12" w:space="0" w:color="auto"/>
            </w:tcBorders>
            <w:shd w:val="clear" w:color="auto" w:fill="auto"/>
          </w:tcPr>
          <w:p w:rsidR="00E97EDA" w:rsidRPr="00736CC3" w:rsidP="004B0348">
            <w:pPr>
              <w:tabs>
                <w:tab w:val="left" w:pos="588"/>
              </w:tabs>
              <w:spacing w:before="40" w:after="40" w:line="200" w:lineRule="exact"/>
              <w:rPr>
                <w:rFonts w:ascii="Calibri" w:eastAsia="Calibri" w:hAnsi="Calibri" w:cs="FrankRuehl"/>
                <w:sz w:val="20"/>
                <w:szCs w:val="20"/>
                <w:rtl/>
              </w:rPr>
            </w:pPr>
            <w:r w:rsidRPr="00736CC3">
              <w:rPr>
                <w:rFonts w:cs="FrankRuehl" w:hint="cs"/>
                <w:sz w:val="20"/>
                <w:szCs w:val="20"/>
                <w:rtl/>
              </w:rPr>
              <w:t>יותר מ-8 שנים*</w:t>
            </w:r>
          </w:p>
        </w:tc>
        <w:tc>
          <w:tcPr>
            <w:tcW w:w="0" w:type="auto"/>
            <w:tcBorders>
              <w:top w:val="nil"/>
              <w:bottom w:val="single" w:sz="12" w:space="0" w:color="auto"/>
              <w:right w:val="single" w:sz="12" w:space="0" w:color="auto"/>
            </w:tcBorders>
            <w:shd w:val="clear" w:color="auto" w:fill="auto"/>
          </w:tcPr>
          <w:p w:rsidR="00E97EDA" w:rsidRPr="00736CC3" w:rsidP="004B0348">
            <w:pPr>
              <w:tabs>
                <w:tab w:val="left" w:pos="588"/>
              </w:tabs>
              <w:spacing w:before="40" w:after="40" w:line="200" w:lineRule="exact"/>
              <w:ind w:left="170" w:hanging="170"/>
              <w:rPr>
                <w:rFonts w:ascii="Calibri" w:eastAsia="Calibri" w:hAnsi="Calibri" w:cs="FrankRuehl"/>
                <w:sz w:val="20"/>
                <w:szCs w:val="20"/>
                <w:rtl/>
              </w:rPr>
            </w:pPr>
            <w:r w:rsidRPr="00736CC3">
              <w:rPr>
                <w:rFonts w:cs="FrankRuehl" w:hint="cs"/>
                <w:sz w:val="20"/>
                <w:szCs w:val="20"/>
                <w:rtl/>
              </w:rPr>
              <w:t xml:space="preserve">- </w:t>
            </w:r>
            <w:r w:rsidRPr="00736CC3" w:rsidR="004B0348">
              <w:rPr>
                <w:rFonts w:cs="FrankRuehl"/>
                <w:sz w:val="20"/>
                <w:szCs w:val="20"/>
              </w:rPr>
              <w:tab/>
            </w:r>
            <w:r w:rsidRPr="00736CC3">
              <w:rPr>
                <w:rFonts w:cs="FrankRuehl" w:hint="cs"/>
                <w:sz w:val="20"/>
                <w:szCs w:val="20"/>
                <w:rtl/>
              </w:rPr>
              <w:t>היעדר שיווק קרקעות</w:t>
            </w:r>
          </w:p>
          <w:p w:rsidR="00E97EDA" w:rsidRPr="00736CC3" w:rsidP="004B0348">
            <w:pPr>
              <w:tabs>
                <w:tab w:val="left" w:pos="588"/>
              </w:tabs>
              <w:spacing w:before="40" w:after="40" w:line="200" w:lineRule="exact"/>
              <w:ind w:left="170" w:hanging="170"/>
              <w:rPr>
                <w:rFonts w:ascii="Calibri" w:eastAsia="Calibri" w:hAnsi="Calibri" w:cs="FrankRuehl"/>
                <w:sz w:val="20"/>
                <w:szCs w:val="20"/>
                <w:rtl/>
              </w:rPr>
            </w:pPr>
            <w:r w:rsidRPr="00736CC3">
              <w:rPr>
                <w:rFonts w:cs="FrankRuehl" w:hint="cs"/>
                <w:sz w:val="20"/>
                <w:szCs w:val="20"/>
                <w:rtl/>
              </w:rPr>
              <w:t xml:space="preserve">- </w:t>
            </w:r>
            <w:r w:rsidRPr="00736CC3" w:rsidR="004B0348">
              <w:rPr>
                <w:rFonts w:cs="FrankRuehl"/>
                <w:sz w:val="20"/>
                <w:szCs w:val="20"/>
              </w:rPr>
              <w:tab/>
            </w:r>
            <w:r w:rsidRPr="00736CC3">
              <w:rPr>
                <w:rFonts w:cs="FrankRuehl" w:hint="cs"/>
                <w:sz w:val="20"/>
                <w:szCs w:val="20"/>
                <w:rtl/>
              </w:rPr>
              <w:t>ביקושים נמוכים</w:t>
            </w:r>
          </w:p>
        </w:tc>
      </w:tr>
    </w:tbl>
    <w:p w:rsidR="00E97EDA" w:rsidRPr="004B0348" w:rsidP="004B0348">
      <w:pPr>
        <w:spacing w:before="120" w:after="240" w:line="200" w:lineRule="exact"/>
        <w:ind w:left="397" w:hanging="397"/>
        <w:jc w:val="both"/>
        <w:rPr>
          <w:rFonts w:cs="FrankRuehl"/>
          <w:sz w:val="20"/>
          <w:szCs w:val="20"/>
          <w:rtl/>
        </w:rPr>
      </w:pPr>
      <w:r w:rsidRPr="004B0348">
        <w:rPr>
          <w:rFonts w:cs="FrankRuehl" w:hint="cs"/>
          <w:sz w:val="20"/>
          <w:szCs w:val="20"/>
          <w:rtl/>
        </w:rPr>
        <w:t xml:space="preserve">* </w:t>
      </w:r>
      <w:r w:rsidR="004B0348">
        <w:rPr>
          <w:rFonts w:cs="FrankRuehl"/>
          <w:sz w:val="20"/>
          <w:szCs w:val="20"/>
        </w:rPr>
        <w:tab/>
      </w:r>
      <w:r w:rsidRPr="004B0348">
        <w:rPr>
          <w:rFonts w:cs="FrankRuehl" w:hint="cs"/>
          <w:sz w:val="20"/>
          <w:szCs w:val="20"/>
          <w:rtl/>
        </w:rPr>
        <w:t>על פי נתוני עיריית באר שבע, היתרי הבנייה למבני מגורים שניתנו בשנים 2012-2005 הוצאו מכוחן של תכניות שאושרו בשנים 2004-1991.</w:t>
      </w:r>
    </w:p>
    <w:p w:rsidR="00D22B16" w:rsidRPr="00F41E78" w:rsidP="00D22B16">
      <w:pPr>
        <w:pStyle w:val="RESHET"/>
        <w:keepLines/>
        <w:rPr>
          <w:rtl/>
        </w:rPr>
      </w:pPr>
      <w:r w:rsidRPr="00F41E78">
        <w:rPr>
          <w:rFonts w:hint="cs"/>
          <w:rtl/>
        </w:rPr>
        <w:t xml:space="preserve">מהנתונים </w:t>
      </w:r>
      <w:r w:rsidRPr="00F41E78">
        <w:rPr>
          <w:rtl/>
        </w:rPr>
        <w:t xml:space="preserve">עולה כי רק חלק מיחידות הדיור </w:t>
      </w:r>
      <w:r w:rsidRPr="00F41E78">
        <w:rPr>
          <w:rFonts w:hint="cs"/>
          <w:rtl/>
        </w:rPr>
        <w:t xml:space="preserve">בתכניות </w:t>
      </w:r>
      <w:r w:rsidRPr="00F41E78">
        <w:rPr>
          <w:rtl/>
        </w:rPr>
        <w:t>שאושרו מתממש</w:t>
      </w:r>
      <w:r w:rsidRPr="00F41E78">
        <w:rPr>
          <w:rFonts w:hint="cs"/>
          <w:rtl/>
        </w:rPr>
        <w:t>ות</w:t>
      </w:r>
      <w:r w:rsidRPr="00F41E78">
        <w:rPr>
          <w:rtl/>
        </w:rPr>
        <w:t>. ברוב הרשויות</w:t>
      </w:r>
      <w:r w:rsidRPr="00F41E78">
        <w:rPr>
          <w:rFonts w:hint="cs"/>
          <w:rtl/>
        </w:rPr>
        <w:t>,</w:t>
      </w:r>
      <w:r w:rsidRPr="00F41E78">
        <w:rPr>
          <w:rtl/>
        </w:rPr>
        <w:t xml:space="preserve"> </w:t>
      </w:r>
      <w:r w:rsidRPr="00F41E78">
        <w:rPr>
          <w:rFonts w:hint="cs"/>
          <w:rtl/>
        </w:rPr>
        <w:t>מספר</w:t>
      </w:r>
      <w:r w:rsidRPr="00F41E78">
        <w:rPr>
          <w:rtl/>
        </w:rPr>
        <w:t xml:space="preserve"> </w:t>
      </w:r>
      <w:r w:rsidRPr="00F41E78">
        <w:rPr>
          <w:rFonts w:hint="cs"/>
          <w:rtl/>
        </w:rPr>
        <w:t>יחידות הדיור שניתן להן היתר בנייה בת</w:t>
      </w:r>
      <w:r w:rsidRPr="00F41E78">
        <w:rPr>
          <w:rtl/>
        </w:rPr>
        <w:t>כניות שנבדקו קטן מ-50%</w:t>
      </w:r>
      <w:r w:rsidRPr="00F41E78">
        <w:rPr>
          <w:rFonts w:hint="cs"/>
          <w:rtl/>
        </w:rPr>
        <w:t>;</w:t>
      </w:r>
      <w:r w:rsidRPr="00F41E78">
        <w:rPr>
          <w:rtl/>
        </w:rPr>
        <w:t xml:space="preserve"> </w:t>
      </w:r>
      <w:r w:rsidRPr="00F41E78">
        <w:rPr>
          <w:rFonts w:hint="cs"/>
          <w:rtl/>
        </w:rPr>
        <w:t>ב</w:t>
      </w:r>
      <w:r w:rsidRPr="00F41E78">
        <w:rPr>
          <w:rtl/>
        </w:rPr>
        <w:t>חיפה ו</w:t>
      </w:r>
      <w:r w:rsidRPr="00F41E78">
        <w:rPr>
          <w:rFonts w:hint="cs"/>
          <w:rtl/>
        </w:rPr>
        <w:t>ב</w:t>
      </w:r>
      <w:r w:rsidRPr="00F41E78">
        <w:rPr>
          <w:rtl/>
        </w:rPr>
        <w:t>נתניה</w:t>
      </w:r>
      <w:r w:rsidRPr="00F41E78">
        <w:rPr>
          <w:rFonts w:hint="cs"/>
          <w:rtl/>
        </w:rPr>
        <w:t xml:space="preserve"> שיעור מימוש התכניות </w:t>
      </w:r>
      <w:r w:rsidRPr="00F41E78">
        <w:rPr>
          <w:rtl/>
        </w:rPr>
        <w:t>נמוך מאוד, כ-10% בלבד. נוסף על כך</w:t>
      </w:r>
      <w:r w:rsidRPr="00F41E78">
        <w:rPr>
          <w:rFonts w:hint="cs"/>
          <w:rtl/>
        </w:rPr>
        <w:t>,</w:t>
      </w:r>
      <w:r w:rsidRPr="00F41E78">
        <w:rPr>
          <w:rtl/>
        </w:rPr>
        <w:t xml:space="preserve"> בכל הרשויות שנבדקו חולפות </w:t>
      </w:r>
      <w:r w:rsidRPr="00F41E78">
        <w:rPr>
          <w:rFonts w:hint="cs"/>
          <w:rtl/>
        </w:rPr>
        <w:t xml:space="preserve">כמה </w:t>
      </w:r>
      <w:r w:rsidRPr="00F41E78">
        <w:rPr>
          <w:rtl/>
        </w:rPr>
        <w:t>שנים מ</w:t>
      </w:r>
      <w:r w:rsidRPr="00F41E78">
        <w:rPr>
          <w:rFonts w:hint="cs"/>
          <w:rtl/>
        </w:rPr>
        <w:t>מועד</w:t>
      </w:r>
      <w:r w:rsidRPr="00F41E78">
        <w:rPr>
          <w:rtl/>
        </w:rPr>
        <w:t xml:space="preserve"> אישור התכניות עד מתן היתר</w:t>
      </w:r>
      <w:r w:rsidRPr="00F41E78">
        <w:rPr>
          <w:rFonts w:hint="cs"/>
          <w:rtl/>
        </w:rPr>
        <w:t xml:space="preserve"> בנייה</w:t>
      </w:r>
      <w:r w:rsidRPr="00F41E78">
        <w:rPr>
          <w:rtl/>
        </w:rPr>
        <w:t xml:space="preserve">. </w:t>
      </w:r>
    </w:p>
    <w:p w:rsidR="00E97EDA" w:rsidRPr="00F41E78" w:rsidP="004B0348">
      <w:pPr>
        <w:spacing w:before="180" w:after="120" w:line="230" w:lineRule="exact"/>
        <w:jc w:val="both"/>
        <w:rPr>
          <w:rFonts w:cs="FrankRuehl"/>
          <w:sz w:val="18"/>
          <w:szCs w:val="22"/>
          <w:rtl/>
          <w:lang w:eastAsia="he-IL"/>
        </w:rPr>
      </w:pPr>
      <w:r w:rsidRPr="00F41E78">
        <w:rPr>
          <w:rFonts w:cs="FrankRuehl" w:hint="cs"/>
          <w:sz w:val="18"/>
          <w:szCs w:val="22"/>
          <w:rtl/>
          <w:lang w:eastAsia="he-IL"/>
        </w:rPr>
        <w:t>בתשובתו מאפריל 2014 מסר משרד הפנים כי הוא פועל, בשיתוף עם משרדי ממשלה אחרים, לגיבוש תכנית עבודה משותפת לקידום תכניות גדולות למגורים ולהסרת חסמים המעכבים אישור תכניות או שיווק קרקעות.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בתשובתה מאפריל 2014 מסרה עיריית רחובות כי היא הציבה יעד לבנייה של יותר מ-20,000 יח"ד עד 2025 (כולל דיור בר השגה) והיא מקדמת תכנית מתאר שתאפשר זאת. עוד מסרה כי ברחובות המלאי התכנוני עומד על כ-5,000 יח"ד</w:t>
      </w:r>
      <w:r w:rsidRPr="00F41E78">
        <w:rPr>
          <w:rFonts w:cs="FrankRuehl" w:hint="cs"/>
          <w:sz w:val="18"/>
          <w:szCs w:val="22"/>
          <w:rtl/>
          <w:lang w:eastAsia="he-IL"/>
        </w:rPr>
        <w:t xml:space="preserve"> </w:t>
      </w:r>
      <w:r w:rsidRPr="00F41E78">
        <w:rPr>
          <w:rFonts w:cs="FrankRuehl" w:hint="cs"/>
          <w:sz w:val="18"/>
          <w:szCs w:val="22"/>
          <w:rtl/>
          <w:lang w:eastAsia="he-IL"/>
        </w:rPr>
        <w:t>וכ-1,500 מהן צפויות להיבנות בשנים הקרובות.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בתשובתה ממאי 2014 מסרה עיריית חיפה כי היא מקדמת תכניות למגורים כדי לתת פתרונות למצוקת הדיור ולהגדיל את מלאי הדירות (כולל דיור בר השגה). היא הוסיפה כי בשני אזורים בעיר הוחל בבנייתן של כ-3,000 יח"ד. העירייה ציינה כי היא קידמה גם תכניות להתחדשות עירונית הצפויות להוסיף אלפי יח"ד בטווחים הקצר והבינוני. לדעת העירייה, הקמת שכונות מגורים בחיפה תאפשר להימנע מבנייה בשטחים פתוחים במרכז הארץ ותשיג את יעד פיזור האוכלוסייה. </w:t>
      </w:r>
    </w:p>
    <w:p w:rsidR="00E97EDA" w:rsidRPr="00F41E78" w:rsidP="00A7557B">
      <w:pPr>
        <w:spacing w:after="120" w:line="230" w:lineRule="exact"/>
        <w:jc w:val="both"/>
        <w:rPr>
          <w:rFonts w:cs="FrankRuehl"/>
          <w:sz w:val="18"/>
          <w:szCs w:val="22"/>
          <w:rtl/>
          <w:lang w:eastAsia="he-IL"/>
        </w:rPr>
      </w:pPr>
    </w:p>
    <w:p w:rsidR="00E97EDA" w:rsidRPr="00CB33CD" w:rsidP="00A7557B">
      <w:pPr>
        <w:pStyle w:val="KOT5"/>
        <w:rPr>
          <w:rtl/>
          <w:lang w:eastAsia="he-IL"/>
        </w:rPr>
      </w:pPr>
      <w:r w:rsidRPr="00E97EDA">
        <w:rPr>
          <w:rFonts w:hint="cs"/>
          <w:rtl/>
        </w:rPr>
        <w:t>גורמים המעכבים מימוש</w:t>
      </w:r>
      <w:r w:rsidRPr="00E97EDA">
        <w:rPr>
          <w:rtl/>
        </w:rPr>
        <w:t xml:space="preserve"> </w:t>
      </w:r>
      <w:r w:rsidRPr="00E97EDA">
        <w:rPr>
          <w:rFonts w:hint="cs"/>
          <w:rtl/>
        </w:rPr>
        <w:t>תכניות</w:t>
      </w:r>
      <w:r w:rsidRPr="00CB33CD">
        <w:rPr>
          <w:rFonts w:hint="cs"/>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bCs/>
          <w:spacing w:val="40"/>
          <w:sz w:val="18"/>
          <w:szCs w:val="22"/>
          <w:rtl/>
        </w:rPr>
        <w:t>תהליכי</w:t>
      </w:r>
      <w:r w:rsidRPr="00F41E78">
        <w:rPr>
          <w:rFonts w:cs="FrankRuehl"/>
          <w:bCs/>
          <w:spacing w:val="40"/>
          <w:sz w:val="18"/>
          <w:szCs w:val="22"/>
          <w:rtl/>
        </w:rPr>
        <w:t xml:space="preserve"> </w:t>
      </w:r>
      <w:r w:rsidRPr="00F41E78">
        <w:rPr>
          <w:rFonts w:cs="FrankRuehl" w:hint="cs"/>
          <w:bCs/>
          <w:spacing w:val="40"/>
          <w:sz w:val="18"/>
          <w:szCs w:val="22"/>
          <w:rtl/>
        </w:rPr>
        <w:t>חלוקת</w:t>
      </w:r>
      <w:r w:rsidRPr="00F41E78">
        <w:rPr>
          <w:rFonts w:cs="FrankRuehl"/>
          <w:bCs/>
          <w:spacing w:val="40"/>
          <w:sz w:val="18"/>
          <w:szCs w:val="22"/>
          <w:rtl/>
        </w:rPr>
        <w:t xml:space="preserve"> </w:t>
      </w:r>
      <w:r w:rsidRPr="00F41E78">
        <w:rPr>
          <w:rFonts w:cs="FrankRuehl" w:hint="cs"/>
          <w:bCs/>
          <w:spacing w:val="40"/>
          <w:sz w:val="18"/>
          <w:szCs w:val="22"/>
          <w:rtl/>
        </w:rPr>
        <w:t>הקרקע</w:t>
      </w:r>
      <w:r w:rsidRPr="00F41E78">
        <w:rPr>
          <w:rFonts w:cs="FrankRuehl"/>
          <w:bCs/>
          <w:spacing w:val="40"/>
          <w:sz w:val="18"/>
          <w:szCs w:val="22"/>
          <w:rtl/>
        </w:rPr>
        <w:t xml:space="preserve"> </w:t>
      </w:r>
      <w:r w:rsidRPr="00F41E78">
        <w:rPr>
          <w:rFonts w:cs="FrankRuehl" w:hint="cs"/>
          <w:bCs/>
          <w:spacing w:val="40"/>
          <w:sz w:val="18"/>
          <w:szCs w:val="22"/>
          <w:rtl/>
        </w:rPr>
        <w:t>למגרשים</w:t>
      </w:r>
      <w:r w:rsidRPr="00F41E78">
        <w:rPr>
          <w:rFonts w:cs="FrankRuehl"/>
          <w:bCs/>
          <w:spacing w:val="40"/>
          <w:sz w:val="18"/>
          <w:szCs w:val="22"/>
          <w:rtl/>
        </w:rPr>
        <w:t xml:space="preserve"> </w:t>
      </w:r>
      <w:r w:rsidRPr="00F41E78">
        <w:rPr>
          <w:rFonts w:cs="FrankRuehl" w:hint="cs"/>
          <w:bCs/>
          <w:spacing w:val="40"/>
          <w:sz w:val="18"/>
          <w:szCs w:val="22"/>
          <w:rtl/>
        </w:rPr>
        <w:t>ולחלקות</w:t>
      </w:r>
      <w:r w:rsidRPr="00F41E78">
        <w:rPr>
          <w:rFonts w:cs="FrankRuehl"/>
          <w:bCs/>
          <w:spacing w:val="40"/>
          <w:sz w:val="18"/>
          <w:szCs w:val="22"/>
          <w:rtl/>
        </w:rPr>
        <w:t>:</w:t>
      </w:r>
      <w:r w:rsidRPr="00F41E78">
        <w:rPr>
          <w:rFonts w:cs="FrankRuehl" w:hint="cs"/>
          <w:sz w:val="18"/>
          <w:szCs w:val="22"/>
          <w:rtl/>
          <w:lang w:eastAsia="he-IL"/>
        </w:rPr>
        <w:t xml:space="preserve"> כאמור, מתן היתר בנייה מותנה באישור תשריט של חלוקת הקרקע בין בעלי הזכויות על המקרקעין ליחידות קנייניות - מגרשים וחלקים, הכנת טבלאות איזון ורישומן של הזכויות בפנקס המקרקעין. בתהליכים אלו מתגלעים לא אחת סכסוכים בדבר חלוקת הזכויות בין בעלי הזכויות על הקרקע, המעכבים במשך זמן רב את מימוש התכניות עד שהצדדים מגיעים לידי הסכמה. לעתים התכניות המאושרות שהושקעו בהן מאמצים ומשאבים רבים, אף אינן מגיעות לכדי מימוש. </w:t>
      </w:r>
    </w:p>
    <w:p w:rsidR="00E97EDA" w:rsidRPr="00F41E78" w:rsidP="004B0348">
      <w:pPr>
        <w:spacing w:after="240" w:line="230" w:lineRule="exact"/>
        <w:ind w:left="12"/>
        <w:jc w:val="both"/>
        <w:rPr>
          <w:rFonts w:cs="FrankRuehl"/>
          <w:sz w:val="18"/>
          <w:szCs w:val="22"/>
          <w:rtl/>
          <w:lang w:eastAsia="he-IL"/>
        </w:rPr>
      </w:pPr>
      <w:r w:rsidRPr="00F41E78">
        <w:rPr>
          <w:rFonts w:cs="FrankRuehl" w:hint="cs"/>
          <w:sz w:val="18"/>
          <w:szCs w:val="22"/>
          <w:rtl/>
          <w:lang w:eastAsia="he-IL"/>
        </w:rPr>
        <w:t>בביקורת נמצא כי תהליכי חלוקת הקרקע עשויים להימשך כשנה ויותר. למשל, בפתח תקווה אושרו</w:t>
      </w:r>
      <w:r w:rsidRPr="00F41E78">
        <w:rPr>
          <w:rFonts w:cs="FrankRuehl" w:hint="cs"/>
          <w:sz w:val="18"/>
          <w:szCs w:val="22"/>
          <w:rtl/>
          <w:lang w:eastAsia="he-IL"/>
        </w:rPr>
        <w:t xml:space="preserve"> </w:t>
      </w:r>
      <w:r w:rsidRPr="00F41E78">
        <w:rPr>
          <w:rFonts w:cs="FrankRuehl" w:hint="cs"/>
          <w:sz w:val="18"/>
          <w:szCs w:val="22"/>
          <w:rtl/>
          <w:lang w:eastAsia="he-IL"/>
        </w:rPr>
        <w:t>מתחילת שנות התשעים של המאה העשרים היתרי בנייה לכ-25,000 יח"ד, בעיקר בתכניות גדולות בקיבולתן. בתכניות רבות מהן הייתה הוועדה המקומית צריכה לאשר טבלאות איזון לפני מתן ההיתרים, והדבר עיכב בכמה שנים את הוצאתם בשל מחלוקות עם חלק מבעלי הקרקע. גם תהליכי הפקעות של קרקע לצורכי ציבור מעכבים את תחילת עבודות הפיתוח ובהמשך גם את מתן ההיתרים. בחיפה נמצא מקרה (תכנית חפ/2266) שבו החלוקה למגרשים התעכבה כשנתיים משום שלא ניתן אישורה של רמ"י להפקעת שטחים לטובת הציבור.</w:t>
      </w:r>
    </w:p>
    <w:p w:rsidR="00D22B16" w:rsidRPr="00F41E78" w:rsidP="00D22B16">
      <w:pPr>
        <w:pStyle w:val="RESHET"/>
        <w:keepLines/>
        <w:rPr>
          <w:rtl/>
        </w:rPr>
      </w:pPr>
      <w:r w:rsidRPr="00F41E78">
        <w:rPr>
          <w:rFonts w:hint="cs"/>
          <w:rtl/>
        </w:rPr>
        <w:t xml:space="preserve">לדעת משרד מבקר המדינה, על משרד הפנים לבחון דרכים לייעל את תהליכי האישור של תשריטי החלוקה ושל הפקעות השטחים, בשיתוף עם הרשויות המקומיות. למשל, יש לבחון את השלב בהליכי התכנון שבו ראוי להכין את תשריטי החלוקה ואת הדרכים ליישוב מחלוקות בנושא. </w:t>
      </w:r>
    </w:p>
    <w:p w:rsidR="00E97EDA" w:rsidRPr="00F41E78" w:rsidP="004B0348">
      <w:pPr>
        <w:spacing w:before="180" w:after="120" w:line="230" w:lineRule="exact"/>
        <w:jc w:val="both"/>
        <w:rPr>
          <w:rFonts w:cs="FrankRuehl"/>
          <w:sz w:val="18"/>
          <w:szCs w:val="22"/>
          <w:rtl/>
          <w:lang w:eastAsia="he-IL"/>
        </w:rPr>
      </w:pPr>
      <w:r w:rsidRPr="00F41E78">
        <w:rPr>
          <w:rFonts w:cs="FrankRuehl"/>
          <w:sz w:val="18"/>
          <w:szCs w:val="22"/>
          <w:rtl/>
          <w:lang w:eastAsia="he-IL"/>
        </w:rPr>
        <w:t>בתשובתו</w:t>
      </w:r>
      <w:r w:rsidRPr="00F41E78">
        <w:rPr>
          <w:rFonts w:cs="FrankRuehl" w:hint="cs"/>
          <w:sz w:val="18"/>
          <w:szCs w:val="22"/>
          <w:rtl/>
          <w:lang w:eastAsia="he-IL"/>
        </w:rPr>
        <w:t xml:space="preserve"> מ</w:t>
      </w:r>
      <w:r w:rsidRPr="00F41E78">
        <w:rPr>
          <w:rFonts w:cs="FrankRuehl" w:hint="eastAsia"/>
          <w:sz w:val="18"/>
          <w:szCs w:val="22"/>
          <w:rtl/>
          <w:lang w:eastAsia="he-IL"/>
        </w:rPr>
        <w:t>אפריל</w:t>
      </w:r>
      <w:r w:rsidRPr="00F41E78">
        <w:rPr>
          <w:rFonts w:cs="FrankRuehl"/>
          <w:sz w:val="18"/>
          <w:szCs w:val="22"/>
          <w:rtl/>
          <w:lang w:eastAsia="he-IL"/>
        </w:rPr>
        <w:t xml:space="preserve"> </w:t>
      </w:r>
      <w:r w:rsidRPr="00F41E78">
        <w:rPr>
          <w:rFonts w:cs="FrankRuehl" w:hint="cs"/>
          <w:sz w:val="18"/>
          <w:szCs w:val="22"/>
          <w:rtl/>
          <w:lang w:eastAsia="he-IL"/>
        </w:rPr>
        <w:t>2</w:t>
      </w:r>
      <w:r w:rsidRPr="00F41E78">
        <w:rPr>
          <w:rFonts w:cs="FrankRuehl"/>
          <w:sz w:val="18"/>
          <w:szCs w:val="22"/>
          <w:rtl/>
          <w:lang w:eastAsia="he-IL"/>
        </w:rPr>
        <w:t xml:space="preserve">014 מסר </w:t>
      </w:r>
      <w:r w:rsidRPr="00F41E78">
        <w:rPr>
          <w:rFonts w:cs="FrankRuehl" w:hint="eastAsia"/>
          <w:sz w:val="18"/>
          <w:szCs w:val="22"/>
          <w:rtl/>
          <w:lang w:eastAsia="he-IL"/>
        </w:rPr>
        <w:t>משרד</w:t>
      </w:r>
      <w:r w:rsidRPr="00F41E78">
        <w:rPr>
          <w:rFonts w:cs="FrankRuehl"/>
          <w:sz w:val="18"/>
          <w:szCs w:val="22"/>
          <w:rtl/>
          <w:lang w:eastAsia="he-IL"/>
        </w:rPr>
        <w:t xml:space="preserve"> הפנים כי הוא נערך למבצע הדרכה נרחב בעקבות תיקון 101 לחוק התכנון והבנייה</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ה</w:t>
      </w:r>
      <w:r w:rsidRPr="00F41E78">
        <w:rPr>
          <w:rFonts w:cs="FrankRuehl"/>
          <w:sz w:val="18"/>
          <w:szCs w:val="22"/>
          <w:rtl/>
          <w:lang w:eastAsia="he-IL"/>
        </w:rPr>
        <w:t xml:space="preserve">הדרכות </w:t>
      </w:r>
      <w:r w:rsidRPr="00F41E78">
        <w:rPr>
          <w:rFonts w:cs="FrankRuehl" w:hint="cs"/>
          <w:sz w:val="18"/>
          <w:szCs w:val="22"/>
          <w:rtl/>
          <w:lang w:eastAsia="he-IL"/>
        </w:rPr>
        <w:t>יעסקו</w:t>
      </w:r>
      <w:r w:rsidRPr="00F41E78">
        <w:rPr>
          <w:rFonts w:cs="FrankRuehl"/>
          <w:sz w:val="18"/>
          <w:szCs w:val="22"/>
          <w:rtl/>
          <w:lang w:eastAsia="he-IL"/>
        </w:rPr>
        <w:t xml:space="preserve"> גם </w:t>
      </w:r>
      <w:r w:rsidRPr="00F41E78">
        <w:rPr>
          <w:rFonts w:cs="FrankRuehl" w:hint="cs"/>
          <w:sz w:val="18"/>
          <w:szCs w:val="22"/>
          <w:rtl/>
          <w:lang w:eastAsia="he-IL"/>
        </w:rPr>
        <w:t>ב</w:t>
      </w:r>
      <w:r w:rsidRPr="00F41E78">
        <w:rPr>
          <w:rFonts w:cs="FrankRuehl" w:hint="eastAsia"/>
          <w:sz w:val="18"/>
          <w:szCs w:val="22"/>
          <w:rtl/>
          <w:lang w:eastAsia="he-IL"/>
        </w:rPr>
        <w:t>נהלים</w:t>
      </w:r>
      <w:r w:rsidRPr="00F41E78">
        <w:rPr>
          <w:rFonts w:cs="FrankRuehl"/>
          <w:sz w:val="18"/>
          <w:szCs w:val="22"/>
          <w:rtl/>
          <w:lang w:eastAsia="he-IL"/>
        </w:rPr>
        <w:t xml:space="preserve"> </w:t>
      </w:r>
      <w:r w:rsidRPr="00F41E78">
        <w:rPr>
          <w:rFonts w:cs="FrankRuehl" w:hint="cs"/>
          <w:sz w:val="18"/>
          <w:szCs w:val="22"/>
          <w:rtl/>
          <w:lang w:eastAsia="he-IL"/>
        </w:rPr>
        <w:t>שעניינם</w:t>
      </w:r>
      <w:r w:rsidRPr="00F41E78">
        <w:rPr>
          <w:rFonts w:cs="FrankRuehl"/>
          <w:sz w:val="18"/>
          <w:szCs w:val="22"/>
          <w:rtl/>
          <w:lang w:eastAsia="he-IL"/>
        </w:rPr>
        <w:t xml:space="preserve"> </w:t>
      </w:r>
      <w:r w:rsidRPr="00F41E78">
        <w:rPr>
          <w:rFonts w:cs="FrankRuehl" w:hint="eastAsia"/>
          <w:sz w:val="18"/>
          <w:szCs w:val="22"/>
          <w:rtl/>
          <w:lang w:eastAsia="he-IL"/>
        </w:rPr>
        <w:t>רישום</w:t>
      </w:r>
      <w:r w:rsidRPr="00F41E78">
        <w:rPr>
          <w:rFonts w:cs="FrankRuehl"/>
          <w:sz w:val="18"/>
          <w:szCs w:val="22"/>
          <w:rtl/>
          <w:lang w:eastAsia="he-IL"/>
        </w:rPr>
        <w:t xml:space="preserve"> </w:t>
      </w:r>
      <w:r w:rsidRPr="00F41E78">
        <w:rPr>
          <w:rFonts w:cs="FrankRuehl" w:hint="eastAsia"/>
          <w:sz w:val="18"/>
          <w:szCs w:val="22"/>
          <w:rtl/>
          <w:lang w:eastAsia="he-IL"/>
        </w:rPr>
        <w:t>קרקע</w:t>
      </w:r>
      <w:r w:rsidRPr="00F41E78">
        <w:rPr>
          <w:rFonts w:cs="FrankRuehl"/>
          <w:sz w:val="18"/>
          <w:szCs w:val="22"/>
          <w:rtl/>
          <w:lang w:eastAsia="he-IL"/>
        </w:rPr>
        <w:t xml:space="preserve"> ו</w:t>
      </w:r>
      <w:r w:rsidRPr="00F41E78">
        <w:rPr>
          <w:rFonts w:cs="FrankRuehl" w:hint="eastAsia"/>
          <w:sz w:val="18"/>
          <w:szCs w:val="22"/>
          <w:rtl/>
          <w:lang w:eastAsia="he-IL"/>
        </w:rPr>
        <w:t>חלוקתה</w:t>
      </w:r>
      <w:r w:rsidRPr="00F41E78">
        <w:rPr>
          <w:rFonts w:cs="FrankRuehl"/>
          <w:sz w:val="18"/>
          <w:szCs w:val="22"/>
          <w:rtl/>
          <w:lang w:eastAsia="he-IL"/>
        </w:rPr>
        <w:t xml:space="preserve"> </w:t>
      </w:r>
      <w:r w:rsidRPr="00F41E78">
        <w:rPr>
          <w:rFonts w:cs="FrankRuehl" w:hint="cs"/>
          <w:sz w:val="18"/>
          <w:szCs w:val="22"/>
          <w:rtl/>
          <w:lang w:eastAsia="he-IL"/>
        </w:rPr>
        <w:t>ו</w:t>
      </w:r>
      <w:r w:rsidRPr="00F41E78">
        <w:rPr>
          <w:rFonts w:cs="FrankRuehl"/>
          <w:sz w:val="18"/>
          <w:szCs w:val="22"/>
          <w:rtl/>
          <w:lang w:eastAsia="he-IL"/>
        </w:rPr>
        <w:t>הפקעות</w:t>
      </w:r>
      <w:r w:rsidRPr="00F41E78">
        <w:rPr>
          <w:rFonts w:cs="FrankRuehl" w:hint="cs"/>
          <w:sz w:val="18"/>
          <w:szCs w:val="22"/>
          <w:rtl/>
          <w:lang w:eastAsia="he-IL"/>
        </w:rPr>
        <w:t xml:space="preserve"> השטחים</w:t>
      </w:r>
      <w:r w:rsidRPr="00F41E78">
        <w:rPr>
          <w:rFonts w:cs="FrankRuehl"/>
          <w:sz w:val="18"/>
          <w:szCs w:val="22"/>
          <w:rtl/>
          <w:lang w:eastAsia="he-IL"/>
        </w:rPr>
        <w:t xml:space="preserve">. עוד מסר כי </w:t>
      </w:r>
      <w:r w:rsidRPr="00F41E78">
        <w:rPr>
          <w:rFonts w:cs="FrankRuehl" w:hint="cs"/>
          <w:sz w:val="18"/>
          <w:szCs w:val="22"/>
          <w:rtl/>
          <w:lang w:eastAsia="he-IL"/>
        </w:rPr>
        <w:t>ב</w:t>
      </w:r>
      <w:r w:rsidRPr="00F41E78">
        <w:rPr>
          <w:rFonts w:cs="FrankRuehl" w:hint="eastAsia"/>
          <w:sz w:val="18"/>
          <w:szCs w:val="22"/>
          <w:rtl/>
          <w:lang w:eastAsia="he-IL"/>
        </w:rPr>
        <w:t>גיבוש</w:t>
      </w:r>
      <w:r w:rsidRPr="00F41E78">
        <w:rPr>
          <w:rFonts w:cs="FrankRuehl"/>
          <w:sz w:val="18"/>
          <w:szCs w:val="22"/>
          <w:rtl/>
          <w:lang w:eastAsia="he-IL"/>
        </w:rPr>
        <w:t xml:space="preserve"> שלב ב של </w:t>
      </w:r>
      <w:r w:rsidRPr="00F41E78">
        <w:rPr>
          <w:rFonts w:cs="FrankRuehl" w:hint="eastAsia"/>
          <w:sz w:val="18"/>
          <w:szCs w:val="22"/>
          <w:rtl/>
          <w:lang w:eastAsia="he-IL"/>
        </w:rPr>
        <w:t>הרפורמה</w:t>
      </w:r>
      <w:r w:rsidRPr="00F41E78">
        <w:rPr>
          <w:rFonts w:cs="FrankRuehl"/>
          <w:sz w:val="18"/>
          <w:szCs w:val="22"/>
          <w:rtl/>
          <w:lang w:eastAsia="he-IL"/>
        </w:rPr>
        <w:t xml:space="preserve"> בחוק</w:t>
      </w:r>
      <w:r w:rsidRPr="00F41E78">
        <w:rPr>
          <w:rFonts w:cs="FrankRuehl" w:hint="cs"/>
          <w:sz w:val="18"/>
          <w:szCs w:val="22"/>
          <w:rtl/>
          <w:lang w:eastAsia="he-IL"/>
        </w:rPr>
        <w:t xml:space="preserve"> התכנון והבנייה</w:t>
      </w:r>
      <w:r w:rsidRPr="00F41E78">
        <w:rPr>
          <w:rFonts w:cs="FrankRuehl"/>
          <w:sz w:val="18"/>
          <w:szCs w:val="22"/>
          <w:rtl/>
          <w:lang w:eastAsia="he-IL"/>
        </w:rPr>
        <w:t xml:space="preserve"> יישקל הצורך </w:t>
      </w:r>
      <w:r w:rsidRPr="00F41E78">
        <w:rPr>
          <w:rFonts w:cs="FrankRuehl" w:hint="eastAsia"/>
          <w:sz w:val="18"/>
          <w:szCs w:val="22"/>
          <w:rtl/>
          <w:lang w:eastAsia="he-IL"/>
        </w:rPr>
        <w:t>לעגן</w:t>
      </w:r>
      <w:r w:rsidRPr="00F41E78">
        <w:rPr>
          <w:rFonts w:cs="FrankRuehl"/>
          <w:sz w:val="18"/>
          <w:szCs w:val="22"/>
          <w:rtl/>
          <w:lang w:eastAsia="he-IL"/>
        </w:rPr>
        <w:t xml:space="preserve"> </w:t>
      </w:r>
      <w:r w:rsidRPr="00F41E78">
        <w:rPr>
          <w:rFonts w:cs="FrankRuehl" w:hint="eastAsia"/>
          <w:sz w:val="18"/>
          <w:szCs w:val="22"/>
          <w:rtl/>
          <w:lang w:eastAsia="he-IL"/>
        </w:rPr>
        <w:t>ב</w:t>
      </w:r>
      <w:r w:rsidRPr="00F41E78">
        <w:rPr>
          <w:rFonts w:cs="FrankRuehl" w:hint="cs"/>
          <w:sz w:val="18"/>
          <w:szCs w:val="22"/>
          <w:rtl/>
          <w:lang w:eastAsia="he-IL"/>
        </w:rPr>
        <w:t>ו</w:t>
      </w:r>
      <w:r w:rsidRPr="00F41E78">
        <w:rPr>
          <w:rFonts w:cs="FrankRuehl"/>
          <w:sz w:val="18"/>
          <w:szCs w:val="22"/>
          <w:rtl/>
          <w:lang w:eastAsia="he-IL"/>
        </w:rPr>
        <w:t xml:space="preserve"> </w:t>
      </w:r>
      <w:r w:rsidRPr="00F41E78">
        <w:rPr>
          <w:rFonts w:cs="FrankRuehl" w:hint="eastAsia"/>
          <w:sz w:val="18"/>
          <w:szCs w:val="22"/>
          <w:rtl/>
          <w:lang w:eastAsia="he-IL"/>
        </w:rPr>
        <w:t>דרכים</w:t>
      </w:r>
      <w:r w:rsidRPr="00F41E78">
        <w:rPr>
          <w:rFonts w:cs="FrankRuehl"/>
          <w:sz w:val="18"/>
          <w:szCs w:val="22"/>
          <w:rtl/>
          <w:lang w:eastAsia="he-IL"/>
        </w:rPr>
        <w:t xml:space="preserve"> </w:t>
      </w:r>
      <w:r w:rsidRPr="00F41E78">
        <w:rPr>
          <w:rFonts w:cs="FrankRuehl" w:hint="eastAsia"/>
          <w:sz w:val="18"/>
          <w:szCs w:val="22"/>
          <w:rtl/>
          <w:lang w:eastAsia="he-IL"/>
        </w:rPr>
        <w:t>לייעול</w:t>
      </w:r>
      <w:r w:rsidRPr="00F41E78">
        <w:rPr>
          <w:rFonts w:cs="FrankRuehl" w:hint="cs"/>
          <w:sz w:val="18"/>
          <w:szCs w:val="22"/>
          <w:rtl/>
          <w:lang w:eastAsia="he-IL"/>
        </w:rPr>
        <w:t>ם של</w:t>
      </w:r>
      <w:r w:rsidRPr="00F41E78">
        <w:rPr>
          <w:rFonts w:cs="FrankRuehl"/>
          <w:sz w:val="18"/>
          <w:szCs w:val="22"/>
          <w:rtl/>
          <w:lang w:eastAsia="he-IL"/>
        </w:rPr>
        <w:t xml:space="preserve"> </w:t>
      </w:r>
      <w:r w:rsidRPr="00F41E78">
        <w:rPr>
          <w:rFonts w:cs="FrankRuehl" w:hint="cs"/>
          <w:sz w:val="18"/>
          <w:szCs w:val="22"/>
          <w:rtl/>
          <w:lang w:eastAsia="he-IL"/>
        </w:rPr>
        <w:t>ת</w:t>
      </w:r>
      <w:r w:rsidRPr="00F41E78">
        <w:rPr>
          <w:rFonts w:cs="FrankRuehl" w:hint="eastAsia"/>
          <w:sz w:val="18"/>
          <w:szCs w:val="22"/>
          <w:rtl/>
          <w:lang w:eastAsia="he-IL"/>
        </w:rPr>
        <w:t>הליכי</w:t>
      </w:r>
      <w:r w:rsidRPr="00F41E78">
        <w:rPr>
          <w:rFonts w:cs="FrankRuehl"/>
          <w:sz w:val="18"/>
          <w:szCs w:val="22"/>
          <w:rtl/>
          <w:lang w:eastAsia="he-IL"/>
        </w:rPr>
        <w:t xml:space="preserve"> </w:t>
      </w:r>
      <w:r w:rsidRPr="00F41E78">
        <w:rPr>
          <w:rFonts w:cs="FrankRuehl" w:hint="eastAsia"/>
          <w:sz w:val="18"/>
          <w:szCs w:val="22"/>
          <w:rtl/>
          <w:lang w:eastAsia="he-IL"/>
        </w:rPr>
        <w:t>רישום</w:t>
      </w:r>
      <w:r w:rsidRPr="00F41E78">
        <w:rPr>
          <w:rFonts w:cs="FrankRuehl"/>
          <w:sz w:val="18"/>
          <w:szCs w:val="22"/>
          <w:rtl/>
          <w:lang w:eastAsia="he-IL"/>
        </w:rPr>
        <w:t xml:space="preserve"> </w:t>
      </w:r>
      <w:r w:rsidRPr="00F41E78">
        <w:rPr>
          <w:rFonts w:cs="FrankRuehl" w:hint="eastAsia"/>
          <w:sz w:val="18"/>
          <w:szCs w:val="22"/>
          <w:rtl/>
          <w:lang w:eastAsia="he-IL"/>
        </w:rPr>
        <w:t>והפקעות</w:t>
      </w:r>
      <w:r w:rsidRPr="00F41E78">
        <w:rPr>
          <w:rFonts w:cs="FrankRuehl"/>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בתשובתה מ</w:t>
      </w:r>
      <w:r w:rsidRPr="00F41E78">
        <w:rPr>
          <w:rFonts w:cs="FrankRuehl" w:hint="eastAsia"/>
          <w:sz w:val="18"/>
          <w:szCs w:val="22"/>
          <w:rtl/>
          <w:lang w:eastAsia="he-IL"/>
        </w:rPr>
        <w:t>מאי</w:t>
      </w:r>
      <w:r w:rsidRPr="00F41E78">
        <w:rPr>
          <w:rFonts w:cs="FrankRuehl"/>
          <w:sz w:val="18"/>
          <w:szCs w:val="22"/>
          <w:rtl/>
          <w:lang w:eastAsia="he-IL"/>
        </w:rPr>
        <w:t xml:space="preserve"> 2014</w:t>
      </w:r>
      <w:r w:rsidRPr="00F41E78">
        <w:rPr>
          <w:rFonts w:cs="FrankRuehl" w:hint="cs"/>
          <w:sz w:val="18"/>
          <w:szCs w:val="22"/>
          <w:rtl/>
          <w:lang w:eastAsia="he-IL"/>
        </w:rPr>
        <w:t xml:space="preserve"> כתבה </w:t>
      </w:r>
      <w:r w:rsidRPr="00F41E78">
        <w:rPr>
          <w:rFonts w:cs="FrankRuehl" w:hint="eastAsia"/>
          <w:sz w:val="18"/>
          <w:szCs w:val="22"/>
          <w:rtl/>
          <w:lang w:eastAsia="he-IL"/>
        </w:rPr>
        <w:t>עיריית</w:t>
      </w:r>
      <w:r w:rsidRPr="00F41E78">
        <w:rPr>
          <w:rFonts w:cs="FrankRuehl"/>
          <w:sz w:val="18"/>
          <w:szCs w:val="22"/>
          <w:rtl/>
          <w:lang w:eastAsia="he-IL"/>
        </w:rPr>
        <w:t xml:space="preserve"> נתניה </w:t>
      </w:r>
      <w:r w:rsidRPr="00F41E78">
        <w:rPr>
          <w:rFonts w:cs="FrankRuehl" w:hint="eastAsia"/>
          <w:sz w:val="18"/>
          <w:szCs w:val="22"/>
          <w:rtl/>
          <w:lang w:eastAsia="he-IL"/>
        </w:rPr>
        <w:t>כי</w:t>
      </w:r>
      <w:r w:rsidRPr="00F41E78">
        <w:rPr>
          <w:rFonts w:cs="FrankRuehl"/>
          <w:sz w:val="18"/>
          <w:szCs w:val="22"/>
          <w:rtl/>
          <w:lang w:eastAsia="he-IL"/>
        </w:rPr>
        <w:t xml:space="preserve"> </w:t>
      </w:r>
      <w:r w:rsidRPr="00F41E78">
        <w:rPr>
          <w:rFonts w:cs="FrankRuehl" w:hint="cs"/>
          <w:sz w:val="18"/>
          <w:szCs w:val="22"/>
          <w:rtl/>
          <w:lang w:eastAsia="he-IL"/>
        </w:rPr>
        <w:t xml:space="preserve">כבר בתחילת הליכי התכנון של תכניות חדשות היא משתפת שמאים וכלכלנים במטרה לקדם את פיתוח התכניות ומימושן.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בתשובתה מאפריל 2014 ציינה עיריית הוד השרון כי הכנת תשריטי חלוקת הקרקע ויישוב מחלוקת בנושא אינם מעכבים את תהליך הרישוי משום שהוועדה המקומית מאפשרת לקדם בעת ובעונה אחת את תהליכי חלוקת הקרקע ואת תהליכי הרישוי. </w:t>
      </w:r>
    </w:p>
    <w:p w:rsidR="00E97EDA" w:rsidRPr="00F41E78" w:rsidP="004B0348">
      <w:pPr>
        <w:spacing w:after="240" w:line="230" w:lineRule="exact"/>
        <w:jc w:val="both"/>
        <w:rPr>
          <w:rFonts w:cs="FrankRuehl"/>
          <w:sz w:val="18"/>
          <w:szCs w:val="22"/>
          <w:rtl/>
          <w:lang w:eastAsia="he-IL"/>
        </w:rPr>
      </w:pPr>
      <w:r w:rsidRPr="00F41E78">
        <w:rPr>
          <w:rFonts w:cs="FrankRuehl" w:hint="cs"/>
          <w:bCs/>
          <w:spacing w:val="40"/>
          <w:sz w:val="18"/>
          <w:szCs w:val="22"/>
          <w:rtl/>
        </w:rPr>
        <w:t>עיכוב ב</w:t>
      </w:r>
      <w:r w:rsidRPr="00F41E78">
        <w:rPr>
          <w:rFonts w:cs="FrankRuehl" w:hint="eastAsia"/>
          <w:bCs/>
          <w:spacing w:val="40"/>
          <w:sz w:val="18"/>
          <w:szCs w:val="22"/>
          <w:rtl/>
        </w:rPr>
        <w:t>פיתוח</w:t>
      </w:r>
      <w:r w:rsidRPr="00F41E78">
        <w:rPr>
          <w:rFonts w:cs="FrankRuehl"/>
          <w:bCs/>
          <w:spacing w:val="40"/>
          <w:sz w:val="18"/>
          <w:szCs w:val="22"/>
          <w:rtl/>
        </w:rPr>
        <w:t xml:space="preserve"> </w:t>
      </w:r>
      <w:r w:rsidRPr="00F41E78">
        <w:rPr>
          <w:rFonts w:cs="FrankRuehl" w:hint="eastAsia"/>
          <w:bCs/>
          <w:spacing w:val="40"/>
          <w:sz w:val="18"/>
          <w:szCs w:val="22"/>
          <w:rtl/>
        </w:rPr>
        <w:t>תשתיות</w:t>
      </w:r>
      <w:r w:rsidRPr="00F41E78">
        <w:rPr>
          <w:rFonts w:cs="FrankRuehl"/>
          <w:bCs/>
          <w:spacing w:val="40"/>
          <w:sz w:val="18"/>
          <w:szCs w:val="22"/>
          <w:rtl/>
        </w:rPr>
        <w:t xml:space="preserve"> </w:t>
      </w:r>
      <w:r w:rsidRPr="00F41E78">
        <w:rPr>
          <w:rFonts w:cs="FrankRuehl" w:hint="eastAsia"/>
          <w:bCs/>
          <w:spacing w:val="40"/>
          <w:sz w:val="18"/>
          <w:szCs w:val="22"/>
          <w:rtl/>
        </w:rPr>
        <w:t>מוניציפליות</w:t>
      </w:r>
      <w:r w:rsidRPr="00F41E78">
        <w:rPr>
          <w:rFonts w:cs="FrankRuehl"/>
          <w:bCs/>
          <w:spacing w:val="40"/>
          <w:sz w:val="18"/>
          <w:szCs w:val="22"/>
          <w:rtl/>
        </w:rPr>
        <w:t>:</w:t>
      </w:r>
      <w:r w:rsidRPr="00F41E78">
        <w:rPr>
          <w:rFonts w:cs="FrankRuehl" w:hint="cs"/>
          <w:sz w:val="18"/>
          <w:szCs w:val="22"/>
          <w:rtl/>
          <w:lang w:eastAsia="he-IL"/>
        </w:rPr>
        <w:t xml:space="preserve"> תכנון התשתיות המוניציפליות וביצוע עבודות הפיתוח הוא שלב הכרחי נוסף (במקרה של הקמת שכונות מגורים חדשות) שיש להשלימו לפני מתן היתרי בנייה, ולעתים הוא נמשך כשנתיים עד שלוש שנים. בביקורת נמצא כי פיתוח </w:t>
      </w:r>
      <w:r w:rsidRPr="00F41E78">
        <w:rPr>
          <w:rFonts w:cs="FrankRuehl" w:hint="cs"/>
          <w:sz w:val="18"/>
          <w:szCs w:val="22"/>
          <w:rtl/>
          <w:lang w:eastAsia="he-IL"/>
        </w:rPr>
        <w:t xml:space="preserve">התשתיות מתעכב לעתים משום שלחלק מהרשויות המקומיות אין די מקורות מימון לביצועו. כאמור, לרשויות המקומיות ניתנה סמכות לגבות אגרות והיטלים מבעלי הנכסים (להלן </w:t>
      </w:r>
      <w:r w:rsidRPr="00F41E78">
        <w:rPr>
          <w:rFonts w:cs="FrankRuehl"/>
          <w:sz w:val="18"/>
          <w:szCs w:val="22"/>
          <w:rtl/>
          <w:lang w:eastAsia="he-IL"/>
        </w:rPr>
        <w:t>-</w:t>
      </w:r>
      <w:r w:rsidRPr="00F41E78">
        <w:rPr>
          <w:rFonts w:cs="FrankRuehl" w:hint="cs"/>
          <w:sz w:val="18"/>
          <w:szCs w:val="22"/>
          <w:rtl/>
          <w:lang w:eastAsia="he-IL"/>
        </w:rPr>
        <w:t xml:space="preserve"> אגרות הפיתוח) כדי לממן את פיתוח התשתיות. </w:t>
      </w:r>
    </w:p>
    <w:p w:rsidR="00D22B16" w:rsidRPr="00F41E78" w:rsidP="00D22B16">
      <w:pPr>
        <w:pStyle w:val="RESHET"/>
        <w:keepLines/>
        <w:rPr>
          <w:rtl/>
        </w:rPr>
      </w:pPr>
      <w:r w:rsidRPr="00F41E78">
        <w:rPr>
          <w:rFonts w:hint="cs"/>
          <w:rtl/>
        </w:rPr>
        <w:t>אולם במקרים רבים אגרות הפיתוח אינן מעודכנות ואינן תואמות את העלויות בפועל. כמו כן, אפשר לגבות את האגרות האלו רק לקראת הוצאת היתר הבנייה (לאחר ביצוע עבודות הפיתוח) וחלק מהרשויות המקומיות סובלות מהיעדר תזרים מזומנים המאפשר לממן את ביצוע העבודות עד מועד גביית ההיטלים.</w:t>
      </w:r>
    </w:p>
    <w:p w:rsidR="00E97EDA" w:rsidRPr="00F41E78" w:rsidP="004B0348">
      <w:pPr>
        <w:spacing w:before="180" w:after="120" w:line="230" w:lineRule="exact"/>
        <w:jc w:val="both"/>
        <w:rPr>
          <w:rFonts w:cs="FrankRuehl"/>
          <w:sz w:val="18"/>
          <w:szCs w:val="22"/>
          <w:rtl/>
          <w:lang w:eastAsia="he-IL"/>
        </w:rPr>
      </w:pPr>
      <w:r w:rsidRPr="00F41E78">
        <w:rPr>
          <w:rFonts w:cs="FrankRuehl" w:hint="cs"/>
          <w:sz w:val="18"/>
          <w:szCs w:val="22"/>
          <w:rtl/>
          <w:lang w:eastAsia="he-IL"/>
        </w:rPr>
        <w:t>אגרות הפיתוח הן תשלומי חובה המגיעים עד כדי סכומי עתק. על פי הערכות שמאיות מקובלות היה שיעורן בשנת 2005 כ-7% ממחירו של כל נכס מקרקעין בנוי באזורי ביקוש, ובפריפריה - אף יותר מכך</w:t>
      </w:r>
      <w:r>
        <w:rPr>
          <w:rFonts w:cs="FrankRuehl"/>
          <w:sz w:val="18"/>
          <w:szCs w:val="22"/>
          <w:vertAlign w:val="superscript"/>
          <w:rtl/>
          <w:lang w:eastAsia="he-IL"/>
        </w:rPr>
        <w:footnoteReference w:id="257"/>
      </w:r>
      <w:r w:rsidRPr="00F41E78">
        <w:rPr>
          <w:rFonts w:cs="FrankRuehl" w:hint="cs"/>
          <w:sz w:val="18"/>
          <w:szCs w:val="22"/>
          <w:rtl/>
          <w:lang w:eastAsia="he-IL"/>
        </w:rPr>
        <w:t>. רשויות מקומיות נהגו בעבר לכרות הסכמים עם היזמים הבונים את בנייני המגורים בשכונות החדשות, ובהם הטילה עליהם לבצע גם את עבודות הפיתוח של התשתיות הציבוריות בשכונות בתמורה לפטור מלא או חלקי מתשלום ההיטלים והאגרות שהם חבים בהם על פי חוק</w:t>
      </w:r>
      <w:r>
        <w:rPr>
          <w:rFonts w:cs="FrankRuehl"/>
          <w:sz w:val="18"/>
          <w:szCs w:val="22"/>
          <w:vertAlign w:val="superscript"/>
          <w:rtl/>
          <w:lang w:eastAsia="he-IL"/>
        </w:rPr>
        <w:footnoteReference w:id="258"/>
      </w:r>
      <w:r w:rsidRPr="00F41E78">
        <w:rPr>
          <w:rFonts w:cs="FrankRuehl" w:hint="cs"/>
          <w:sz w:val="18"/>
          <w:szCs w:val="22"/>
          <w:rtl/>
          <w:lang w:eastAsia="he-IL"/>
        </w:rPr>
        <w:t xml:space="preserve">. עם היתרונות הגלומים בכריתת הסכמים כאלו נמנים מהירות הביצוע והחיסכון בעלויות.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בעניין זה קבע</w:t>
      </w:r>
      <w:r w:rsidRPr="00F41E78">
        <w:rPr>
          <w:rFonts w:cs="FrankRuehl" w:hint="cs"/>
          <w:sz w:val="18"/>
          <w:szCs w:val="22"/>
          <w:rtl/>
          <w:lang w:eastAsia="he-IL"/>
        </w:rPr>
        <w:t xml:space="preserve"> </w:t>
      </w:r>
      <w:r w:rsidRPr="00F41E78">
        <w:rPr>
          <w:rFonts w:cs="FrankRuehl" w:hint="cs"/>
          <w:sz w:val="18"/>
          <w:szCs w:val="22"/>
          <w:rtl/>
          <w:lang w:eastAsia="he-IL"/>
        </w:rPr>
        <w:t>בית המשפט העליון</w:t>
      </w:r>
      <w:r>
        <w:rPr>
          <w:rFonts w:cs="FrankRuehl"/>
          <w:sz w:val="18"/>
          <w:szCs w:val="22"/>
          <w:vertAlign w:val="superscript"/>
          <w:rtl/>
          <w:lang w:eastAsia="he-IL"/>
        </w:rPr>
        <w:footnoteReference w:id="259"/>
      </w:r>
      <w:r w:rsidRPr="00F41E78">
        <w:rPr>
          <w:rFonts w:cs="FrankRuehl" w:hint="cs"/>
          <w:sz w:val="18"/>
          <w:szCs w:val="22"/>
          <w:rtl/>
          <w:lang w:eastAsia="he-IL"/>
        </w:rPr>
        <w:t xml:space="preserve"> כי כריתת הסכמים עם יזמים אינה עולה בקנה אחד עם סמכות הרשות המקומית, לכן הסכמים אלו אינם חוקיים; דהיינו, "סמכותן של רשויות מקומיות לגבות תשלומי חובה מותנית ומתוחמת להוראות החוק המתאימות. סמכות זו אינה נתונה לשיקול דעת הרשות ואין בכוחה להתנות על סמכות זו בהסדרים הסכמיים". עוד קבע בית המשפט כי נטל ביצוע עבודות הפיתוח מונח על כתפי הרשות המקומית, ועל הבעלים או המחזיק במקרקעין לשלם לה אגרות פיתוח. כדי שעירייה תוכל להפקיד בידי יזם ביצוע עבודות פיתוח במקומה, עליה לעשות זאת במסגרת דיני המכרזים, ואז ניתן יהיה גם לקזז את התשלום ליזם בגין עבודות הפיתוח כנגד אגרות הפיתוח שהוא חב לעירייה.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בביקורת נמצאו כמה מקרים שהרשות המקומית התקשתה במימון עבודות פיתוח ובהקמתן של תשתיות מוניציפליות, להלן פירוט: </w:t>
      </w:r>
    </w:p>
    <w:p w:rsidR="00E97EDA" w:rsidRPr="00F41E78" w:rsidP="004B0348">
      <w:pPr>
        <w:spacing w:after="240" w:line="230" w:lineRule="exact"/>
        <w:jc w:val="both"/>
        <w:rPr>
          <w:rFonts w:cs="FrankRuehl"/>
          <w:sz w:val="18"/>
          <w:szCs w:val="22"/>
          <w:rtl/>
          <w:lang w:eastAsia="he-IL"/>
        </w:rPr>
      </w:pPr>
      <w:r w:rsidRPr="00F41E78">
        <w:rPr>
          <w:rFonts w:cs="FrankRuehl" w:hint="eastAsia"/>
          <w:spacing w:val="40"/>
          <w:sz w:val="18"/>
          <w:szCs w:val="22"/>
          <w:rtl/>
        </w:rPr>
        <w:t>נתניה</w:t>
      </w:r>
      <w:r w:rsidRPr="00F41E78">
        <w:rPr>
          <w:rFonts w:cs="FrankRuehl"/>
          <w:spacing w:val="40"/>
          <w:sz w:val="18"/>
          <w:szCs w:val="22"/>
          <w:rtl/>
        </w:rPr>
        <w:t xml:space="preserve"> </w:t>
      </w:r>
      <w:r w:rsidRPr="00F41E78">
        <w:rPr>
          <w:rFonts w:cs="FrankRuehl" w:hint="cs"/>
          <w:spacing w:val="40"/>
          <w:sz w:val="18"/>
          <w:szCs w:val="22"/>
          <w:rtl/>
        </w:rPr>
        <w:t xml:space="preserve">- </w:t>
      </w:r>
      <w:r w:rsidRPr="00F41E78">
        <w:rPr>
          <w:rFonts w:cs="FrankRuehl" w:hint="eastAsia"/>
          <w:spacing w:val="40"/>
          <w:sz w:val="18"/>
          <w:szCs w:val="22"/>
          <w:rtl/>
        </w:rPr>
        <w:t>תכנית</w:t>
      </w:r>
      <w:r w:rsidRPr="00F41E78">
        <w:rPr>
          <w:rFonts w:cs="FrankRuehl"/>
          <w:spacing w:val="40"/>
          <w:sz w:val="18"/>
          <w:szCs w:val="22"/>
          <w:rtl/>
        </w:rPr>
        <w:t xml:space="preserve"> </w:t>
      </w:r>
      <w:r w:rsidRPr="00F41E78">
        <w:rPr>
          <w:rFonts w:cs="FrankRuehl" w:hint="eastAsia"/>
          <w:spacing w:val="40"/>
          <w:sz w:val="18"/>
          <w:szCs w:val="22"/>
          <w:rtl/>
        </w:rPr>
        <w:t>נת</w:t>
      </w:r>
      <w:r w:rsidRPr="00F41E78">
        <w:rPr>
          <w:rFonts w:cs="FrankRuehl"/>
          <w:spacing w:val="40"/>
          <w:sz w:val="18"/>
          <w:szCs w:val="22"/>
          <w:rtl/>
        </w:rPr>
        <w:t>/542א:</w:t>
      </w:r>
      <w:r w:rsidRPr="00F41E78">
        <w:rPr>
          <w:rFonts w:cs="FrankRuehl" w:hint="cs"/>
          <w:sz w:val="18"/>
          <w:szCs w:val="22"/>
          <w:rtl/>
          <w:lang w:eastAsia="he-IL"/>
        </w:rPr>
        <w:t xml:space="preserve"> תכנית מפורטת לשכונה חדשה האמורה להיות מרכז העסקים הראשי (המע"ר) החדש של נתניה שתיבנה מכוח תכנית המתאר נת/400/7. בשכונה החדשה, ששטחה כ-885 דונם, מיועדים לבנייה כ-2,900 יח"ד וכן אזורי מסחר, משרדים ומבני ציבור. רוב שטח השכונה (77%) נמצא בבעלותם של בעלים פרטיים ושל חברות, </w:t>
      </w:r>
      <w:r w:rsidRPr="00F41E78">
        <w:rPr>
          <w:rFonts w:cs="FrankRuehl"/>
          <w:sz w:val="18"/>
          <w:szCs w:val="22"/>
          <w:rtl/>
          <w:lang w:eastAsia="he-IL"/>
        </w:rPr>
        <w:t>20%</w:t>
      </w:r>
      <w:r w:rsidRPr="00F41E78">
        <w:rPr>
          <w:rFonts w:cs="FrankRuehl" w:hint="cs"/>
          <w:sz w:val="18"/>
          <w:szCs w:val="22"/>
          <w:rtl/>
          <w:lang w:eastAsia="he-IL"/>
        </w:rPr>
        <w:t xml:space="preserve"> בבעלותה של המדינה ו</w:t>
      </w:r>
      <w:r w:rsidRPr="00F41E78">
        <w:rPr>
          <w:rFonts w:cs="FrankRuehl"/>
          <w:sz w:val="18"/>
          <w:szCs w:val="22"/>
          <w:rtl/>
          <w:lang w:eastAsia="he-IL"/>
        </w:rPr>
        <w:t>בניהול</w:t>
      </w:r>
      <w:r w:rsidRPr="00F41E78">
        <w:rPr>
          <w:rFonts w:cs="FrankRuehl" w:hint="cs"/>
          <w:sz w:val="18"/>
          <w:szCs w:val="22"/>
          <w:rtl/>
          <w:lang w:eastAsia="he-IL"/>
        </w:rPr>
        <w:t>ה</w:t>
      </w:r>
      <w:r w:rsidRPr="00F41E78">
        <w:rPr>
          <w:rFonts w:cs="FrankRuehl"/>
          <w:sz w:val="18"/>
          <w:szCs w:val="22"/>
          <w:rtl/>
          <w:lang w:eastAsia="he-IL"/>
        </w:rPr>
        <w:t xml:space="preserve"> של רמ"י </w:t>
      </w:r>
      <w:r w:rsidRPr="00F41E78">
        <w:rPr>
          <w:rFonts w:cs="FrankRuehl" w:hint="cs"/>
          <w:sz w:val="18"/>
          <w:szCs w:val="22"/>
          <w:rtl/>
          <w:lang w:eastAsia="he-IL"/>
        </w:rPr>
        <w:t>ו-3% הנותרים בבעלותה של העירייה. כבר בשנת 1987 יזמה עיריית נתניה את התכנון, והתכנית הופקדה בוועדה המחוזית מרכז בשנת 1990 ואושרה למתן תוקף בשנת 1995. עקב עתירות של שניים מבעלי הקרקע הפרטית עוכב מתן התוקף עד סיום ההליכים המשפטיים, והתכנית אושרה סופית רק בשנת 2003</w:t>
      </w:r>
      <w:r>
        <w:rPr>
          <w:rFonts w:cs="FrankRuehl"/>
          <w:sz w:val="18"/>
          <w:szCs w:val="22"/>
          <w:vertAlign w:val="superscript"/>
          <w:rtl/>
          <w:lang w:eastAsia="he-IL"/>
        </w:rPr>
        <w:footnoteReference w:id="260"/>
      </w:r>
      <w:r w:rsidRPr="00F41E78">
        <w:rPr>
          <w:rFonts w:cs="FrankRuehl" w:hint="cs"/>
          <w:sz w:val="18"/>
          <w:szCs w:val="22"/>
          <w:rtl/>
          <w:lang w:eastAsia="he-IL"/>
        </w:rPr>
        <w:t xml:space="preserve">. </w:t>
      </w:r>
    </w:p>
    <w:p w:rsidR="00D22B16" w:rsidRPr="00F41E78" w:rsidP="00D22B16">
      <w:pPr>
        <w:pStyle w:val="RESHET"/>
        <w:keepLines/>
        <w:rPr>
          <w:rtl/>
        </w:rPr>
      </w:pPr>
      <w:r w:rsidRPr="00F41E78">
        <w:rPr>
          <w:rFonts w:hint="cs"/>
          <w:rtl/>
        </w:rPr>
        <w:t xml:space="preserve">התברר כי גם בשנת 2014, 27 שנים לאחר ייזום התכנון, עדיין לא ניתן לפתח את שטח השכונה ולהגיש בקשות להיתרי בנייה מסיבות רבות. </w:t>
      </w:r>
    </w:p>
    <w:p w:rsidR="00E97EDA" w:rsidRPr="00F41E78" w:rsidP="007E4773">
      <w:pPr>
        <w:spacing w:before="180" w:after="120" w:line="230" w:lineRule="exact"/>
        <w:jc w:val="both"/>
        <w:rPr>
          <w:rFonts w:cs="FrankRuehl"/>
          <w:sz w:val="18"/>
          <w:szCs w:val="22"/>
          <w:lang w:eastAsia="he-IL"/>
        </w:rPr>
      </w:pPr>
      <w:r w:rsidRPr="00F41E78">
        <w:rPr>
          <w:rFonts w:cs="FrankRuehl" w:hint="cs"/>
          <w:sz w:val="18"/>
          <w:szCs w:val="22"/>
          <w:rtl/>
          <w:lang w:eastAsia="he-IL"/>
        </w:rPr>
        <w:t xml:space="preserve">אחת הסיבות היא פיצול בעלויות. על פי נתוני העירייה, נכון לינואר 2014 ישנם יותר מ-1,200 בעלי קרקע פרטיים בשכונה נוסף ל-48 חברות, ולא זוהתה כל התארגנות מסודרת של בעלי הזכויות בקרקע במטרה לקדם בנייה מידית. מתוך כ-450 מגרשים </w:t>
      </w:r>
      <w:r w:rsidRPr="00582A43">
        <w:rPr>
          <w:rFonts w:cs="FrankRuehl" w:hint="cs"/>
          <w:sz w:val="18"/>
          <w:szCs w:val="22"/>
          <w:rtl/>
          <w:lang w:eastAsia="he-IL"/>
        </w:rPr>
        <w:t xml:space="preserve">ביותר </w:t>
      </w:r>
      <w:r w:rsidRPr="00582A43" w:rsidR="007E4773">
        <w:rPr>
          <w:rFonts w:cs="FrankRuehl" w:hint="cs"/>
          <w:sz w:val="18"/>
          <w:szCs w:val="22"/>
          <w:rtl/>
          <w:lang w:eastAsia="he-IL"/>
        </w:rPr>
        <w:t>מ</w:t>
      </w:r>
      <w:r w:rsidRPr="00582A43">
        <w:rPr>
          <w:rFonts w:cs="FrankRuehl" w:hint="cs"/>
          <w:sz w:val="18"/>
          <w:szCs w:val="22"/>
          <w:rtl/>
          <w:lang w:eastAsia="he-IL"/>
        </w:rPr>
        <w:t>-33% מהם ישנם</w:t>
      </w:r>
      <w:r w:rsidRPr="00F41E78">
        <w:rPr>
          <w:rFonts w:cs="FrankRuehl" w:hint="cs"/>
          <w:sz w:val="18"/>
          <w:szCs w:val="22"/>
          <w:rtl/>
          <w:lang w:eastAsia="he-IL"/>
        </w:rPr>
        <w:t xml:space="preserve"> יותר משלושה בעלים למגרש ובחלק מהמגרשים אף יותר מ-12 בעלים. קיומם של בעלים רבים בלתי מאורגנים מקשה על העירייה להגיע עמם להסכמים, ועקב כך נוצר קושי ארגוני בביצוע העבודות בשלבים ולפי מתחמים מסודרים.</w:t>
      </w:r>
    </w:p>
    <w:p w:rsidR="00E97EDA" w:rsidRPr="00F41E78" w:rsidP="00A7557B">
      <w:pPr>
        <w:spacing w:after="120" w:line="230" w:lineRule="exact"/>
        <w:jc w:val="both"/>
        <w:rPr>
          <w:rFonts w:cs="FrankRuehl"/>
          <w:b/>
          <w:bCs/>
          <w:sz w:val="18"/>
          <w:szCs w:val="22"/>
          <w:rtl/>
          <w:lang w:eastAsia="he-IL"/>
        </w:rPr>
      </w:pPr>
      <w:r w:rsidRPr="00F41E78">
        <w:rPr>
          <w:rFonts w:cs="FrankRuehl" w:hint="cs"/>
          <w:sz w:val="18"/>
          <w:szCs w:val="22"/>
          <w:rtl/>
          <w:lang w:eastAsia="he-IL"/>
        </w:rPr>
        <w:t xml:space="preserve">סיבה אחרת היא מימון עבודות הפיתוח. על פי תחשיבים שהזמינה העירייה העלות של פיתוח תשתיות בשכונה הסתכמה בסוף 2009 בכ-253 מיליון ש"ח והכנסות העירייה מאגרות הפיתוח הסתכמו ב-197 מיליון ש"ח; דהיינו, נרשם גירעון של כ-56 מיליון ש"ח. ההכנסות מהיטל ההשבחה אמנם עומדות על 147-127 מיליון ש"ח (בתרחישים שונים), וההכנסות מאגרות בנייה הסתכמו בעוד 23 מיליוני ש"ח, אך </w:t>
      </w:r>
      <w:r w:rsidRPr="00F41E78">
        <w:rPr>
          <w:rFonts w:cs="FrankRuehl"/>
          <w:sz w:val="18"/>
          <w:szCs w:val="22"/>
          <w:rtl/>
          <w:lang w:eastAsia="he-IL"/>
        </w:rPr>
        <w:t>גביית</w:t>
      </w:r>
      <w:r w:rsidRPr="00F41E78">
        <w:rPr>
          <w:rFonts w:cs="FrankRuehl" w:hint="cs"/>
          <w:sz w:val="18"/>
          <w:szCs w:val="22"/>
          <w:rtl/>
          <w:lang w:eastAsia="he-IL"/>
        </w:rPr>
        <w:t>ן</w:t>
      </w:r>
      <w:r w:rsidRPr="00F41E78">
        <w:rPr>
          <w:rFonts w:cs="FrankRuehl"/>
          <w:sz w:val="18"/>
          <w:szCs w:val="22"/>
          <w:rtl/>
          <w:lang w:eastAsia="he-IL"/>
        </w:rPr>
        <w:t xml:space="preserve"> אפשרית רק בעת המימוש של הזכות במקרקעין. יוצא</w:t>
      </w:r>
      <w:r w:rsidRPr="00F41E78">
        <w:rPr>
          <w:rFonts w:cs="FrankRuehl" w:hint="cs"/>
          <w:sz w:val="18"/>
          <w:szCs w:val="22"/>
          <w:rtl/>
          <w:lang w:eastAsia="he-IL"/>
        </w:rPr>
        <w:t xml:space="preserve"> אפוא</w:t>
      </w:r>
      <w:r w:rsidRPr="00F41E78">
        <w:rPr>
          <w:rFonts w:cs="FrankRuehl"/>
          <w:sz w:val="18"/>
          <w:szCs w:val="22"/>
          <w:rtl/>
          <w:lang w:eastAsia="he-IL"/>
        </w:rPr>
        <w:t xml:space="preserve"> שתזרים ההכנסות וההוצאות בגין הפיתוח הוא גירעוני </w:t>
      </w:r>
      <w:r w:rsidRPr="00F41E78">
        <w:rPr>
          <w:rFonts w:cs="FrankRuehl" w:hint="cs"/>
          <w:sz w:val="18"/>
          <w:szCs w:val="22"/>
          <w:rtl/>
          <w:lang w:eastAsia="he-IL"/>
        </w:rPr>
        <w:t xml:space="preserve">כבר </w:t>
      </w:r>
      <w:r w:rsidRPr="00F41E78">
        <w:rPr>
          <w:rFonts w:cs="FrankRuehl"/>
          <w:sz w:val="18"/>
          <w:szCs w:val="22"/>
          <w:rtl/>
          <w:lang w:eastAsia="he-IL"/>
        </w:rPr>
        <w:t>ב</w:t>
      </w:r>
      <w:r w:rsidRPr="00F41E78">
        <w:rPr>
          <w:rFonts w:cs="FrankRuehl" w:hint="cs"/>
          <w:sz w:val="18"/>
          <w:szCs w:val="22"/>
          <w:rtl/>
          <w:lang w:eastAsia="he-IL"/>
        </w:rPr>
        <w:t>תחילת</w:t>
      </w:r>
      <w:r w:rsidRPr="00F41E78">
        <w:rPr>
          <w:rFonts w:cs="FrankRuehl"/>
          <w:sz w:val="18"/>
          <w:szCs w:val="22"/>
          <w:rtl/>
          <w:lang w:eastAsia="he-IL"/>
        </w:rPr>
        <w:t xml:space="preserve"> העבודות.</w:t>
      </w:r>
      <w:r w:rsidRPr="00F41E78">
        <w:rPr>
          <w:rFonts w:cs="FrankRuehl" w:hint="cs"/>
          <w:sz w:val="18"/>
          <w:szCs w:val="22"/>
          <w:rtl/>
          <w:lang w:eastAsia="he-IL"/>
        </w:rPr>
        <w:t xml:space="preserve"> </w:t>
      </w:r>
    </w:p>
    <w:p w:rsidR="00E97EDA" w:rsidRPr="00F41E78" w:rsidP="00A7557B">
      <w:pPr>
        <w:spacing w:after="120" w:line="230" w:lineRule="exact"/>
        <w:jc w:val="both"/>
        <w:rPr>
          <w:rFonts w:cs="FrankRuehl"/>
          <w:sz w:val="18"/>
          <w:szCs w:val="22"/>
          <w:lang w:eastAsia="he-IL"/>
        </w:rPr>
      </w:pPr>
      <w:r w:rsidRPr="00F41E78">
        <w:rPr>
          <w:rFonts w:cs="FrankRuehl" w:hint="cs"/>
          <w:sz w:val="18"/>
          <w:szCs w:val="22"/>
          <w:rtl/>
          <w:lang w:eastAsia="he-IL"/>
        </w:rPr>
        <w:t>בתשובתה מסרה עיריית נתניה כי היא פועלת לעדכון התעריפים של היטלי הפיתוח ובשנת 2013 אישרה גביית היטל חדש (לפיתוח שטחים ציבוריים). לדבריה, פעולות אלו אמורות להקטין את הגירעון במימון עבודות הפיתוח.</w:t>
      </w:r>
    </w:p>
    <w:p w:rsidR="00E97EDA" w:rsidRPr="00F41E78" w:rsidP="00A7557B">
      <w:pPr>
        <w:tabs>
          <w:tab w:val="num" w:pos="1485"/>
        </w:tabs>
        <w:spacing w:after="120" w:line="230" w:lineRule="exact"/>
        <w:jc w:val="both"/>
        <w:rPr>
          <w:rFonts w:cs="FrankRuehl"/>
          <w:sz w:val="18"/>
          <w:szCs w:val="22"/>
          <w:lang w:eastAsia="he-IL"/>
        </w:rPr>
      </w:pPr>
      <w:r w:rsidRPr="00F41E78">
        <w:rPr>
          <w:rFonts w:cs="FrankRuehl" w:hint="cs"/>
          <w:sz w:val="18"/>
          <w:szCs w:val="22"/>
          <w:rtl/>
          <w:lang w:eastAsia="he-IL"/>
        </w:rPr>
        <w:t>ממסמכי העירייה עולה כי בתחום השכונה העתידית נעשתה במשך שנים כרייה של חול ונוצרו שני בורות ענקיים, האחד בשטח של 55 דונם ובעומק של כ-30 מ' ובור קטן יותר ששטחו 20 דונם ועומקו עד 10 מטרים. נפח שני הבורות הסתכם בכמיליון מ"ק. לאחר מיצוי הכרייה הפכו הבורות לאתרי פסולת שהפכו לחסם ממשי לבנייה. כדי לבנות על שטחי הבורות יש לפנות מהם את הפסולת ולמלא אותם בשכבות מהודקות; בנסיבות אלו הביסוס של המבנים עליהם עלול להיות מורכב ויקר מהרגיל. כבר ביוני 2009 דיווח מנכ"ל החברה הכלכלית לפיתוח ותיירות נתניה למנכ"ל העירייה ולגורמים נוספים בעירייה כי החברה הכלכלית מעבירה כ-220,000 מ"ק של קרקע חלופית למילוי הבור הגדול וחסרים עוד כ-500,000 מ"ק להשלמת המילוי השקולים לנפח של 25,000 משאיות. בשנת 2014 נאמדה עלות השלמת המילוי ב-21 מיליון ש"ח.</w:t>
      </w:r>
    </w:p>
    <w:p w:rsidR="00E97EDA" w:rsidRPr="00F41E78" w:rsidP="00A7557B">
      <w:pPr>
        <w:spacing w:after="120" w:line="230" w:lineRule="exact"/>
        <w:jc w:val="both"/>
        <w:rPr>
          <w:rFonts w:cs="FrankRuehl"/>
          <w:sz w:val="18"/>
          <w:szCs w:val="22"/>
          <w:rtl/>
          <w:lang w:eastAsia="he-IL"/>
        </w:rPr>
      </w:pPr>
      <w:r w:rsidRPr="00F41E78">
        <w:rPr>
          <w:rFonts w:cs="FrankRuehl" w:hint="eastAsia"/>
          <w:spacing w:val="40"/>
          <w:sz w:val="18"/>
          <w:szCs w:val="22"/>
          <w:rtl/>
        </w:rPr>
        <w:t>חיפה</w:t>
      </w:r>
      <w:r w:rsidRPr="00F41E78">
        <w:rPr>
          <w:rFonts w:cs="FrankRuehl"/>
          <w:spacing w:val="40"/>
          <w:sz w:val="18"/>
          <w:szCs w:val="22"/>
          <w:rtl/>
        </w:rPr>
        <w:t xml:space="preserve"> - </w:t>
      </w:r>
      <w:r w:rsidRPr="00F41E78">
        <w:rPr>
          <w:rFonts w:cs="FrankRuehl" w:hint="eastAsia"/>
          <w:spacing w:val="40"/>
          <w:sz w:val="18"/>
          <w:szCs w:val="22"/>
          <w:rtl/>
        </w:rPr>
        <w:t>תכנית</w:t>
      </w:r>
      <w:r w:rsidRPr="00F41E78">
        <w:rPr>
          <w:rFonts w:cs="FrankRuehl"/>
          <w:spacing w:val="40"/>
          <w:sz w:val="18"/>
          <w:szCs w:val="22"/>
          <w:rtl/>
        </w:rPr>
        <w:t xml:space="preserve"> </w:t>
      </w:r>
      <w:r w:rsidRPr="00F41E78">
        <w:rPr>
          <w:rFonts w:cs="FrankRuehl" w:hint="eastAsia"/>
          <w:spacing w:val="40"/>
          <w:sz w:val="18"/>
          <w:szCs w:val="22"/>
          <w:rtl/>
        </w:rPr>
        <w:t>חפ</w:t>
      </w:r>
      <w:r w:rsidRPr="00F41E78">
        <w:rPr>
          <w:rFonts w:cs="FrankRuehl"/>
          <w:spacing w:val="40"/>
          <w:sz w:val="18"/>
          <w:szCs w:val="22"/>
          <w:rtl/>
        </w:rPr>
        <w:t>/1571/א:</w:t>
      </w:r>
      <w:r w:rsidRPr="00F41E78">
        <w:rPr>
          <w:rFonts w:cs="FrankRuehl" w:hint="cs"/>
          <w:sz w:val="18"/>
          <w:szCs w:val="22"/>
          <w:rtl/>
          <w:lang w:eastAsia="he-IL"/>
        </w:rPr>
        <w:t xml:space="preserve"> בביקורת נמצא כי הגורם העיקרי המעכב בנייה של שכונות מגורים חדשות בחיפה הוא הקושי לממן את עלויות הפיתוח. לרוב מדובר בקרקעות משופעות שפיתוחן כרוך בעבודות חפירה ובבניית קירות תמך גדולים המייקרות את הפיתוח. מנגד, תעריפי </w:t>
      </w:r>
      <w:r w:rsidRPr="00F41E78">
        <w:rPr>
          <w:rFonts w:cs="FrankRuehl" w:hint="eastAsia"/>
          <w:sz w:val="18"/>
          <w:szCs w:val="22"/>
          <w:rtl/>
          <w:lang w:eastAsia="he-IL"/>
        </w:rPr>
        <w:t>אגרות</w:t>
      </w:r>
      <w:r w:rsidRPr="00F41E78">
        <w:rPr>
          <w:rFonts w:cs="FrankRuehl"/>
          <w:sz w:val="18"/>
          <w:szCs w:val="22"/>
          <w:rtl/>
          <w:lang w:eastAsia="he-IL"/>
        </w:rPr>
        <w:t xml:space="preserve"> </w:t>
      </w:r>
      <w:r w:rsidRPr="00F41E78">
        <w:rPr>
          <w:rFonts w:cs="FrankRuehl" w:hint="eastAsia"/>
          <w:sz w:val="18"/>
          <w:szCs w:val="22"/>
          <w:rtl/>
          <w:lang w:eastAsia="he-IL"/>
        </w:rPr>
        <w:t>הפיתוח</w:t>
      </w:r>
      <w:r w:rsidRPr="00F41E78">
        <w:rPr>
          <w:rFonts w:cs="FrankRuehl" w:hint="cs"/>
          <w:sz w:val="18"/>
          <w:szCs w:val="22"/>
          <w:rtl/>
          <w:lang w:eastAsia="he-IL"/>
        </w:rPr>
        <w:t xml:space="preserve"> הקבועים בחוקי העזר אינם מעודכנים וגם </w:t>
      </w:r>
      <w:r w:rsidRPr="00F41E78">
        <w:rPr>
          <w:rFonts w:cs="FrankRuehl" w:hint="eastAsia"/>
          <w:sz w:val="18"/>
          <w:szCs w:val="22"/>
          <w:rtl/>
          <w:lang w:eastAsia="he-IL"/>
        </w:rPr>
        <w:t>היטלי</w:t>
      </w:r>
      <w:r w:rsidRPr="00F41E78">
        <w:rPr>
          <w:rFonts w:cs="FrankRuehl"/>
          <w:sz w:val="18"/>
          <w:szCs w:val="22"/>
          <w:rtl/>
          <w:lang w:eastAsia="he-IL"/>
        </w:rPr>
        <w:t xml:space="preserve"> </w:t>
      </w:r>
      <w:r w:rsidRPr="00F41E78">
        <w:rPr>
          <w:rFonts w:cs="FrankRuehl" w:hint="eastAsia"/>
          <w:sz w:val="18"/>
          <w:szCs w:val="22"/>
          <w:rtl/>
          <w:lang w:eastAsia="he-IL"/>
        </w:rPr>
        <w:t>ההשבחה</w:t>
      </w:r>
      <w:r w:rsidRPr="00F41E78">
        <w:rPr>
          <w:rFonts w:cs="FrankRuehl" w:hint="cs"/>
          <w:sz w:val="18"/>
          <w:szCs w:val="22"/>
          <w:rtl/>
          <w:lang w:eastAsia="he-IL"/>
        </w:rPr>
        <w:t xml:space="preserve"> שהעירייה גובה אין בהם די כדי לממן את עלויות הפיתוח. דוגמה לכך היא עיכוב מימושה של </w:t>
      </w:r>
      <w:r w:rsidRPr="00F41E78">
        <w:rPr>
          <w:rFonts w:cs="FrankRuehl" w:hint="eastAsia"/>
          <w:sz w:val="18"/>
          <w:szCs w:val="22"/>
          <w:rtl/>
        </w:rPr>
        <w:t>תכנית</w:t>
      </w:r>
      <w:r w:rsidRPr="00F41E78">
        <w:rPr>
          <w:rFonts w:cs="FrankRuehl"/>
          <w:sz w:val="18"/>
          <w:szCs w:val="22"/>
          <w:rtl/>
        </w:rPr>
        <w:t xml:space="preserve"> חפ/1571/א (שכונת זמר) הכוללת 850 </w:t>
      </w:r>
      <w:r w:rsidRPr="00F41E78">
        <w:rPr>
          <w:rFonts w:cs="FrankRuehl" w:hint="cs"/>
          <w:sz w:val="18"/>
          <w:szCs w:val="22"/>
          <w:rtl/>
        </w:rPr>
        <w:t>יח"ד</w:t>
      </w:r>
      <w:r w:rsidRPr="00F41E78">
        <w:rPr>
          <w:rFonts w:cs="FrankRuehl"/>
          <w:sz w:val="18"/>
          <w:szCs w:val="22"/>
          <w:rtl/>
        </w:rPr>
        <w:t xml:space="preserve">, בגין קשיים </w:t>
      </w:r>
      <w:r w:rsidRPr="00F41E78">
        <w:rPr>
          <w:rFonts w:cs="FrankRuehl" w:hint="cs"/>
          <w:sz w:val="18"/>
          <w:szCs w:val="22"/>
          <w:rtl/>
        </w:rPr>
        <w:t>במימון</w:t>
      </w:r>
      <w:r w:rsidRPr="00F41E78">
        <w:rPr>
          <w:rFonts w:cs="FrankRuehl"/>
          <w:sz w:val="18"/>
          <w:szCs w:val="22"/>
          <w:rtl/>
        </w:rPr>
        <w:t xml:space="preserve"> פיתוח התשתיות.</w:t>
      </w:r>
      <w:r w:rsidRPr="00F41E78">
        <w:rPr>
          <w:rFonts w:cs="FrankRuehl" w:hint="cs"/>
          <w:sz w:val="18"/>
          <w:szCs w:val="22"/>
          <w:rtl/>
          <w:lang w:eastAsia="he-IL"/>
        </w:rPr>
        <w:t xml:space="preserve">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הקשיים הכרוכים במימון עבודות הפיתוח בידי הרשויות המקומיות נדונו בממשלה ובו</w:t>
      </w:r>
      <w:r w:rsidRPr="00F41E78">
        <w:rPr>
          <w:rFonts w:cs="FrankRuehl" w:hint="eastAsia"/>
          <w:sz w:val="18"/>
          <w:szCs w:val="22"/>
          <w:rtl/>
          <w:lang w:eastAsia="he-IL"/>
        </w:rPr>
        <w:t>ועדת</w:t>
      </w:r>
      <w:r w:rsidRPr="00F41E78">
        <w:rPr>
          <w:rFonts w:cs="FrankRuehl"/>
          <w:sz w:val="18"/>
          <w:szCs w:val="22"/>
          <w:rtl/>
          <w:lang w:eastAsia="he-IL"/>
        </w:rPr>
        <w:t xml:space="preserve"> </w:t>
      </w:r>
      <w:r w:rsidRPr="00F41E78">
        <w:rPr>
          <w:rFonts w:cs="FrankRuehl" w:hint="eastAsia"/>
          <w:sz w:val="18"/>
          <w:szCs w:val="22"/>
          <w:rtl/>
          <w:lang w:eastAsia="he-IL"/>
        </w:rPr>
        <w:t>טרכטנברג</w:t>
      </w:r>
      <w:r w:rsidRPr="00F41E78">
        <w:rPr>
          <w:rFonts w:cs="FrankRuehl" w:hint="cs"/>
          <w:sz w:val="18"/>
          <w:szCs w:val="22"/>
          <w:rtl/>
          <w:lang w:eastAsia="he-IL"/>
        </w:rPr>
        <w:t xml:space="preserve">. בשנת 2007 החליטה הממשלה (החלטה מס' 2214) לצמצם את מעורבותה במימון עבודות פיתוח הקרקע וביצוען (שנעשו בעיקר בידי רמ"י ומשרד הבינוי) ולהעביר את האחריות לכך לרשויות המקומיות. במאי 2009 החליטה הממשלה (החלטה מס' </w:t>
      </w:r>
      <w:r w:rsidRPr="00F41E78">
        <w:rPr>
          <w:rFonts w:cs="FrankRuehl"/>
          <w:sz w:val="18"/>
          <w:szCs w:val="22"/>
          <w:rtl/>
          <w:lang w:eastAsia="he-IL"/>
        </w:rPr>
        <w:t>204</w:t>
      </w:r>
      <w:r w:rsidRPr="00F41E78">
        <w:rPr>
          <w:rFonts w:cs="FrankRuehl" w:hint="cs"/>
          <w:sz w:val="18"/>
          <w:szCs w:val="22"/>
          <w:rtl/>
          <w:lang w:eastAsia="he-IL"/>
        </w:rPr>
        <w:t xml:space="preserve">) לנקוט פעולות לייעול עבודות הפיתוח ברשויות המקומיות. בעקבות זאת, ביוני 2009 יזמה הממשלה הצעה לשינוי מקורות המימון של עבודות הפיתוח במסגרת הצעת חוק ההתייעלות הכלכלית (תיקוני חקיקה ליישום התכנית הכלכלית לשנים 2009 ו-2010), התשס"ט-2009.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לפי הצעת החוק יגבו הרשויות המקומיות מס פיתוח מכוחן של תקנות שיתקינו שרי האוצר והפנים ולא מכוח חוקי העזר שהן מתקינות. בדברי ההסבר להצעה צוין כי כדי שהכספים שהעיריות גובות ישקפו את עלויות הפיתוח נדרש לעדכן באופן פרטני כל כמה שנים את התעריפים הקבועים בחוקי העזר ולאשר את החוקים המעודכנים במשרד הפנים. העדכון האמור הוא תהליך מורכב היוצר חסם לפיתוח הקרקע בידי הרשויות המקומיות. עוד צוין כי ישנה חשיבות לפישוט התהליכים ולקיצור </w:t>
      </w:r>
      <w:r w:rsidRPr="00F41E78">
        <w:rPr>
          <w:rFonts w:cs="FrankRuehl" w:hint="cs"/>
          <w:sz w:val="18"/>
          <w:szCs w:val="22"/>
          <w:rtl/>
          <w:lang w:eastAsia="he-IL"/>
        </w:rPr>
        <w:t xml:space="preserve">לוחות הזמנים שלהם בשל הצמצום הצפוי בהיצע הדירות למגורים. אולם בסופו של דבר לא אישרה הכנסת את הצעת החוק וקשיי המימון של עבודות הפיתוח נותרו אפוא על כנם. </w:t>
      </w:r>
    </w:p>
    <w:p w:rsidR="00E97EDA" w:rsidRPr="00F41E78" w:rsidP="00A7557B">
      <w:pPr>
        <w:tabs>
          <w:tab w:val="left" w:pos="588"/>
        </w:tabs>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במרץ 2012 קיבלה הממשלה החלטה נוספת בנושא ייעול עבודת הפיתוח (החלטה מס' 4427), ולפיה משרדי האוצר והפנים ישלימו את הרפורמה בתחום מימון הפיתוח עד סוף 2012, אך ההחלטה לא יושמה. ביוני 2013 החליט גם </w:t>
      </w:r>
      <w:r w:rsidRPr="00F41E78">
        <w:rPr>
          <w:rFonts w:cs="FrankRuehl" w:hint="eastAsia"/>
          <w:sz w:val="18"/>
          <w:szCs w:val="22"/>
          <w:rtl/>
          <w:lang w:eastAsia="he-IL"/>
        </w:rPr>
        <w:t>קבינט</w:t>
      </w:r>
      <w:r w:rsidRPr="00F41E78">
        <w:rPr>
          <w:rFonts w:cs="FrankRuehl"/>
          <w:sz w:val="18"/>
          <w:szCs w:val="22"/>
          <w:rtl/>
          <w:lang w:eastAsia="he-IL"/>
        </w:rPr>
        <w:t xml:space="preserve"> </w:t>
      </w:r>
      <w:r w:rsidRPr="00F41E78">
        <w:rPr>
          <w:rFonts w:cs="FrankRuehl" w:hint="eastAsia"/>
          <w:sz w:val="18"/>
          <w:szCs w:val="22"/>
          <w:rtl/>
          <w:lang w:eastAsia="he-IL"/>
        </w:rPr>
        <w:t>הדיור</w:t>
      </w:r>
      <w:r w:rsidRPr="00F41E78">
        <w:rPr>
          <w:rFonts w:cs="FrankRuehl" w:hint="cs"/>
          <w:sz w:val="18"/>
          <w:szCs w:val="22"/>
          <w:rtl/>
          <w:lang w:eastAsia="he-IL"/>
        </w:rPr>
        <w:t xml:space="preserve"> לייעל את פיתוח היישובים, ובין היתר החליט לשוב ולקדם את תיקוני החקיקה הנוגעים למימון עלויות הפיתוח (החלטה מס' דר/7). </w:t>
      </w:r>
    </w:p>
    <w:p w:rsidR="00E97EDA" w:rsidRPr="00F41E78" w:rsidP="00A7557B">
      <w:pPr>
        <w:tabs>
          <w:tab w:val="left" w:pos="588"/>
        </w:tabs>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בתשובתו ממרץ 2014 מסר משרד האוצר כי מדובר בחוק חשוב ובדעתו לסייע בקידומו ככל הנדרש. </w:t>
      </w:r>
    </w:p>
    <w:p w:rsidR="00E97EDA" w:rsidRPr="00F41E78" w:rsidP="00A7557B">
      <w:pPr>
        <w:tabs>
          <w:tab w:val="left" w:pos="588"/>
        </w:tabs>
        <w:spacing w:after="120" w:line="230" w:lineRule="exact"/>
        <w:ind w:left="12"/>
        <w:jc w:val="both"/>
        <w:rPr>
          <w:rFonts w:cs="FrankRuehl"/>
          <w:sz w:val="18"/>
          <w:szCs w:val="22"/>
          <w:rtl/>
          <w:lang w:eastAsia="he-IL"/>
        </w:rPr>
      </w:pPr>
      <w:r w:rsidRPr="00F41E78">
        <w:rPr>
          <w:rFonts w:cs="FrankRuehl" w:hint="cs"/>
          <w:sz w:val="18"/>
          <w:szCs w:val="22"/>
          <w:rtl/>
          <w:lang w:eastAsia="he-IL"/>
        </w:rPr>
        <w:t>נוסף על כך, בספטמבר 2013 החליט קבינט הדיור להטיל על מנכ"ל רמ"י ועל מנכ"ל משרד הבינוי לגבש הסכמי גג עם ארבע רשויות מקומיות בעניין המימון של עבודות הפיתוח, וזאת כדי להסיר חסמים לשיווק קרקעות ולאפשר בנייה של לפחות 20,000 יח"ד ברשויות אלו. אולם יודגש כי הסכמים אלו עוסקים במימוש תכניות על קרקעות שבניהול מדינה ואין הם חלים על קרקעות פרטיות.</w:t>
      </w:r>
    </w:p>
    <w:p w:rsidR="00E97EDA" w:rsidRPr="00F41E78" w:rsidP="004B0348">
      <w:pPr>
        <w:tabs>
          <w:tab w:val="left" w:pos="588"/>
        </w:tabs>
        <w:spacing w:after="240" w:line="230" w:lineRule="exact"/>
        <w:ind w:left="12"/>
        <w:jc w:val="both"/>
        <w:rPr>
          <w:rFonts w:cs="FrankRuehl"/>
          <w:sz w:val="18"/>
          <w:szCs w:val="22"/>
          <w:rtl/>
          <w:lang w:eastAsia="he-IL"/>
        </w:rPr>
      </w:pPr>
      <w:r w:rsidRPr="00F41E78">
        <w:rPr>
          <w:rFonts w:cs="FrankRuehl" w:hint="cs"/>
          <w:sz w:val="18"/>
          <w:szCs w:val="22"/>
          <w:rtl/>
          <w:lang w:eastAsia="he-IL"/>
        </w:rPr>
        <w:t>בתשובתה ממאי 2014 מסרה רמ"י כי הסכמי הגג נועדו להתגבר על חוסר התיאום שבין התכניות הממשלתיות הקשורות לשיווק קרקע למגורים ובין התנגדותן של הרשויות המקומיות לשיווקי קרקע נרחבים בתחומן בגלל הנטל הכלכלי הכבד של עבודות הפיתוח הכרוכות בהקמת שכונות מגורים. עוד מסרה רמ"י כי עד כה נחתמו הסכמים עם ארבע רשויות מקומיות ויש בכוונתה לחתום על הסכמים עם עוד כשבע רשויות מקומיות ולשווק קרקעות לבנייתן של כ-100,000 יח"ד</w:t>
      </w:r>
      <w:r w:rsidRPr="00F41E78">
        <w:rPr>
          <w:rFonts w:cs="FrankRuehl" w:hint="eastAsia"/>
          <w:sz w:val="18"/>
          <w:szCs w:val="22"/>
          <w:rtl/>
          <w:lang w:eastAsia="he-IL"/>
        </w:rPr>
        <w:t xml:space="preserve"> </w:t>
      </w:r>
      <w:r w:rsidRPr="00F41E78">
        <w:rPr>
          <w:rFonts w:cs="FrankRuehl" w:hint="cs"/>
          <w:sz w:val="18"/>
          <w:szCs w:val="22"/>
          <w:rtl/>
          <w:lang w:eastAsia="he-IL"/>
        </w:rPr>
        <w:t>בחמש השנים הקרובות.</w:t>
      </w:r>
    </w:p>
    <w:p w:rsidR="00D22B16" w:rsidRPr="00F41E78" w:rsidP="00D22B16">
      <w:pPr>
        <w:pStyle w:val="RESHET"/>
        <w:keepLines/>
        <w:rPr>
          <w:rtl/>
        </w:rPr>
      </w:pPr>
      <w:r w:rsidRPr="00F41E78">
        <w:rPr>
          <w:rFonts w:hint="cs"/>
          <w:rtl/>
        </w:rPr>
        <w:t xml:space="preserve">מהאמור עולה כי ההסדרים הקיימים למימון עלויות הפיתוח ברשויות המקומיות יוצרים לעתים עיכוב של ממש בפיתוחן של שכונות מגורים ובבנייתן של אלפי יח"ד. אף שהממשלה זיהתה בעיה זו כבר לפני כחמש שנים, היא עדיין לא באה לידי פתרון מלא. עקב כך, נוסף על התמשכותם של הליכי התכנון הסטטוטוריים קיימים עיכובים ממושכים מצד הרשויות המקומיות בביצוע עבודות הפיתוח ובהוצאה לפועל של תכניות; הדבר מקשה על יכולתם של הגורמים הרלוונטיים להגדיל את ההיצע בשוק הדיור. </w:t>
      </w:r>
    </w:p>
    <w:p w:rsidR="00E97EDA" w:rsidRPr="00F41E78" w:rsidP="004B0348">
      <w:pPr>
        <w:spacing w:before="180" w:after="120" w:line="230" w:lineRule="exact"/>
        <w:ind w:left="12"/>
        <w:jc w:val="both"/>
        <w:rPr>
          <w:rFonts w:cs="FrankRuehl"/>
          <w:sz w:val="18"/>
          <w:szCs w:val="22"/>
          <w:rtl/>
          <w:lang w:eastAsia="he-IL"/>
        </w:rPr>
      </w:pPr>
      <w:r w:rsidRPr="00F41E78">
        <w:rPr>
          <w:rFonts w:cs="FrankRuehl"/>
          <w:bCs/>
          <w:spacing w:val="40"/>
          <w:sz w:val="18"/>
          <w:szCs w:val="22"/>
          <w:rtl/>
        </w:rPr>
        <w:t xml:space="preserve">קשיים במימוש תכניות להתחדשות עירונית: </w:t>
      </w:r>
      <w:r w:rsidRPr="00F41E78">
        <w:rPr>
          <w:rFonts w:cs="FrankRuehl" w:hint="cs"/>
          <w:sz w:val="18"/>
          <w:szCs w:val="22"/>
          <w:rtl/>
          <w:lang w:eastAsia="he-IL"/>
        </w:rPr>
        <w:t>חלק מהתכניות שנבדקו הן תכניות להתחדשות עירונית הכוללות מאות ואלפי יח"ד, אך נמצא שישנם קשיים לממשן. בשנת 2010 פרסם משרד מבקר המדינה דוח</w:t>
      </w:r>
      <w:r>
        <w:rPr>
          <w:rFonts w:cs="FrankRuehl"/>
          <w:sz w:val="18"/>
          <w:szCs w:val="22"/>
          <w:vertAlign w:val="superscript"/>
          <w:rtl/>
          <w:lang w:eastAsia="he-IL"/>
        </w:rPr>
        <w:footnoteReference w:id="261"/>
      </w:r>
      <w:r w:rsidRPr="00F41E78">
        <w:rPr>
          <w:rFonts w:cs="FrankRuehl" w:hint="cs"/>
          <w:sz w:val="18"/>
          <w:szCs w:val="22"/>
          <w:rtl/>
          <w:lang w:eastAsia="he-IL"/>
        </w:rPr>
        <w:t xml:space="preserve"> על הפעולות להתחדשות עירונית באמצעות תכניות פינוי בינוי</w:t>
      </w:r>
      <w:r>
        <w:rPr>
          <w:rFonts w:cs="FrankRuehl"/>
          <w:sz w:val="18"/>
          <w:szCs w:val="22"/>
          <w:vertAlign w:val="superscript"/>
          <w:rtl/>
          <w:lang w:eastAsia="he-IL"/>
        </w:rPr>
        <w:footnoteReference w:id="262"/>
      </w:r>
      <w:r w:rsidRPr="00F41E78">
        <w:rPr>
          <w:rFonts w:cs="FrankRuehl" w:hint="cs"/>
          <w:sz w:val="18"/>
          <w:szCs w:val="22"/>
          <w:rtl/>
          <w:lang w:eastAsia="he-IL"/>
        </w:rPr>
        <w:t>. בדוח האמור נמצא כי אושרו תכניות רק ל-52 מ-137 המתחמים (כ-38% בלבד) שהוכרזו בשנים 2010-2000 ; רק ל-10 מהמתחמים ניתנו היתרי בנייה או הוגשו בקשות לקבל היתרי בנייה, כלומר מומשו רק כ-20% מהתכניות שאושרו.</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נמצא כי הסיבות לכך הן בין היתר חוסר כדאיות כלכלית של התכנית ומחלוקות בין בעלי הזכויות במקרקעין. בביקורת הנוכחית נמצאו ממצאים דומים. למשל, בראשון לציון נרשם מיצוי נמוך מאוד</w:t>
      </w:r>
      <w:r w:rsidRPr="00F41E78">
        <w:rPr>
          <w:rFonts w:cs="FrankRuehl" w:hint="cs"/>
          <w:sz w:val="18"/>
          <w:szCs w:val="22"/>
          <w:rtl/>
          <w:lang w:eastAsia="he-IL"/>
        </w:rPr>
        <w:t xml:space="preserve"> </w:t>
      </w:r>
      <w:r w:rsidRPr="00F41E78">
        <w:rPr>
          <w:rFonts w:cs="FrankRuehl" w:hint="cs"/>
          <w:sz w:val="18"/>
          <w:szCs w:val="22"/>
          <w:rtl/>
          <w:lang w:eastAsia="he-IL"/>
        </w:rPr>
        <w:t xml:space="preserve">ב-4 תכניות של התחדשות עירונית - מכוח תכנית שאושרה כבר בשנת 2004 וקיבולתה 1,128 יח"ד ניתנו היתרים רק ל-276 יח"ד; תכנית אחרת שאושרה כבר בשנת 2006 ולא מומשה פג תוקפה; בשתי תכניות נוספות שאושרו בשנים 2008 ו-2012 וקיבולתן כ-550 יח"ד לא ניתן אף לא היתר אחד. ב-4 תכניות של התחדשות עירונית בפתח תקווה שקיבולתן מאות יח"ד, והישנה שבהן כבר אושרה בשנת 2004, לא ניתן היתר בנייה כלשהו.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משרד האוצר מסר </w:t>
      </w:r>
      <w:r w:rsidRPr="00F41E78">
        <w:rPr>
          <w:rFonts w:cs="FrankRuehl" w:hint="eastAsia"/>
          <w:sz w:val="18"/>
          <w:szCs w:val="22"/>
          <w:rtl/>
          <w:lang w:eastAsia="he-IL"/>
        </w:rPr>
        <w:t>בתשובתו</w:t>
      </w:r>
      <w:r w:rsidRPr="00F41E78">
        <w:rPr>
          <w:rFonts w:cs="FrankRuehl" w:hint="cs"/>
          <w:sz w:val="18"/>
          <w:szCs w:val="22"/>
          <w:rtl/>
          <w:lang w:eastAsia="he-IL"/>
        </w:rPr>
        <w:t xml:space="preserve"> מ</w:t>
      </w:r>
      <w:r w:rsidRPr="00F41E78">
        <w:rPr>
          <w:rFonts w:cs="FrankRuehl" w:hint="eastAsia"/>
          <w:sz w:val="18"/>
          <w:szCs w:val="22"/>
          <w:rtl/>
          <w:lang w:eastAsia="he-IL"/>
        </w:rPr>
        <w:t>מרץ</w:t>
      </w:r>
      <w:r w:rsidRPr="00F41E78">
        <w:rPr>
          <w:rFonts w:cs="FrankRuehl"/>
          <w:sz w:val="18"/>
          <w:szCs w:val="22"/>
          <w:rtl/>
          <w:lang w:eastAsia="he-IL"/>
        </w:rPr>
        <w:t xml:space="preserve"> 2014</w:t>
      </w:r>
      <w:r w:rsidRPr="00F41E78">
        <w:rPr>
          <w:rFonts w:cs="FrankRuehl" w:hint="cs"/>
          <w:sz w:val="18"/>
          <w:szCs w:val="22"/>
          <w:rtl/>
          <w:lang w:eastAsia="he-IL"/>
        </w:rPr>
        <w:t xml:space="preserve"> כי קבינט הדיור גם אישר (בהחלטה מס' דר/44) לתת תמריץ לרשויות המקומיות להאיץ את מתן היתרי הבנייה, ולהעדיף מתן היתרי בנייה בתכניות פינוי בינוי.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בתשובתה ממאי 2014 מסרה עיריית ראשון לציון כי מימוש תכניות פינוי בינוי תלוי ביזמים פרטיים הצריכים להגיע לידי הסכמות עם בעלי הקרקע. התכנית שלא מומשה ופג תוקפה בוטלה עקב היעדר הסכמה בין חלק מבעלי הקרקע. בשתי התכניות שלא ניתנו מכוחן היתרים היו בעיות כמו היעדר כדאיות כלכלית של התכנית, היעדר הסכמה של בעלי הקרקע והיעדר טבלאות איזון.</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נוסף לחסמים שתוארו נמצא בביקורת כי רמ"י והרשויות המקומיות מתקשות לעתים להגיע לידי הסכמות הן במסגרת הליכי התכנון הן לקראת שיווקה של הקרקע, והמחלוקות ביניהן מעכבות את מימושן של תכניות למגורים. בין היתר הדבר נובע מדרישת הרשויות המקומיות להקצאת קרקעות לתושבי המקום, מהיעדר הסכמה בנוגע לצורכי היישוב, ממניעים פוליטיים כמו בחירות קרבות ומהעדפה לבנות מבני מסחר על פני מגורים. להלן דוגמה:</w:t>
      </w:r>
    </w:p>
    <w:p w:rsidR="00E97EDA" w:rsidRPr="00F41E78" w:rsidP="004B0348">
      <w:pPr>
        <w:spacing w:after="240" w:line="230" w:lineRule="exact"/>
        <w:jc w:val="both"/>
        <w:rPr>
          <w:rFonts w:cs="FrankRuehl"/>
          <w:sz w:val="18"/>
          <w:szCs w:val="22"/>
          <w:rtl/>
          <w:lang w:eastAsia="he-IL"/>
        </w:rPr>
      </w:pPr>
      <w:r w:rsidRPr="00F41E78">
        <w:rPr>
          <w:rFonts w:cs="FrankRuehl"/>
          <w:spacing w:val="40"/>
          <w:sz w:val="18"/>
          <w:szCs w:val="22"/>
          <w:rtl/>
        </w:rPr>
        <w:t>אגם 3 בנתניה (</w:t>
      </w:r>
      <w:r w:rsidRPr="00F41E78">
        <w:rPr>
          <w:rFonts w:cs="FrankRuehl" w:hint="eastAsia"/>
          <w:spacing w:val="40"/>
          <w:sz w:val="18"/>
          <w:szCs w:val="22"/>
          <w:rtl/>
        </w:rPr>
        <w:t>תכנית</w:t>
      </w:r>
      <w:r w:rsidRPr="00F41E78">
        <w:rPr>
          <w:rFonts w:cs="FrankRuehl"/>
          <w:spacing w:val="40"/>
          <w:sz w:val="18"/>
          <w:szCs w:val="22"/>
          <w:rtl/>
        </w:rPr>
        <w:t xml:space="preserve"> </w:t>
      </w:r>
      <w:r w:rsidRPr="00F41E78">
        <w:rPr>
          <w:rFonts w:cs="FrankRuehl" w:hint="eastAsia"/>
          <w:spacing w:val="40"/>
          <w:sz w:val="18"/>
          <w:szCs w:val="22"/>
          <w:rtl/>
        </w:rPr>
        <w:t>מפורטת</w:t>
      </w:r>
      <w:r w:rsidRPr="00F41E78">
        <w:rPr>
          <w:rFonts w:cs="FrankRuehl"/>
          <w:spacing w:val="40"/>
          <w:sz w:val="18"/>
          <w:szCs w:val="22"/>
          <w:rtl/>
        </w:rPr>
        <w:t xml:space="preserve"> נת/537/14/א ו-נת/537/14/ב):</w:t>
      </w:r>
      <w:r w:rsidRPr="00F41E78">
        <w:rPr>
          <w:rFonts w:cs="FrankRuehl"/>
          <w:sz w:val="18"/>
          <w:szCs w:val="22"/>
          <w:rtl/>
        </w:rPr>
        <w:t xml:space="preserve"> </w:t>
      </w:r>
      <w:r w:rsidRPr="00F41E78">
        <w:rPr>
          <w:rFonts w:cs="FrankRuehl" w:hint="cs"/>
          <w:sz w:val="18"/>
          <w:szCs w:val="22"/>
          <w:rtl/>
          <w:lang w:eastAsia="he-IL"/>
        </w:rPr>
        <w:t xml:space="preserve">תכנית זו נועדה לבנייתן של 1,353 יח"ד ותכנונה כבר החל בשנת 1994. </w:t>
      </w:r>
      <w:r w:rsidRPr="00F41E78">
        <w:rPr>
          <w:rFonts w:cs="FrankRuehl" w:hint="eastAsia"/>
          <w:sz w:val="18"/>
          <w:szCs w:val="22"/>
          <w:rtl/>
          <w:lang w:eastAsia="he-IL"/>
        </w:rPr>
        <w:t>לתכנית</w:t>
      </w:r>
      <w:r w:rsidRPr="00F41E78">
        <w:rPr>
          <w:rFonts w:cs="FrankRuehl"/>
          <w:sz w:val="18"/>
          <w:szCs w:val="22"/>
          <w:rtl/>
          <w:lang w:eastAsia="he-IL"/>
        </w:rPr>
        <w:t xml:space="preserve"> ניתן תוקף בנובמבר 1997</w:t>
      </w:r>
      <w:r w:rsidRPr="00F41E78">
        <w:rPr>
          <w:rFonts w:cs="FrankRuehl" w:hint="cs"/>
          <w:sz w:val="18"/>
          <w:szCs w:val="22"/>
          <w:rtl/>
          <w:lang w:eastAsia="he-IL"/>
        </w:rPr>
        <w:t>. מיולי 2005 החלה הרשות המקומית להעלות טענות בפני רמ"י בדבר כמות יחידות הדיור בתכנית וביקשה לשנות את ייעוד התכנית למסחר ולהייטק. מאז ועד מועד הביקורת, במהלך כ-16 שנה, טרם שווקה התכנית.</w:t>
      </w:r>
    </w:p>
    <w:p w:rsidR="00D22B16" w:rsidRPr="00F41E78" w:rsidP="00D22B16">
      <w:pPr>
        <w:pStyle w:val="RESHET"/>
        <w:keepLines/>
        <w:rPr>
          <w:rtl/>
        </w:rPr>
      </w:pPr>
      <w:r w:rsidRPr="00F41E78">
        <w:rPr>
          <w:rFonts w:hint="cs"/>
          <w:rtl/>
        </w:rPr>
        <w:t>משרד מבקר המדינה מעיר כי תכנון ושיווק הנעשה בשיתוף פעולה בין רמ"י לרשויות המקומיות, יש בו כדי להביא לידי הגדלת מספר התכניות המתממשות בסופו של דבר התורמת להגדלת ההיצע בשוק הדיור.</w:t>
      </w:r>
    </w:p>
    <w:p w:rsidR="00D22B16" w:rsidRPr="00F41E78" w:rsidP="00D22B16">
      <w:pPr>
        <w:pStyle w:val="RESHET"/>
        <w:keepLines/>
        <w:rPr>
          <w:rtl/>
        </w:rPr>
      </w:pPr>
      <w:r w:rsidRPr="00F41E78">
        <w:rPr>
          <w:rFonts w:hint="eastAsia"/>
          <w:rtl/>
        </w:rPr>
        <w:t>כפי</w:t>
      </w:r>
      <w:r w:rsidRPr="00F41E78">
        <w:rPr>
          <w:rtl/>
        </w:rPr>
        <w:t xml:space="preserve"> </w:t>
      </w:r>
      <w:r w:rsidRPr="00F41E78">
        <w:rPr>
          <w:rFonts w:hint="eastAsia"/>
          <w:rtl/>
        </w:rPr>
        <w:t>שהוצג</w:t>
      </w:r>
      <w:r w:rsidRPr="00F41E78">
        <w:rPr>
          <w:rtl/>
        </w:rPr>
        <w:t xml:space="preserve"> </w:t>
      </w:r>
      <w:r w:rsidRPr="00F41E78">
        <w:rPr>
          <w:rFonts w:hint="eastAsia"/>
          <w:rtl/>
        </w:rPr>
        <w:t>בדוגמאות</w:t>
      </w:r>
      <w:r w:rsidRPr="00F41E78">
        <w:rPr>
          <w:rtl/>
        </w:rPr>
        <w:t xml:space="preserve"> </w:t>
      </w:r>
      <w:r w:rsidRPr="00F41E78">
        <w:rPr>
          <w:rFonts w:hint="eastAsia"/>
          <w:rtl/>
        </w:rPr>
        <w:t>לעיל</w:t>
      </w:r>
      <w:r w:rsidRPr="00F41E78">
        <w:rPr>
          <w:rtl/>
        </w:rPr>
        <w:t xml:space="preserve">, </w:t>
      </w:r>
      <w:r w:rsidRPr="00F41E78">
        <w:rPr>
          <w:rFonts w:hint="eastAsia"/>
          <w:rtl/>
        </w:rPr>
        <w:t>לעתים</w:t>
      </w:r>
      <w:r w:rsidRPr="00F41E78">
        <w:rPr>
          <w:rtl/>
        </w:rPr>
        <w:t xml:space="preserve"> </w:t>
      </w:r>
      <w:r w:rsidRPr="00F41E78">
        <w:rPr>
          <w:rFonts w:hint="eastAsia"/>
          <w:rtl/>
        </w:rPr>
        <w:t>יש</w:t>
      </w:r>
      <w:r w:rsidRPr="00F41E78">
        <w:rPr>
          <w:rFonts w:hint="cs"/>
          <w:rtl/>
        </w:rPr>
        <w:t>נן</w:t>
      </w:r>
      <w:r w:rsidRPr="00F41E78">
        <w:rPr>
          <w:rtl/>
        </w:rPr>
        <w:t xml:space="preserve"> </w:t>
      </w:r>
      <w:r w:rsidRPr="00F41E78">
        <w:rPr>
          <w:rFonts w:hint="cs"/>
          <w:rtl/>
        </w:rPr>
        <w:t>כמה סיבות</w:t>
      </w:r>
      <w:r w:rsidRPr="00F41E78">
        <w:rPr>
          <w:rtl/>
        </w:rPr>
        <w:t xml:space="preserve"> </w:t>
      </w:r>
      <w:r w:rsidRPr="00F41E78">
        <w:rPr>
          <w:rFonts w:hint="eastAsia"/>
          <w:rtl/>
        </w:rPr>
        <w:t>המעכב</w:t>
      </w:r>
      <w:r w:rsidRPr="00F41E78">
        <w:rPr>
          <w:rFonts w:hint="cs"/>
          <w:rtl/>
        </w:rPr>
        <w:t>ות</w:t>
      </w:r>
      <w:r w:rsidRPr="00F41E78">
        <w:rPr>
          <w:rtl/>
        </w:rPr>
        <w:t xml:space="preserve"> </w:t>
      </w:r>
      <w:r w:rsidRPr="00F41E78">
        <w:rPr>
          <w:rFonts w:hint="eastAsia"/>
          <w:rtl/>
        </w:rPr>
        <w:t>את</w:t>
      </w:r>
      <w:r w:rsidRPr="00F41E78">
        <w:rPr>
          <w:rtl/>
        </w:rPr>
        <w:t xml:space="preserve"> </w:t>
      </w:r>
      <w:r w:rsidRPr="00F41E78">
        <w:rPr>
          <w:rFonts w:hint="eastAsia"/>
          <w:rtl/>
        </w:rPr>
        <w:t>מימוש</w:t>
      </w:r>
      <w:r w:rsidRPr="00F41E78">
        <w:rPr>
          <w:rtl/>
        </w:rPr>
        <w:t xml:space="preserve"> </w:t>
      </w:r>
      <w:r w:rsidRPr="00F41E78">
        <w:rPr>
          <w:rFonts w:hint="eastAsia"/>
          <w:rtl/>
        </w:rPr>
        <w:t>התכניות</w:t>
      </w:r>
      <w:r w:rsidRPr="00F41E78">
        <w:rPr>
          <w:rFonts w:hint="cs"/>
          <w:rtl/>
        </w:rPr>
        <w:t>;</w:t>
      </w:r>
      <w:r w:rsidRPr="00F41E78">
        <w:rPr>
          <w:rtl/>
        </w:rPr>
        <w:t xml:space="preserve"> </w:t>
      </w:r>
      <w:r w:rsidRPr="00F41E78">
        <w:rPr>
          <w:rFonts w:hint="eastAsia"/>
          <w:rtl/>
        </w:rPr>
        <w:t>למשל</w:t>
      </w:r>
      <w:r w:rsidRPr="00F41E78">
        <w:rPr>
          <w:rtl/>
        </w:rPr>
        <w:t xml:space="preserve">, </w:t>
      </w:r>
      <w:r w:rsidRPr="00F41E78">
        <w:rPr>
          <w:rFonts w:hint="eastAsia"/>
          <w:rtl/>
        </w:rPr>
        <w:t>עיכובים</w:t>
      </w:r>
      <w:r w:rsidRPr="00F41E78">
        <w:rPr>
          <w:rtl/>
        </w:rPr>
        <w:t xml:space="preserve"> </w:t>
      </w:r>
      <w:r w:rsidRPr="00F41E78">
        <w:rPr>
          <w:rFonts w:hint="eastAsia"/>
          <w:rtl/>
        </w:rPr>
        <w:t>ב</w:t>
      </w:r>
      <w:r w:rsidRPr="00F41E78">
        <w:rPr>
          <w:rFonts w:hint="cs"/>
          <w:rtl/>
        </w:rPr>
        <w:t>ת</w:t>
      </w:r>
      <w:r w:rsidRPr="00F41E78">
        <w:rPr>
          <w:rFonts w:hint="eastAsia"/>
          <w:rtl/>
        </w:rPr>
        <w:t>הליכי</w:t>
      </w:r>
      <w:r w:rsidRPr="00F41E78">
        <w:rPr>
          <w:rtl/>
        </w:rPr>
        <w:t xml:space="preserve"> </w:t>
      </w:r>
      <w:r w:rsidRPr="00F41E78">
        <w:rPr>
          <w:rFonts w:hint="eastAsia"/>
          <w:rtl/>
        </w:rPr>
        <w:t>הפקעה</w:t>
      </w:r>
      <w:r w:rsidRPr="00F41E78">
        <w:rPr>
          <w:rtl/>
        </w:rPr>
        <w:t xml:space="preserve"> </w:t>
      </w:r>
      <w:r w:rsidRPr="00F41E78">
        <w:rPr>
          <w:rFonts w:hint="eastAsia"/>
          <w:rtl/>
        </w:rPr>
        <w:t>של</w:t>
      </w:r>
      <w:r w:rsidRPr="00F41E78">
        <w:rPr>
          <w:rtl/>
        </w:rPr>
        <w:t xml:space="preserve"> </w:t>
      </w:r>
      <w:r w:rsidRPr="00F41E78">
        <w:rPr>
          <w:rFonts w:hint="eastAsia"/>
          <w:rtl/>
        </w:rPr>
        <w:t>קרקעות</w:t>
      </w:r>
      <w:r w:rsidRPr="00F41E78">
        <w:rPr>
          <w:rtl/>
        </w:rPr>
        <w:t xml:space="preserve"> </w:t>
      </w:r>
      <w:r w:rsidRPr="00F41E78">
        <w:rPr>
          <w:rFonts w:hint="eastAsia"/>
          <w:rtl/>
        </w:rPr>
        <w:t>לצ</w:t>
      </w:r>
      <w:r w:rsidRPr="00F41E78">
        <w:rPr>
          <w:rFonts w:hint="cs"/>
          <w:rtl/>
        </w:rPr>
        <w:t>ו</w:t>
      </w:r>
      <w:r w:rsidRPr="00F41E78">
        <w:rPr>
          <w:rFonts w:hint="eastAsia"/>
          <w:rtl/>
        </w:rPr>
        <w:t>רכי</w:t>
      </w:r>
      <w:r w:rsidRPr="00F41E78">
        <w:rPr>
          <w:rtl/>
        </w:rPr>
        <w:t xml:space="preserve"> </w:t>
      </w:r>
      <w:r w:rsidRPr="00F41E78">
        <w:rPr>
          <w:rFonts w:hint="eastAsia"/>
          <w:rtl/>
        </w:rPr>
        <w:t>ציבור</w:t>
      </w:r>
      <w:r w:rsidRPr="00F41E78">
        <w:rPr>
          <w:rtl/>
        </w:rPr>
        <w:t xml:space="preserve"> </w:t>
      </w:r>
      <w:r w:rsidRPr="00F41E78">
        <w:rPr>
          <w:rFonts w:hint="eastAsia"/>
          <w:rtl/>
        </w:rPr>
        <w:t>או</w:t>
      </w:r>
      <w:r w:rsidRPr="00F41E78">
        <w:rPr>
          <w:rtl/>
        </w:rPr>
        <w:t xml:space="preserve"> </w:t>
      </w:r>
      <w:r w:rsidRPr="00F41E78">
        <w:rPr>
          <w:rFonts w:hint="eastAsia"/>
          <w:rtl/>
        </w:rPr>
        <w:t>סכסוכים</w:t>
      </w:r>
      <w:r w:rsidRPr="00F41E78">
        <w:rPr>
          <w:rtl/>
        </w:rPr>
        <w:t xml:space="preserve"> </w:t>
      </w:r>
      <w:r w:rsidRPr="00F41E78">
        <w:rPr>
          <w:rFonts w:hint="eastAsia"/>
          <w:rtl/>
        </w:rPr>
        <w:t>בין</w:t>
      </w:r>
      <w:r w:rsidRPr="00F41E78">
        <w:rPr>
          <w:rtl/>
        </w:rPr>
        <w:t xml:space="preserve"> </w:t>
      </w:r>
      <w:r w:rsidRPr="00F41E78">
        <w:rPr>
          <w:rFonts w:hint="eastAsia"/>
          <w:rtl/>
        </w:rPr>
        <w:t>בעלי</w:t>
      </w:r>
      <w:r w:rsidRPr="00F41E78">
        <w:rPr>
          <w:rtl/>
        </w:rPr>
        <w:t xml:space="preserve"> </w:t>
      </w:r>
      <w:r w:rsidRPr="00F41E78">
        <w:rPr>
          <w:rFonts w:hint="eastAsia"/>
          <w:rtl/>
        </w:rPr>
        <w:t>זכויות</w:t>
      </w:r>
      <w:r w:rsidRPr="00F41E78">
        <w:rPr>
          <w:rtl/>
        </w:rPr>
        <w:t xml:space="preserve"> </w:t>
      </w:r>
      <w:r w:rsidRPr="00F41E78">
        <w:rPr>
          <w:rFonts w:hint="eastAsia"/>
          <w:rtl/>
        </w:rPr>
        <w:t>בקרקע</w:t>
      </w:r>
      <w:r w:rsidRPr="00F41E78">
        <w:rPr>
          <w:rtl/>
        </w:rPr>
        <w:t xml:space="preserve">. </w:t>
      </w:r>
      <w:r w:rsidRPr="00F41E78">
        <w:rPr>
          <w:rFonts w:hint="eastAsia"/>
          <w:rtl/>
        </w:rPr>
        <w:t>כמו</w:t>
      </w:r>
      <w:r w:rsidRPr="00F41E78">
        <w:rPr>
          <w:rtl/>
        </w:rPr>
        <w:t xml:space="preserve"> </w:t>
      </w:r>
      <w:r w:rsidRPr="00F41E78">
        <w:rPr>
          <w:rFonts w:hint="eastAsia"/>
          <w:rtl/>
        </w:rPr>
        <w:t>כן</w:t>
      </w:r>
      <w:r w:rsidRPr="00F41E78">
        <w:rPr>
          <w:rFonts w:hint="cs"/>
          <w:rtl/>
        </w:rPr>
        <w:t>,</w:t>
      </w:r>
      <w:r w:rsidRPr="00F41E78">
        <w:rPr>
          <w:rtl/>
        </w:rPr>
        <w:t xml:space="preserve"> </w:t>
      </w:r>
      <w:r w:rsidRPr="00F41E78">
        <w:rPr>
          <w:rFonts w:hint="eastAsia"/>
          <w:rtl/>
        </w:rPr>
        <w:t>ישנם</w:t>
      </w:r>
      <w:r w:rsidRPr="00F41E78">
        <w:rPr>
          <w:rtl/>
        </w:rPr>
        <w:t xml:space="preserve"> </w:t>
      </w:r>
      <w:r w:rsidRPr="00F41E78">
        <w:rPr>
          <w:rFonts w:hint="eastAsia"/>
          <w:rtl/>
        </w:rPr>
        <w:t>מקרים</w:t>
      </w:r>
      <w:r w:rsidRPr="00F41E78">
        <w:rPr>
          <w:rtl/>
        </w:rPr>
        <w:t xml:space="preserve"> </w:t>
      </w:r>
      <w:r w:rsidRPr="00F41E78">
        <w:rPr>
          <w:rFonts w:hint="eastAsia"/>
          <w:rtl/>
        </w:rPr>
        <w:t>שהבעלות</w:t>
      </w:r>
      <w:r w:rsidRPr="00F41E78">
        <w:rPr>
          <w:rtl/>
        </w:rPr>
        <w:t xml:space="preserve"> </w:t>
      </w:r>
      <w:r w:rsidRPr="00F41E78">
        <w:rPr>
          <w:rFonts w:hint="eastAsia"/>
          <w:rtl/>
        </w:rPr>
        <w:t>על</w:t>
      </w:r>
      <w:r w:rsidRPr="00F41E78">
        <w:rPr>
          <w:rtl/>
        </w:rPr>
        <w:t xml:space="preserve"> </w:t>
      </w:r>
      <w:r w:rsidRPr="00F41E78">
        <w:rPr>
          <w:rFonts w:hint="eastAsia"/>
          <w:rtl/>
        </w:rPr>
        <w:t>הקרקע</w:t>
      </w:r>
      <w:r w:rsidRPr="00F41E78">
        <w:rPr>
          <w:rtl/>
        </w:rPr>
        <w:t xml:space="preserve"> </w:t>
      </w:r>
      <w:r w:rsidRPr="00F41E78">
        <w:rPr>
          <w:rFonts w:hint="eastAsia"/>
          <w:rtl/>
        </w:rPr>
        <w:t>היא</w:t>
      </w:r>
      <w:r w:rsidRPr="00F41E78">
        <w:rPr>
          <w:rtl/>
        </w:rPr>
        <w:t xml:space="preserve"> </w:t>
      </w:r>
      <w:r w:rsidRPr="00F41E78">
        <w:rPr>
          <w:rFonts w:hint="eastAsia"/>
          <w:rtl/>
        </w:rPr>
        <w:t>פרטית</w:t>
      </w:r>
      <w:r w:rsidRPr="00F41E78">
        <w:rPr>
          <w:rtl/>
        </w:rPr>
        <w:t xml:space="preserve"> </w:t>
      </w:r>
      <w:r w:rsidRPr="00F41E78">
        <w:rPr>
          <w:rFonts w:hint="eastAsia"/>
          <w:rtl/>
        </w:rPr>
        <w:t>ועיתוי</w:t>
      </w:r>
      <w:r w:rsidRPr="00F41E78">
        <w:rPr>
          <w:rtl/>
        </w:rPr>
        <w:t xml:space="preserve"> </w:t>
      </w:r>
      <w:r w:rsidRPr="00F41E78">
        <w:rPr>
          <w:rFonts w:hint="eastAsia"/>
          <w:rtl/>
        </w:rPr>
        <w:t>מימוש</w:t>
      </w:r>
      <w:r w:rsidRPr="00F41E78">
        <w:rPr>
          <w:rtl/>
        </w:rPr>
        <w:t xml:space="preserve"> </w:t>
      </w:r>
      <w:r w:rsidRPr="00F41E78">
        <w:rPr>
          <w:rFonts w:hint="cs"/>
          <w:rtl/>
        </w:rPr>
        <w:t>ה</w:t>
      </w:r>
      <w:r w:rsidRPr="00F41E78">
        <w:rPr>
          <w:rFonts w:hint="eastAsia"/>
          <w:rtl/>
        </w:rPr>
        <w:t>תכניות</w:t>
      </w:r>
      <w:r w:rsidRPr="00F41E78">
        <w:rPr>
          <w:rtl/>
        </w:rPr>
        <w:t xml:space="preserve"> </w:t>
      </w:r>
      <w:r w:rsidRPr="00F41E78">
        <w:rPr>
          <w:rFonts w:hint="eastAsia"/>
          <w:rtl/>
        </w:rPr>
        <w:t>נתון</w:t>
      </w:r>
      <w:r w:rsidRPr="00F41E78">
        <w:rPr>
          <w:rFonts w:hint="cs"/>
          <w:rtl/>
        </w:rPr>
        <w:t xml:space="preserve"> בידם של ה</w:t>
      </w:r>
      <w:r w:rsidRPr="00F41E78">
        <w:rPr>
          <w:rFonts w:hint="eastAsia"/>
          <w:rtl/>
        </w:rPr>
        <w:t>גורמים</w:t>
      </w:r>
      <w:r w:rsidRPr="00F41E78">
        <w:rPr>
          <w:rtl/>
        </w:rPr>
        <w:t xml:space="preserve"> </w:t>
      </w:r>
      <w:r w:rsidRPr="00F41E78">
        <w:rPr>
          <w:rFonts w:hint="cs"/>
          <w:rtl/>
        </w:rPr>
        <w:t>ה</w:t>
      </w:r>
      <w:r w:rsidRPr="00F41E78">
        <w:rPr>
          <w:rFonts w:hint="eastAsia"/>
          <w:rtl/>
        </w:rPr>
        <w:t>פרטיים</w:t>
      </w:r>
      <w:r w:rsidRPr="00F41E78">
        <w:rPr>
          <w:rFonts w:hint="cs"/>
          <w:rtl/>
        </w:rPr>
        <w:t>,</w:t>
      </w:r>
      <w:r w:rsidRPr="00F41E78">
        <w:rPr>
          <w:rtl/>
        </w:rPr>
        <w:t xml:space="preserve"> </w:t>
      </w:r>
      <w:r w:rsidRPr="00F41E78">
        <w:rPr>
          <w:rFonts w:hint="cs"/>
          <w:rtl/>
        </w:rPr>
        <w:t>והרשויות המקומיות אינן מחזיקות בכלים שיעודדו בנייה</w:t>
      </w:r>
      <w:r w:rsidRPr="00F41E78">
        <w:rPr>
          <w:rtl/>
        </w:rPr>
        <w:t xml:space="preserve"> על קרקע פרטית. </w:t>
      </w:r>
    </w:p>
    <w:p w:rsidR="00D22B16" w:rsidRPr="00F41E78" w:rsidP="00D22B16">
      <w:pPr>
        <w:pStyle w:val="RESHET"/>
        <w:keepLines/>
        <w:rPr>
          <w:rtl/>
        </w:rPr>
      </w:pPr>
      <w:r w:rsidRPr="00F41E78">
        <w:rPr>
          <w:rFonts w:hint="cs"/>
          <w:rtl/>
        </w:rPr>
        <w:t>לדעת משרד מבקר המדינה, לנוכח הקשיים במימון עלויות הפיתוח, על הממשלה לשקול דרכים לסייע לרשויות המקומיות, למשל באמצעות מימון ביניים, במניעת עיכובים בפיתוח ובזירוז בניית שכונות המגורים.</w:t>
      </w:r>
    </w:p>
    <w:p w:rsidR="00E97EDA" w:rsidRPr="00F41E78" w:rsidP="00A7557B">
      <w:pPr>
        <w:spacing w:after="120" w:line="230" w:lineRule="exact"/>
        <w:jc w:val="both"/>
        <w:rPr>
          <w:rFonts w:cs="FrankRuehl"/>
          <w:sz w:val="18"/>
          <w:szCs w:val="22"/>
          <w:rtl/>
          <w:lang w:eastAsia="he-IL"/>
        </w:rPr>
      </w:pPr>
    </w:p>
    <w:p w:rsidR="00E97EDA" w:rsidRPr="00F41E78" w:rsidP="00A7557B">
      <w:pPr>
        <w:spacing w:after="120" w:line="230" w:lineRule="exact"/>
        <w:jc w:val="both"/>
        <w:rPr>
          <w:rFonts w:cs="FrankRuehl"/>
          <w:sz w:val="18"/>
          <w:szCs w:val="22"/>
          <w:rtl/>
          <w:lang w:eastAsia="he-IL"/>
        </w:rPr>
      </w:pPr>
    </w:p>
    <w:p w:rsidR="00E97EDA" w:rsidRPr="00CB33CD" w:rsidP="00A7557B">
      <w:pPr>
        <w:pStyle w:val="KOT4"/>
        <w:rPr>
          <w:rtl/>
          <w:lang w:eastAsia="he-IL"/>
        </w:rPr>
      </w:pPr>
      <w:r w:rsidRPr="00CB33CD">
        <w:rPr>
          <w:rFonts w:hint="cs"/>
          <w:rtl/>
          <w:lang w:eastAsia="he-IL"/>
        </w:rPr>
        <w:t xml:space="preserve">תהליכי רישוי הבנייה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כאמור, לאחר אישור התכנון המפורט, שיווק הקרקע (במקרה של מקרקעי ישראל), חלוקת הקרקע למגרשים וביצוע עבודות הפיתוח ניתן להגיש בקשות לקבלת היתרי בנייה. השלבים העיקריים בתהליך רישוי בנייה הם הגשת בקשה לוועדה המקומית או לרשות הרישוי המקומית לקבלת היתר בנייה, בדיקת הבקשה בידי הרשות המקומית (התאמת הבקשה לתכניות החלות על הקרקע ולחקיקה הרלוונטית), תיקון הבקשה (אם נדרש) ותיאומה עם כמה וכמה גורמים ותשלום אגרות והיטלים בידי בעלי הנכסים. השלב הסופי בתהליך הוא הוצאת היתר הבנייה. </w:t>
      </w:r>
    </w:p>
    <w:p w:rsidR="00E97EDA" w:rsidRPr="0076055F" w:rsidP="0076055F">
      <w:pPr>
        <w:pStyle w:val="BodyText"/>
        <w:spacing w:before="0"/>
        <w:rPr>
          <w:spacing w:val="-2"/>
          <w:sz w:val="18"/>
          <w:rtl/>
          <w:lang w:eastAsia="he-IL"/>
        </w:rPr>
      </w:pPr>
      <w:r w:rsidRPr="0076055F">
        <w:rPr>
          <w:rFonts w:hint="cs"/>
          <w:spacing w:val="-2"/>
          <w:sz w:val="18"/>
          <w:rtl/>
          <w:lang w:eastAsia="he-IL"/>
        </w:rPr>
        <w:t xml:space="preserve">בנייה היא מימוש של זכויות שנקבעו בתכניות מפורטות. כדי שמגיש בקשה להיתר בנייה יידע על זכויות הבנייה שלו, על מגבלות הבנייה ועל נושאים נוספים הנוגעים לתכנון המבנה (כמו מיקום </w:t>
      </w:r>
      <w:r w:rsidRPr="0076055F">
        <w:rPr>
          <w:rFonts w:hint="cs"/>
          <w:spacing w:val="-2"/>
          <w:sz w:val="18"/>
          <w:rtl/>
          <w:lang w:eastAsia="he-IL"/>
        </w:rPr>
        <w:t xml:space="preserve">התשתיות המוניציפליות) הוא נדרש להגיש בקשה לקבלת מידע, כאמור בסעיף 145(א1) לחוק התכנון והבנייה וכן בתקנות התכנון והבניה (מידע נדרש להיתר), התשנ"ב-1992. גם בתקנה 1א לתקנות התכנון והבניה (בקשה להיתר, תנאיו ואגרות), התש"ל-1970 (להלן - תקנות ההיתרים), נקבע הליך של מסירת מידע למבקש היתר בנייה ונקצב לרשות המקומית כחודש ימים למסור את המידע. </w:t>
      </w:r>
    </w:p>
    <w:p w:rsidR="00E97EDA" w:rsidRPr="0076055F" w:rsidP="00A7557B">
      <w:pPr>
        <w:spacing w:after="120" w:line="230" w:lineRule="exact"/>
        <w:jc w:val="both"/>
        <w:rPr>
          <w:rFonts w:cs="FrankRuehl"/>
          <w:spacing w:val="-2"/>
          <w:sz w:val="18"/>
          <w:szCs w:val="22"/>
          <w:lang w:eastAsia="he-IL"/>
        </w:rPr>
      </w:pPr>
      <w:r w:rsidRPr="0076055F">
        <w:rPr>
          <w:rFonts w:cs="FrankRuehl" w:hint="cs"/>
          <w:spacing w:val="-2"/>
          <w:sz w:val="18"/>
          <w:szCs w:val="22"/>
          <w:rtl/>
          <w:lang w:eastAsia="he-IL"/>
        </w:rPr>
        <w:t xml:space="preserve">בסעיף 157 לחוק התכנון והבנייה נקבע כי אם לא התקבלה החלטה בבקשה להיתר בתוך שלושה חודשים מיום הגשת הבקשה יראו זאת כסירוב להוצאת היתר, ומגיש הבקשה רשאי להגיש את בקשתו לוועדת ערר מחוזית לתכנון ובניה שתדון בבקשה ותיתן את החלטתה בתוך 30 יום. בתקנה 16 לתקנות ההיתרים נקבעה סמכות לוועדה המקומית (או לרשות הרישוי המקומית) </w:t>
      </w:r>
      <w:r w:rsidRPr="0076055F">
        <w:rPr>
          <w:rFonts w:cs="FrankRuehl" w:hint="eastAsia"/>
          <w:spacing w:val="-2"/>
          <w:sz w:val="18"/>
          <w:szCs w:val="22"/>
          <w:rtl/>
          <w:lang w:eastAsia="he-IL"/>
        </w:rPr>
        <w:t>להתלות</w:t>
      </w:r>
      <w:r w:rsidRPr="0076055F">
        <w:rPr>
          <w:rFonts w:cs="FrankRuehl"/>
          <w:spacing w:val="-2"/>
          <w:sz w:val="18"/>
          <w:szCs w:val="22"/>
          <w:rtl/>
          <w:lang w:eastAsia="he-IL"/>
        </w:rPr>
        <w:t xml:space="preserve"> </w:t>
      </w:r>
      <w:r w:rsidRPr="0076055F">
        <w:rPr>
          <w:rFonts w:cs="FrankRuehl" w:hint="eastAsia"/>
          <w:spacing w:val="-2"/>
          <w:sz w:val="18"/>
          <w:szCs w:val="22"/>
          <w:rtl/>
          <w:lang w:eastAsia="he-IL"/>
        </w:rPr>
        <w:t>מתן</w:t>
      </w:r>
      <w:r w:rsidRPr="0076055F">
        <w:rPr>
          <w:rFonts w:cs="FrankRuehl"/>
          <w:spacing w:val="-2"/>
          <w:sz w:val="18"/>
          <w:szCs w:val="22"/>
          <w:rtl/>
          <w:lang w:eastAsia="he-IL"/>
        </w:rPr>
        <w:t xml:space="preserve"> </w:t>
      </w:r>
      <w:r w:rsidRPr="0076055F">
        <w:rPr>
          <w:rFonts w:cs="FrankRuehl" w:hint="eastAsia"/>
          <w:spacing w:val="-2"/>
          <w:sz w:val="18"/>
          <w:szCs w:val="22"/>
          <w:rtl/>
          <w:lang w:eastAsia="he-IL"/>
        </w:rPr>
        <w:t>היתר</w:t>
      </w:r>
      <w:r w:rsidRPr="0076055F">
        <w:rPr>
          <w:rFonts w:cs="FrankRuehl"/>
          <w:spacing w:val="-2"/>
          <w:sz w:val="18"/>
          <w:szCs w:val="22"/>
          <w:rtl/>
          <w:lang w:eastAsia="he-IL"/>
        </w:rPr>
        <w:t xml:space="preserve"> </w:t>
      </w:r>
      <w:r w:rsidRPr="0076055F">
        <w:rPr>
          <w:rFonts w:cs="FrankRuehl" w:hint="eastAsia"/>
          <w:spacing w:val="-2"/>
          <w:sz w:val="18"/>
          <w:szCs w:val="22"/>
          <w:rtl/>
          <w:lang w:eastAsia="he-IL"/>
        </w:rPr>
        <w:t>בעניינים</w:t>
      </w:r>
      <w:r w:rsidRPr="0076055F">
        <w:rPr>
          <w:rFonts w:cs="FrankRuehl"/>
          <w:spacing w:val="-2"/>
          <w:sz w:val="18"/>
          <w:szCs w:val="22"/>
          <w:rtl/>
          <w:lang w:eastAsia="he-IL"/>
        </w:rPr>
        <w:t xml:space="preserve"> </w:t>
      </w:r>
      <w:r w:rsidRPr="0076055F">
        <w:rPr>
          <w:rFonts w:cs="FrankRuehl" w:hint="eastAsia"/>
          <w:spacing w:val="-2"/>
          <w:sz w:val="18"/>
          <w:szCs w:val="22"/>
          <w:rtl/>
          <w:lang w:eastAsia="he-IL"/>
        </w:rPr>
        <w:t>כמו</w:t>
      </w:r>
      <w:r w:rsidRPr="0076055F">
        <w:rPr>
          <w:rFonts w:cs="FrankRuehl" w:hint="cs"/>
          <w:spacing w:val="-2"/>
          <w:sz w:val="18"/>
          <w:szCs w:val="22"/>
          <w:rtl/>
          <w:lang w:eastAsia="he-IL"/>
        </w:rPr>
        <w:t xml:space="preserve"> טיבם של חומרי הבנייה, מראהו של הבניין, ניקוז המגרש ועיצוב הנוף והסביבה, תיאום החיבור לתשתיות מים, גז, חשמל ותקשורת, פינוי אשפה, בטיחות אש, חניה והסדרי תנועה, תאורה ועריכת חוות דעת סביבתית. ואכן, לרוב הוועדה המקומית מחליטה באופן עקרוני לאשר את הבקשות להיתר בכפוף לקבלת אישורים מכמה וכמה גורמים ברשות המקומית ומחוצה לה, וכן בכפוף להתקשרויות עם גורמי בקרה כמו מעבדות הבודקות שהבנייה נעשית על פי התקנים המחייבים. האישורים נדרשים כדי להבטיח את איכות הבנייה ואת בטיחות המשתמשים בבניינים.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להלן ממצאים בנוגע למשך תהליך הרישוי וליישום המלצות לשיפורו וייעולו:</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משרד מבקר המדינה בדק את משך הזמן הנדרש למתן היתר בנייה מיום הגשת הבקשה לקבלת היתר עד הוצאת ההיתר (כלומר, לאחר שהוסדרו סוגיות הפיתוח והחלוקה של הקרקע). נבדקו בקשות לקבלת היתר בנייה לבנייני מגורים בבנייה חדשה (כלומר, לא שיפוץ או הרחבה של בניינים קיימים) בשנים 2012-2005 בחמש רשויות מקומיות. </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להלן פירוט:</w:t>
      </w:r>
    </w:p>
    <w:p w:rsidR="00E97EDA" w:rsidRPr="00BA2EE1" w:rsidP="0076055F">
      <w:pPr>
        <w:pStyle w:val="tab-name"/>
        <w:rPr>
          <w:rtl/>
          <w:lang w:eastAsia="he-IL"/>
        </w:rPr>
      </w:pPr>
      <w:r w:rsidRPr="0076055F">
        <w:rPr>
          <w:rFonts w:hint="cs"/>
          <w:b w:val="0"/>
          <w:bCs w:val="0"/>
          <w:sz w:val="20"/>
          <w:szCs w:val="20"/>
          <w:rtl/>
          <w:lang w:eastAsia="he-IL"/>
        </w:rPr>
        <w:t xml:space="preserve">לוח </w:t>
      </w:r>
      <w:r w:rsidRPr="0076055F" w:rsidR="0076055F">
        <w:rPr>
          <w:rFonts w:hint="cs"/>
          <w:b w:val="0"/>
          <w:bCs w:val="0"/>
          <w:sz w:val="20"/>
          <w:szCs w:val="20"/>
          <w:rtl/>
          <w:lang w:eastAsia="he-IL"/>
        </w:rPr>
        <w:t>3</w:t>
      </w:r>
      <w:r w:rsidRPr="0076055F" w:rsidR="0076055F">
        <w:rPr>
          <w:b w:val="0"/>
          <w:bCs w:val="0"/>
          <w:sz w:val="20"/>
          <w:szCs w:val="20"/>
          <w:lang w:eastAsia="he-IL"/>
        </w:rPr>
        <w:br/>
      </w:r>
      <w:r w:rsidRPr="00BA2EE1">
        <w:rPr>
          <w:rFonts w:hint="cs"/>
          <w:rtl/>
          <w:lang w:eastAsia="he-IL"/>
        </w:rPr>
        <w:t xml:space="preserve">משך הזמן </w:t>
      </w:r>
      <w:r>
        <w:rPr>
          <w:rFonts w:hint="cs"/>
          <w:rtl/>
          <w:lang w:eastAsia="he-IL"/>
        </w:rPr>
        <w:t xml:space="preserve">הממוצע </w:t>
      </w:r>
      <w:r w:rsidRPr="00BA2EE1">
        <w:rPr>
          <w:rFonts w:hint="cs"/>
          <w:rtl/>
          <w:lang w:eastAsia="he-IL"/>
        </w:rPr>
        <w:t xml:space="preserve">לטיפול בבקשות להיתר בנייה לבנייני מגורים בבנייה חדשה, </w:t>
      </w:r>
      <w:r w:rsidR="0076055F">
        <w:rPr>
          <w:lang w:eastAsia="he-IL"/>
        </w:rPr>
        <w:br/>
      </w:r>
      <w:r w:rsidRPr="00BA2EE1">
        <w:rPr>
          <w:rFonts w:hint="cs"/>
          <w:rtl/>
          <w:lang w:eastAsia="he-IL"/>
        </w:rPr>
        <w:t>לפי רשות מקומית, 2012-2005</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
      <w:tblGrid>
        <w:gridCol w:w="1100"/>
        <w:gridCol w:w="1099"/>
        <w:gridCol w:w="1121"/>
        <w:gridCol w:w="1128"/>
        <w:gridCol w:w="1122"/>
        <w:gridCol w:w="1121"/>
      </w:tblGrid>
      <w:tr w:rsidTr="0076055F">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1E0"/>
        </w:tblPrEx>
        <w:trPr>
          <w:jc w:val="center"/>
        </w:trPr>
        <w:tc>
          <w:tcPr>
            <w:tcW w:w="1406" w:type="dxa"/>
            <w:tcBorders>
              <w:top w:val="single" w:sz="12" w:space="0" w:color="auto"/>
              <w:bottom w:val="single" w:sz="12" w:space="0" w:color="auto"/>
            </w:tcBorders>
            <w:shd w:val="pct10" w:color="auto" w:fill="auto"/>
            <w:vAlign w:val="bottom"/>
          </w:tcPr>
          <w:p w:rsidR="00E97EDA" w:rsidRPr="0076055F" w:rsidP="0076055F">
            <w:pPr>
              <w:spacing w:before="40" w:after="20" w:line="200" w:lineRule="exact"/>
              <w:jc w:val="center"/>
              <w:rPr>
                <w:rFonts w:cs="FrankRuehl"/>
                <w:b/>
                <w:bCs/>
                <w:sz w:val="20"/>
                <w:szCs w:val="20"/>
                <w:rtl/>
              </w:rPr>
            </w:pPr>
            <w:r w:rsidRPr="0076055F">
              <w:rPr>
                <w:rFonts w:cs="FrankRuehl" w:hint="cs"/>
                <w:b/>
                <w:bCs/>
                <w:sz w:val="20"/>
                <w:szCs w:val="20"/>
                <w:rtl/>
              </w:rPr>
              <w:t xml:space="preserve">הרשות </w:t>
            </w:r>
            <w:r w:rsidR="0076055F">
              <w:rPr>
                <w:rFonts w:cs="FrankRuehl"/>
                <w:b/>
                <w:bCs/>
                <w:sz w:val="20"/>
                <w:szCs w:val="20"/>
              </w:rPr>
              <w:br/>
            </w:r>
            <w:r w:rsidRPr="0076055F">
              <w:rPr>
                <w:rFonts w:cs="FrankRuehl" w:hint="cs"/>
                <w:b/>
                <w:bCs/>
                <w:sz w:val="20"/>
                <w:szCs w:val="20"/>
                <w:rtl/>
              </w:rPr>
              <w:t>המקומית</w:t>
            </w:r>
          </w:p>
        </w:tc>
        <w:tc>
          <w:tcPr>
            <w:tcW w:w="1406" w:type="dxa"/>
            <w:tcBorders>
              <w:top w:val="single" w:sz="12" w:space="0" w:color="auto"/>
              <w:bottom w:val="single" w:sz="12" w:space="0" w:color="auto"/>
            </w:tcBorders>
            <w:shd w:val="pct10" w:color="auto" w:fill="auto"/>
            <w:vAlign w:val="bottom"/>
          </w:tcPr>
          <w:p w:rsidR="00E97EDA" w:rsidRPr="0076055F" w:rsidP="0076055F">
            <w:pPr>
              <w:spacing w:before="40" w:after="20" w:line="200" w:lineRule="exact"/>
              <w:jc w:val="center"/>
              <w:rPr>
                <w:rFonts w:cs="FrankRuehl"/>
                <w:b/>
                <w:bCs/>
                <w:sz w:val="20"/>
                <w:szCs w:val="20"/>
                <w:rtl/>
              </w:rPr>
            </w:pPr>
            <w:r w:rsidRPr="0076055F">
              <w:rPr>
                <w:rFonts w:cs="FrankRuehl" w:hint="cs"/>
                <w:b/>
                <w:bCs/>
                <w:sz w:val="20"/>
                <w:szCs w:val="20"/>
                <w:rtl/>
              </w:rPr>
              <w:t>מספר הבקשות להיתר שנבדקו*</w:t>
            </w:r>
          </w:p>
        </w:tc>
        <w:tc>
          <w:tcPr>
            <w:tcW w:w="1406" w:type="dxa"/>
            <w:tcBorders>
              <w:top w:val="single" w:sz="12" w:space="0" w:color="auto"/>
              <w:bottom w:val="single" w:sz="12" w:space="0" w:color="auto"/>
            </w:tcBorders>
            <w:shd w:val="pct10" w:color="auto" w:fill="auto"/>
            <w:vAlign w:val="bottom"/>
          </w:tcPr>
          <w:p w:rsidR="00E97EDA" w:rsidRPr="0076055F" w:rsidP="0076055F">
            <w:pPr>
              <w:spacing w:before="40" w:after="20" w:line="200" w:lineRule="exact"/>
              <w:jc w:val="center"/>
              <w:rPr>
                <w:rFonts w:cs="FrankRuehl"/>
                <w:b/>
                <w:bCs/>
                <w:sz w:val="20"/>
                <w:szCs w:val="20"/>
                <w:rtl/>
              </w:rPr>
            </w:pPr>
            <w:r w:rsidRPr="0076055F">
              <w:rPr>
                <w:rFonts w:cs="FrankRuehl" w:hint="cs"/>
                <w:b/>
                <w:bCs/>
                <w:sz w:val="20"/>
                <w:szCs w:val="20"/>
                <w:rtl/>
              </w:rPr>
              <w:t>משך הזמן הממוצע מיום הגשת הבקשה עד הדיון האחרון בה</w:t>
            </w:r>
            <w:r w:rsidR="0076055F">
              <w:rPr>
                <w:rFonts w:cs="FrankRuehl"/>
                <w:b/>
                <w:bCs/>
                <w:sz w:val="20"/>
                <w:szCs w:val="20"/>
              </w:rPr>
              <w:br/>
            </w:r>
            <w:r w:rsidRPr="0076055F">
              <w:rPr>
                <w:rFonts w:cs="FrankRuehl" w:hint="cs"/>
                <w:b/>
                <w:bCs/>
                <w:sz w:val="20"/>
                <w:szCs w:val="20"/>
                <w:rtl/>
              </w:rPr>
              <w:t>(חודשים)</w:t>
            </w:r>
          </w:p>
        </w:tc>
        <w:tc>
          <w:tcPr>
            <w:tcW w:w="1406" w:type="dxa"/>
            <w:tcBorders>
              <w:top w:val="single" w:sz="12" w:space="0" w:color="auto"/>
              <w:bottom w:val="single" w:sz="12" w:space="0" w:color="auto"/>
            </w:tcBorders>
            <w:shd w:val="pct10" w:color="auto" w:fill="auto"/>
            <w:vAlign w:val="bottom"/>
          </w:tcPr>
          <w:p w:rsidR="00E97EDA" w:rsidRPr="0076055F" w:rsidP="0076055F">
            <w:pPr>
              <w:spacing w:before="40" w:after="20" w:line="200" w:lineRule="exact"/>
              <w:jc w:val="center"/>
              <w:rPr>
                <w:rFonts w:cs="FrankRuehl"/>
                <w:b/>
                <w:bCs/>
                <w:sz w:val="20"/>
                <w:szCs w:val="20"/>
                <w:rtl/>
              </w:rPr>
            </w:pPr>
            <w:r w:rsidRPr="0076055F">
              <w:rPr>
                <w:rFonts w:cs="FrankRuehl" w:hint="cs"/>
                <w:b/>
                <w:bCs/>
                <w:sz w:val="20"/>
                <w:szCs w:val="20"/>
                <w:rtl/>
              </w:rPr>
              <w:t>משך הזמן הממוצע ממועד הדיון בבקשה עד תשלום האגרות</w:t>
            </w:r>
            <w:r w:rsidR="0076055F">
              <w:rPr>
                <w:rFonts w:cs="FrankRuehl"/>
                <w:b/>
                <w:bCs/>
                <w:sz w:val="20"/>
                <w:szCs w:val="20"/>
              </w:rPr>
              <w:br/>
            </w:r>
            <w:r w:rsidRPr="0076055F">
              <w:rPr>
                <w:rFonts w:cs="FrankRuehl" w:hint="cs"/>
                <w:b/>
                <w:bCs/>
                <w:sz w:val="20"/>
                <w:szCs w:val="20"/>
                <w:rtl/>
              </w:rPr>
              <w:t>(חודשים)</w:t>
            </w:r>
          </w:p>
        </w:tc>
        <w:tc>
          <w:tcPr>
            <w:tcW w:w="1406" w:type="dxa"/>
            <w:tcBorders>
              <w:top w:val="single" w:sz="12" w:space="0" w:color="auto"/>
              <w:bottom w:val="single" w:sz="12" w:space="0" w:color="auto"/>
            </w:tcBorders>
            <w:shd w:val="pct10" w:color="auto" w:fill="auto"/>
            <w:vAlign w:val="bottom"/>
          </w:tcPr>
          <w:p w:rsidR="00E97EDA" w:rsidRPr="0076055F" w:rsidP="0076055F">
            <w:pPr>
              <w:spacing w:before="40" w:after="20" w:line="200" w:lineRule="exact"/>
              <w:jc w:val="center"/>
              <w:rPr>
                <w:rFonts w:cs="FrankRuehl"/>
                <w:b/>
                <w:bCs/>
                <w:sz w:val="20"/>
                <w:szCs w:val="20"/>
                <w:rtl/>
              </w:rPr>
            </w:pPr>
            <w:r w:rsidRPr="0076055F">
              <w:rPr>
                <w:rFonts w:cs="FrankRuehl" w:hint="cs"/>
                <w:b/>
                <w:bCs/>
                <w:sz w:val="20"/>
                <w:szCs w:val="20"/>
                <w:rtl/>
              </w:rPr>
              <w:t xml:space="preserve">משך הזמן הממוצע ממועד תשלום האגרות עד הוצאת היתר הבנייה </w:t>
            </w:r>
            <w:r w:rsidR="0076055F">
              <w:rPr>
                <w:rFonts w:cs="FrankRuehl"/>
                <w:b/>
                <w:bCs/>
                <w:sz w:val="20"/>
                <w:szCs w:val="20"/>
              </w:rPr>
              <w:br/>
            </w:r>
            <w:r w:rsidRPr="0076055F">
              <w:rPr>
                <w:rFonts w:cs="FrankRuehl" w:hint="cs"/>
                <w:b/>
                <w:bCs/>
                <w:sz w:val="20"/>
                <w:szCs w:val="20"/>
                <w:rtl/>
              </w:rPr>
              <w:t>(חודשים)</w:t>
            </w:r>
          </w:p>
        </w:tc>
        <w:tc>
          <w:tcPr>
            <w:tcW w:w="1406" w:type="dxa"/>
            <w:tcBorders>
              <w:top w:val="single" w:sz="12" w:space="0" w:color="auto"/>
              <w:bottom w:val="single" w:sz="12" w:space="0" w:color="auto"/>
            </w:tcBorders>
            <w:shd w:val="pct10" w:color="auto" w:fill="auto"/>
            <w:vAlign w:val="bottom"/>
          </w:tcPr>
          <w:p w:rsidR="00E97EDA" w:rsidRPr="0076055F" w:rsidP="0076055F">
            <w:pPr>
              <w:spacing w:before="40" w:after="20" w:line="200" w:lineRule="exact"/>
              <w:jc w:val="center"/>
              <w:rPr>
                <w:rFonts w:cs="FrankRuehl"/>
                <w:b/>
                <w:bCs/>
                <w:sz w:val="20"/>
                <w:szCs w:val="20"/>
                <w:rtl/>
              </w:rPr>
            </w:pPr>
            <w:r w:rsidRPr="0076055F">
              <w:rPr>
                <w:rFonts w:cs="FrankRuehl" w:hint="cs"/>
                <w:b/>
                <w:bCs/>
                <w:sz w:val="20"/>
                <w:szCs w:val="20"/>
                <w:rtl/>
              </w:rPr>
              <w:t>משך הזמן הממוצע של כל התהליך</w:t>
            </w:r>
            <w:r w:rsidR="0076055F">
              <w:rPr>
                <w:rFonts w:cs="FrankRuehl"/>
                <w:b/>
                <w:bCs/>
                <w:sz w:val="20"/>
                <w:szCs w:val="20"/>
              </w:rPr>
              <w:br/>
            </w:r>
            <w:r w:rsidRPr="0076055F">
              <w:rPr>
                <w:rFonts w:cs="FrankRuehl" w:hint="cs"/>
                <w:b/>
                <w:bCs/>
                <w:sz w:val="20"/>
                <w:szCs w:val="20"/>
                <w:rtl/>
              </w:rPr>
              <w:t>(חודשים)</w:t>
            </w:r>
          </w:p>
        </w:tc>
      </w:tr>
      <w:tr w:rsidTr="0076055F">
        <w:tblPrEx>
          <w:tblW w:w="6691" w:type="dxa"/>
          <w:jc w:val="center"/>
          <w:tblLook w:val="01E0"/>
        </w:tblPrEx>
        <w:trPr>
          <w:jc w:val="center"/>
        </w:trPr>
        <w:tc>
          <w:tcPr>
            <w:tcW w:w="1406" w:type="dxa"/>
            <w:tcBorders>
              <w:top w:val="single" w:sz="12" w:space="0" w:color="auto"/>
            </w:tcBorders>
            <w:shd w:val="clear" w:color="auto" w:fill="auto"/>
          </w:tcPr>
          <w:p w:rsidR="00E97EDA" w:rsidRPr="0076055F" w:rsidP="0076055F">
            <w:pPr>
              <w:spacing w:before="40" w:after="20" w:line="200" w:lineRule="exact"/>
              <w:rPr>
                <w:rFonts w:cs="FrankRuehl"/>
                <w:sz w:val="20"/>
                <w:szCs w:val="20"/>
                <w:rtl/>
              </w:rPr>
            </w:pPr>
            <w:r w:rsidRPr="0076055F">
              <w:rPr>
                <w:rFonts w:cs="FrankRuehl" w:hint="cs"/>
                <w:sz w:val="20"/>
                <w:szCs w:val="20"/>
                <w:rtl/>
              </w:rPr>
              <w:t>חיפה</w:t>
            </w:r>
          </w:p>
        </w:tc>
        <w:tc>
          <w:tcPr>
            <w:tcW w:w="1406" w:type="dxa"/>
            <w:tcBorders>
              <w:top w:val="single" w:sz="12" w:space="0" w:color="auto"/>
            </w:tcBorders>
            <w:shd w:val="clear" w:color="auto" w:fill="auto"/>
          </w:tcPr>
          <w:p w:rsidR="00E97EDA" w:rsidRPr="0076055F" w:rsidP="0076055F">
            <w:pPr>
              <w:spacing w:before="40" w:after="20" w:line="200" w:lineRule="exact"/>
              <w:ind w:left="283"/>
              <w:rPr>
                <w:rFonts w:cs="FrankRuehl"/>
                <w:sz w:val="20"/>
                <w:szCs w:val="20"/>
                <w:rtl/>
              </w:rPr>
            </w:pPr>
            <w:r w:rsidRPr="0076055F">
              <w:rPr>
                <w:rFonts w:cs="FrankRuehl" w:hint="cs"/>
                <w:sz w:val="20"/>
                <w:szCs w:val="20"/>
                <w:rtl/>
              </w:rPr>
              <w:t>274</w:t>
            </w:r>
          </w:p>
        </w:tc>
        <w:tc>
          <w:tcPr>
            <w:tcW w:w="1406" w:type="dxa"/>
            <w:tcBorders>
              <w:top w:val="single" w:sz="12" w:space="0" w:color="auto"/>
            </w:tcBorders>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3</w:t>
            </w:r>
          </w:p>
        </w:tc>
        <w:tc>
          <w:tcPr>
            <w:tcW w:w="1406" w:type="dxa"/>
            <w:tcBorders>
              <w:top w:val="single" w:sz="12" w:space="0" w:color="auto"/>
            </w:tcBorders>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6</w:t>
            </w:r>
          </w:p>
        </w:tc>
        <w:tc>
          <w:tcPr>
            <w:tcW w:w="1406" w:type="dxa"/>
            <w:tcBorders>
              <w:top w:val="single" w:sz="12" w:space="0" w:color="auto"/>
            </w:tcBorders>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0.9</w:t>
            </w:r>
          </w:p>
        </w:tc>
        <w:tc>
          <w:tcPr>
            <w:tcW w:w="1406" w:type="dxa"/>
            <w:tcBorders>
              <w:top w:val="single" w:sz="12" w:space="0" w:color="auto"/>
            </w:tcBorders>
            <w:shd w:val="clear" w:color="auto" w:fill="auto"/>
          </w:tcPr>
          <w:p w:rsidR="00E97EDA" w:rsidRPr="0076055F" w:rsidP="0076055F">
            <w:pPr>
              <w:spacing w:before="40" w:after="20" w:line="200" w:lineRule="exact"/>
              <w:ind w:left="283"/>
              <w:rPr>
                <w:rFonts w:cs="FrankRuehl"/>
                <w:b/>
                <w:bCs/>
                <w:sz w:val="20"/>
                <w:szCs w:val="20"/>
                <w:u w:val="single"/>
                <w:rtl/>
              </w:rPr>
            </w:pPr>
            <w:r w:rsidRPr="0076055F">
              <w:rPr>
                <w:rFonts w:cs="FrankRuehl" w:hint="cs"/>
                <w:b/>
                <w:bCs/>
                <w:sz w:val="20"/>
                <w:szCs w:val="20"/>
                <w:u w:val="single"/>
                <w:rtl/>
              </w:rPr>
              <w:t>9.9</w:t>
            </w:r>
          </w:p>
        </w:tc>
      </w:tr>
      <w:tr w:rsidTr="0076055F">
        <w:tblPrEx>
          <w:tblW w:w="6691" w:type="dxa"/>
          <w:jc w:val="center"/>
          <w:tblLook w:val="01E0"/>
        </w:tblPrEx>
        <w:trPr>
          <w:jc w:val="center"/>
        </w:trPr>
        <w:tc>
          <w:tcPr>
            <w:tcW w:w="1406" w:type="dxa"/>
            <w:shd w:val="clear" w:color="auto" w:fill="auto"/>
          </w:tcPr>
          <w:p w:rsidR="00E97EDA" w:rsidRPr="0076055F" w:rsidP="0076055F">
            <w:pPr>
              <w:spacing w:before="40" w:after="20" w:line="200" w:lineRule="exact"/>
              <w:rPr>
                <w:rFonts w:cs="FrankRuehl"/>
                <w:sz w:val="20"/>
                <w:szCs w:val="20"/>
                <w:rtl/>
              </w:rPr>
            </w:pPr>
            <w:r w:rsidRPr="0076055F">
              <w:rPr>
                <w:rFonts w:cs="FrankRuehl" w:hint="cs"/>
                <w:sz w:val="20"/>
                <w:szCs w:val="20"/>
                <w:rtl/>
              </w:rPr>
              <w:t>באר שבע</w:t>
            </w:r>
          </w:p>
        </w:tc>
        <w:tc>
          <w:tcPr>
            <w:tcW w:w="1406" w:type="dxa"/>
            <w:shd w:val="clear" w:color="auto" w:fill="auto"/>
          </w:tcPr>
          <w:p w:rsidR="00E97EDA" w:rsidRPr="0076055F" w:rsidP="0076055F">
            <w:pPr>
              <w:spacing w:before="40" w:after="20" w:line="200" w:lineRule="exact"/>
              <w:ind w:left="283"/>
              <w:rPr>
                <w:rFonts w:cs="FrankRuehl"/>
                <w:sz w:val="20"/>
                <w:szCs w:val="20"/>
                <w:rtl/>
              </w:rPr>
            </w:pPr>
            <w:r w:rsidRPr="0076055F">
              <w:rPr>
                <w:rFonts w:cs="FrankRuehl" w:hint="cs"/>
                <w:sz w:val="20"/>
                <w:szCs w:val="20"/>
                <w:rtl/>
              </w:rPr>
              <w:t>38</w:t>
            </w:r>
          </w:p>
        </w:tc>
        <w:tc>
          <w:tcPr>
            <w:tcW w:w="1406" w:type="dxa"/>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2.1</w:t>
            </w:r>
          </w:p>
        </w:tc>
        <w:tc>
          <w:tcPr>
            <w:tcW w:w="1406" w:type="dxa"/>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6</w:t>
            </w:r>
          </w:p>
        </w:tc>
        <w:tc>
          <w:tcPr>
            <w:tcW w:w="1406" w:type="dxa"/>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0.3</w:t>
            </w:r>
          </w:p>
        </w:tc>
        <w:tc>
          <w:tcPr>
            <w:tcW w:w="1406" w:type="dxa"/>
            <w:shd w:val="clear" w:color="auto" w:fill="auto"/>
          </w:tcPr>
          <w:p w:rsidR="00E97EDA" w:rsidRPr="0076055F" w:rsidP="0076055F">
            <w:pPr>
              <w:spacing w:before="40" w:after="20" w:line="200" w:lineRule="exact"/>
              <w:ind w:left="283"/>
              <w:rPr>
                <w:rFonts w:cs="FrankRuehl"/>
                <w:b/>
                <w:bCs/>
                <w:sz w:val="20"/>
                <w:szCs w:val="20"/>
                <w:u w:val="single"/>
                <w:rtl/>
              </w:rPr>
            </w:pPr>
            <w:r w:rsidRPr="0076055F">
              <w:rPr>
                <w:rFonts w:cs="FrankRuehl" w:hint="cs"/>
                <w:b/>
                <w:bCs/>
                <w:sz w:val="20"/>
                <w:szCs w:val="20"/>
                <w:u w:val="single"/>
                <w:rtl/>
              </w:rPr>
              <w:t>8.4</w:t>
            </w:r>
          </w:p>
        </w:tc>
      </w:tr>
      <w:tr w:rsidTr="0076055F">
        <w:tblPrEx>
          <w:tblW w:w="6691" w:type="dxa"/>
          <w:jc w:val="center"/>
          <w:tblLook w:val="01E0"/>
        </w:tblPrEx>
        <w:trPr>
          <w:jc w:val="center"/>
        </w:trPr>
        <w:tc>
          <w:tcPr>
            <w:tcW w:w="1406" w:type="dxa"/>
            <w:shd w:val="clear" w:color="auto" w:fill="auto"/>
          </w:tcPr>
          <w:p w:rsidR="00E97EDA" w:rsidRPr="0076055F" w:rsidP="0076055F">
            <w:pPr>
              <w:spacing w:before="40" w:after="20" w:line="200" w:lineRule="exact"/>
              <w:rPr>
                <w:rFonts w:cs="FrankRuehl"/>
                <w:sz w:val="20"/>
                <w:szCs w:val="20"/>
                <w:rtl/>
              </w:rPr>
            </w:pPr>
            <w:r w:rsidRPr="0076055F">
              <w:rPr>
                <w:rFonts w:cs="FrankRuehl" w:hint="cs"/>
                <w:sz w:val="20"/>
                <w:szCs w:val="20"/>
                <w:rtl/>
              </w:rPr>
              <w:t>רחובות</w:t>
            </w:r>
          </w:p>
        </w:tc>
        <w:tc>
          <w:tcPr>
            <w:tcW w:w="1406" w:type="dxa"/>
            <w:shd w:val="clear" w:color="auto" w:fill="auto"/>
          </w:tcPr>
          <w:p w:rsidR="00E97EDA" w:rsidRPr="0076055F" w:rsidP="0076055F">
            <w:pPr>
              <w:spacing w:before="40" w:after="20" w:line="200" w:lineRule="exact"/>
              <w:ind w:left="283"/>
              <w:rPr>
                <w:rFonts w:cs="FrankRuehl"/>
                <w:sz w:val="20"/>
                <w:szCs w:val="20"/>
                <w:rtl/>
              </w:rPr>
            </w:pPr>
            <w:r w:rsidRPr="0076055F">
              <w:rPr>
                <w:rFonts w:cs="FrankRuehl" w:hint="cs"/>
                <w:sz w:val="20"/>
                <w:szCs w:val="20"/>
                <w:rtl/>
              </w:rPr>
              <w:t>151</w:t>
            </w:r>
          </w:p>
        </w:tc>
        <w:tc>
          <w:tcPr>
            <w:tcW w:w="1406" w:type="dxa"/>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7.4</w:t>
            </w:r>
          </w:p>
        </w:tc>
        <w:tc>
          <w:tcPr>
            <w:tcW w:w="1406" w:type="dxa"/>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w:t>
            </w:r>
          </w:p>
        </w:tc>
        <w:tc>
          <w:tcPr>
            <w:tcW w:w="1406" w:type="dxa"/>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0.5</w:t>
            </w:r>
          </w:p>
        </w:tc>
        <w:tc>
          <w:tcPr>
            <w:tcW w:w="1406" w:type="dxa"/>
            <w:shd w:val="clear" w:color="auto" w:fill="auto"/>
          </w:tcPr>
          <w:p w:rsidR="00E97EDA" w:rsidRPr="0076055F" w:rsidP="0076055F">
            <w:pPr>
              <w:spacing w:before="40" w:after="20" w:line="200" w:lineRule="exact"/>
              <w:ind w:left="283"/>
              <w:rPr>
                <w:rFonts w:cs="FrankRuehl"/>
                <w:b/>
                <w:bCs/>
                <w:sz w:val="20"/>
                <w:szCs w:val="20"/>
                <w:u w:val="single"/>
                <w:rtl/>
              </w:rPr>
            </w:pPr>
            <w:r w:rsidRPr="0076055F">
              <w:rPr>
                <w:rFonts w:cs="FrankRuehl" w:hint="cs"/>
                <w:b/>
                <w:bCs/>
                <w:sz w:val="20"/>
                <w:szCs w:val="20"/>
                <w:u w:val="single"/>
                <w:rtl/>
              </w:rPr>
              <w:t>11.9</w:t>
            </w:r>
          </w:p>
        </w:tc>
      </w:tr>
      <w:tr w:rsidTr="0076055F">
        <w:tblPrEx>
          <w:tblW w:w="6691" w:type="dxa"/>
          <w:jc w:val="center"/>
          <w:tblLook w:val="01E0"/>
        </w:tblPrEx>
        <w:trPr>
          <w:jc w:val="center"/>
        </w:trPr>
        <w:tc>
          <w:tcPr>
            <w:tcW w:w="1406" w:type="dxa"/>
            <w:shd w:val="clear" w:color="auto" w:fill="auto"/>
          </w:tcPr>
          <w:p w:rsidR="00E97EDA" w:rsidRPr="0076055F" w:rsidP="0076055F">
            <w:pPr>
              <w:spacing w:before="40" w:after="20" w:line="200" w:lineRule="exact"/>
              <w:rPr>
                <w:rFonts w:cs="FrankRuehl"/>
                <w:sz w:val="20"/>
                <w:szCs w:val="20"/>
                <w:rtl/>
              </w:rPr>
            </w:pPr>
            <w:r w:rsidRPr="0076055F">
              <w:rPr>
                <w:rFonts w:cs="FrankRuehl" w:hint="cs"/>
                <w:sz w:val="20"/>
                <w:szCs w:val="20"/>
                <w:rtl/>
              </w:rPr>
              <w:t>נתניה</w:t>
            </w:r>
          </w:p>
        </w:tc>
        <w:tc>
          <w:tcPr>
            <w:tcW w:w="1406" w:type="dxa"/>
            <w:shd w:val="clear" w:color="auto" w:fill="auto"/>
          </w:tcPr>
          <w:p w:rsidR="00E97EDA" w:rsidRPr="0076055F" w:rsidP="0076055F">
            <w:pPr>
              <w:spacing w:before="40" w:after="20" w:line="200" w:lineRule="exact"/>
              <w:ind w:left="283"/>
              <w:rPr>
                <w:rFonts w:cs="FrankRuehl"/>
                <w:sz w:val="20"/>
                <w:szCs w:val="20"/>
                <w:rtl/>
              </w:rPr>
            </w:pPr>
            <w:r w:rsidRPr="0076055F">
              <w:rPr>
                <w:rFonts w:cs="FrankRuehl" w:hint="cs"/>
                <w:sz w:val="20"/>
                <w:szCs w:val="20"/>
                <w:rtl/>
              </w:rPr>
              <w:t>404</w:t>
            </w:r>
          </w:p>
        </w:tc>
        <w:tc>
          <w:tcPr>
            <w:tcW w:w="1406" w:type="dxa"/>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4.7</w:t>
            </w:r>
          </w:p>
        </w:tc>
        <w:tc>
          <w:tcPr>
            <w:tcW w:w="1406" w:type="dxa"/>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10.2</w:t>
            </w:r>
          </w:p>
        </w:tc>
        <w:tc>
          <w:tcPr>
            <w:tcW w:w="1406" w:type="dxa"/>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w:t>
            </w:r>
          </w:p>
        </w:tc>
        <w:tc>
          <w:tcPr>
            <w:tcW w:w="1406" w:type="dxa"/>
            <w:shd w:val="clear" w:color="auto" w:fill="auto"/>
          </w:tcPr>
          <w:p w:rsidR="00E97EDA" w:rsidRPr="0076055F" w:rsidP="0076055F">
            <w:pPr>
              <w:spacing w:before="40" w:after="20" w:line="200" w:lineRule="exact"/>
              <w:ind w:left="283"/>
              <w:rPr>
                <w:rFonts w:cs="FrankRuehl"/>
                <w:b/>
                <w:bCs/>
                <w:sz w:val="20"/>
                <w:szCs w:val="20"/>
                <w:u w:val="single"/>
                <w:rtl/>
              </w:rPr>
            </w:pPr>
            <w:r w:rsidRPr="0076055F">
              <w:rPr>
                <w:rFonts w:cs="FrankRuehl" w:hint="cs"/>
                <w:b/>
                <w:bCs/>
                <w:sz w:val="20"/>
                <w:szCs w:val="20"/>
                <w:u w:val="single"/>
                <w:rtl/>
              </w:rPr>
              <w:t>14.7</w:t>
            </w:r>
          </w:p>
        </w:tc>
      </w:tr>
      <w:tr w:rsidTr="0076055F">
        <w:tblPrEx>
          <w:tblW w:w="6691" w:type="dxa"/>
          <w:jc w:val="center"/>
          <w:tblLook w:val="01E0"/>
        </w:tblPrEx>
        <w:trPr>
          <w:jc w:val="center"/>
        </w:trPr>
        <w:tc>
          <w:tcPr>
            <w:tcW w:w="1406" w:type="dxa"/>
            <w:shd w:val="clear" w:color="auto" w:fill="auto"/>
          </w:tcPr>
          <w:p w:rsidR="00E97EDA" w:rsidRPr="0076055F" w:rsidP="0076055F">
            <w:pPr>
              <w:spacing w:before="40" w:after="20" w:line="200" w:lineRule="exact"/>
              <w:rPr>
                <w:rFonts w:cs="FrankRuehl"/>
                <w:sz w:val="20"/>
                <w:szCs w:val="20"/>
                <w:rtl/>
              </w:rPr>
            </w:pPr>
            <w:r w:rsidRPr="0076055F">
              <w:rPr>
                <w:rFonts w:cs="FrankRuehl" w:hint="cs"/>
                <w:sz w:val="20"/>
                <w:szCs w:val="20"/>
                <w:rtl/>
              </w:rPr>
              <w:t>הוד השרון</w:t>
            </w:r>
          </w:p>
        </w:tc>
        <w:tc>
          <w:tcPr>
            <w:tcW w:w="1406" w:type="dxa"/>
            <w:shd w:val="clear" w:color="auto" w:fill="auto"/>
          </w:tcPr>
          <w:p w:rsidR="00E97EDA" w:rsidRPr="0076055F" w:rsidP="0076055F">
            <w:pPr>
              <w:spacing w:before="40" w:after="20" w:line="200" w:lineRule="exact"/>
              <w:ind w:left="283"/>
              <w:rPr>
                <w:rFonts w:cs="FrankRuehl"/>
                <w:sz w:val="20"/>
                <w:szCs w:val="20"/>
                <w:rtl/>
              </w:rPr>
            </w:pPr>
            <w:r w:rsidRPr="0076055F">
              <w:rPr>
                <w:rFonts w:cs="FrankRuehl" w:hint="cs"/>
                <w:sz w:val="20"/>
                <w:szCs w:val="20"/>
                <w:rtl/>
              </w:rPr>
              <w:t>393</w:t>
            </w:r>
          </w:p>
        </w:tc>
        <w:tc>
          <w:tcPr>
            <w:tcW w:w="1406" w:type="dxa"/>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7.7</w:t>
            </w:r>
          </w:p>
        </w:tc>
        <w:tc>
          <w:tcPr>
            <w:tcW w:w="1406" w:type="dxa"/>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5.4</w:t>
            </w:r>
          </w:p>
        </w:tc>
        <w:tc>
          <w:tcPr>
            <w:tcW w:w="1406" w:type="dxa"/>
            <w:shd w:val="clear" w:color="auto" w:fill="auto"/>
          </w:tcPr>
          <w:p w:rsidR="00E97EDA" w:rsidRPr="0076055F" w:rsidP="0076055F">
            <w:pPr>
              <w:spacing w:before="40" w:after="20" w:line="200" w:lineRule="exact"/>
              <w:ind w:left="340"/>
              <w:rPr>
                <w:rFonts w:cs="FrankRuehl"/>
                <w:sz w:val="20"/>
                <w:szCs w:val="20"/>
                <w:rtl/>
              </w:rPr>
            </w:pPr>
            <w:r w:rsidRPr="0076055F">
              <w:rPr>
                <w:rFonts w:cs="FrankRuehl" w:hint="cs"/>
                <w:sz w:val="20"/>
                <w:szCs w:val="20"/>
                <w:rtl/>
              </w:rPr>
              <w:t>***</w:t>
            </w:r>
          </w:p>
        </w:tc>
        <w:tc>
          <w:tcPr>
            <w:tcW w:w="1406" w:type="dxa"/>
            <w:shd w:val="clear" w:color="auto" w:fill="auto"/>
          </w:tcPr>
          <w:p w:rsidR="00E97EDA" w:rsidRPr="0076055F" w:rsidP="0076055F">
            <w:pPr>
              <w:spacing w:before="40" w:after="20" w:line="200" w:lineRule="exact"/>
              <w:ind w:left="283"/>
              <w:rPr>
                <w:rFonts w:cs="FrankRuehl"/>
                <w:b/>
                <w:bCs/>
                <w:sz w:val="20"/>
                <w:szCs w:val="20"/>
                <w:u w:val="single"/>
                <w:rtl/>
              </w:rPr>
            </w:pPr>
            <w:r w:rsidRPr="0076055F">
              <w:rPr>
                <w:rFonts w:cs="FrankRuehl" w:hint="cs"/>
                <w:b/>
                <w:bCs/>
                <w:sz w:val="20"/>
                <w:szCs w:val="20"/>
                <w:u w:val="single"/>
                <w:rtl/>
              </w:rPr>
              <w:t>13.8</w:t>
            </w:r>
          </w:p>
        </w:tc>
      </w:tr>
    </w:tbl>
    <w:p w:rsidR="00E97EDA" w:rsidRPr="0076055F" w:rsidP="0076055F">
      <w:pPr>
        <w:spacing w:before="120" w:line="200" w:lineRule="exact"/>
        <w:ind w:left="397" w:hanging="397"/>
        <w:jc w:val="both"/>
        <w:rPr>
          <w:rFonts w:cs="FrankRuehl"/>
          <w:sz w:val="20"/>
          <w:szCs w:val="20"/>
          <w:rtl/>
        </w:rPr>
      </w:pPr>
      <w:r w:rsidRPr="0076055F">
        <w:rPr>
          <w:rFonts w:cs="FrankRuehl" w:hint="cs"/>
          <w:sz w:val="20"/>
          <w:szCs w:val="20"/>
          <w:rtl/>
        </w:rPr>
        <w:t xml:space="preserve">* </w:t>
      </w:r>
      <w:r w:rsidRPr="0076055F">
        <w:rPr>
          <w:rFonts w:cs="FrankRuehl"/>
          <w:sz w:val="20"/>
          <w:szCs w:val="20"/>
          <w:rtl/>
        </w:rPr>
        <w:tab/>
      </w:r>
      <w:r w:rsidRPr="0076055F">
        <w:rPr>
          <w:rFonts w:cs="FrankRuehl" w:hint="cs"/>
          <w:sz w:val="20"/>
          <w:szCs w:val="20"/>
          <w:rtl/>
        </w:rPr>
        <w:t>נבדקו רק בקשות שבמערכת המחשב של הוועדה המקומית נמצא מידע מלא בנוגע אליהן.</w:t>
      </w:r>
    </w:p>
    <w:p w:rsidR="00E97EDA" w:rsidRPr="0076055F" w:rsidP="0076055F">
      <w:pPr>
        <w:spacing w:line="200" w:lineRule="exact"/>
        <w:ind w:left="397" w:hanging="397"/>
        <w:jc w:val="both"/>
        <w:rPr>
          <w:rFonts w:cs="FrankRuehl"/>
          <w:sz w:val="20"/>
          <w:szCs w:val="20"/>
          <w:rtl/>
        </w:rPr>
      </w:pPr>
      <w:r w:rsidRPr="0076055F">
        <w:rPr>
          <w:rFonts w:cs="FrankRuehl" w:hint="cs"/>
          <w:sz w:val="20"/>
          <w:szCs w:val="20"/>
          <w:rtl/>
        </w:rPr>
        <w:t xml:space="preserve">** </w:t>
      </w:r>
      <w:r w:rsidRPr="0076055F">
        <w:rPr>
          <w:rFonts w:cs="FrankRuehl"/>
          <w:sz w:val="20"/>
          <w:szCs w:val="20"/>
          <w:rtl/>
        </w:rPr>
        <w:tab/>
      </w:r>
      <w:r w:rsidRPr="0076055F">
        <w:rPr>
          <w:rFonts w:cs="FrankRuehl" w:hint="cs"/>
          <w:sz w:val="20"/>
          <w:szCs w:val="20"/>
          <w:rtl/>
        </w:rPr>
        <w:t xml:space="preserve">לא ניתן לחשב. חלק מתאריכי תשלום האגרות שהוקלדו במערכת המחשב של עיריית רחובות היו קודמים לתאריך הדיון. </w:t>
      </w:r>
    </w:p>
    <w:p w:rsidR="00E97EDA" w:rsidRPr="0076055F" w:rsidP="0076055F">
      <w:pPr>
        <w:spacing w:line="200" w:lineRule="exact"/>
        <w:ind w:left="397" w:hanging="397"/>
        <w:jc w:val="both"/>
        <w:rPr>
          <w:rFonts w:cs="FrankRuehl"/>
          <w:sz w:val="20"/>
          <w:szCs w:val="20"/>
          <w:rtl/>
        </w:rPr>
      </w:pPr>
      <w:r w:rsidRPr="0076055F">
        <w:rPr>
          <w:rFonts w:cs="FrankRuehl" w:hint="cs"/>
          <w:sz w:val="20"/>
          <w:szCs w:val="20"/>
          <w:rtl/>
        </w:rPr>
        <w:t xml:space="preserve">*** </w:t>
      </w:r>
      <w:r w:rsidRPr="0076055F">
        <w:rPr>
          <w:rFonts w:cs="FrankRuehl"/>
          <w:sz w:val="20"/>
          <w:szCs w:val="20"/>
          <w:rtl/>
        </w:rPr>
        <w:tab/>
      </w:r>
      <w:r w:rsidRPr="0076055F">
        <w:rPr>
          <w:rFonts w:cs="FrankRuehl" w:hint="cs"/>
          <w:sz w:val="20"/>
          <w:szCs w:val="20"/>
          <w:rtl/>
        </w:rPr>
        <w:t xml:space="preserve">לא ניתן לחשב. במערכת המחשב של העיריות נתניה והוד השרון הוקלדו במקרים רבים תאריכי מתן ההיתר כתאריכי תשלום האגרות. כמו כן, חלק מתאריכי תשלום האגרות שהוקלדו היו מאוחרים יותר לתאריכי מתן ההיתר בשל העובדה שנעשו עדכונים בתעריפי האגרות לאחר מתן ההיתר; לפיכך, לא ניתן היה לחשב את הזמן שחלף מתשלום האגרות עד קבלת ההיתר. </w:t>
      </w:r>
    </w:p>
    <w:p w:rsidR="00D22B16" w:rsidRPr="00582A43" w:rsidP="00F253EF">
      <w:pPr>
        <w:pStyle w:val="RESHET"/>
        <w:keepLines/>
        <w:rPr>
          <w:rtl/>
        </w:rPr>
      </w:pPr>
      <w:r w:rsidRPr="00F41E78">
        <w:rPr>
          <w:rFonts w:hint="cs"/>
          <w:rtl/>
        </w:rPr>
        <w:t xml:space="preserve">מהנתונים עולה כי משך הזמן הממוצע לקבלת היתר בנייה ברשויות </w:t>
      </w:r>
      <w:r w:rsidRPr="00582A43">
        <w:rPr>
          <w:rFonts w:hint="cs"/>
          <w:rtl/>
        </w:rPr>
        <w:t>שנבדקו הוא</w:t>
      </w:r>
      <w:r w:rsidRPr="00582A43" w:rsidR="00F253EF">
        <w:rPr>
          <w:rFonts w:hint="cs"/>
          <w:rtl/>
        </w:rPr>
        <w:t xml:space="preserve"> </w:t>
      </w:r>
      <w:r w:rsidRPr="00582A43" w:rsidR="00F253EF">
        <w:rPr>
          <w:rtl/>
        </w:rPr>
        <w:br/>
      </w:r>
      <w:r w:rsidRPr="00582A43" w:rsidR="00F253EF">
        <w:rPr>
          <w:rFonts w:hint="cs"/>
          <w:rtl/>
        </w:rPr>
        <w:t>כ-</w:t>
      </w:r>
      <w:r w:rsidRPr="00582A43">
        <w:rPr>
          <w:rFonts w:hint="cs"/>
          <w:rtl/>
        </w:rPr>
        <w:t xml:space="preserve">15-8.5 חודשים. </w:t>
      </w:r>
    </w:p>
    <w:p w:rsidR="00E97EDA" w:rsidRPr="00F41E78" w:rsidP="0076055F">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פרק הזמן הממושך מקורו בבקשות להיתר שאינן תואמות את הוראות התכנית ויש לפרסם בקשת הקלה ובריבוי הדרישות לתיאומים רבים של הבנייה והצורך בהמצאת מסמכים ותצהירים שונים ובקבלת אישורים ממספר רב של גורמים.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בתשובתה מסרה </w:t>
      </w:r>
      <w:r w:rsidRPr="00F41E78">
        <w:rPr>
          <w:rFonts w:cs="FrankRuehl" w:hint="eastAsia"/>
          <w:sz w:val="18"/>
          <w:szCs w:val="22"/>
          <w:rtl/>
          <w:lang w:eastAsia="he-IL"/>
        </w:rPr>
        <w:t>עיריית</w:t>
      </w:r>
      <w:r w:rsidRPr="00F41E78">
        <w:rPr>
          <w:rFonts w:cs="FrankRuehl"/>
          <w:sz w:val="18"/>
          <w:szCs w:val="22"/>
          <w:rtl/>
          <w:lang w:eastAsia="he-IL"/>
        </w:rPr>
        <w:t xml:space="preserve"> </w:t>
      </w:r>
      <w:r w:rsidRPr="00F41E78">
        <w:rPr>
          <w:rFonts w:cs="FrankRuehl" w:hint="cs"/>
          <w:sz w:val="18"/>
          <w:szCs w:val="22"/>
          <w:rtl/>
          <w:lang w:eastAsia="he-IL"/>
        </w:rPr>
        <w:t>הוד השרון כי לעתים מתקיימים כמה דיונים באותן בקשות בשל הצורך לאשר הקלות בהוראות התכנית המאושרת, ולעתים מתקבלת הכרעה שלא לאשר בקשה ואחר כך נדרשים דיונים נוספים כדי לדון בבקשה המתוקנת. עוד מסרה העירייה כי היא מוציאה את האישורים מטעמה מהר ככל הניתן, אך מאחר שלא נקצבו לוחות זמנים לקבלת האישורים של הגורמים מחוץ לעירייה, אין לה שליטה מלאה על ניהול התהליך.</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להלן שתי דוגמאות הממחישות את מורכבות התהליך:</w:t>
      </w:r>
    </w:p>
    <w:p w:rsidR="00E97EDA" w:rsidRPr="00F41E78" w:rsidP="0076055F">
      <w:pPr>
        <w:spacing w:after="240" w:line="230" w:lineRule="exact"/>
        <w:jc w:val="both"/>
        <w:rPr>
          <w:rFonts w:cs="FrankRuehl"/>
          <w:sz w:val="18"/>
          <w:szCs w:val="22"/>
          <w:rtl/>
          <w:lang w:eastAsia="he-IL"/>
        </w:rPr>
      </w:pPr>
      <w:r w:rsidRPr="00F41E78">
        <w:rPr>
          <w:rFonts w:cs="FrankRuehl"/>
          <w:bCs/>
          <w:spacing w:val="40"/>
          <w:sz w:val="18"/>
          <w:szCs w:val="22"/>
          <w:rtl/>
        </w:rPr>
        <w:t xml:space="preserve">הקמת בניין מגורים ובו </w:t>
      </w:r>
      <w:r w:rsidRPr="00F41E78">
        <w:rPr>
          <w:rFonts w:cs="FrankRuehl" w:hint="cs"/>
          <w:bCs/>
          <w:spacing w:val="40"/>
          <w:sz w:val="18"/>
          <w:szCs w:val="22"/>
          <w:rtl/>
        </w:rPr>
        <w:t>8</w:t>
      </w:r>
      <w:r w:rsidRPr="00F41E78">
        <w:rPr>
          <w:rFonts w:cs="FrankRuehl"/>
          <w:bCs/>
          <w:spacing w:val="40"/>
          <w:sz w:val="18"/>
          <w:szCs w:val="22"/>
          <w:rtl/>
        </w:rPr>
        <w:t xml:space="preserve"> </w:t>
      </w:r>
      <w:r w:rsidRPr="00F41E78">
        <w:rPr>
          <w:rFonts w:cs="FrankRuehl" w:hint="cs"/>
          <w:bCs/>
          <w:spacing w:val="40"/>
          <w:sz w:val="18"/>
          <w:szCs w:val="22"/>
          <w:rtl/>
        </w:rPr>
        <w:t>יח"ד</w:t>
      </w:r>
      <w:r w:rsidRPr="00F41E78">
        <w:rPr>
          <w:rFonts w:cs="FrankRuehl"/>
          <w:bCs/>
          <w:spacing w:val="40"/>
          <w:sz w:val="18"/>
          <w:szCs w:val="22"/>
          <w:rtl/>
        </w:rPr>
        <w:t xml:space="preserve"> בנתניה:</w:t>
      </w:r>
      <w:r w:rsidRPr="00F41E78">
        <w:rPr>
          <w:rFonts w:cs="FrankRuehl" w:hint="cs"/>
          <w:sz w:val="18"/>
          <w:szCs w:val="22"/>
          <w:rtl/>
          <w:lang w:eastAsia="he-IL"/>
        </w:rPr>
        <w:t xml:space="preserve"> בינואר 2009 נקלטה באגף רישוי בקשה להיתר בנייה מטעם יזם פרטי. רק </w:t>
      </w:r>
      <w:r w:rsidRPr="00F41E78">
        <w:rPr>
          <w:rFonts w:cs="FrankRuehl" w:hint="eastAsia"/>
          <w:sz w:val="18"/>
          <w:szCs w:val="22"/>
          <w:rtl/>
          <w:lang w:eastAsia="he-IL"/>
        </w:rPr>
        <w:t>כעבור</w:t>
      </w:r>
      <w:r w:rsidRPr="00F41E78">
        <w:rPr>
          <w:rFonts w:cs="FrankRuehl"/>
          <w:sz w:val="18"/>
          <w:szCs w:val="22"/>
          <w:rtl/>
          <w:lang w:eastAsia="he-IL"/>
        </w:rPr>
        <w:t xml:space="preserve"> </w:t>
      </w:r>
      <w:r w:rsidRPr="00F41E78">
        <w:rPr>
          <w:rFonts w:cs="FrankRuehl" w:hint="eastAsia"/>
          <w:sz w:val="18"/>
          <w:szCs w:val="22"/>
          <w:rtl/>
          <w:lang w:eastAsia="he-IL"/>
        </w:rPr>
        <w:t>כארבעה</w:t>
      </w:r>
      <w:r w:rsidRPr="00F41E78">
        <w:rPr>
          <w:rFonts w:cs="FrankRuehl"/>
          <w:sz w:val="18"/>
          <w:szCs w:val="22"/>
          <w:rtl/>
          <w:lang w:eastAsia="he-IL"/>
        </w:rPr>
        <w:t xml:space="preserve"> </w:t>
      </w:r>
      <w:r w:rsidRPr="00F41E78">
        <w:rPr>
          <w:rFonts w:cs="FrankRuehl" w:hint="eastAsia"/>
          <w:sz w:val="18"/>
          <w:szCs w:val="22"/>
          <w:rtl/>
          <w:lang w:eastAsia="he-IL"/>
        </w:rPr>
        <w:t>חודשים</w:t>
      </w:r>
      <w:r w:rsidRPr="00F41E78">
        <w:rPr>
          <w:rFonts w:cs="FrankRuehl"/>
          <w:sz w:val="18"/>
          <w:szCs w:val="22"/>
          <w:rtl/>
          <w:lang w:eastAsia="he-IL"/>
        </w:rPr>
        <w:t xml:space="preserve"> התקבלו הערות של גורמים שונים בעירייה לבנייה המוצעת</w:t>
      </w:r>
      <w:r w:rsidRPr="00F41E78">
        <w:rPr>
          <w:rFonts w:cs="FrankRuehl" w:hint="cs"/>
          <w:sz w:val="18"/>
          <w:szCs w:val="22"/>
          <w:rtl/>
          <w:lang w:eastAsia="he-IL"/>
        </w:rPr>
        <w:t xml:space="preserve">. ביוני 2009 דנה רשות הרישוי בבקשה והחליטה לאשרה בכפוף לכמה תנאים. תוקף ההחלטה כאמור הוא לשנה. מאחר שמגיש הבקשה לא מילא בתוך שנה אחר כל התנאים, במאי 2010 הוא ביקש להאריך את תוקף ההחלטה. בעקבות זאת שוב דנה רשות הרישוי בבקשה להיתר והחליטה לאשרה בשנית בכפוף לתנאים. עד יולי 2010 הציג מגיש הבקשה את כל האישורים והמסמכים שנדרש להם (למשל, אישור של חברות הכבלים, בזק, חברת החשמל, פיקוד העורף והיחידה לאיכות הסביבה ועוד כל מיני מסמכים). בספטמבר 2010 חושבו האגרות וההיטלים שמגיש הבקשה חב בהם, במאי 2011 הופק החשבון לתשלום האגרות וההיטלים וביוני 2011 הוצא היתר הבנייה. </w:t>
      </w:r>
    </w:p>
    <w:p w:rsidR="00D22B16" w:rsidRPr="00F41E78" w:rsidP="00D22B16">
      <w:pPr>
        <w:pStyle w:val="RESHET"/>
        <w:keepLines/>
        <w:rPr>
          <w:rtl/>
        </w:rPr>
      </w:pPr>
      <w:r w:rsidRPr="00F41E78">
        <w:rPr>
          <w:rFonts w:hint="cs"/>
          <w:rtl/>
        </w:rPr>
        <w:t xml:space="preserve">במקרה זה נמשך תהליך קבלת היתר הבנייה כשנתיים וחצי. השתלשלות העניינים מלמדת על סחבת של העירייה ועל התמשכות המילוי אחר התנאים שקבעה רשות הרישוי. </w:t>
      </w:r>
    </w:p>
    <w:p w:rsidR="00E97EDA" w:rsidRPr="00F41E78" w:rsidP="0076055F">
      <w:pPr>
        <w:spacing w:before="180" w:after="240" w:line="230" w:lineRule="exact"/>
        <w:jc w:val="both"/>
        <w:rPr>
          <w:rFonts w:cs="FrankRuehl"/>
          <w:sz w:val="18"/>
          <w:szCs w:val="22"/>
          <w:rtl/>
          <w:lang w:eastAsia="he-IL"/>
        </w:rPr>
      </w:pPr>
      <w:r w:rsidRPr="00F41E78">
        <w:rPr>
          <w:rFonts w:cs="FrankRuehl"/>
          <w:bCs/>
          <w:spacing w:val="40"/>
          <w:sz w:val="18"/>
          <w:szCs w:val="22"/>
          <w:rtl/>
        </w:rPr>
        <w:t xml:space="preserve">הקמת בניין ובו 23 </w:t>
      </w:r>
      <w:r w:rsidRPr="00F41E78">
        <w:rPr>
          <w:rFonts w:cs="FrankRuehl" w:hint="cs"/>
          <w:bCs/>
          <w:spacing w:val="40"/>
          <w:sz w:val="18"/>
          <w:szCs w:val="22"/>
          <w:rtl/>
        </w:rPr>
        <w:t>יח"ד</w:t>
      </w:r>
      <w:r w:rsidRPr="00F41E78">
        <w:rPr>
          <w:rFonts w:cs="FrankRuehl"/>
          <w:bCs/>
          <w:spacing w:val="40"/>
          <w:sz w:val="18"/>
          <w:szCs w:val="22"/>
          <w:rtl/>
        </w:rPr>
        <w:t xml:space="preserve"> ברחובות:</w:t>
      </w:r>
      <w:r w:rsidRPr="00F41E78">
        <w:rPr>
          <w:rFonts w:cs="FrankRuehl" w:hint="cs"/>
          <w:sz w:val="18"/>
          <w:szCs w:val="22"/>
          <w:rtl/>
          <w:lang w:eastAsia="he-IL"/>
        </w:rPr>
        <w:t xml:space="preserve"> באוגוסט 2010 הוגשה בקשה להיתר בנייה מטעם יזם פרטי. בביקורת נמצא כי לצורך הוצאת ההיתר יש לקבל הקלה בהוראות התכנית התקפה (רח/2200). בנובמבר 2010 דנה ועדת משנה של הוועדה המקומית לתכנון ולבנייה רחובות בבקשה ואישרה אותה בכפוף למילוי אחר תנאים רבים. למשל, תיקון תכניות הבנייה, השלמת נספח אקוסטי וקבלת אישורים מעשרה גורמים בעירייה ומחוצה לה. בתחילת מרץ 2011 השלים מגיש הבקשה את הדרישות השונות וכעבור כארבעה חודשים שילם את האגרות. ביולי 2011 הוצא היתר הבנייה. </w:t>
      </w:r>
    </w:p>
    <w:p w:rsidR="00D22B16" w:rsidRPr="00F41E78" w:rsidP="00D22B16">
      <w:pPr>
        <w:pStyle w:val="RESHET"/>
        <w:keepLines/>
        <w:rPr>
          <w:rtl/>
        </w:rPr>
      </w:pPr>
      <w:r w:rsidRPr="00F41E78">
        <w:rPr>
          <w:rFonts w:hint="cs"/>
          <w:rtl/>
        </w:rPr>
        <w:t>במקרה זה נמשך תהליך קבלת היתר הבנייה כשנה. בזמן זה נדרשו למגיש הבקשה כשלושה חודשים למלא אחר התנאים שהעמידה בפניו ועדת המשנה ועוד כארבעה חודשים לשלם את האגרות.</w:t>
      </w:r>
    </w:p>
    <w:p w:rsidR="00E97EDA" w:rsidRPr="00F41E78" w:rsidP="0076055F">
      <w:pPr>
        <w:spacing w:before="180" w:after="240" w:line="230" w:lineRule="exact"/>
        <w:jc w:val="both"/>
        <w:rPr>
          <w:rFonts w:cs="FrankRuehl"/>
          <w:sz w:val="18"/>
          <w:szCs w:val="22"/>
          <w:rtl/>
          <w:lang w:eastAsia="he-IL"/>
        </w:rPr>
      </w:pPr>
      <w:r w:rsidRPr="00F41E78">
        <w:rPr>
          <w:rFonts w:cs="FrankRuehl" w:hint="cs"/>
          <w:sz w:val="18"/>
          <w:szCs w:val="22"/>
          <w:rtl/>
          <w:lang w:eastAsia="he-IL"/>
        </w:rPr>
        <w:t>בתשובתה מסרה עיריית רחובות כי בשכונה זו לא היה כל עיכוב בפיתוח התשתיות, והעירייה הכריעה בבקשה בתוך שלושה חודשים, כנדרש בחוק. עם זאת, העירייה הוסיפה כי התליית ההיתר בקבלת אישור של גורמים בעירייה ומחוצה לה יש בה כדי להאריך את תהליך מתן ההיתר.</w:t>
      </w:r>
    </w:p>
    <w:p w:rsidR="00D22B16" w:rsidRPr="00F41E78" w:rsidP="00D22B16">
      <w:pPr>
        <w:pStyle w:val="RESHET"/>
        <w:keepLines/>
        <w:rPr>
          <w:rtl/>
        </w:rPr>
      </w:pPr>
      <w:r w:rsidRPr="00F41E78">
        <w:rPr>
          <w:rFonts w:hint="cs"/>
          <w:rtl/>
        </w:rPr>
        <w:t xml:space="preserve">מדוגמאות אלו ניתן ללמוד כי התהליכים לקבלת היתרי הבנייה ארוכים והסמכויות בנושא מפוצלות בין גורמים רבים. ברשויות שנבדקו נמשכו תהליכים אלו כשנה, והבנייה עצמה נמשכה כשנתיים נוספות. יוצא אפוא שממועד אישורה של תכנית מפורטת עד גמר הבנייה חולפות כשבע שנים בממוצע. </w:t>
      </w:r>
    </w:p>
    <w:p w:rsidR="00E97EDA" w:rsidRPr="00F41E78" w:rsidP="0076055F">
      <w:pPr>
        <w:spacing w:before="180" w:after="120" w:line="230" w:lineRule="exact"/>
        <w:jc w:val="both"/>
        <w:rPr>
          <w:rFonts w:cs="FrankRuehl"/>
          <w:sz w:val="18"/>
          <w:szCs w:val="22"/>
          <w:rtl/>
          <w:lang w:eastAsia="he-IL"/>
        </w:rPr>
      </w:pPr>
      <w:r w:rsidRPr="00F41E78">
        <w:rPr>
          <w:rFonts w:cs="FrankRuehl" w:hint="eastAsia"/>
          <w:sz w:val="18"/>
          <w:szCs w:val="22"/>
          <w:rtl/>
          <w:lang w:eastAsia="he-IL"/>
        </w:rPr>
        <w:t>עיריית</w:t>
      </w:r>
      <w:r w:rsidRPr="00F41E78">
        <w:rPr>
          <w:rFonts w:cs="FrankRuehl"/>
          <w:sz w:val="18"/>
          <w:szCs w:val="22"/>
          <w:rtl/>
          <w:lang w:eastAsia="he-IL"/>
        </w:rPr>
        <w:t xml:space="preserve"> נתניה מסרה בתשובתה כי </w:t>
      </w:r>
      <w:r w:rsidRPr="00F41E78">
        <w:rPr>
          <w:rFonts w:cs="FrankRuehl" w:hint="eastAsia"/>
          <w:sz w:val="18"/>
          <w:szCs w:val="22"/>
          <w:rtl/>
          <w:lang w:eastAsia="he-IL"/>
        </w:rPr>
        <w:t>מינהל</w:t>
      </w:r>
      <w:r w:rsidRPr="00F41E78">
        <w:rPr>
          <w:rFonts w:cs="FrankRuehl"/>
          <w:sz w:val="18"/>
          <w:szCs w:val="22"/>
          <w:rtl/>
          <w:lang w:eastAsia="he-IL"/>
        </w:rPr>
        <w:t xml:space="preserve"> ההנדסה בעירייה שוקד על תכנית לשיפור ולייעול תהליכי הרישוי.</w:t>
      </w:r>
      <w:r w:rsidRPr="00F41E78">
        <w:rPr>
          <w:rFonts w:cs="FrankRuehl" w:hint="cs"/>
          <w:sz w:val="18"/>
          <w:szCs w:val="22"/>
          <w:rtl/>
          <w:lang w:eastAsia="he-IL"/>
        </w:rPr>
        <w:t xml:space="preserve"> עיריית רחובות מסרה כי הוועדה המקומית לתכנון ולבנייה וראש העירייה, העומד בראשה, הנחו את מינהל ההנדסה לייעל את תהליך הוצאת היתרי בנייה ולקדמם. בעקבות הנחיה זו מתקיימות פגישות עם יזמים ונערכות ישיבות בנושאי רישוי בכל שבוע, וכפועל יוצא מספר היתרי הבנייה שהעירייה מוציאה עולה מדי שנה.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הצורך לחולל שינוי בתהליכי רישוי הבנייה בישראל עלה לסדר היום הציבורי בעקבות </w:t>
      </w:r>
      <w:r w:rsidRPr="00F41E78">
        <w:rPr>
          <w:rFonts w:cs="FrankRuehl" w:hint="eastAsia"/>
          <w:sz w:val="18"/>
          <w:szCs w:val="22"/>
          <w:rtl/>
          <w:lang w:eastAsia="he-IL"/>
        </w:rPr>
        <w:t>דוח</w:t>
      </w:r>
      <w:r w:rsidRPr="00F41E78">
        <w:rPr>
          <w:rFonts w:cs="FrankRuehl"/>
          <w:sz w:val="18"/>
          <w:szCs w:val="22"/>
          <w:rtl/>
          <w:lang w:eastAsia="he-IL"/>
        </w:rPr>
        <w:t xml:space="preserve"> </w:t>
      </w:r>
      <w:r w:rsidRPr="00F41E78">
        <w:rPr>
          <w:rFonts w:cs="FrankRuehl" w:hint="eastAsia"/>
          <w:sz w:val="18"/>
          <w:szCs w:val="22"/>
          <w:rtl/>
          <w:lang w:eastAsia="he-IL"/>
        </w:rPr>
        <w:t>ועדת</w:t>
      </w:r>
      <w:r w:rsidRPr="00F41E78">
        <w:rPr>
          <w:rFonts w:cs="FrankRuehl"/>
          <w:sz w:val="18"/>
          <w:szCs w:val="22"/>
          <w:rtl/>
          <w:lang w:eastAsia="he-IL"/>
        </w:rPr>
        <w:t xml:space="preserve"> חקירה ממלכתית לעניין בטיחות מבנים ומקומות המשמשים ציבור </w:t>
      </w:r>
      <w:r w:rsidRPr="00F41E78">
        <w:rPr>
          <w:rFonts w:cs="FrankRuehl" w:hint="cs"/>
          <w:sz w:val="18"/>
          <w:szCs w:val="22"/>
          <w:rtl/>
          <w:lang w:eastAsia="he-IL"/>
        </w:rPr>
        <w:t xml:space="preserve">(להלן - דוח </w:t>
      </w:r>
      <w:r w:rsidRPr="00F41E78">
        <w:rPr>
          <w:rFonts w:cs="FrankRuehl" w:hint="eastAsia"/>
          <w:sz w:val="18"/>
          <w:szCs w:val="22"/>
          <w:rtl/>
          <w:lang w:eastAsia="he-IL"/>
        </w:rPr>
        <w:t>זיילר</w:t>
      </w:r>
      <w:r w:rsidRPr="00F41E78">
        <w:rPr>
          <w:rFonts w:cs="FrankRuehl" w:hint="cs"/>
          <w:sz w:val="18"/>
          <w:szCs w:val="22"/>
          <w:rtl/>
          <w:lang w:eastAsia="he-IL"/>
        </w:rPr>
        <w:t xml:space="preserve">). הוועדה מונתה בעקבות אסון כבד שאירע במאי 2001 באולמי ורסאי בירושלים עקב התמוטטתה של רצפת האולם. באוגוסט 2002 פרסמה הוועדה דוח ביניים שהמלצותיו נגעו לשיטת הבנייה הקרויה </w:t>
      </w:r>
      <w:r w:rsidR="00C75E4D">
        <w:rPr>
          <w:rFonts w:cs="FrankRuehl"/>
          <w:sz w:val="18"/>
          <w:szCs w:val="22"/>
          <w:rtl/>
          <w:lang w:eastAsia="he-IL"/>
        </w:rPr>
        <w:br/>
      </w:r>
      <w:r w:rsidRPr="00F41E78">
        <w:rPr>
          <w:rFonts w:cs="FrankRuehl" w:hint="cs"/>
          <w:sz w:val="18"/>
          <w:szCs w:val="22"/>
          <w:rtl/>
          <w:lang w:eastAsia="he-IL"/>
        </w:rPr>
        <w:t>"פל-קל" שבה נבנה האולם. בדצמבר 2003 פרסמה הוועדה את הדוח המלא ובו מכלול נושאים הנוגעים להבטחת בטיחותם של מבנים. בדוח הומלצו כמה וכמה דברים, ובהם המלצות לשינוי חקיקה בנושא תהליכי רישוי הבנייה, אך יישומן התמהמה</w:t>
      </w:r>
      <w:r>
        <w:rPr>
          <w:rFonts w:cs="FrankRuehl"/>
          <w:sz w:val="18"/>
          <w:szCs w:val="22"/>
          <w:vertAlign w:val="superscript"/>
          <w:rtl/>
          <w:lang w:eastAsia="he-IL"/>
        </w:rPr>
        <w:footnoteReference w:id="263"/>
      </w:r>
      <w:r w:rsidRPr="00F41E78">
        <w:rPr>
          <w:rFonts w:cs="FrankRuehl" w:hint="cs"/>
          <w:sz w:val="18"/>
          <w:szCs w:val="22"/>
          <w:rtl/>
          <w:lang w:eastAsia="he-IL"/>
        </w:rPr>
        <w:t>. בפברואר 2004 החליטה הממשלה להקים ועדת היגוי בין-משרדית ליישום ההמלצות</w:t>
      </w:r>
      <w:r>
        <w:rPr>
          <w:rFonts w:cs="FrankRuehl"/>
          <w:sz w:val="18"/>
          <w:szCs w:val="22"/>
          <w:vertAlign w:val="superscript"/>
          <w:rtl/>
          <w:lang w:eastAsia="he-IL"/>
        </w:rPr>
        <w:footnoteReference w:id="264"/>
      </w:r>
      <w:r w:rsidRPr="00F41E78">
        <w:rPr>
          <w:rFonts w:cs="FrankRuehl" w:hint="cs"/>
          <w:sz w:val="18"/>
          <w:szCs w:val="22"/>
          <w:rtl/>
          <w:lang w:eastAsia="he-IL"/>
        </w:rPr>
        <w:t>. בדצמבר 2006 קיבלה הממשלה החלטה (החלטה מס' 964) ולפיה יוצאו אל הפועל חלק מהמלצות ועדת ההיגוי, אך גם יישומה של החלטה זו לא הושלם. בנובמבר 2009 קיבלה הממשלה החלטה נוספת על רפורמה בתהליכי הרישוי (החלטה מס' 963) במסגרת הצעה לחוקק חוק תכנון ובנייה חדש, אך בסופו של דבר ההצעה לא אושרה בכנסת. תחת זאת יזם משרד הפנים את תיקון 101, והתיקון אושר בכנסת במרץ 2014. השינויים שנקבעו בתיקון 101 בנוגע לתהליכי הרישוי צפויים לחול מינואר 2016.</w:t>
      </w:r>
    </w:p>
    <w:p w:rsidR="00E97EDA" w:rsidRPr="00F41E78" w:rsidP="0076055F">
      <w:pPr>
        <w:spacing w:after="240" w:line="230" w:lineRule="exact"/>
        <w:jc w:val="both"/>
        <w:rPr>
          <w:rFonts w:cs="FrankRuehl"/>
          <w:sz w:val="18"/>
          <w:szCs w:val="22"/>
          <w:rtl/>
          <w:lang w:eastAsia="he-IL"/>
        </w:rPr>
      </w:pPr>
      <w:r w:rsidRPr="00F41E78">
        <w:rPr>
          <w:rFonts w:cs="FrankRuehl" w:hint="eastAsia"/>
          <w:sz w:val="18"/>
          <w:szCs w:val="22"/>
          <w:rtl/>
          <w:lang w:eastAsia="he-IL"/>
        </w:rPr>
        <w:t>בתשובתו</w:t>
      </w:r>
      <w:r w:rsidRPr="00F41E78">
        <w:rPr>
          <w:rFonts w:cs="FrankRuehl" w:hint="cs"/>
          <w:sz w:val="18"/>
          <w:szCs w:val="22"/>
          <w:rtl/>
          <w:lang w:eastAsia="he-IL"/>
        </w:rPr>
        <w:t xml:space="preserve"> מאפריל 2014</w:t>
      </w:r>
      <w:r w:rsidRPr="00F41E78">
        <w:rPr>
          <w:rFonts w:cs="FrankRuehl"/>
          <w:sz w:val="18"/>
          <w:szCs w:val="22"/>
          <w:rtl/>
          <w:lang w:eastAsia="he-IL"/>
        </w:rPr>
        <w:t xml:space="preserve"> </w:t>
      </w:r>
      <w:r w:rsidRPr="00F41E78">
        <w:rPr>
          <w:rFonts w:cs="FrankRuehl" w:hint="eastAsia"/>
          <w:sz w:val="18"/>
          <w:szCs w:val="22"/>
          <w:rtl/>
          <w:lang w:eastAsia="he-IL"/>
        </w:rPr>
        <w:t>מסר משרד</w:t>
      </w:r>
      <w:r w:rsidRPr="00F41E78">
        <w:rPr>
          <w:rFonts w:cs="FrankRuehl"/>
          <w:sz w:val="18"/>
          <w:szCs w:val="22"/>
          <w:rtl/>
          <w:lang w:eastAsia="he-IL"/>
        </w:rPr>
        <w:t xml:space="preserve"> </w:t>
      </w:r>
      <w:r w:rsidRPr="00F41E78">
        <w:rPr>
          <w:rFonts w:cs="FrankRuehl" w:hint="eastAsia"/>
          <w:sz w:val="18"/>
          <w:szCs w:val="22"/>
          <w:rtl/>
          <w:lang w:eastAsia="he-IL"/>
        </w:rPr>
        <w:t>הפנים</w:t>
      </w:r>
      <w:r w:rsidRPr="00F41E78">
        <w:rPr>
          <w:rFonts w:cs="FrankRuehl"/>
          <w:sz w:val="18"/>
          <w:szCs w:val="22"/>
          <w:rtl/>
          <w:lang w:eastAsia="he-IL"/>
        </w:rPr>
        <w:t xml:space="preserve"> </w:t>
      </w:r>
      <w:r w:rsidRPr="00F41E78">
        <w:rPr>
          <w:rFonts w:cs="FrankRuehl" w:hint="eastAsia"/>
          <w:sz w:val="18"/>
          <w:szCs w:val="22"/>
          <w:rtl/>
          <w:lang w:eastAsia="he-IL"/>
        </w:rPr>
        <w:t>כי</w:t>
      </w:r>
      <w:r w:rsidRPr="00F41E78">
        <w:rPr>
          <w:rFonts w:cs="FrankRuehl"/>
          <w:sz w:val="18"/>
          <w:szCs w:val="22"/>
          <w:rtl/>
          <w:lang w:eastAsia="he-IL"/>
        </w:rPr>
        <w:t xml:space="preserve"> </w:t>
      </w:r>
      <w:r w:rsidRPr="00F41E78">
        <w:rPr>
          <w:rFonts w:cs="FrankRuehl" w:hint="eastAsia"/>
          <w:sz w:val="18"/>
          <w:szCs w:val="22"/>
          <w:rtl/>
          <w:lang w:eastAsia="he-IL"/>
        </w:rPr>
        <w:t>תיקון</w:t>
      </w:r>
      <w:r w:rsidRPr="00F41E78">
        <w:rPr>
          <w:rFonts w:cs="FrankRuehl"/>
          <w:sz w:val="18"/>
          <w:szCs w:val="22"/>
          <w:rtl/>
          <w:lang w:eastAsia="he-IL"/>
        </w:rPr>
        <w:t xml:space="preserve"> 101 כולל שיפור של תהליכי הרישוי וייעולם. </w:t>
      </w:r>
      <w:r w:rsidRPr="00F41E78">
        <w:rPr>
          <w:rFonts w:cs="FrankRuehl" w:hint="cs"/>
          <w:sz w:val="18"/>
          <w:szCs w:val="22"/>
          <w:rtl/>
          <w:lang w:eastAsia="he-IL"/>
        </w:rPr>
        <w:t xml:space="preserve">עוד מסר כי </w:t>
      </w:r>
      <w:r w:rsidRPr="00F41E78">
        <w:rPr>
          <w:rFonts w:cs="FrankRuehl" w:hint="eastAsia"/>
          <w:sz w:val="18"/>
          <w:szCs w:val="22"/>
          <w:rtl/>
          <w:lang w:eastAsia="he-IL"/>
        </w:rPr>
        <w:t>מינהל</w:t>
      </w:r>
      <w:r w:rsidRPr="00F41E78">
        <w:rPr>
          <w:rFonts w:cs="FrankRuehl"/>
          <w:sz w:val="18"/>
          <w:szCs w:val="22"/>
          <w:rtl/>
          <w:lang w:eastAsia="he-IL"/>
        </w:rPr>
        <w:t xml:space="preserve"> התכנון </w:t>
      </w:r>
      <w:r w:rsidRPr="00F41E78">
        <w:rPr>
          <w:rFonts w:cs="FrankRuehl" w:hint="cs"/>
          <w:sz w:val="18"/>
          <w:szCs w:val="22"/>
          <w:rtl/>
          <w:lang w:eastAsia="he-IL"/>
        </w:rPr>
        <w:t xml:space="preserve">במשרד הפנים הקים </w:t>
      </w:r>
      <w:r w:rsidRPr="00F41E78">
        <w:rPr>
          <w:rFonts w:cs="FrankRuehl"/>
          <w:sz w:val="18"/>
          <w:szCs w:val="22"/>
          <w:rtl/>
          <w:lang w:eastAsia="he-IL"/>
        </w:rPr>
        <w:t xml:space="preserve">מערכת מקוונת לתהליכי רישוי שתייעל את התהליך. </w:t>
      </w:r>
    </w:p>
    <w:p w:rsidR="00D22B16" w:rsidRPr="00F41E78" w:rsidP="00D22B16">
      <w:pPr>
        <w:pStyle w:val="RESHET"/>
        <w:keepLines/>
        <w:rPr>
          <w:rtl/>
        </w:rPr>
      </w:pPr>
      <w:r w:rsidRPr="00F41E78">
        <w:rPr>
          <w:rFonts w:hint="cs"/>
          <w:rtl/>
        </w:rPr>
        <w:t xml:space="preserve">בביקורת נמצא כי אין משרד הפנים מרכז מידע בכל הנוגע לתהליכי רישוי הבנייה ולתפוקותיהם, ולמעשה אין הוא מחזיק במידע על משכם של תהליכים אלו. </w:t>
      </w:r>
    </w:p>
    <w:p w:rsidR="00D22B16" w:rsidRPr="00F41E78" w:rsidP="00D22B16">
      <w:pPr>
        <w:pStyle w:val="RESHET"/>
        <w:keepLines/>
        <w:rPr>
          <w:rtl/>
        </w:rPr>
      </w:pPr>
      <w:r w:rsidRPr="00F41E78">
        <w:rPr>
          <w:rFonts w:hint="cs"/>
          <w:rtl/>
        </w:rPr>
        <w:t>לדעת משרד מבקר המדינה, על משרד הפנים לשקול להקים מסד נתונים מעודכן ובו מידע על היתרי הבנייה שהרשויות המקומיות מוציאות. מידע מלא ומרוכז על המלאי התכנוני יאפשר קיום בקרה על כל השלבים המרכיבים את שרשרת הייצור ויתרום לקיומו של תהליך קבלת החלטות מושכל בנושא הדיור.</w:t>
      </w:r>
    </w:p>
    <w:p w:rsidR="00E97EDA" w:rsidRPr="00F41E78" w:rsidP="00A7557B">
      <w:pPr>
        <w:spacing w:after="120" w:line="230" w:lineRule="exact"/>
        <w:ind w:left="12"/>
        <w:jc w:val="both"/>
        <w:rPr>
          <w:rFonts w:cs="FrankRuehl"/>
          <w:sz w:val="18"/>
          <w:szCs w:val="22"/>
          <w:rtl/>
          <w:lang w:eastAsia="he-IL"/>
        </w:rPr>
      </w:pPr>
      <w:r w:rsidRPr="00F41E78">
        <w:rPr>
          <w:rFonts w:cs="FrankRuehl" w:hint="cs"/>
          <w:sz w:val="18"/>
          <w:szCs w:val="22"/>
          <w:rtl/>
          <w:lang w:eastAsia="he-IL"/>
        </w:rPr>
        <w:t xml:space="preserve">משרד הפנים מסר </w:t>
      </w:r>
      <w:r w:rsidRPr="00F41E78">
        <w:rPr>
          <w:rFonts w:cs="FrankRuehl" w:hint="eastAsia"/>
          <w:sz w:val="18"/>
          <w:szCs w:val="22"/>
          <w:rtl/>
          <w:lang w:eastAsia="he-IL"/>
        </w:rPr>
        <w:t>בתשובתו</w:t>
      </w:r>
      <w:r w:rsidRPr="00F41E78">
        <w:rPr>
          <w:rFonts w:cs="FrankRuehl" w:hint="cs"/>
          <w:sz w:val="18"/>
          <w:szCs w:val="22"/>
          <w:rtl/>
          <w:lang w:eastAsia="he-IL"/>
        </w:rPr>
        <w:t xml:space="preserve"> מאפריל 2014 כי הוא מפתח מערכת מחשב בתחום התכנון ורישוי הבנייה שתאפשר מעקב אחרי מימוש תכניות. פיתוח המערכת האמורה צפוי להסתיים עד סוף 2014.</w:t>
      </w:r>
    </w:p>
    <w:p w:rsidR="0076055F" w:rsidP="0076055F">
      <w:pPr>
        <w:spacing w:after="120" w:line="230" w:lineRule="exact"/>
        <w:jc w:val="both"/>
        <w:rPr>
          <w:rFonts w:cs="FrankRuehl"/>
          <w:sz w:val="22"/>
          <w:szCs w:val="22"/>
          <w:rtl/>
        </w:rPr>
      </w:pPr>
    </w:p>
    <w:p w:rsidR="0076055F" w:rsidP="0076055F">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76055F" w:rsidP="0076055F">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 xml:space="preserve">בפרק זה הובאו ממצאים על החסמים העיקריים למימוש תכניות מאושרות ולמתן היתרי בנייה. נמצא כי חלק ניכר מתכניות הבנייה למגורים שאושרו בעשור האחרון ברשויות שנבדקו אינו מגיע לידי מימוש. מימוש חלקי של תכניות מעכב את האפשרות להגדיל את ההיצע בשוק הדיור, וחלק מהמשאבים שהושקעו באישור התכניות יורדים לטמיון. עוד נמצא כי חולפות 5-4 שנים ממועד אישורה של תכנית עד מועד הוצאת היתרי הבנייה. על משרד הפנים ועל הרשויות המקומיות לבחון דרכים לייעל את תהליכי המימוש של תכניות </w:t>
      </w:r>
      <w:r w:rsidRPr="00F41E78">
        <w:rPr>
          <w:rtl/>
        </w:rPr>
        <w:t>למגורים</w:t>
      </w:r>
      <w:r w:rsidRPr="00F41E78">
        <w:rPr>
          <w:rFonts w:hint="cs"/>
          <w:rtl/>
        </w:rPr>
        <w:t xml:space="preserve"> שיסייעו בסופו של דבר להגדיל את מספר התכניות הממומשות. </w:t>
      </w:r>
    </w:p>
    <w:p w:rsidR="00D22B16" w:rsidRPr="00F41E78" w:rsidP="00D22B16">
      <w:pPr>
        <w:pStyle w:val="RESHET"/>
        <w:keepLines/>
        <w:rPr>
          <w:rtl/>
        </w:rPr>
      </w:pPr>
      <w:r w:rsidRPr="00F41E78">
        <w:rPr>
          <w:rFonts w:hint="cs"/>
          <w:rtl/>
        </w:rPr>
        <w:t xml:space="preserve">לדעת משרד מבקר המדינה, על רמ"י ועל משרדי הפנים והאוצר לבחון חלופות לדרכי המימון של עבודות הפיתוח. בין היתר מוצע לבחון את התועלת של מימון הפיתוח באמצעות הסכמים בין הרשויות המקומיות לממשלה (הסכמי גג) וכן להסדיר את מימון עבודות הפיתוח גם בבנייה על קרקעות פרטיות. </w:t>
      </w:r>
    </w:p>
    <w:p w:rsidR="00D22B16" w:rsidRPr="00F41E78" w:rsidP="00D22B16">
      <w:pPr>
        <w:pStyle w:val="RESHET"/>
        <w:keepLines/>
        <w:rPr>
          <w:rtl/>
        </w:rPr>
      </w:pPr>
      <w:r w:rsidRPr="00F41E78">
        <w:rPr>
          <w:rFonts w:hint="cs"/>
          <w:rtl/>
        </w:rPr>
        <w:t xml:space="preserve">במקרים של היעדר בקשות להיתרי בנייה בקרקעות מתוכננות בבעלות פרטית, על משרד האוצר לשקול מתן תמריצים חיוביים ושליליים כדי לעודד יזמות בנייה פרטיות. </w:t>
      </w:r>
    </w:p>
    <w:p w:rsidR="00D22B16" w:rsidRPr="00F41E78" w:rsidP="00D22B16">
      <w:pPr>
        <w:pStyle w:val="RESHET"/>
        <w:keepLines/>
        <w:rPr>
          <w:rtl/>
        </w:rPr>
      </w:pPr>
      <w:r w:rsidRPr="00F41E78">
        <w:rPr>
          <w:rFonts w:hint="cs"/>
          <w:rtl/>
        </w:rPr>
        <w:t xml:space="preserve">על משרד הפנים לשקול להקים מסד נתונים מעודכן ובו מידע על היתרי הבנייה שהרשויות המקומיות מוציאות וכן על התחלות בנייה בפועל; הכול כדי להחזיק בידיו מידע מלא ומרוכז על כל השלבים המרכיבים את שרשרת הייצור עד סיום מעורבותו בתהליך. מידע כזה חיוני לקיומו של תהליך קבלת החלטות מושכל בנושא הדיור. </w:t>
      </w:r>
    </w:p>
    <w:p w:rsidR="0076055F" w:rsidP="0076055F">
      <w:pPr>
        <w:spacing w:after="120" w:line="230" w:lineRule="exact"/>
        <w:jc w:val="both"/>
        <w:rPr>
          <w:rFonts w:cs="FrankRuehl"/>
          <w:sz w:val="22"/>
          <w:szCs w:val="22"/>
          <w:rtl/>
        </w:rPr>
      </w:pPr>
    </w:p>
    <w:p w:rsidR="0076055F" w:rsidP="0076055F">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76055F" w:rsidP="0076055F">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 xml:space="preserve">מהממצאים שהובאו בשער זה עולה כי בכל שלב משלבי שרשרת הייצור נרשם בשנים </w:t>
      </w:r>
      <w:r>
        <w:br/>
      </w:r>
      <w:r w:rsidRPr="00F41E78">
        <w:rPr>
          <w:rFonts w:hint="cs"/>
          <w:rtl/>
        </w:rPr>
        <w:t xml:space="preserve">2012-2007 מספר קטן של יח"ד מהמספר ביחס לנדרש בהתאם לנתוני הגידול במספר משקי הבית. </w:t>
      </w:r>
    </w:p>
    <w:p w:rsidR="00D22B16" w:rsidRPr="00F41E78" w:rsidP="00D22B16">
      <w:pPr>
        <w:pStyle w:val="RESHET"/>
        <w:keepLines/>
        <w:rPr>
          <w:rtl/>
        </w:rPr>
      </w:pPr>
      <w:r w:rsidRPr="00F41E78">
        <w:rPr>
          <w:rFonts w:hint="cs"/>
          <w:rtl/>
        </w:rPr>
        <w:t>אשר למקרקעי ישראל, נמצא כי בשנים האמורות יזמות התכנון כללו כ-212,000 יח"ד, אך בתכניות שהוגשו למוסדות התכנון נכללו כ-</w:t>
      </w:r>
      <w:r>
        <w:rPr>
          <w:rFonts w:hint="cs"/>
          <w:rtl/>
        </w:rPr>
        <w:t>151</w:t>
      </w:r>
      <w:r w:rsidRPr="00F41E78">
        <w:rPr>
          <w:rFonts w:hint="cs"/>
          <w:rtl/>
        </w:rPr>
        <w:t xml:space="preserve">,000 יח"ד, ובסופו של דבר שווקו </w:t>
      </w:r>
      <w:r>
        <w:rPr>
          <w:rtl/>
        </w:rPr>
        <w:br/>
      </w:r>
      <w:r w:rsidRPr="00F41E78">
        <w:rPr>
          <w:rFonts w:hint="cs"/>
          <w:rtl/>
        </w:rPr>
        <w:t>כ-98,000 יח"ד. בשנים אלו הגידול במספר משקי בית הסתכם בכ-222,000, כלומר נוצר פער של יותר מ-50% מהצרכים. גם בשלבי מימוש התכניות נרשם פחת גדול במספר יח"ד המקודמות בשרשרת הייצור, והוא מגיע לכדי עשרות אחוזים מיחידות הדיור הכלולות בתכניות המאושרות.</w:t>
      </w:r>
    </w:p>
    <w:p w:rsidR="00D22B16" w:rsidRPr="00F41E78" w:rsidP="00D22B16">
      <w:pPr>
        <w:pStyle w:val="RESHET"/>
        <w:keepLines/>
        <w:rPr>
          <w:rtl/>
        </w:rPr>
      </w:pPr>
      <w:r w:rsidRPr="00F41E78">
        <w:rPr>
          <w:rFonts w:hint="cs"/>
          <w:rtl/>
        </w:rPr>
        <w:t xml:space="preserve">גם הנתונים הנוגעים למכלול הקרקעות מראים כי מוסדות התכנון אישרו תכניות שכללו מספר יח"ד קטן מהנדרש. בשנים האמורות אושרו כ-193,000 יח"ד ואילו הגידול במשקי הבית הסתכם כאמור בכ-222,000. כלומר, אין השוק הפרטי משלים את הפערים שנוצרו במקרקעי ישראל. </w:t>
      </w:r>
    </w:p>
    <w:p w:rsidR="00D22B16" w:rsidP="00D22B16">
      <w:pPr>
        <w:pStyle w:val="RESHET"/>
        <w:keepLines/>
        <w:rPr>
          <w:rtl/>
        </w:rPr>
      </w:pPr>
      <w:r w:rsidRPr="00F41E78">
        <w:rPr>
          <w:rFonts w:hint="cs"/>
          <w:rtl/>
        </w:rPr>
        <w:t>משכם של הליכי התכנון המפורט ומשכם של תהליכי מימוש התכניות הוא כעשר שנים והבנייה נמשכת כשנתיים נוספות. תקופת זמן ממושכת זו מקשה להגמיש את ההיצע לפי הצרכים. יוצא אפוא ששוק הדיור מתאפיין בקצב גידול אטי של ההיצע ואין שרשרת הייצור עומדת בקצב עלייתם</w:t>
      </w:r>
      <w:r w:rsidRPr="00F41E78">
        <w:rPr>
          <w:rtl/>
        </w:rPr>
        <w:t xml:space="preserve"> </w:t>
      </w:r>
      <w:r w:rsidRPr="00F41E78">
        <w:rPr>
          <w:rFonts w:hint="cs"/>
          <w:rtl/>
        </w:rPr>
        <w:t xml:space="preserve">של הביקושים. </w:t>
      </w:r>
    </w:p>
    <w:p w:rsidR="008D2A84" w:rsidRPr="00F41E78" w:rsidP="008D2A84">
      <w:pPr>
        <w:rPr>
          <w:rtl/>
        </w:rPr>
      </w:pPr>
    </w:p>
    <w:p w:rsidR="00FF1578" w:rsidP="0076055F">
      <w:pPr>
        <w:spacing w:after="120" w:line="230" w:lineRule="exact"/>
        <w:jc w:val="both"/>
        <w:rPr>
          <w:rFonts w:cs="FrankRuehl"/>
          <w:sz w:val="18"/>
          <w:szCs w:val="22"/>
          <w:rtl/>
          <w:lang w:eastAsia="he-IL"/>
        </w:rPr>
        <w:sectPr w:rsidSect="004A767A">
          <w:footnotePr>
            <w:numRestart w:val="eachSect"/>
          </w:footnotePr>
          <w:pgSz w:w="11906" w:h="16838" w:code="9"/>
          <w:pgMar w:top="1758" w:right="2552" w:bottom="4253" w:left="2552" w:header="1247" w:footer="1134" w:gutter="0"/>
          <w:cols w:space="720"/>
          <w:rtlGutter/>
        </w:sectPr>
      </w:pPr>
    </w:p>
    <w:p w:rsidR="0076055F" w:rsidRPr="0076055F" w:rsidP="0076055F">
      <w:pPr>
        <w:spacing w:after="120" w:line="230" w:lineRule="exact"/>
        <w:jc w:val="both"/>
        <w:rPr>
          <w:rFonts w:cs="FrankRuehl"/>
          <w:sz w:val="18"/>
          <w:szCs w:val="22"/>
          <w:lang w:eastAsia="he-IL"/>
        </w:rPr>
      </w:pPr>
    </w:p>
    <w:p w:rsidR="0076055F" w:rsidP="00A7557B">
      <w:pPr>
        <w:keepNext/>
        <w:keepLines/>
        <w:jc w:val="center"/>
        <w:outlineLvl w:val="0"/>
        <w:rPr>
          <w:bCs/>
          <w:szCs w:val="36"/>
          <w:rtl/>
          <w:lang w:eastAsia="he-IL"/>
        </w:rPr>
        <w:sectPr w:rsidSect="00FF1578">
          <w:footnotePr>
            <w:numRestart w:val="eachSect"/>
          </w:footnotePr>
          <w:pgSz w:w="11906" w:h="16838" w:code="9"/>
          <w:pgMar w:top="1758" w:right="2552" w:bottom="4253" w:left="2552" w:header="1247" w:footer="1134" w:gutter="0"/>
          <w:cols w:space="720"/>
          <w:titlePg/>
          <w:rtlGutter/>
        </w:sectPr>
      </w:pPr>
    </w:p>
    <w:p w:rsidR="0076055F" w:rsidRPr="00F41E78" w:rsidP="0076055F">
      <w:pPr>
        <w:spacing w:after="120" w:line="230" w:lineRule="exact"/>
        <w:jc w:val="both"/>
        <w:rPr>
          <w:rFonts w:cs="FrankRuehl"/>
          <w:sz w:val="18"/>
          <w:szCs w:val="22"/>
          <w:rtl/>
        </w:rPr>
      </w:pPr>
    </w:p>
    <w:p w:rsidR="0076055F" w:rsidP="0076055F">
      <w:pPr>
        <w:spacing w:after="120" w:line="230" w:lineRule="exact"/>
        <w:jc w:val="center"/>
        <w:rPr>
          <w:rtl/>
        </w:rPr>
      </w:pPr>
    </w:p>
    <w:p w:rsidR="0076055F" w:rsidP="0076055F">
      <w:pPr>
        <w:spacing w:after="120" w:line="230" w:lineRule="exact"/>
        <w:jc w:val="center"/>
      </w:pPr>
    </w:p>
    <w:p w:rsidR="0076055F" w:rsidP="0076055F">
      <w:pPr>
        <w:spacing w:after="120" w:line="230" w:lineRule="exact"/>
        <w:jc w:val="center"/>
        <w:rPr>
          <w:rtl/>
        </w:rPr>
      </w:pPr>
    </w:p>
    <w:p w:rsidR="0076055F" w:rsidP="0076055F">
      <w:pPr>
        <w:spacing w:after="120" w:line="230" w:lineRule="exact"/>
        <w:jc w:val="center"/>
      </w:pPr>
    </w:p>
    <w:p w:rsidR="0076055F" w:rsidP="0076055F">
      <w:pPr>
        <w:spacing w:after="120" w:line="230" w:lineRule="exact"/>
        <w:jc w:val="center"/>
      </w:pPr>
    </w:p>
    <w:p w:rsidR="0076055F" w:rsidP="0076055F">
      <w:pPr>
        <w:spacing w:after="120" w:line="230" w:lineRule="exact"/>
        <w:jc w:val="center"/>
      </w:pPr>
    </w:p>
    <w:p w:rsidR="0076055F" w:rsidP="0076055F">
      <w:pPr>
        <w:spacing w:after="120" w:line="230" w:lineRule="exact"/>
        <w:jc w:val="center"/>
        <w:rPr>
          <w:rtl/>
        </w:rPr>
      </w:pPr>
    </w:p>
    <w:p w:rsidR="0076055F" w:rsidP="0076055F">
      <w:pPr>
        <w:spacing w:after="120" w:line="230" w:lineRule="exact"/>
        <w:jc w:val="center"/>
        <w:rPr>
          <w:rtl/>
        </w:rPr>
      </w:pPr>
    </w:p>
    <w:p w:rsidR="0076055F" w:rsidRPr="00F4484B" w:rsidP="00F4484B">
      <w:pPr>
        <w:pStyle w:val="KOT1"/>
        <w:tabs>
          <w:tab w:val="right" w:leader="dot" w:pos="6237"/>
          <w:tab w:val="left" w:pos="6350"/>
        </w:tabs>
        <w:spacing w:after="120"/>
        <w:outlineLvl w:val="0"/>
        <w:rPr>
          <w:sz w:val="32"/>
          <w:szCs w:val="32"/>
          <w:rtl/>
        </w:rPr>
      </w:pPr>
      <w:r>
        <w:rPr>
          <w:rFonts w:hint="cs"/>
          <w:b w:val="0"/>
          <w:bCs w:val="0"/>
          <w:sz w:val="32"/>
          <w:szCs w:val="32"/>
          <w:rtl/>
        </w:rPr>
        <w:t>שער</w:t>
      </w:r>
      <w:r>
        <w:rPr>
          <w:b w:val="0"/>
          <w:bCs w:val="0"/>
          <w:sz w:val="32"/>
          <w:szCs w:val="32"/>
          <w:rtl/>
        </w:rPr>
        <w:t xml:space="preserve"> </w:t>
      </w:r>
      <w:r>
        <w:rPr>
          <w:rFonts w:hint="cs"/>
          <w:b w:val="0"/>
          <w:bCs w:val="0"/>
          <w:sz w:val="32"/>
          <w:szCs w:val="32"/>
          <w:rtl/>
        </w:rPr>
        <w:t>רביעי</w:t>
      </w:r>
      <w:r w:rsidR="00F4484B">
        <w:rPr>
          <w:b w:val="0"/>
          <w:bCs w:val="0"/>
          <w:sz w:val="32"/>
          <w:szCs w:val="32"/>
          <w:rtl/>
        </w:rPr>
        <w:br/>
      </w:r>
      <w:r w:rsidRPr="00F4484B" w:rsidR="00F4484B">
        <w:rPr>
          <w:sz w:val="40"/>
          <w:szCs w:val="40"/>
          <w:rtl/>
        </w:rPr>
        <w:t>פעולות הממשלה בתחום דיור בר השגה</w:t>
      </w:r>
    </w:p>
    <w:p w:rsidR="00E97EDA" w:rsidRPr="0076055F" w:rsidP="0076055F">
      <w:pPr>
        <w:tabs>
          <w:tab w:val="right" w:leader="dot" w:pos="6237"/>
          <w:tab w:val="left" w:pos="6350"/>
        </w:tabs>
        <w:spacing w:after="120" w:line="240" w:lineRule="atLeast"/>
        <w:jc w:val="center"/>
        <w:rPr>
          <w:b/>
          <w:bCs/>
          <w:sz w:val="40"/>
          <w:szCs w:val="40"/>
          <w:rtl/>
        </w:rPr>
      </w:pPr>
    </w:p>
    <w:p w:rsidR="0076055F" w:rsidP="00A7557B">
      <w:pPr>
        <w:pStyle w:val="KOT2"/>
      </w:pPr>
      <w:bookmarkStart w:id="62" w:name="תאריך"/>
      <w:bookmarkEnd w:id="62"/>
    </w:p>
    <w:p w:rsidR="0076055F" w:rsidP="00A7557B">
      <w:pPr>
        <w:pStyle w:val="KOT2"/>
        <w:rPr>
          <w:rtl/>
        </w:rPr>
        <w:sectPr w:rsidSect="0076055F">
          <w:footnotePr>
            <w:numRestart w:val="eachSect"/>
          </w:footnotePr>
          <w:pgSz w:w="11906" w:h="16838" w:code="9"/>
          <w:pgMar w:top="1758" w:right="2552" w:bottom="4253" w:left="2552" w:header="1247" w:footer="1134" w:gutter="0"/>
          <w:cols w:space="720"/>
          <w:titlePg/>
          <w:rtlGutter/>
        </w:sectPr>
      </w:pPr>
    </w:p>
    <w:p w:rsidR="0076055F" w:rsidP="00A7557B">
      <w:pPr>
        <w:pStyle w:val="KOT2"/>
      </w:pPr>
    </w:p>
    <w:p w:rsidR="0076055F" w:rsidP="00A7557B">
      <w:pPr>
        <w:pStyle w:val="KOT2"/>
        <w:rPr>
          <w:rtl/>
        </w:rPr>
        <w:sectPr w:rsidSect="0076055F">
          <w:footnotePr>
            <w:numRestart w:val="eachSect"/>
          </w:footnotePr>
          <w:pgSz w:w="11906" w:h="16838" w:code="9"/>
          <w:pgMar w:top="1758" w:right="2552" w:bottom="4253" w:left="2552" w:header="1247" w:footer="1134" w:gutter="0"/>
          <w:cols w:space="720"/>
          <w:titlePg/>
          <w:rtlGutter/>
        </w:sectPr>
      </w:pPr>
    </w:p>
    <w:p w:rsidR="00E97EDA" w:rsidRPr="00FA1F2C" w:rsidP="00A7557B">
      <w:pPr>
        <w:pStyle w:val="KOT2"/>
        <w:rPr>
          <w:rtl/>
        </w:rPr>
      </w:pPr>
      <w:r w:rsidRPr="00A74551">
        <w:rPr>
          <w:rFonts w:hint="cs"/>
          <w:b w:val="0"/>
          <w:bCs w:val="0"/>
          <w:sz w:val="28"/>
          <w:szCs w:val="28"/>
          <w:rtl/>
        </w:rPr>
        <w:t>פרק ראשון</w:t>
      </w:r>
      <w:r w:rsidRPr="00A74551">
        <w:rPr>
          <w:b w:val="0"/>
          <w:bCs w:val="0"/>
          <w:sz w:val="28"/>
          <w:szCs w:val="28"/>
          <w:rtl/>
        </w:rPr>
        <w:br/>
      </w:r>
      <w:r w:rsidRPr="00FA1F2C">
        <w:rPr>
          <w:rFonts w:hint="cs"/>
          <w:rtl/>
        </w:rPr>
        <w:t>ה</w:t>
      </w:r>
      <w:r w:rsidRPr="00FA1F2C">
        <w:rPr>
          <w:rtl/>
        </w:rPr>
        <w:t>הסדרה של דיור בר השגה</w:t>
      </w:r>
    </w:p>
    <w:p w:rsidR="00E97EDA" w:rsidRPr="00FA1F2C" w:rsidP="00A7557B">
      <w:pPr>
        <w:pStyle w:val="KOT4"/>
        <w:rPr>
          <w:rtl/>
          <w:lang w:eastAsia="he-IL"/>
        </w:rPr>
      </w:pPr>
      <w:r w:rsidRPr="00FA1F2C">
        <w:rPr>
          <w:rFonts w:hint="eastAsia"/>
          <w:rtl/>
          <w:lang w:eastAsia="he-IL"/>
        </w:rPr>
        <w:t>רקע</w:t>
      </w:r>
    </w:p>
    <w:p w:rsidR="00E97EDA" w:rsidRPr="00F41E78" w:rsidP="003B3DE6">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1.</w:t>
      </w:r>
      <w:r w:rsidRPr="00F41E78">
        <w:rPr>
          <w:rFonts w:cs="FrankRuehl" w:hint="cs"/>
          <w:sz w:val="18"/>
          <w:szCs w:val="22"/>
          <w:rtl/>
          <w:lang w:eastAsia="he-IL"/>
        </w:rPr>
        <w:tab/>
      </w:r>
      <w:r w:rsidRPr="00F41E78">
        <w:rPr>
          <w:rFonts w:cs="FrankRuehl"/>
          <w:sz w:val="18"/>
          <w:szCs w:val="22"/>
          <w:rtl/>
          <w:lang w:eastAsia="he-IL"/>
        </w:rPr>
        <w:t>הנתונים והדיווחים מהמקורות הממשלתיים והציבוריים</w:t>
      </w:r>
      <w:r>
        <w:rPr>
          <w:rFonts w:cs="FrankRuehl"/>
          <w:sz w:val="18"/>
          <w:szCs w:val="22"/>
          <w:vertAlign w:val="superscript"/>
          <w:rtl/>
          <w:lang w:eastAsia="he-IL"/>
        </w:rPr>
        <w:footnoteReference w:id="265"/>
      </w:r>
      <w:r w:rsidRPr="00F41E78">
        <w:rPr>
          <w:rFonts w:cs="FrankRuehl" w:hint="cs"/>
          <w:sz w:val="18"/>
          <w:szCs w:val="22"/>
          <w:rtl/>
          <w:lang w:eastAsia="he-IL"/>
        </w:rPr>
        <w:t xml:space="preserve"> בישראל </w:t>
      </w:r>
      <w:r w:rsidRPr="00F41E78">
        <w:rPr>
          <w:rFonts w:cs="FrankRuehl"/>
          <w:sz w:val="18"/>
          <w:szCs w:val="22"/>
          <w:rtl/>
          <w:lang w:eastAsia="he-IL"/>
        </w:rPr>
        <w:t xml:space="preserve">בשנים האחרונות </w:t>
      </w:r>
      <w:r w:rsidRPr="00F41E78">
        <w:rPr>
          <w:rFonts w:cs="FrankRuehl" w:hint="cs"/>
          <w:sz w:val="18"/>
          <w:szCs w:val="22"/>
          <w:rtl/>
          <w:lang w:eastAsia="he-IL"/>
        </w:rPr>
        <w:t>מלמדים</w:t>
      </w:r>
      <w:r w:rsidRPr="00F41E78">
        <w:rPr>
          <w:rFonts w:cs="FrankRuehl"/>
          <w:sz w:val="18"/>
          <w:szCs w:val="22"/>
          <w:rtl/>
          <w:lang w:eastAsia="he-IL"/>
        </w:rPr>
        <w:t xml:space="preserve"> על פגיעה הולכת וגוברת ביכולת</w:t>
      </w:r>
      <w:r w:rsidRPr="00F41E78">
        <w:rPr>
          <w:rFonts w:cs="FrankRuehl" w:hint="cs"/>
          <w:sz w:val="18"/>
          <w:szCs w:val="22"/>
          <w:rtl/>
          <w:lang w:eastAsia="he-IL"/>
        </w:rPr>
        <w:t>ם של</w:t>
      </w:r>
      <w:r w:rsidRPr="00F41E78">
        <w:rPr>
          <w:rFonts w:cs="FrankRuehl"/>
          <w:sz w:val="18"/>
          <w:szCs w:val="22"/>
          <w:rtl/>
          <w:lang w:eastAsia="he-IL"/>
        </w:rPr>
        <w:t xml:space="preserve"> משקי הבית מ</w:t>
      </w:r>
      <w:r w:rsidRPr="00F41E78">
        <w:rPr>
          <w:rFonts w:cs="FrankRuehl" w:hint="cs"/>
          <w:sz w:val="18"/>
          <w:szCs w:val="22"/>
          <w:rtl/>
          <w:lang w:eastAsia="he-IL"/>
        </w:rPr>
        <w:t>ה</w:t>
      </w:r>
      <w:r w:rsidRPr="00F41E78">
        <w:rPr>
          <w:rFonts w:cs="FrankRuehl"/>
          <w:sz w:val="18"/>
          <w:szCs w:val="22"/>
          <w:rtl/>
          <w:lang w:eastAsia="he-IL"/>
        </w:rPr>
        <w:t xml:space="preserve">שכבות </w:t>
      </w:r>
      <w:r w:rsidRPr="00F41E78">
        <w:rPr>
          <w:rFonts w:cs="FrankRuehl" w:hint="cs"/>
          <w:sz w:val="18"/>
          <w:szCs w:val="22"/>
          <w:rtl/>
          <w:lang w:eastAsia="he-IL"/>
        </w:rPr>
        <w:t>ה</w:t>
      </w:r>
      <w:r w:rsidRPr="00F41E78">
        <w:rPr>
          <w:rFonts w:cs="FrankRuehl"/>
          <w:sz w:val="18"/>
          <w:szCs w:val="22"/>
          <w:rtl/>
          <w:lang w:eastAsia="he-IL"/>
        </w:rPr>
        <w:t xml:space="preserve">סוציו-אקונומיות </w:t>
      </w:r>
      <w:r w:rsidRPr="00F41E78">
        <w:rPr>
          <w:rFonts w:cs="FrankRuehl" w:hint="cs"/>
          <w:sz w:val="18"/>
          <w:szCs w:val="22"/>
          <w:rtl/>
          <w:lang w:eastAsia="he-IL"/>
        </w:rPr>
        <w:t>הבינוניות וה</w:t>
      </w:r>
      <w:r w:rsidRPr="00F41E78">
        <w:rPr>
          <w:rFonts w:cs="FrankRuehl"/>
          <w:sz w:val="18"/>
          <w:szCs w:val="22"/>
          <w:rtl/>
          <w:lang w:eastAsia="he-IL"/>
        </w:rPr>
        <w:t>נמוכות להשיג לעצמם דיור נאות</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ב</w:t>
      </w:r>
      <w:r w:rsidRPr="00F41E78">
        <w:rPr>
          <w:rFonts w:cs="FrankRuehl"/>
          <w:sz w:val="18"/>
          <w:szCs w:val="22"/>
          <w:rtl/>
          <w:lang w:eastAsia="he-IL"/>
        </w:rPr>
        <w:t xml:space="preserve">רכישה או </w:t>
      </w:r>
      <w:r w:rsidRPr="00F41E78">
        <w:rPr>
          <w:rFonts w:cs="FrankRuehl" w:hint="cs"/>
          <w:sz w:val="18"/>
          <w:szCs w:val="22"/>
          <w:rtl/>
          <w:lang w:eastAsia="he-IL"/>
        </w:rPr>
        <w:t>ב</w:t>
      </w:r>
      <w:r w:rsidRPr="00F41E78">
        <w:rPr>
          <w:rFonts w:cs="FrankRuehl"/>
          <w:sz w:val="18"/>
          <w:szCs w:val="22"/>
          <w:rtl/>
          <w:lang w:eastAsia="he-IL"/>
        </w:rPr>
        <w:t>השכרה, וזאת בשל ההוצאות הנדרשות הגבוהות יחס</w:t>
      </w:r>
      <w:r w:rsidRPr="00F41E78">
        <w:rPr>
          <w:rFonts w:cs="FrankRuehl" w:hint="cs"/>
          <w:sz w:val="18"/>
          <w:szCs w:val="22"/>
          <w:rtl/>
          <w:lang w:eastAsia="he-IL"/>
        </w:rPr>
        <w:t>ית</w:t>
      </w:r>
      <w:r w:rsidRPr="00F41E78">
        <w:rPr>
          <w:rFonts w:cs="FrankRuehl"/>
          <w:sz w:val="18"/>
          <w:szCs w:val="22"/>
          <w:rtl/>
          <w:lang w:eastAsia="he-IL"/>
        </w:rPr>
        <w:t xml:space="preserve"> להכנסותיהם</w:t>
      </w:r>
      <w:r>
        <w:rPr>
          <w:rFonts w:cs="FrankRuehl"/>
          <w:sz w:val="18"/>
          <w:szCs w:val="22"/>
          <w:vertAlign w:val="superscript"/>
          <w:rtl/>
          <w:lang w:eastAsia="he-IL"/>
        </w:rPr>
        <w:footnoteReference w:id="266"/>
      </w:r>
      <w:r w:rsidRPr="00F41E78">
        <w:rPr>
          <w:rFonts w:cs="FrankRuehl"/>
          <w:sz w:val="18"/>
          <w:szCs w:val="22"/>
          <w:rtl/>
          <w:lang w:eastAsia="he-IL"/>
        </w:rPr>
        <w:t xml:space="preserve">. </w:t>
      </w:r>
    </w:p>
    <w:p w:rsidR="00E97EDA" w:rsidRPr="00F41E78" w:rsidP="003B3DE6">
      <w:pPr>
        <w:spacing w:after="120" w:line="230" w:lineRule="exact"/>
        <w:ind w:left="340" w:hanging="340"/>
        <w:jc w:val="both"/>
        <w:rPr>
          <w:rFonts w:cs="FrankRuehl"/>
          <w:sz w:val="18"/>
          <w:szCs w:val="22"/>
          <w:rtl/>
          <w:lang w:eastAsia="he-IL"/>
        </w:rPr>
      </w:pPr>
      <w:r w:rsidRPr="00F41E78">
        <w:rPr>
          <w:rFonts w:cs="FrankRuehl"/>
          <w:sz w:val="18"/>
          <w:szCs w:val="22"/>
          <w:rtl/>
          <w:lang w:eastAsia="he-IL"/>
        </w:rPr>
        <w:t>2.</w:t>
      </w:r>
      <w:r w:rsidRPr="00F41E78">
        <w:rPr>
          <w:rFonts w:cs="FrankRuehl" w:hint="cs"/>
          <w:sz w:val="18"/>
          <w:szCs w:val="22"/>
          <w:rtl/>
          <w:lang w:eastAsia="he-IL"/>
        </w:rPr>
        <w:t xml:space="preserve"> </w:t>
      </w:r>
      <w:r w:rsidRPr="00F41E78">
        <w:rPr>
          <w:rFonts w:cs="FrankRuehl"/>
          <w:sz w:val="18"/>
          <w:szCs w:val="22"/>
          <w:rtl/>
          <w:lang w:eastAsia="he-IL"/>
        </w:rPr>
        <w:tab/>
      </w:r>
      <w:r w:rsidRPr="00F41E78">
        <w:rPr>
          <w:rFonts w:cs="FrankRuehl" w:hint="cs"/>
          <w:sz w:val="18"/>
          <w:szCs w:val="22"/>
          <w:rtl/>
          <w:lang w:eastAsia="he-IL"/>
        </w:rPr>
        <w:t xml:space="preserve">במדינת ישראל פעולות הממשלה מתמקדות במתן סיוע לאזרחיה בדיור בעיקר בתחומים אלו: סיוע לזכאי משרד הבינוי באמצעות הלוואות למימון רכישה, בנייה או הרחבה של דירת מגורים בשוק הפרטי. בקבוצה זו נכללים חסרי דירה הזכאים לקבל משכנתאות לפי מאפייניהם האישיים ולפי האזור המבוקש; הקצאת דירות בשכר דירה מסובסד בשיכון הציבורי למי שהוגדר כזכאי דיור ציבורי. במקרה כזה מדובר בקבוצת אוכלוסייה המצויה במצוקה כלכלית ותפקודית שזכאותה נקבעת על בסיס קריטריונים שקבע משרד הבינוי; וסיוע בשכר דירה לחסרי דירה בסכום הנקבע לפי הכנסות ועל פי מאפיינים אישיים. </w:t>
      </w:r>
    </w:p>
    <w:p w:rsidR="00E97EDA" w:rsidRPr="00F41E78" w:rsidP="003B3DE6">
      <w:pPr>
        <w:spacing w:after="120" w:line="230" w:lineRule="exact"/>
        <w:ind w:left="340" w:hanging="340"/>
        <w:jc w:val="both"/>
        <w:rPr>
          <w:rFonts w:cs="FrankRuehl"/>
          <w:sz w:val="18"/>
          <w:szCs w:val="22"/>
          <w:rtl/>
          <w:lang w:eastAsia="he-IL"/>
        </w:rPr>
      </w:pPr>
      <w:r w:rsidRPr="00F41E78">
        <w:rPr>
          <w:rFonts w:cs="FrankRuehl"/>
          <w:sz w:val="18"/>
          <w:szCs w:val="22"/>
          <w:rtl/>
          <w:lang w:eastAsia="he-IL"/>
        </w:rPr>
        <w:t>3.</w:t>
      </w:r>
      <w:r w:rsidRPr="00F41E78">
        <w:rPr>
          <w:rFonts w:cs="FrankRuehl" w:hint="cs"/>
          <w:sz w:val="18"/>
          <w:szCs w:val="22"/>
          <w:rtl/>
          <w:lang w:eastAsia="he-IL"/>
        </w:rPr>
        <w:tab/>
        <w:t xml:space="preserve">נוסף למסלולי הסיוע האמורים הפעילו </w:t>
      </w:r>
      <w:r w:rsidRPr="00F41E78">
        <w:rPr>
          <w:rFonts w:cs="FrankRuehl"/>
          <w:sz w:val="18"/>
          <w:szCs w:val="22"/>
          <w:rtl/>
          <w:lang w:eastAsia="he-IL"/>
        </w:rPr>
        <w:t>משרד הבינוי</w:t>
      </w:r>
      <w:r w:rsidRPr="00F41E78">
        <w:rPr>
          <w:rFonts w:cs="FrankRuehl" w:hint="cs"/>
          <w:sz w:val="18"/>
          <w:szCs w:val="22"/>
          <w:rtl/>
          <w:lang w:eastAsia="he-IL"/>
        </w:rPr>
        <w:t xml:space="preserve"> ורמ"י תכניות ממשלתיות לבניית יח"ד לזכאים שמחירן אמור להיות בהישג יד אם לרכישה במסלול "מחיר דירה למשתכן" אם להשכרה במסלול "השכרה לטווח ארוך במחיר מפוקח". נקבע כי ליח"ד אלו זכאים חסרי דירה שלא הייתה ברשותם דירה בעבר העומדים בתבחינים שקבע משרד הבינוי. סדר העדיפויות לקבלת דירה נקבע לפי רמת הניקוד שצברו הזכאים על פי קריטריונים הנוגעים למאפייניהם האישיים. </w:t>
      </w:r>
    </w:p>
    <w:p w:rsidR="00E97EDA" w:rsidRPr="00F41E78" w:rsidP="003B3DE6">
      <w:pPr>
        <w:spacing w:after="120" w:line="230" w:lineRule="exact"/>
        <w:ind w:left="340" w:hanging="340"/>
        <w:jc w:val="both"/>
        <w:rPr>
          <w:rFonts w:cs="FrankRuehl"/>
          <w:sz w:val="18"/>
          <w:szCs w:val="22"/>
          <w:rtl/>
          <w:lang w:eastAsia="he-IL"/>
        </w:rPr>
      </w:pPr>
      <w:r w:rsidRPr="00F41E78">
        <w:rPr>
          <w:rFonts w:cs="FrankRuehl"/>
          <w:sz w:val="18"/>
          <w:szCs w:val="22"/>
          <w:rtl/>
          <w:lang w:eastAsia="he-IL"/>
        </w:rPr>
        <w:t>4.</w:t>
      </w:r>
      <w:r w:rsidRPr="00F41E78">
        <w:rPr>
          <w:rFonts w:cs="FrankRuehl" w:hint="cs"/>
          <w:sz w:val="18"/>
          <w:szCs w:val="22"/>
          <w:rtl/>
          <w:lang w:eastAsia="he-IL"/>
        </w:rPr>
        <w:tab/>
      </w:r>
      <w:r w:rsidRPr="00F41E78">
        <w:rPr>
          <w:rFonts w:cs="FrankRuehl"/>
          <w:sz w:val="18"/>
          <w:szCs w:val="22"/>
          <w:rtl/>
          <w:lang w:eastAsia="he-IL"/>
        </w:rPr>
        <w:t>ל</w:t>
      </w:r>
      <w:r w:rsidRPr="00F41E78">
        <w:rPr>
          <w:rFonts w:cs="FrankRuehl" w:hint="cs"/>
          <w:sz w:val="18"/>
          <w:szCs w:val="22"/>
          <w:rtl/>
          <w:lang w:eastAsia="he-IL"/>
        </w:rPr>
        <w:t>פי ההגדרות השונות שבמקורות מקצועיים ואקדמיים, ה</w:t>
      </w:r>
      <w:r w:rsidRPr="00F41E78">
        <w:rPr>
          <w:rFonts w:cs="FrankRuehl"/>
          <w:sz w:val="18"/>
          <w:szCs w:val="22"/>
          <w:rtl/>
          <w:lang w:eastAsia="he-IL"/>
        </w:rPr>
        <w:t>מונח "דיור בר השגה" (</w:t>
      </w:r>
      <w:r w:rsidRPr="00F41E78">
        <w:rPr>
          <w:rFonts w:cs="FrankRuehl"/>
          <w:sz w:val="18"/>
          <w:szCs w:val="22"/>
          <w:lang w:eastAsia="he-IL"/>
        </w:rPr>
        <w:t>Affordable Housing</w:t>
      </w:r>
      <w:r w:rsidRPr="00F41E78">
        <w:rPr>
          <w:rFonts w:cs="FrankRuehl"/>
          <w:sz w:val="18"/>
          <w:szCs w:val="22"/>
          <w:rtl/>
          <w:lang w:eastAsia="he-IL"/>
        </w:rPr>
        <w:t xml:space="preserve">) </w:t>
      </w:r>
      <w:r w:rsidRPr="00F41E78">
        <w:rPr>
          <w:rFonts w:cs="FrankRuehl" w:hint="cs"/>
          <w:sz w:val="18"/>
          <w:szCs w:val="22"/>
          <w:rtl/>
          <w:lang w:eastAsia="he-IL"/>
        </w:rPr>
        <w:t>משמעו</w:t>
      </w:r>
      <w:r w:rsidRPr="00F41E78">
        <w:rPr>
          <w:rFonts w:cs="FrankRuehl"/>
          <w:sz w:val="18"/>
          <w:szCs w:val="22"/>
          <w:rtl/>
          <w:lang w:eastAsia="he-IL"/>
        </w:rPr>
        <w:t xml:space="preserve"> דיור </w:t>
      </w:r>
      <w:r w:rsidRPr="00F41E78">
        <w:rPr>
          <w:rFonts w:cs="FrankRuehl" w:hint="cs"/>
          <w:sz w:val="18"/>
          <w:szCs w:val="22"/>
          <w:rtl/>
          <w:lang w:eastAsia="he-IL"/>
        </w:rPr>
        <w:t>ה</w:t>
      </w:r>
      <w:r w:rsidRPr="00F41E78">
        <w:rPr>
          <w:rFonts w:cs="FrankRuehl"/>
          <w:sz w:val="18"/>
          <w:szCs w:val="22"/>
          <w:rtl/>
          <w:lang w:eastAsia="he-IL"/>
        </w:rPr>
        <w:t>הולם באופן נאות את מכלול צרכיו</w:t>
      </w:r>
      <w:r w:rsidRPr="00F41E78">
        <w:rPr>
          <w:rFonts w:cs="FrankRuehl" w:hint="cs"/>
          <w:sz w:val="18"/>
          <w:szCs w:val="22"/>
          <w:rtl/>
          <w:lang w:eastAsia="he-IL"/>
        </w:rPr>
        <w:t xml:space="preserve"> של הפרט</w:t>
      </w:r>
      <w:r w:rsidRPr="00F41E78">
        <w:rPr>
          <w:rFonts w:cs="FrankRuehl"/>
          <w:sz w:val="18"/>
          <w:szCs w:val="22"/>
          <w:rtl/>
          <w:lang w:eastAsia="he-IL"/>
        </w:rPr>
        <w:t xml:space="preserve">, </w:t>
      </w:r>
      <w:r w:rsidRPr="00F41E78">
        <w:rPr>
          <w:rFonts w:cs="FrankRuehl" w:hint="cs"/>
          <w:sz w:val="18"/>
          <w:szCs w:val="22"/>
          <w:rtl/>
          <w:lang w:eastAsia="he-IL"/>
        </w:rPr>
        <w:t>וההוצאות עבור הדיור</w:t>
      </w:r>
      <w:r w:rsidRPr="00F41E78">
        <w:rPr>
          <w:rFonts w:cs="FrankRuehl"/>
          <w:sz w:val="18"/>
          <w:szCs w:val="22"/>
          <w:rtl/>
          <w:lang w:eastAsia="he-IL"/>
        </w:rPr>
        <w:t xml:space="preserve"> אינן פוגעות ביכולתו לספק </w:t>
      </w:r>
      <w:r w:rsidRPr="00F41E78">
        <w:rPr>
          <w:rFonts w:cs="FrankRuehl" w:hint="cs"/>
          <w:sz w:val="18"/>
          <w:szCs w:val="22"/>
          <w:rtl/>
          <w:lang w:eastAsia="he-IL"/>
        </w:rPr>
        <w:t xml:space="preserve">לעצמו </w:t>
      </w:r>
      <w:r w:rsidRPr="00F41E78">
        <w:rPr>
          <w:rFonts w:cs="FrankRuehl"/>
          <w:sz w:val="18"/>
          <w:szCs w:val="22"/>
          <w:rtl/>
          <w:lang w:eastAsia="he-IL"/>
        </w:rPr>
        <w:t>את צרכיו החיוניים האחרים</w:t>
      </w:r>
      <w:r w:rsidRPr="00F41E78">
        <w:rPr>
          <w:rFonts w:cs="FrankRuehl" w:hint="cs"/>
          <w:sz w:val="18"/>
          <w:szCs w:val="22"/>
          <w:rtl/>
          <w:lang w:eastAsia="he-IL"/>
        </w:rPr>
        <w:t xml:space="preserve">. למשל, על פי דוח בנושא דיור בהישג יד שהזמין משרד הפנים (להלן - המחקר מטעם משרד הפנים), המונח דיור בהישג יד משמעו מגורים בדירה ששטחה סביר (יחסית למספר הנפשות במשק הבית של אוכלוסיית היעד) ואיכותה נאותה, </w:t>
      </w:r>
      <w:r w:rsidRPr="00F41E78">
        <w:rPr>
          <w:rFonts w:cs="FrankRuehl" w:hint="eastAsia"/>
          <w:sz w:val="18"/>
          <w:szCs w:val="22"/>
          <w:rtl/>
          <w:lang w:eastAsia="he-IL"/>
        </w:rPr>
        <w:t>כלומר</w:t>
      </w:r>
      <w:r w:rsidRPr="00F41E78">
        <w:rPr>
          <w:rFonts w:cs="FrankRuehl"/>
          <w:sz w:val="18"/>
          <w:szCs w:val="22"/>
          <w:rtl/>
          <w:lang w:eastAsia="he-IL"/>
        </w:rPr>
        <w:t xml:space="preserve"> המחיר </w:t>
      </w:r>
      <w:r w:rsidRPr="00F41E78">
        <w:rPr>
          <w:rFonts w:cs="FrankRuehl" w:hint="cs"/>
          <w:sz w:val="18"/>
          <w:szCs w:val="22"/>
          <w:rtl/>
          <w:lang w:eastAsia="he-IL"/>
        </w:rPr>
        <w:t xml:space="preserve">מקורו </w:t>
      </w:r>
      <w:r w:rsidRPr="00F41E78">
        <w:rPr>
          <w:rFonts w:cs="FrankRuehl" w:hint="eastAsia"/>
          <w:sz w:val="18"/>
          <w:szCs w:val="22"/>
          <w:rtl/>
          <w:lang w:eastAsia="he-IL"/>
        </w:rPr>
        <w:t>אינו</w:t>
      </w:r>
      <w:r w:rsidRPr="00F41E78">
        <w:rPr>
          <w:rFonts w:cs="FrankRuehl"/>
          <w:sz w:val="18"/>
          <w:szCs w:val="22"/>
          <w:rtl/>
          <w:lang w:eastAsia="he-IL"/>
        </w:rPr>
        <w:t xml:space="preserve"> </w:t>
      </w:r>
      <w:r w:rsidRPr="00F41E78">
        <w:rPr>
          <w:rFonts w:cs="FrankRuehl" w:hint="cs"/>
          <w:sz w:val="18"/>
          <w:szCs w:val="22"/>
          <w:rtl/>
          <w:lang w:eastAsia="he-IL"/>
        </w:rPr>
        <w:t>ב</w:t>
      </w:r>
      <w:r w:rsidRPr="00F41E78">
        <w:rPr>
          <w:rFonts w:cs="FrankRuehl" w:hint="eastAsia"/>
          <w:sz w:val="18"/>
          <w:szCs w:val="22"/>
          <w:rtl/>
          <w:lang w:eastAsia="he-IL"/>
        </w:rPr>
        <w:t>סטנדר</w:t>
      </w:r>
      <w:r w:rsidRPr="00F41E78">
        <w:rPr>
          <w:rFonts w:cs="FrankRuehl" w:hint="cs"/>
          <w:sz w:val="18"/>
          <w:szCs w:val="22"/>
          <w:rtl/>
          <w:lang w:eastAsia="he-IL"/>
        </w:rPr>
        <w:t>ט</w:t>
      </w:r>
      <w:r w:rsidRPr="00F41E78">
        <w:rPr>
          <w:rFonts w:cs="FrankRuehl" w:hint="eastAsia"/>
          <w:sz w:val="18"/>
          <w:szCs w:val="22"/>
          <w:rtl/>
          <w:lang w:eastAsia="he-IL"/>
        </w:rPr>
        <w:t>ים</w:t>
      </w:r>
      <w:r w:rsidRPr="00F41E78">
        <w:rPr>
          <w:rFonts w:cs="FrankRuehl" w:hint="cs"/>
          <w:sz w:val="18"/>
          <w:szCs w:val="22"/>
          <w:rtl/>
          <w:lang w:eastAsia="he-IL"/>
        </w:rPr>
        <w:t xml:space="preserve"> נמוכים</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בנייה</w:t>
      </w:r>
      <w:r w:rsidRPr="00F41E78">
        <w:rPr>
          <w:rFonts w:cs="FrankRuehl"/>
          <w:sz w:val="18"/>
          <w:szCs w:val="22"/>
          <w:rtl/>
          <w:lang w:eastAsia="he-IL"/>
        </w:rPr>
        <w:t xml:space="preserve"> </w:t>
      </w:r>
      <w:r w:rsidRPr="00F41E78">
        <w:rPr>
          <w:rFonts w:cs="FrankRuehl" w:hint="eastAsia"/>
          <w:sz w:val="18"/>
          <w:szCs w:val="22"/>
          <w:rtl/>
          <w:lang w:eastAsia="he-IL"/>
        </w:rPr>
        <w:t>או</w:t>
      </w:r>
      <w:r w:rsidRPr="00F41E78">
        <w:rPr>
          <w:rFonts w:cs="FrankRuehl"/>
          <w:sz w:val="18"/>
          <w:szCs w:val="22"/>
          <w:rtl/>
          <w:lang w:eastAsia="he-IL"/>
        </w:rPr>
        <w:t xml:space="preserve"> </w:t>
      </w:r>
      <w:r w:rsidRPr="00F41E78">
        <w:rPr>
          <w:rFonts w:cs="FrankRuehl" w:hint="cs"/>
          <w:sz w:val="18"/>
          <w:szCs w:val="22"/>
          <w:rtl/>
          <w:lang w:eastAsia="he-IL"/>
        </w:rPr>
        <w:t>ב</w:t>
      </w:r>
      <w:r w:rsidRPr="00F41E78">
        <w:rPr>
          <w:rFonts w:cs="FrankRuehl" w:hint="eastAsia"/>
          <w:sz w:val="18"/>
          <w:szCs w:val="22"/>
          <w:rtl/>
          <w:lang w:eastAsia="he-IL"/>
        </w:rPr>
        <w:t>חשיפה</w:t>
      </w:r>
      <w:r w:rsidRPr="00F41E78">
        <w:rPr>
          <w:rFonts w:cs="FrankRuehl"/>
          <w:sz w:val="18"/>
          <w:szCs w:val="22"/>
          <w:rtl/>
          <w:lang w:eastAsia="he-IL"/>
        </w:rPr>
        <w:t xml:space="preserve"> </w:t>
      </w:r>
      <w:r w:rsidRPr="00F41E78">
        <w:rPr>
          <w:rFonts w:cs="FrankRuehl" w:hint="eastAsia"/>
          <w:sz w:val="18"/>
          <w:szCs w:val="22"/>
          <w:rtl/>
          <w:lang w:eastAsia="he-IL"/>
        </w:rPr>
        <w:t>למפגעים</w:t>
      </w:r>
      <w:r w:rsidRPr="00F41E78">
        <w:rPr>
          <w:rFonts w:cs="FrankRuehl"/>
          <w:sz w:val="18"/>
          <w:szCs w:val="22"/>
          <w:rtl/>
          <w:lang w:eastAsia="he-IL"/>
        </w:rPr>
        <w:t xml:space="preserve"> </w:t>
      </w:r>
      <w:r w:rsidRPr="00F41E78">
        <w:rPr>
          <w:rFonts w:cs="FrankRuehl" w:hint="eastAsia"/>
          <w:sz w:val="18"/>
          <w:szCs w:val="22"/>
          <w:rtl/>
          <w:lang w:eastAsia="he-IL"/>
        </w:rPr>
        <w:t>סביבתיים</w:t>
      </w:r>
      <w:r>
        <w:rPr>
          <w:rFonts w:cs="FrankRuehl"/>
          <w:sz w:val="18"/>
          <w:szCs w:val="22"/>
          <w:vertAlign w:val="superscript"/>
          <w:rtl/>
          <w:lang w:eastAsia="he-IL"/>
        </w:rPr>
        <w:footnoteReference w:id="267"/>
      </w:r>
      <w:r w:rsidRPr="00F41E78">
        <w:rPr>
          <w:rFonts w:cs="FrankRuehl" w:hint="cs"/>
          <w:sz w:val="18"/>
          <w:szCs w:val="22"/>
          <w:rtl/>
          <w:lang w:eastAsia="he-IL"/>
        </w:rPr>
        <w:t>.</w:t>
      </w:r>
    </w:p>
    <w:p w:rsidR="00E97EDA" w:rsidRPr="00F41E78" w:rsidP="003B3DE6">
      <w:pPr>
        <w:spacing w:after="120" w:line="230" w:lineRule="exact"/>
        <w:ind w:left="340" w:hanging="340"/>
        <w:jc w:val="both"/>
        <w:rPr>
          <w:rFonts w:cs="FrankRuehl"/>
          <w:b/>
          <w:bCs/>
          <w:sz w:val="18"/>
          <w:szCs w:val="22"/>
          <w:rtl/>
          <w:lang w:eastAsia="he-IL"/>
        </w:rPr>
      </w:pPr>
      <w:r>
        <w:rPr>
          <w:rFonts w:cs="FrankRuehl" w:hint="cs"/>
          <w:sz w:val="18"/>
          <w:szCs w:val="22"/>
          <w:rtl/>
          <w:lang w:eastAsia="he-IL"/>
        </w:rPr>
        <w:tab/>
      </w:r>
      <w:r w:rsidRPr="00F41E78">
        <w:rPr>
          <w:rFonts w:cs="FrankRuehl"/>
          <w:sz w:val="18"/>
          <w:szCs w:val="22"/>
          <w:rtl/>
          <w:lang w:eastAsia="he-IL"/>
        </w:rPr>
        <w:t>מקובל למדוד את יכולת "ההשגה" (</w:t>
      </w:r>
      <w:r w:rsidRPr="00F41E78">
        <w:rPr>
          <w:rFonts w:cs="FrankRuehl"/>
          <w:sz w:val="18"/>
          <w:szCs w:val="22"/>
          <w:lang w:eastAsia="he-IL"/>
        </w:rPr>
        <w:t>Affordability</w:t>
      </w:r>
      <w:r w:rsidRPr="00F41E78">
        <w:rPr>
          <w:rFonts w:cs="FrankRuehl"/>
          <w:sz w:val="18"/>
          <w:szCs w:val="22"/>
          <w:rtl/>
          <w:lang w:eastAsia="he-IL"/>
        </w:rPr>
        <w:t>) כיכולת הכלכלית של משק בית</w:t>
      </w:r>
      <w:r>
        <w:rPr>
          <w:rFonts w:cs="FrankRuehl"/>
          <w:sz w:val="18"/>
          <w:szCs w:val="22"/>
          <w:vertAlign w:val="superscript"/>
          <w:rtl/>
          <w:lang w:eastAsia="he-IL"/>
        </w:rPr>
        <w:footnoteReference w:id="268"/>
      </w:r>
      <w:r w:rsidRPr="00F41E78">
        <w:rPr>
          <w:rFonts w:cs="FrankRuehl"/>
          <w:sz w:val="18"/>
          <w:szCs w:val="22"/>
          <w:rtl/>
          <w:lang w:eastAsia="he-IL"/>
        </w:rPr>
        <w:t xml:space="preserve"> להשיג דיור ההולם את מכלול צרכיו, </w:t>
      </w:r>
      <w:r w:rsidRPr="00F41E78">
        <w:rPr>
          <w:rFonts w:cs="FrankRuehl" w:hint="cs"/>
          <w:sz w:val="18"/>
          <w:szCs w:val="22"/>
          <w:rtl/>
          <w:lang w:eastAsia="he-IL"/>
        </w:rPr>
        <w:t>ובאופן</w:t>
      </w:r>
      <w:r w:rsidRPr="00F41E78">
        <w:rPr>
          <w:rFonts w:cs="FrankRuehl"/>
          <w:sz w:val="18"/>
          <w:szCs w:val="22"/>
          <w:rtl/>
          <w:lang w:eastAsia="he-IL"/>
        </w:rPr>
        <w:t xml:space="preserve"> שהוצאות</w:t>
      </w:r>
      <w:r w:rsidRPr="00F41E78">
        <w:rPr>
          <w:rFonts w:cs="FrankRuehl" w:hint="cs"/>
          <w:sz w:val="18"/>
          <w:szCs w:val="22"/>
          <w:rtl/>
          <w:lang w:eastAsia="he-IL"/>
        </w:rPr>
        <w:t>יו</w:t>
      </w:r>
      <w:r w:rsidRPr="00F41E78">
        <w:rPr>
          <w:rFonts w:cs="FrankRuehl"/>
          <w:sz w:val="18"/>
          <w:szCs w:val="22"/>
          <w:rtl/>
          <w:lang w:eastAsia="he-IL"/>
        </w:rPr>
        <w:t xml:space="preserve"> </w:t>
      </w:r>
      <w:r w:rsidRPr="00F41E78">
        <w:rPr>
          <w:rFonts w:cs="FrankRuehl" w:hint="cs"/>
          <w:sz w:val="18"/>
          <w:szCs w:val="22"/>
          <w:rtl/>
          <w:lang w:eastAsia="he-IL"/>
        </w:rPr>
        <w:t>על ה</w:t>
      </w:r>
      <w:r w:rsidRPr="00F41E78">
        <w:rPr>
          <w:rFonts w:cs="FrankRuehl"/>
          <w:sz w:val="18"/>
          <w:szCs w:val="22"/>
          <w:rtl/>
          <w:lang w:eastAsia="he-IL"/>
        </w:rPr>
        <w:t xml:space="preserve">דיור לא יעברו רף </w:t>
      </w:r>
      <w:r w:rsidRPr="00F41E78">
        <w:rPr>
          <w:rFonts w:cs="FrankRuehl" w:hint="cs"/>
          <w:sz w:val="18"/>
          <w:szCs w:val="22"/>
          <w:rtl/>
          <w:lang w:eastAsia="he-IL"/>
        </w:rPr>
        <w:t xml:space="preserve">של </w:t>
      </w:r>
      <w:r w:rsidRPr="00F41E78">
        <w:rPr>
          <w:rFonts w:cs="FrankRuehl"/>
          <w:sz w:val="18"/>
          <w:szCs w:val="22"/>
          <w:rtl/>
          <w:lang w:eastAsia="he-IL"/>
        </w:rPr>
        <w:t xml:space="preserve">30% </w:t>
      </w:r>
      <w:r w:rsidRPr="00F41E78">
        <w:rPr>
          <w:rFonts w:cs="FrankRuehl" w:hint="cs"/>
          <w:sz w:val="18"/>
          <w:szCs w:val="22"/>
          <w:rtl/>
          <w:lang w:eastAsia="he-IL"/>
        </w:rPr>
        <w:t>מ</w:t>
      </w:r>
      <w:r w:rsidRPr="00F41E78">
        <w:rPr>
          <w:rFonts w:cs="FrankRuehl"/>
          <w:sz w:val="18"/>
          <w:szCs w:val="22"/>
          <w:rtl/>
          <w:lang w:eastAsia="he-IL"/>
        </w:rPr>
        <w:t xml:space="preserve">הכנסתו </w:t>
      </w:r>
      <w:r w:rsidRPr="00F41E78">
        <w:rPr>
          <w:rFonts w:cs="FrankRuehl" w:hint="cs"/>
          <w:sz w:val="18"/>
          <w:szCs w:val="22"/>
          <w:rtl/>
          <w:lang w:eastAsia="he-IL"/>
        </w:rPr>
        <w:t>נטו (</w:t>
      </w:r>
      <w:r w:rsidRPr="00F41E78">
        <w:rPr>
          <w:rFonts w:cs="FrankRuehl"/>
          <w:sz w:val="18"/>
          <w:szCs w:val="22"/>
          <w:rtl/>
          <w:lang w:eastAsia="he-IL"/>
        </w:rPr>
        <w:t xml:space="preserve">מדובר בהכנסה </w:t>
      </w:r>
      <w:r w:rsidRPr="00F41E78">
        <w:rPr>
          <w:rFonts w:cs="FrankRuehl" w:hint="cs"/>
          <w:sz w:val="18"/>
          <w:szCs w:val="22"/>
          <w:rtl/>
          <w:lang w:eastAsia="he-IL"/>
        </w:rPr>
        <w:t>ששיעורה</w:t>
      </w:r>
      <w:r w:rsidRPr="00F41E78">
        <w:rPr>
          <w:rFonts w:cs="FrankRuehl"/>
          <w:sz w:val="18"/>
          <w:szCs w:val="22"/>
          <w:rtl/>
          <w:lang w:eastAsia="he-IL"/>
        </w:rPr>
        <w:t xml:space="preserve"> עד 150% מההכנסה הממוצעת </w:t>
      </w:r>
      <w:r w:rsidRPr="00F41E78">
        <w:rPr>
          <w:rFonts w:cs="FrankRuehl" w:hint="cs"/>
          <w:sz w:val="18"/>
          <w:szCs w:val="22"/>
          <w:rtl/>
          <w:lang w:eastAsia="he-IL"/>
        </w:rPr>
        <w:t>ל</w:t>
      </w:r>
      <w:r w:rsidRPr="00F41E78">
        <w:rPr>
          <w:rFonts w:cs="FrankRuehl"/>
          <w:sz w:val="18"/>
          <w:szCs w:val="22"/>
          <w:rtl/>
          <w:lang w:eastAsia="he-IL"/>
        </w:rPr>
        <w:t>משק</w:t>
      </w:r>
      <w:r w:rsidRPr="00F41E78">
        <w:rPr>
          <w:rFonts w:cs="FrankRuehl" w:hint="cs"/>
          <w:sz w:val="18"/>
          <w:szCs w:val="22"/>
          <w:rtl/>
          <w:lang w:eastAsia="he-IL"/>
        </w:rPr>
        <w:t xml:space="preserve"> בית</w:t>
      </w:r>
      <w:r>
        <w:rPr>
          <w:rFonts w:cs="FrankRuehl"/>
          <w:sz w:val="18"/>
          <w:szCs w:val="22"/>
          <w:vertAlign w:val="superscript"/>
          <w:rtl/>
          <w:lang w:eastAsia="he-IL"/>
        </w:rPr>
        <w:footnoteReference w:id="269"/>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לעומת זאת</w:t>
      </w:r>
      <w:r w:rsidRPr="00F41E78">
        <w:rPr>
          <w:rFonts w:cs="FrankRuehl"/>
          <w:sz w:val="18"/>
          <w:szCs w:val="22"/>
          <w:rtl/>
          <w:lang w:eastAsia="he-IL"/>
        </w:rPr>
        <w:t xml:space="preserve">, ככל שההוצאות </w:t>
      </w:r>
      <w:r w:rsidRPr="00F41E78">
        <w:rPr>
          <w:rFonts w:cs="FrankRuehl" w:hint="cs"/>
          <w:sz w:val="18"/>
          <w:szCs w:val="22"/>
          <w:rtl/>
          <w:lang w:eastAsia="he-IL"/>
        </w:rPr>
        <w:t>על ה</w:t>
      </w:r>
      <w:r w:rsidRPr="00F41E78">
        <w:rPr>
          <w:rFonts w:cs="FrankRuehl"/>
          <w:sz w:val="18"/>
          <w:szCs w:val="22"/>
          <w:rtl/>
          <w:lang w:eastAsia="he-IL"/>
        </w:rPr>
        <w:t>דיור גבוהות מרף זה</w:t>
      </w:r>
      <w:r w:rsidRPr="00F41E78">
        <w:rPr>
          <w:rFonts w:cs="FrankRuehl" w:hint="cs"/>
          <w:sz w:val="18"/>
          <w:szCs w:val="22"/>
          <w:rtl/>
          <w:lang w:eastAsia="he-IL"/>
        </w:rPr>
        <w:t>,</w:t>
      </w:r>
      <w:r w:rsidRPr="00F41E78">
        <w:rPr>
          <w:rFonts w:cs="FrankRuehl"/>
          <w:sz w:val="18"/>
          <w:szCs w:val="22"/>
          <w:rtl/>
          <w:lang w:eastAsia="he-IL"/>
        </w:rPr>
        <w:t xml:space="preserve"> הדיור נחשב לפחות בר השגה עבור אותו משק בית</w:t>
      </w:r>
      <w:r>
        <w:rPr>
          <w:rFonts w:cs="FrankRuehl"/>
          <w:sz w:val="18"/>
          <w:szCs w:val="22"/>
          <w:vertAlign w:val="superscript"/>
          <w:rtl/>
          <w:lang w:eastAsia="he-IL"/>
        </w:rPr>
        <w:footnoteReference w:id="270"/>
      </w:r>
      <w:r w:rsidRPr="00F41E78">
        <w:rPr>
          <w:rFonts w:cs="FrankRuehl"/>
          <w:sz w:val="18"/>
          <w:szCs w:val="22"/>
          <w:rtl/>
          <w:lang w:eastAsia="he-IL"/>
        </w:rPr>
        <w:t>.</w:t>
      </w:r>
    </w:p>
    <w:p w:rsidR="00E97EDA" w:rsidRPr="00F41E78" w:rsidP="003B3DE6">
      <w:pPr>
        <w:spacing w:after="120" w:line="230" w:lineRule="exact"/>
        <w:ind w:left="340" w:hanging="340"/>
        <w:jc w:val="both"/>
        <w:rPr>
          <w:rFonts w:cs="FrankRuehl"/>
          <w:sz w:val="18"/>
          <w:szCs w:val="22"/>
          <w:lang w:eastAsia="he-IL"/>
        </w:rPr>
      </w:pPr>
      <w:r w:rsidRPr="00F41E78">
        <w:rPr>
          <w:rFonts w:cs="FrankRuehl"/>
          <w:sz w:val="18"/>
          <w:szCs w:val="22"/>
          <w:rtl/>
          <w:lang w:eastAsia="he-IL"/>
        </w:rPr>
        <w:t>5.</w:t>
      </w:r>
      <w:r w:rsidRPr="00F41E78">
        <w:rPr>
          <w:rFonts w:cs="FrankRuehl" w:hint="cs"/>
          <w:sz w:val="18"/>
          <w:szCs w:val="22"/>
          <w:rtl/>
          <w:lang w:eastAsia="he-IL"/>
        </w:rPr>
        <w:t xml:space="preserve"> </w:t>
      </w:r>
      <w:r w:rsidR="003B3DE6">
        <w:rPr>
          <w:rFonts w:cs="FrankRuehl"/>
          <w:sz w:val="18"/>
          <w:szCs w:val="22"/>
          <w:rtl/>
          <w:lang w:eastAsia="he-IL"/>
        </w:rPr>
        <w:tab/>
      </w:r>
      <w:r w:rsidRPr="00F41E78">
        <w:rPr>
          <w:rFonts w:cs="FrankRuehl" w:hint="cs"/>
          <w:sz w:val="18"/>
          <w:szCs w:val="22"/>
          <w:rtl/>
          <w:lang w:eastAsia="he-IL"/>
        </w:rPr>
        <w:t xml:space="preserve">בפרק זה יובאו ממצאים בנושא </w:t>
      </w:r>
      <w:r w:rsidRPr="00F41E78">
        <w:rPr>
          <w:rFonts w:cs="FrankRuehl"/>
          <w:sz w:val="18"/>
          <w:szCs w:val="22"/>
          <w:rtl/>
          <w:lang w:eastAsia="he-IL"/>
        </w:rPr>
        <w:t>ההסדרה הסטטוטורית והמ</w:t>
      </w:r>
      <w:r w:rsidRPr="00F41E78">
        <w:rPr>
          <w:rFonts w:cs="FrankRuehl" w:hint="cs"/>
          <w:sz w:val="18"/>
          <w:szCs w:val="22"/>
          <w:rtl/>
          <w:lang w:eastAsia="he-IL"/>
        </w:rPr>
        <w:t>י</w:t>
      </w:r>
      <w:r w:rsidRPr="00F41E78">
        <w:rPr>
          <w:rFonts w:cs="FrankRuehl"/>
          <w:sz w:val="18"/>
          <w:szCs w:val="22"/>
          <w:rtl/>
          <w:lang w:eastAsia="he-IL"/>
        </w:rPr>
        <w:t xml:space="preserve">נהלית של דיור בר השגה; סדרי קביעת המדיניות בתחום הדיור בר </w:t>
      </w:r>
      <w:r w:rsidRPr="00F41E78">
        <w:rPr>
          <w:rFonts w:cs="FrankRuehl" w:hint="cs"/>
          <w:sz w:val="18"/>
          <w:szCs w:val="22"/>
          <w:rtl/>
          <w:lang w:eastAsia="he-IL"/>
        </w:rPr>
        <w:t>ה</w:t>
      </w:r>
      <w:r w:rsidRPr="00F41E78">
        <w:rPr>
          <w:rFonts w:cs="FrankRuehl"/>
          <w:sz w:val="18"/>
          <w:szCs w:val="22"/>
          <w:rtl/>
          <w:lang w:eastAsia="he-IL"/>
        </w:rPr>
        <w:t xml:space="preserve">השגה והוצאתה מהכוח אל הפועל באמצעות כלי רגולציה; </w:t>
      </w:r>
      <w:r w:rsidRPr="00F41E78">
        <w:rPr>
          <w:rFonts w:cs="FrankRuehl" w:hint="cs"/>
          <w:sz w:val="18"/>
          <w:szCs w:val="22"/>
          <w:rtl/>
          <w:lang w:eastAsia="he-IL"/>
        </w:rPr>
        <w:t>ו</w:t>
      </w:r>
      <w:r w:rsidRPr="00F41E78">
        <w:rPr>
          <w:rFonts w:cs="FrankRuehl"/>
          <w:sz w:val="18"/>
          <w:szCs w:val="22"/>
          <w:rtl/>
          <w:lang w:eastAsia="he-IL"/>
        </w:rPr>
        <w:t>הפעלת מסלולי</w:t>
      </w:r>
      <w:r w:rsidRPr="00F41E78">
        <w:rPr>
          <w:rFonts w:cs="FrankRuehl" w:hint="cs"/>
          <w:sz w:val="18"/>
          <w:szCs w:val="22"/>
          <w:rtl/>
          <w:lang w:eastAsia="he-IL"/>
        </w:rPr>
        <w:t>ם</w:t>
      </w:r>
      <w:r w:rsidRPr="00F41E78">
        <w:rPr>
          <w:rFonts w:cs="FrankRuehl"/>
          <w:sz w:val="18"/>
          <w:szCs w:val="22"/>
          <w:rtl/>
          <w:lang w:eastAsia="he-IL"/>
        </w:rPr>
        <w:t xml:space="preserve"> </w:t>
      </w:r>
      <w:r w:rsidRPr="00F41E78">
        <w:rPr>
          <w:rFonts w:cs="FrankRuehl" w:hint="cs"/>
          <w:sz w:val="18"/>
          <w:szCs w:val="22"/>
          <w:rtl/>
          <w:lang w:eastAsia="he-IL"/>
        </w:rPr>
        <w:t>ל</w:t>
      </w:r>
      <w:r w:rsidRPr="00F41E78">
        <w:rPr>
          <w:rFonts w:cs="FrankRuehl"/>
          <w:sz w:val="18"/>
          <w:szCs w:val="22"/>
          <w:rtl/>
          <w:lang w:eastAsia="he-IL"/>
        </w:rPr>
        <w:t>שיווק הקרקע לבנייה למגורים במחיר מופחת</w:t>
      </w:r>
      <w:r w:rsidRPr="00F41E78">
        <w:rPr>
          <w:rFonts w:cs="FrankRuehl" w:hint="cs"/>
          <w:sz w:val="18"/>
          <w:szCs w:val="22"/>
          <w:rtl/>
          <w:lang w:eastAsia="he-IL"/>
        </w:rPr>
        <w:t xml:space="preserve"> -</w:t>
      </w:r>
      <w:r w:rsidRPr="00F41E78">
        <w:rPr>
          <w:rFonts w:cs="FrankRuehl"/>
          <w:sz w:val="18"/>
          <w:szCs w:val="22"/>
          <w:rtl/>
          <w:lang w:eastAsia="he-IL"/>
        </w:rPr>
        <w:t xml:space="preserve"> "מחיר דירה למשתכן"</w:t>
      </w:r>
      <w:r w:rsidRPr="00F41E78">
        <w:rPr>
          <w:rFonts w:cs="FrankRuehl" w:hint="cs"/>
          <w:sz w:val="18"/>
          <w:szCs w:val="22"/>
          <w:rtl/>
          <w:lang w:eastAsia="he-IL"/>
        </w:rPr>
        <w:t xml:space="preserve"> </w:t>
      </w:r>
      <w:r w:rsidRPr="00F41E78">
        <w:rPr>
          <w:rFonts w:cs="FrankRuehl"/>
          <w:sz w:val="18"/>
          <w:szCs w:val="22"/>
          <w:rtl/>
          <w:lang w:eastAsia="he-IL"/>
        </w:rPr>
        <w:t>ו"השכרה לטווח ארוך במחיר מפוקח"</w:t>
      </w:r>
      <w:r w:rsidRPr="00F41E78">
        <w:rPr>
          <w:rFonts w:cs="FrankRuehl" w:hint="cs"/>
          <w:sz w:val="18"/>
          <w:szCs w:val="22"/>
          <w:rtl/>
          <w:lang w:eastAsia="he-IL"/>
        </w:rPr>
        <w:t>.</w:t>
      </w:r>
    </w:p>
    <w:p w:rsidR="005001B1" w:rsidRPr="00F41E78" w:rsidP="00A7557B">
      <w:pPr>
        <w:spacing w:after="120" w:line="230" w:lineRule="exact"/>
        <w:jc w:val="both"/>
        <w:rPr>
          <w:rFonts w:cs="FrankRuehl"/>
          <w:sz w:val="18"/>
          <w:szCs w:val="22"/>
          <w:lang w:eastAsia="he-IL"/>
        </w:rPr>
      </w:pPr>
    </w:p>
    <w:p w:rsidR="005001B1" w:rsidRPr="00F41E78" w:rsidP="00A7557B">
      <w:pPr>
        <w:spacing w:after="120" w:line="230" w:lineRule="exact"/>
        <w:jc w:val="both"/>
        <w:rPr>
          <w:rFonts w:cs="FrankRuehl"/>
          <w:sz w:val="18"/>
          <w:szCs w:val="22"/>
          <w:rtl/>
          <w:lang w:eastAsia="he-IL"/>
        </w:rPr>
      </w:pPr>
    </w:p>
    <w:p w:rsidR="00E97EDA" w:rsidRPr="00FA1F2C" w:rsidP="00A7557B">
      <w:pPr>
        <w:pStyle w:val="KOT4"/>
        <w:rPr>
          <w:rtl/>
          <w:lang w:eastAsia="he-IL"/>
        </w:rPr>
      </w:pPr>
      <w:r w:rsidRPr="00FA1F2C">
        <w:rPr>
          <w:rFonts w:hint="cs"/>
          <w:rtl/>
          <w:lang w:eastAsia="he-IL"/>
        </w:rPr>
        <w:t>רגולציה של דיור בר השגה בעולם</w:t>
      </w:r>
    </w:p>
    <w:p w:rsidR="00E97EDA" w:rsidRPr="00F41E78" w:rsidP="00A7557B">
      <w:pPr>
        <w:spacing w:after="120" w:line="230" w:lineRule="exact"/>
        <w:jc w:val="both"/>
        <w:rPr>
          <w:rFonts w:cs="FrankRuehl"/>
          <w:sz w:val="18"/>
          <w:szCs w:val="22"/>
          <w:rtl/>
          <w:lang w:eastAsia="he-IL"/>
        </w:rPr>
      </w:pPr>
      <w:r w:rsidRPr="00F41E78">
        <w:rPr>
          <w:rFonts w:cs="FrankRuehl"/>
          <w:sz w:val="18"/>
          <w:szCs w:val="22"/>
          <w:rtl/>
          <w:lang w:eastAsia="he-IL"/>
        </w:rPr>
        <w:t>במסגרת</w:t>
      </w:r>
      <w:r w:rsidRPr="00F41E78">
        <w:rPr>
          <w:rFonts w:cs="FrankRuehl" w:hint="cs"/>
          <w:sz w:val="18"/>
          <w:szCs w:val="22"/>
          <w:rtl/>
          <w:lang w:eastAsia="he-IL"/>
        </w:rPr>
        <w:t xml:space="preserve"> המחקר</w:t>
      </w:r>
      <w:r w:rsidRPr="00F41E78">
        <w:rPr>
          <w:rFonts w:cs="FrankRuehl"/>
          <w:sz w:val="18"/>
          <w:szCs w:val="22"/>
          <w:rtl/>
          <w:lang w:eastAsia="he-IL"/>
        </w:rPr>
        <w:t xml:space="preserve"> </w:t>
      </w:r>
      <w:r w:rsidRPr="00F41E78">
        <w:rPr>
          <w:rFonts w:cs="FrankRuehl" w:hint="cs"/>
          <w:sz w:val="18"/>
          <w:szCs w:val="22"/>
          <w:rtl/>
          <w:lang w:eastAsia="he-IL"/>
        </w:rPr>
        <w:t xml:space="preserve">מטעם משרד הפנים </w:t>
      </w:r>
      <w:r w:rsidRPr="00F41E78">
        <w:rPr>
          <w:rFonts w:cs="FrankRuehl"/>
          <w:sz w:val="18"/>
          <w:szCs w:val="22"/>
          <w:rtl/>
          <w:lang w:eastAsia="he-IL"/>
        </w:rPr>
        <w:t xml:space="preserve">נעשתה סקירה השוואתית של כלי רגולציה לדיור בר השגה </w:t>
      </w:r>
      <w:r w:rsidRPr="00F41E78">
        <w:rPr>
          <w:rFonts w:cs="FrankRuehl" w:hint="cs"/>
          <w:sz w:val="18"/>
          <w:szCs w:val="22"/>
          <w:rtl/>
          <w:lang w:eastAsia="he-IL"/>
        </w:rPr>
        <w:t>ה</w:t>
      </w:r>
      <w:r w:rsidRPr="00F41E78">
        <w:rPr>
          <w:rFonts w:cs="FrankRuehl"/>
          <w:sz w:val="18"/>
          <w:szCs w:val="22"/>
          <w:rtl/>
          <w:lang w:eastAsia="he-IL"/>
        </w:rPr>
        <w:t>מיושמים בשמונה מדינות מערביות</w:t>
      </w:r>
      <w:r>
        <w:rPr>
          <w:rFonts w:cs="FrankRuehl"/>
          <w:sz w:val="18"/>
          <w:szCs w:val="22"/>
          <w:vertAlign w:val="superscript"/>
          <w:rtl/>
          <w:lang w:eastAsia="he-IL"/>
        </w:rPr>
        <w:footnoteReference w:id="271"/>
      </w:r>
      <w:r w:rsidRPr="00F41E78">
        <w:rPr>
          <w:rFonts w:cs="FrankRuehl"/>
          <w:sz w:val="18"/>
          <w:szCs w:val="22"/>
          <w:rtl/>
          <w:lang w:eastAsia="he-IL"/>
        </w:rPr>
        <w:t xml:space="preserve"> בעלות מערכות סוציו-אקונומיות הדומות לאלו הנהוגות במדינת ישראל. חלק מהמדינות שנסקרו הן כאלו שהפעילו תכניות לדיור בר השגה במשך שנים רבות</w:t>
      </w:r>
      <w:r w:rsidRPr="00F41E78">
        <w:rPr>
          <w:rFonts w:cs="FrankRuehl" w:hint="cs"/>
          <w:sz w:val="18"/>
          <w:szCs w:val="22"/>
          <w:rtl/>
          <w:lang w:eastAsia="he-IL"/>
        </w:rPr>
        <w:t>,</w:t>
      </w:r>
      <w:r w:rsidRPr="00F41E78">
        <w:rPr>
          <w:rFonts w:cs="FrankRuehl"/>
          <w:sz w:val="18"/>
          <w:szCs w:val="22"/>
          <w:rtl/>
          <w:lang w:eastAsia="he-IL"/>
        </w:rPr>
        <w:t xml:space="preserve"> ואחרות </w:t>
      </w:r>
      <w:r w:rsidRPr="00F41E78">
        <w:rPr>
          <w:rFonts w:cs="FrankRuehl" w:hint="cs"/>
          <w:sz w:val="18"/>
          <w:szCs w:val="22"/>
          <w:rtl/>
          <w:lang w:eastAsia="he-IL"/>
        </w:rPr>
        <w:t>ש</w:t>
      </w:r>
      <w:r w:rsidRPr="00F41E78">
        <w:rPr>
          <w:rFonts w:cs="FrankRuehl"/>
          <w:sz w:val="18"/>
          <w:szCs w:val="22"/>
          <w:rtl/>
          <w:lang w:eastAsia="he-IL"/>
        </w:rPr>
        <w:t>החלו להפעילן רק בעשור האחרון</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 xml:space="preserve">על סמך לקחים שהופקו </w:t>
      </w:r>
      <w:r w:rsidRPr="00F41E78">
        <w:rPr>
          <w:rFonts w:cs="FrankRuehl"/>
          <w:sz w:val="18"/>
          <w:szCs w:val="22"/>
          <w:rtl/>
          <w:lang w:eastAsia="he-IL"/>
        </w:rPr>
        <w:t>מניסיונם של אחרים</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ופיתחו</w:t>
      </w:r>
      <w:r w:rsidRPr="00F41E78">
        <w:rPr>
          <w:rFonts w:cs="FrankRuehl"/>
          <w:sz w:val="18"/>
          <w:szCs w:val="22"/>
          <w:rtl/>
          <w:lang w:eastAsia="he-IL"/>
        </w:rPr>
        <w:t xml:space="preserve"> כלים חדשים התואמים </w:t>
      </w:r>
      <w:r w:rsidRPr="00F41E78">
        <w:rPr>
          <w:rFonts w:cs="FrankRuehl" w:hint="cs"/>
          <w:sz w:val="18"/>
          <w:szCs w:val="22"/>
          <w:rtl/>
          <w:lang w:eastAsia="he-IL"/>
        </w:rPr>
        <w:t>למצבן</w:t>
      </w:r>
      <w:r w:rsidRPr="00F41E78">
        <w:rPr>
          <w:rFonts w:cs="FrankRuehl"/>
          <w:sz w:val="18"/>
          <w:szCs w:val="22"/>
          <w:rtl/>
          <w:lang w:eastAsia="he-IL"/>
        </w:rPr>
        <w:t xml:space="preserve"> הכלכלי-חברתי.</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כבר </w:t>
      </w:r>
      <w:r w:rsidRPr="00F41E78">
        <w:rPr>
          <w:rFonts w:cs="FrankRuehl"/>
          <w:sz w:val="18"/>
          <w:szCs w:val="22"/>
          <w:rtl/>
          <w:lang w:eastAsia="he-IL"/>
        </w:rPr>
        <w:t xml:space="preserve">בשנות </w:t>
      </w:r>
      <w:r w:rsidRPr="00F41E78">
        <w:rPr>
          <w:rFonts w:cs="FrankRuehl" w:hint="cs"/>
          <w:sz w:val="18"/>
          <w:szCs w:val="22"/>
          <w:rtl/>
          <w:lang w:eastAsia="he-IL"/>
        </w:rPr>
        <w:t xml:space="preserve">השבעים של המאה העשרים </w:t>
      </w:r>
      <w:r w:rsidRPr="00F41E78">
        <w:rPr>
          <w:rFonts w:cs="FrankRuehl"/>
          <w:sz w:val="18"/>
          <w:szCs w:val="22"/>
          <w:rtl/>
          <w:lang w:eastAsia="he-IL"/>
        </w:rPr>
        <w:t xml:space="preserve">התפתח </w:t>
      </w:r>
      <w:r w:rsidRPr="00F41E78">
        <w:rPr>
          <w:rFonts w:cs="FrankRuehl" w:hint="cs"/>
          <w:sz w:val="18"/>
          <w:szCs w:val="22"/>
          <w:rtl/>
          <w:lang w:eastAsia="he-IL"/>
        </w:rPr>
        <w:t>ב</w:t>
      </w:r>
      <w:r w:rsidRPr="00F41E78">
        <w:rPr>
          <w:rFonts w:cs="FrankRuehl"/>
          <w:sz w:val="18"/>
          <w:szCs w:val="22"/>
          <w:rtl/>
          <w:lang w:eastAsia="he-IL"/>
        </w:rPr>
        <w:t xml:space="preserve">ארה"ב תחום הדיור בר </w:t>
      </w:r>
      <w:r w:rsidRPr="00F41E78">
        <w:rPr>
          <w:rFonts w:cs="FrankRuehl" w:hint="cs"/>
          <w:sz w:val="18"/>
          <w:szCs w:val="22"/>
          <w:rtl/>
          <w:lang w:eastAsia="he-IL"/>
        </w:rPr>
        <w:t>ה</w:t>
      </w:r>
      <w:r w:rsidRPr="00F41E78">
        <w:rPr>
          <w:rFonts w:cs="FrankRuehl"/>
          <w:sz w:val="18"/>
          <w:szCs w:val="22"/>
          <w:rtl/>
          <w:lang w:eastAsia="he-IL"/>
        </w:rPr>
        <w:t xml:space="preserve">השגה כדרישה של התנועה לזכויות האזרח </w:t>
      </w:r>
      <w:r w:rsidRPr="00F41E78">
        <w:rPr>
          <w:rFonts w:cs="FrankRuehl" w:hint="cs"/>
          <w:sz w:val="18"/>
          <w:szCs w:val="22"/>
          <w:rtl/>
          <w:lang w:eastAsia="he-IL"/>
        </w:rPr>
        <w:t xml:space="preserve">ומטרתו הייתה </w:t>
      </w:r>
      <w:r w:rsidRPr="00F41E78">
        <w:rPr>
          <w:rFonts w:cs="FrankRuehl"/>
          <w:sz w:val="18"/>
          <w:szCs w:val="22"/>
          <w:rtl/>
          <w:lang w:eastAsia="he-IL"/>
        </w:rPr>
        <w:t>לשלב אוכלוסיות בעלי הכנסה נמוכה באזורים חזקים</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בייחוד</w:t>
      </w:r>
      <w:r w:rsidRPr="00F41E78">
        <w:rPr>
          <w:rFonts w:cs="FrankRuehl"/>
          <w:sz w:val="18"/>
          <w:szCs w:val="22"/>
          <w:rtl/>
          <w:lang w:eastAsia="he-IL"/>
        </w:rPr>
        <w:t xml:space="preserve"> בפר</w:t>
      </w:r>
      <w:r w:rsidRPr="00F41E78">
        <w:rPr>
          <w:rFonts w:cs="FrankRuehl" w:hint="cs"/>
          <w:sz w:val="18"/>
          <w:szCs w:val="22"/>
          <w:rtl/>
          <w:lang w:eastAsia="he-IL"/>
        </w:rPr>
        <w:t>ב</w:t>
      </w:r>
      <w:r w:rsidRPr="00F41E78">
        <w:rPr>
          <w:rFonts w:cs="FrankRuehl"/>
          <w:sz w:val="18"/>
          <w:szCs w:val="22"/>
          <w:rtl/>
          <w:lang w:eastAsia="he-IL"/>
        </w:rPr>
        <w:t>רים.</w:t>
      </w:r>
      <w:r w:rsidRPr="00F41E78">
        <w:rPr>
          <w:rFonts w:cs="FrankRuehl" w:hint="cs"/>
          <w:sz w:val="18"/>
          <w:szCs w:val="22"/>
          <w:rtl/>
          <w:lang w:eastAsia="he-IL"/>
        </w:rPr>
        <w:t xml:space="preserve"> מתחילת המאה העשרים ואחת </w:t>
      </w:r>
      <w:r w:rsidRPr="00F41E78">
        <w:rPr>
          <w:rFonts w:cs="FrankRuehl"/>
          <w:sz w:val="18"/>
          <w:szCs w:val="22"/>
          <w:rtl/>
          <w:lang w:eastAsia="he-IL"/>
        </w:rPr>
        <w:t>התרחב</w:t>
      </w:r>
      <w:r w:rsidRPr="00F41E78">
        <w:rPr>
          <w:rFonts w:cs="FrankRuehl" w:hint="cs"/>
          <w:sz w:val="18"/>
          <w:szCs w:val="22"/>
          <w:rtl/>
          <w:lang w:eastAsia="he-IL"/>
        </w:rPr>
        <w:t>ה</w:t>
      </w:r>
      <w:r w:rsidRPr="00F41E78">
        <w:rPr>
          <w:rFonts w:cs="FrankRuehl"/>
          <w:sz w:val="18"/>
          <w:szCs w:val="22"/>
          <w:rtl/>
          <w:lang w:eastAsia="he-IL"/>
        </w:rPr>
        <w:t xml:space="preserve"> מאוד </w:t>
      </w:r>
      <w:r w:rsidRPr="00F41E78">
        <w:rPr>
          <w:rFonts w:cs="FrankRuehl" w:hint="cs"/>
          <w:sz w:val="18"/>
          <w:szCs w:val="22"/>
          <w:rtl/>
          <w:lang w:eastAsia="he-IL"/>
        </w:rPr>
        <w:t xml:space="preserve">הפעילות לפיתוח </w:t>
      </w:r>
      <w:r w:rsidRPr="00F41E78">
        <w:rPr>
          <w:rFonts w:cs="FrankRuehl"/>
          <w:sz w:val="18"/>
          <w:szCs w:val="22"/>
          <w:rtl/>
          <w:lang w:eastAsia="he-IL"/>
        </w:rPr>
        <w:t>דיור בר השגה בארה"ב</w:t>
      </w:r>
      <w:r w:rsidRPr="00F41E78">
        <w:rPr>
          <w:rFonts w:cs="FrankRuehl" w:hint="cs"/>
          <w:sz w:val="18"/>
          <w:szCs w:val="22"/>
          <w:rtl/>
          <w:lang w:eastAsia="he-IL"/>
        </w:rPr>
        <w:t>,</w:t>
      </w:r>
      <w:r w:rsidRPr="00F41E78">
        <w:rPr>
          <w:rFonts w:cs="FrankRuehl"/>
          <w:sz w:val="18"/>
          <w:szCs w:val="22"/>
          <w:rtl/>
          <w:lang w:eastAsia="he-IL"/>
        </w:rPr>
        <w:t xml:space="preserve"> וכיום </w:t>
      </w:r>
      <w:r w:rsidRPr="00F41E78">
        <w:rPr>
          <w:rFonts w:cs="FrankRuehl" w:hint="cs"/>
          <w:sz w:val="18"/>
          <w:szCs w:val="22"/>
          <w:rtl/>
          <w:lang w:eastAsia="he-IL"/>
        </w:rPr>
        <w:t>הנושא</w:t>
      </w:r>
      <w:r w:rsidRPr="00F41E78">
        <w:rPr>
          <w:rFonts w:cs="FrankRuehl"/>
          <w:sz w:val="18"/>
          <w:szCs w:val="22"/>
          <w:rtl/>
          <w:lang w:eastAsia="he-IL"/>
        </w:rPr>
        <w:t xml:space="preserve"> מוסדר בחקיקה בחלק </w:t>
      </w:r>
      <w:r w:rsidRPr="00F41E78">
        <w:rPr>
          <w:rFonts w:cs="FrankRuehl" w:hint="cs"/>
          <w:sz w:val="18"/>
          <w:szCs w:val="22"/>
          <w:rtl/>
          <w:lang w:eastAsia="he-IL"/>
        </w:rPr>
        <w:t>גדול</w:t>
      </w:r>
      <w:r w:rsidRPr="00F41E78">
        <w:rPr>
          <w:rFonts w:cs="FrankRuehl"/>
          <w:sz w:val="18"/>
          <w:szCs w:val="22"/>
          <w:rtl/>
          <w:lang w:eastAsia="he-IL"/>
        </w:rPr>
        <w:t xml:space="preserve"> מהערים המרכזיות, </w:t>
      </w:r>
      <w:r w:rsidRPr="00F41E78">
        <w:rPr>
          <w:rFonts w:cs="FrankRuehl" w:hint="cs"/>
          <w:sz w:val="18"/>
          <w:szCs w:val="22"/>
          <w:rtl/>
          <w:lang w:eastAsia="he-IL"/>
        </w:rPr>
        <w:t>ו</w:t>
      </w:r>
      <w:r w:rsidRPr="00F41E78">
        <w:rPr>
          <w:rFonts w:cs="FrankRuehl"/>
          <w:sz w:val="18"/>
          <w:szCs w:val="22"/>
          <w:rtl/>
          <w:lang w:eastAsia="he-IL"/>
        </w:rPr>
        <w:t>המגזר השלישי</w:t>
      </w:r>
      <w:r w:rsidRPr="00F41E78">
        <w:rPr>
          <w:rFonts w:cs="FrankRuehl" w:hint="cs"/>
          <w:sz w:val="18"/>
          <w:szCs w:val="22"/>
          <w:rtl/>
          <w:lang w:eastAsia="he-IL"/>
        </w:rPr>
        <w:t xml:space="preserve"> מעורב בכך במידה רבה.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בריטניה </w:t>
      </w:r>
      <w:r w:rsidRPr="00F41E78">
        <w:rPr>
          <w:rFonts w:cs="FrankRuehl"/>
          <w:sz w:val="18"/>
          <w:szCs w:val="22"/>
          <w:rtl/>
          <w:lang w:eastAsia="he-IL"/>
        </w:rPr>
        <w:t xml:space="preserve">נחשבת לאחת </w:t>
      </w:r>
      <w:r w:rsidRPr="00F41E78">
        <w:rPr>
          <w:rFonts w:cs="FrankRuehl" w:hint="cs"/>
          <w:sz w:val="18"/>
          <w:szCs w:val="22"/>
          <w:rtl/>
          <w:lang w:eastAsia="he-IL"/>
        </w:rPr>
        <w:t>המדינות שנחלו הצלחה</w:t>
      </w:r>
      <w:r w:rsidRPr="00F41E78">
        <w:rPr>
          <w:rFonts w:cs="FrankRuehl"/>
          <w:sz w:val="18"/>
          <w:szCs w:val="22"/>
          <w:rtl/>
          <w:lang w:eastAsia="he-IL"/>
        </w:rPr>
        <w:t xml:space="preserve"> בתחום הדיור בר </w:t>
      </w:r>
      <w:r w:rsidRPr="00F41E78">
        <w:rPr>
          <w:rFonts w:cs="FrankRuehl" w:hint="cs"/>
          <w:sz w:val="18"/>
          <w:szCs w:val="22"/>
          <w:rtl/>
          <w:lang w:eastAsia="he-IL"/>
        </w:rPr>
        <w:t>ה</w:t>
      </w:r>
      <w:r w:rsidRPr="00F41E78">
        <w:rPr>
          <w:rFonts w:cs="FrankRuehl"/>
          <w:sz w:val="18"/>
          <w:szCs w:val="22"/>
          <w:rtl/>
          <w:lang w:eastAsia="he-IL"/>
        </w:rPr>
        <w:t>השגה באמצעות</w:t>
      </w:r>
      <w:r w:rsidRPr="00F41E78">
        <w:rPr>
          <w:rFonts w:cs="FrankRuehl" w:hint="cs"/>
          <w:sz w:val="18"/>
          <w:szCs w:val="22"/>
          <w:rtl/>
          <w:lang w:eastAsia="he-IL"/>
        </w:rPr>
        <w:t xml:space="preserve"> הסתייעות</w:t>
      </w:r>
      <w:r w:rsidRPr="00F41E78">
        <w:rPr>
          <w:rFonts w:cs="FrankRuehl"/>
          <w:sz w:val="18"/>
          <w:szCs w:val="22"/>
          <w:rtl/>
          <w:lang w:eastAsia="he-IL"/>
        </w:rPr>
        <w:t xml:space="preserve"> </w:t>
      </w:r>
      <w:r w:rsidRPr="00F41E78">
        <w:rPr>
          <w:rFonts w:cs="FrankRuehl" w:hint="cs"/>
          <w:sz w:val="18"/>
          <w:szCs w:val="22"/>
          <w:rtl/>
          <w:lang w:eastAsia="he-IL"/>
        </w:rPr>
        <w:t>ב</w:t>
      </w:r>
      <w:r w:rsidRPr="00F41E78">
        <w:rPr>
          <w:rFonts w:cs="FrankRuehl"/>
          <w:sz w:val="18"/>
          <w:szCs w:val="22"/>
          <w:rtl/>
          <w:lang w:eastAsia="he-IL"/>
        </w:rPr>
        <w:t>יזמים פרטיים</w:t>
      </w:r>
      <w:r w:rsidRPr="00F41E78">
        <w:rPr>
          <w:rFonts w:cs="FrankRuehl" w:hint="cs"/>
          <w:sz w:val="18"/>
          <w:szCs w:val="22"/>
          <w:rtl/>
          <w:lang w:eastAsia="he-IL"/>
        </w:rPr>
        <w:t>.</w:t>
      </w:r>
      <w:r w:rsidRPr="00F41E78">
        <w:rPr>
          <w:rFonts w:cs="FrankRuehl"/>
          <w:sz w:val="18"/>
          <w:szCs w:val="22"/>
          <w:rtl/>
          <w:lang w:eastAsia="he-IL"/>
        </w:rPr>
        <w:t xml:space="preserve"> התחום </w:t>
      </w:r>
      <w:r w:rsidRPr="00F41E78">
        <w:rPr>
          <w:rFonts w:cs="FrankRuehl" w:hint="cs"/>
          <w:sz w:val="18"/>
          <w:szCs w:val="22"/>
          <w:rtl/>
          <w:lang w:eastAsia="he-IL"/>
        </w:rPr>
        <w:t>הוסדר</w:t>
      </w:r>
      <w:r w:rsidRPr="00F41E78">
        <w:rPr>
          <w:rFonts w:cs="FrankRuehl"/>
          <w:sz w:val="18"/>
          <w:szCs w:val="22"/>
          <w:rtl/>
          <w:lang w:eastAsia="he-IL"/>
        </w:rPr>
        <w:t xml:space="preserve"> באמצעות חקיקה מפותחת </w:t>
      </w:r>
      <w:r w:rsidRPr="00F41E78">
        <w:rPr>
          <w:rFonts w:cs="FrankRuehl" w:hint="cs"/>
          <w:sz w:val="18"/>
          <w:szCs w:val="22"/>
          <w:rtl/>
          <w:lang w:eastAsia="he-IL"/>
        </w:rPr>
        <w:t>ה</w:t>
      </w:r>
      <w:r w:rsidRPr="00F41E78">
        <w:rPr>
          <w:rFonts w:cs="FrankRuehl"/>
          <w:sz w:val="18"/>
          <w:szCs w:val="22"/>
          <w:rtl/>
          <w:lang w:eastAsia="he-IL"/>
        </w:rPr>
        <w:t>מתמקדת ביצירת "קהילות בתמהיל חברתי</w:t>
      </w:r>
      <w:r w:rsidRPr="00F41E78">
        <w:rPr>
          <w:rFonts w:cs="FrankRuehl" w:hint="cs"/>
          <w:sz w:val="18"/>
          <w:szCs w:val="22"/>
          <w:rtl/>
          <w:lang w:eastAsia="he-IL"/>
        </w:rPr>
        <w:t>-</w:t>
      </w:r>
      <w:r w:rsidRPr="00F41E78">
        <w:rPr>
          <w:rFonts w:cs="FrankRuehl"/>
          <w:sz w:val="18"/>
          <w:szCs w:val="22"/>
          <w:rtl/>
          <w:lang w:eastAsia="he-IL"/>
        </w:rPr>
        <w:t xml:space="preserve">כלכלי", דהיינו </w:t>
      </w:r>
      <w:r w:rsidRPr="00F41E78">
        <w:rPr>
          <w:rFonts w:cs="FrankRuehl" w:hint="cs"/>
          <w:sz w:val="18"/>
          <w:szCs w:val="22"/>
          <w:rtl/>
          <w:lang w:eastAsia="he-IL"/>
        </w:rPr>
        <w:t>אכלוס</w:t>
      </w:r>
      <w:r w:rsidRPr="00F41E78">
        <w:rPr>
          <w:rFonts w:cs="FrankRuehl"/>
          <w:sz w:val="18"/>
          <w:szCs w:val="22"/>
          <w:rtl/>
          <w:lang w:eastAsia="he-IL"/>
        </w:rPr>
        <w:t xml:space="preserve"> אזורי מגורים </w:t>
      </w:r>
      <w:r w:rsidRPr="00F41E78">
        <w:rPr>
          <w:rFonts w:cs="FrankRuehl" w:hint="cs"/>
          <w:sz w:val="18"/>
          <w:szCs w:val="22"/>
          <w:rtl/>
          <w:lang w:eastAsia="he-IL"/>
        </w:rPr>
        <w:t>ב</w:t>
      </w:r>
      <w:r w:rsidRPr="00F41E78">
        <w:rPr>
          <w:rFonts w:cs="FrankRuehl"/>
          <w:sz w:val="18"/>
          <w:szCs w:val="22"/>
          <w:rtl/>
          <w:lang w:eastAsia="he-IL"/>
        </w:rPr>
        <w:t xml:space="preserve">תושבים </w:t>
      </w:r>
      <w:r w:rsidRPr="00F41E78">
        <w:rPr>
          <w:rFonts w:cs="FrankRuehl" w:hint="cs"/>
          <w:sz w:val="18"/>
          <w:szCs w:val="22"/>
          <w:rtl/>
          <w:lang w:eastAsia="he-IL"/>
        </w:rPr>
        <w:t xml:space="preserve">משכבות </w:t>
      </w:r>
      <w:r w:rsidRPr="00F41E78">
        <w:rPr>
          <w:rFonts w:cs="FrankRuehl"/>
          <w:sz w:val="18"/>
          <w:szCs w:val="22"/>
          <w:rtl/>
          <w:lang w:eastAsia="he-IL"/>
        </w:rPr>
        <w:t>סוציו</w:t>
      </w:r>
      <w:r w:rsidRPr="00F41E78">
        <w:rPr>
          <w:rFonts w:cs="FrankRuehl" w:hint="cs"/>
          <w:sz w:val="18"/>
          <w:szCs w:val="22"/>
          <w:rtl/>
          <w:lang w:eastAsia="he-IL"/>
        </w:rPr>
        <w:t>-</w:t>
      </w:r>
      <w:r w:rsidRPr="00F41E78">
        <w:rPr>
          <w:rFonts w:cs="FrankRuehl"/>
          <w:sz w:val="18"/>
          <w:szCs w:val="22"/>
          <w:rtl/>
          <w:lang w:eastAsia="he-IL"/>
        </w:rPr>
        <w:t>אקונומי</w:t>
      </w:r>
      <w:r w:rsidRPr="00F41E78">
        <w:rPr>
          <w:rFonts w:cs="FrankRuehl" w:hint="cs"/>
          <w:sz w:val="18"/>
          <w:szCs w:val="22"/>
          <w:rtl/>
          <w:lang w:eastAsia="he-IL"/>
        </w:rPr>
        <w:t>ו</w:t>
      </w:r>
      <w:r w:rsidRPr="00F41E78">
        <w:rPr>
          <w:rFonts w:cs="FrankRuehl"/>
          <w:sz w:val="18"/>
          <w:szCs w:val="22"/>
          <w:rtl/>
          <w:lang w:eastAsia="he-IL"/>
        </w:rPr>
        <w:t>ת מגוונ</w:t>
      </w:r>
      <w:r w:rsidRPr="00F41E78">
        <w:rPr>
          <w:rFonts w:cs="FrankRuehl" w:hint="cs"/>
          <w:sz w:val="18"/>
          <w:szCs w:val="22"/>
          <w:rtl/>
          <w:lang w:eastAsia="he-IL"/>
        </w:rPr>
        <w:t>ו</w:t>
      </w:r>
      <w:r w:rsidRPr="00F41E78">
        <w:rPr>
          <w:rFonts w:cs="FrankRuehl"/>
          <w:sz w:val="18"/>
          <w:szCs w:val="22"/>
          <w:rtl/>
          <w:lang w:eastAsia="he-IL"/>
        </w:rPr>
        <w:t>ת</w:t>
      </w:r>
      <w:r w:rsidRPr="00F41E78">
        <w:rPr>
          <w:rFonts w:cs="FrankRuehl" w:hint="cs"/>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sz w:val="18"/>
          <w:szCs w:val="22"/>
          <w:rtl/>
          <w:lang w:eastAsia="he-IL"/>
        </w:rPr>
        <w:t xml:space="preserve">בהולנד פועלת מערכת מפותחת מאוד של דיור ציבורי שהיקפה כ-30% מכלל שוק הדיור במדינה. החקיקה החדשה </w:t>
      </w:r>
      <w:r w:rsidRPr="00F41E78">
        <w:rPr>
          <w:rFonts w:cs="FrankRuehl" w:hint="cs"/>
          <w:sz w:val="18"/>
          <w:szCs w:val="22"/>
          <w:rtl/>
          <w:lang w:eastAsia="he-IL"/>
        </w:rPr>
        <w:t>משנת</w:t>
      </w:r>
      <w:r w:rsidRPr="00F41E78">
        <w:rPr>
          <w:rFonts w:cs="FrankRuehl"/>
          <w:sz w:val="18"/>
          <w:szCs w:val="22"/>
          <w:rtl/>
          <w:lang w:eastAsia="he-IL"/>
        </w:rPr>
        <w:t xml:space="preserve"> 2008 קושרת בין תכנון השימוש </w:t>
      </w:r>
      <w:r w:rsidRPr="00F41E78">
        <w:rPr>
          <w:rFonts w:cs="FrankRuehl" w:hint="cs"/>
          <w:sz w:val="18"/>
          <w:szCs w:val="22"/>
          <w:rtl/>
          <w:lang w:eastAsia="he-IL"/>
        </w:rPr>
        <w:t>ה</w:t>
      </w:r>
      <w:r w:rsidRPr="00F41E78">
        <w:rPr>
          <w:rFonts w:cs="FrankRuehl"/>
          <w:sz w:val="18"/>
          <w:szCs w:val="22"/>
          <w:rtl/>
          <w:lang w:eastAsia="he-IL"/>
        </w:rPr>
        <w:t xml:space="preserve">נעשה בקרקע </w:t>
      </w:r>
      <w:r w:rsidRPr="00F41E78">
        <w:rPr>
          <w:rFonts w:cs="FrankRuehl" w:hint="cs"/>
          <w:sz w:val="18"/>
          <w:szCs w:val="22"/>
          <w:rtl/>
          <w:lang w:eastAsia="he-IL"/>
        </w:rPr>
        <w:t>ו</w:t>
      </w:r>
      <w:r w:rsidRPr="00F41E78">
        <w:rPr>
          <w:rFonts w:cs="FrankRuehl"/>
          <w:sz w:val="18"/>
          <w:szCs w:val="22"/>
          <w:rtl/>
          <w:lang w:eastAsia="he-IL"/>
        </w:rPr>
        <w:t>בין ייצור יחידות</w:t>
      </w:r>
      <w:r w:rsidRPr="00F41E78">
        <w:rPr>
          <w:rFonts w:cs="FrankRuehl" w:hint="cs"/>
          <w:sz w:val="18"/>
          <w:szCs w:val="22"/>
          <w:rtl/>
          <w:lang w:eastAsia="he-IL"/>
        </w:rPr>
        <w:t xml:space="preserve"> של</w:t>
      </w:r>
      <w:r w:rsidRPr="00F41E78">
        <w:rPr>
          <w:rFonts w:cs="FrankRuehl"/>
          <w:sz w:val="18"/>
          <w:szCs w:val="22"/>
          <w:rtl/>
          <w:lang w:eastAsia="he-IL"/>
        </w:rPr>
        <w:t xml:space="preserve"> דיור בר השגה.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באירלנד</w:t>
      </w:r>
      <w:r w:rsidRPr="00F41E78">
        <w:rPr>
          <w:rFonts w:cs="FrankRuehl"/>
          <w:sz w:val="18"/>
          <w:szCs w:val="22"/>
          <w:rtl/>
          <w:lang w:eastAsia="he-IL"/>
        </w:rPr>
        <w:t xml:space="preserve"> החקיקה החדשה משנת 2000 מחייבת הקצא</w:t>
      </w:r>
      <w:r w:rsidRPr="00F41E78">
        <w:rPr>
          <w:rFonts w:cs="FrankRuehl" w:hint="cs"/>
          <w:sz w:val="18"/>
          <w:szCs w:val="22"/>
          <w:rtl/>
          <w:lang w:eastAsia="he-IL"/>
        </w:rPr>
        <w:t>ה של</w:t>
      </w:r>
      <w:r w:rsidRPr="00F41E78">
        <w:rPr>
          <w:rFonts w:cs="FrankRuehl"/>
          <w:sz w:val="18"/>
          <w:szCs w:val="22"/>
          <w:rtl/>
          <w:lang w:eastAsia="he-IL"/>
        </w:rPr>
        <w:t xml:space="preserve"> 20% מכל הקרקע המיועדת למגורים עבור דיור בר השגה.</w:t>
      </w:r>
    </w:p>
    <w:p w:rsidR="00E97EDA" w:rsidRPr="00F41E78" w:rsidP="00A7557B">
      <w:pPr>
        <w:spacing w:after="120" w:line="230" w:lineRule="exact"/>
        <w:jc w:val="both"/>
        <w:rPr>
          <w:rFonts w:cs="FrankRuehl"/>
          <w:sz w:val="18"/>
          <w:szCs w:val="22"/>
          <w:lang w:eastAsia="he-IL"/>
        </w:rPr>
      </w:pPr>
      <w:r w:rsidRPr="00F41E78">
        <w:rPr>
          <w:rFonts w:cs="FrankRuehl" w:hint="cs"/>
          <w:sz w:val="18"/>
          <w:szCs w:val="22"/>
          <w:rtl/>
          <w:lang w:eastAsia="he-IL"/>
        </w:rPr>
        <w:t xml:space="preserve">בתשובתו מינואר 2014 ציין מינהל התכנון כי המחקר האמור "מהווה את אחד מנדבכי הידע המרכזיים בישראל בנושא". הוא הוסיף כי "במהלך ביצוע המחקר הפך דיור בר השגה לנושא מרכזי בשיח ציבורי... אין ספק, שפרסום דוח המחקר נתן ועדיין נותן שירות לציבור, ומסייע לשיח הציבורי בין כל העוסקים במלאכה". </w:t>
      </w:r>
    </w:p>
    <w:p w:rsidR="005001B1" w:rsidRPr="00F41E78" w:rsidP="00A7557B">
      <w:pPr>
        <w:spacing w:after="120" w:line="230" w:lineRule="exact"/>
        <w:jc w:val="both"/>
        <w:rPr>
          <w:rFonts w:cs="FrankRuehl"/>
          <w:sz w:val="18"/>
          <w:szCs w:val="22"/>
          <w:lang w:eastAsia="he-IL"/>
        </w:rPr>
      </w:pPr>
    </w:p>
    <w:p w:rsidR="005001B1" w:rsidRPr="00F41E78" w:rsidP="00A7557B">
      <w:pPr>
        <w:spacing w:after="120" w:line="230" w:lineRule="exact"/>
        <w:jc w:val="both"/>
        <w:rPr>
          <w:rFonts w:cs="FrankRuehl"/>
          <w:sz w:val="18"/>
          <w:szCs w:val="22"/>
          <w:rtl/>
          <w:lang w:eastAsia="he-IL"/>
        </w:rPr>
      </w:pPr>
    </w:p>
    <w:p w:rsidR="00E97EDA" w:rsidRPr="00FA1F2C" w:rsidP="00A7557B">
      <w:pPr>
        <w:pStyle w:val="KOT4"/>
        <w:rPr>
          <w:rtl/>
          <w:lang w:eastAsia="he-IL"/>
        </w:rPr>
      </w:pPr>
      <w:r w:rsidRPr="00FA1F2C">
        <w:rPr>
          <w:rFonts w:hint="cs"/>
          <w:rtl/>
          <w:lang w:eastAsia="he-IL"/>
        </w:rPr>
        <w:t xml:space="preserve">היעדר הסדרה חוקתית-מינהלית של </w:t>
      </w:r>
      <w:r w:rsidRPr="00FA1F2C">
        <w:rPr>
          <w:rFonts w:hint="eastAsia"/>
          <w:rtl/>
          <w:lang w:eastAsia="he-IL"/>
        </w:rPr>
        <w:t>דיור</w:t>
      </w:r>
      <w:r w:rsidRPr="00FA1F2C">
        <w:rPr>
          <w:rtl/>
          <w:lang w:eastAsia="he-IL"/>
        </w:rPr>
        <w:t xml:space="preserve"> </w:t>
      </w:r>
      <w:r w:rsidRPr="00FA1F2C">
        <w:rPr>
          <w:rFonts w:hint="eastAsia"/>
          <w:rtl/>
          <w:lang w:eastAsia="he-IL"/>
        </w:rPr>
        <w:t>בר</w:t>
      </w:r>
      <w:r w:rsidRPr="00FA1F2C">
        <w:rPr>
          <w:rtl/>
          <w:lang w:eastAsia="he-IL"/>
        </w:rPr>
        <w:t xml:space="preserve"> </w:t>
      </w:r>
      <w:r w:rsidRPr="00FA1F2C">
        <w:rPr>
          <w:rFonts w:hint="eastAsia"/>
          <w:rtl/>
          <w:lang w:eastAsia="he-IL"/>
        </w:rPr>
        <w:t>השגה</w:t>
      </w:r>
      <w:r w:rsidRPr="00FA1F2C">
        <w:rPr>
          <w:rFonts w:hint="cs"/>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נכון למועד סיום הביקורת </w:t>
      </w:r>
      <w:r w:rsidRPr="00F41E78">
        <w:rPr>
          <w:rFonts w:cs="FrankRuehl"/>
          <w:sz w:val="18"/>
          <w:szCs w:val="22"/>
          <w:rtl/>
          <w:lang w:eastAsia="he-IL"/>
        </w:rPr>
        <w:t xml:space="preserve">טרם הונח </w:t>
      </w:r>
      <w:r w:rsidRPr="00F41E78">
        <w:rPr>
          <w:rFonts w:cs="FrankRuehl" w:hint="cs"/>
          <w:sz w:val="18"/>
          <w:szCs w:val="22"/>
          <w:rtl/>
          <w:lang w:eastAsia="he-IL"/>
        </w:rPr>
        <w:t xml:space="preserve">בישראל </w:t>
      </w:r>
      <w:r w:rsidRPr="00F41E78">
        <w:rPr>
          <w:rFonts w:cs="FrankRuehl"/>
          <w:sz w:val="18"/>
          <w:szCs w:val="22"/>
          <w:rtl/>
          <w:lang w:eastAsia="he-IL"/>
        </w:rPr>
        <w:t>מסד חוקי</w:t>
      </w:r>
      <w:r w:rsidRPr="00F41E78">
        <w:rPr>
          <w:rFonts w:cs="FrankRuehl" w:hint="cs"/>
          <w:sz w:val="18"/>
          <w:szCs w:val="22"/>
          <w:rtl/>
          <w:lang w:eastAsia="he-IL"/>
        </w:rPr>
        <w:t xml:space="preserve"> ומינהלי</w:t>
      </w:r>
      <w:r w:rsidRPr="00F41E78">
        <w:rPr>
          <w:rFonts w:cs="FrankRuehl"/>
          <w:sz w:val="18"/>
          <w:szCs w:val="22"/>
          <w:rtl/>
          <w:lang w:eastAsia="he-IL"/>
        </w:rPr>
        <w:t xml:space="preserve"> </w:t>
      </w:r>
      <w:r w:rsidRPr="00F41E78">
        <w:rPr>
          <w:rFonts w:cs="FrankRuehl" w:hint="cs"/>
          <w:sz w:val="18"/>
          <w:szCs w:val="22"/>
          <w:rtl/>
          <w:lang w:eastAsia="he-IL"/>
        </w:rPr>
        <w:t>ה</w:t>
      </w:r>
      <w:r w:rsidRPr="00F41E78">
        <w:rPr>
          <w:rFonts w:cs="FrankRuehl"/>
          <w:sz w:val="18"/>
          <w:szCs w:val="22"/>
          <w:rtl/>
          <w:lang w:eastAsia="he-IL"/>
        </w:rPr>
        <w:t>מסדיר את נושא הדיור בר ההשגה</w:t>
      </w:r>
      <w:r w:rsidRPr="00F41E78">
        <w:rPr>
          <w:rFonts w:cs="FrankRuehl" w:hint="cs"/>
          <w:sz w:val="18"/>
          <w:szCs w:val="22"/>
          <w:rtl/>
          <w:lang w:eastAsia="he-IL"/>
        </w:rPr>
        <w:t xml:space="preserve"> באופן כולל. </w:t>
      </w:r>
    </w:p>
    <w:p w:rsidR="00E97EDA" w:rsidRPr="00F41E78" w:rsidP="00A7557B">
      <w:pPr>
        <w:spacing w:after="120" w:line="230" w:lineRule="exact"/>
        <w:jc w:val="both"/>
        <w:rPr>
          <w:rFonts w:cs="FrankRuehl"/>
          <w:sz w:val="18"/>
          <w:szCs w:val="22"/>
          <w:rtl/>
          <w:lang w:eastAsia="he-IL"/>
        </w:rPr>
      </w:pPr>
      <w:r w:rsidRPr="00F41E78">
        <w:rPr>
          <w:rFonts w:cs="FrankRuehl" w:hint="eastAsia"/>
          <w:bCs/>
          <w:spacing w:val="40"/>
          <w:sz w:val="18"/>
          <w:szCs w:val="22"/>
          <w:rtl/>
        </w:rPr>
        <w:t>הצעות</w:t>
      </w:r>
      <w:r w:rsidRPr="00F41E78">
        <w:rPr>
          <w:rFonts w:cs="FrankRuehl"/>
          <w:bCs/>
          <w:spacing w:val="40"/>
          <w:sz w:val="18"/>
          <w:szCs w:val="22"/>
          <w:rtl/>
        </w:rPr>
        <w:t xml:space="preserve"> </w:t>
      </w:r>
      <w:r w:rsidRPr="00F41E78">
        <w:rPr>
          <w:rFonts w:cs="FrankRuehl" w:hint="eastAsia"/>
          <w:bCs/>
          <w:spacing w:val="40"/>
          <w:sz w:val="18"/>
          <w:szCs w:val="22"/>
          <w:rtl/>
        </w:rPr>
        <w:t>חוק</w:t>
      </w:r>
      <w:r w:rsidRPr="00F41E78">
        <w:rPr>
          <w:rFonts w:cs="FrankRuehl"/>
          <w:bCs/>
          <w:spacing w:val="40"/>
          <w:sz w:val="18"/>
          <w:szCs w:val="22"/>
          <w:rtl/>
        </w:rPr>
        <w:t xml:space="preserve"> </w:t>
      </w:r>
      <w:r w:rsidRPr="00F41E78">
        <w:rPr>
          <w:rFonts w:cs="FrankRuehl" w:hint="eastAsia"/>
          <w:bCs/>
          <w:spacing w:val="40"/>
          <w:sz w:val="18"/>
          <w:szCs w:val="22"/>
          <w:rtl/>
        </w:rPr>
        <w:t>פרטיות</w:t>
      </w:r>
      <w:r w:rsidRPr="00F41E78">
        <w:rPr>
          <w:rFonts w:cs="FrankRuehl"/>
          <w:bCs/>
          <w:spacing w:val="40"/>
          <w:sz w:val="18"/>
          <w:szCs w:val="22"/>
          <w:rtl/>
        </w:rPr>
        <w:t xml:space="preserve"> </w:t>
      </w:r>
      <w:r w:rsidRPr="00F41E78">
        <w:rPr>
          <w:rFonts w:cs="FrankRuehl" w:hint="eastAsia"/>
          <w:bCs/>
          <w:spacing w:val="40"/>
          <w:sz w:val="18"/>
          <w:szCs w:val="22"/>
          <w:rtl/>
        </w:rPr>
        <w:t>של</w:t>
      </w:r>
      <w:r w:rsidRPr="00F41E78">
        <w:rPr>
          <w:rFonts w:cs="FrankRuehl"/>
          <w:bCs/>
          <w:spacing w:val="40"/>
          <w:sz w:val="18"/>
          <w:szCs w:val="22"/>
          <w:rtl/>
        </w:rPr>
        <w:t xml:space="preserve"> </w:t>
      </w:r>
      <w:r w:rsidRPr="00F41E78">
        <w:rPr>
          <w:rFonts w:cs="FrankRuehl" w:hint="eastAsia"/>
          <w:bCs/>
          <w:spacing w:val="40"/>
          <w:sz w:val="18"/>
          <w:szCs w:val="22"/>
          <w:rtl/>
        </w:rPr>
        <w:t>חברי</w:t>
      </w:r>
      <w:r w:rsidRPr="00F41E78">
        <w:rPr>
          <w:rFonts w:cs="FrankRuehl"/>
          <w:bCs/>
          <w:spacing w:val="40"/>
          <w:sz w:val="18"/>
          <w:szCs w:val="22"/>
          <w:rtl/>
        </w:rPr>
        <w:t xml:space="preserve"> </w:t>
      </w:r>
      <w:r w:rsidRPr="00F41E78">
        <w:rPr>
          <w:rFonts w:cs="FrankRuehl" w:hint="eastAsia"/>
          <w:bCs/>
          <w:spacing w:val="40"/>
          <w:sz w:val="18"/>
          <w:szCs w:val="22"/>
          <w:rtl/>
        </w:rPr>
        <w:t>כנסת</w:t>
      </w:r>
      <w:r w:rsidRPr="00F41E78">
        <w:rPr>
          <w:rFonts w:cs="FrankRuehl"/>
          <w:bCs/>
          <w:spacing w:val="40"/>
          <w:sz w:val="18"/>
          <w:szCs w:val="22"/>
          <w:rtl/>
        </w:rPr>
        <w:t xml:space="preserve">: </w:t>
      </w:r>
      <w:r w:rsidRPr="00F41E78">
        <w:rPr>
          <w:rFonts w:cs="FrankRuehl" w:hint="cs"/>
          <w:sz w:val="18"/>
          <w:szCs w:val="22"/>
          <w:rtl/>
          <w:lang w:eastAsia="he-IL"/>
        </w:rPr>
        <w:t>במהלך ה</w:t>
      </w:r>
      <w:r w:rsidRPr="00F41E78">
        <w:rPr>
          <w:rFonts w:cs="FrankRuehl"/>
          <w:sz w:val="18"/>
          <w:szCs w:val="22"/>
          <w:rtl/>
          <w:lang w:eastAsia="he-IL"/>
        </w:rPr>
        <w:t>שנים</w:t>
      </w:r>
      <w:r w:rsidRPr="00F41E78">
        <w:rPr>
          <w:rFonts w:cs="FrankRuehl" w:hint="cs"/>
          <w:sz w:val="18"/>
          <w:szCs w:val="22"/>
          <w:rtl/>
          <w:lang w:eastAsia="he-IL"/>
        </w:rPr>
        <w:t xml:space="preserve"> 2013-2007 </w:t>
      </w:r>
      <w:r w:rsidRPr="00F41E78">
        <w:rPr>
          <w:rFonts w:cs="FrankRuehl"/>
          <w:sz w:val="18"/>
          <w:szCs w:val="22"/>
          <w:rtl/>
          <w:lang w:eastAsia="he-IL"/>
        </w:rPr>
        <w:t xml:space="preserve">הניחו כמה </w:t>
      </w:r>
      <w:r w:rsidRPr="00F41E78">
        <w:rPr>
          <w:rFonts w:cs="FrankRuehl" w:hint="cs"/>
          <w:sz w:val="18"/>
          <w:szCs w:val="22"/>
          <w:rtl/>
          <w:lang w:eastAsia="he-IL"/>
        </w:rPr>
        <w:t>חברי כנסת</w:t>
      </w:r>
      <w:r w:rsidRPr="00F41E78">
        <w:rPr>
          <w:rFonts w:cs="FrankRuehl"/>
          <w:sz w:val="18"/>
          <w:szCs w:val="22"/>
          <w:rtl/>
          <w:lang w:eastAsia="he-IL"/>
        </w:rPr>
        <w:t xml:space="preserve"> על שולח</w:t>
      </w:r>
      <w:r w:rsidRPr="00F41E78">
        <w:rPr>
          <w:rFonts w:cs="FrankRuehl" w:hint="cs"/>
          <w:sz w:val="18"/>
          <w:szCs w:val="22"/>
          <w:rtl/>
          <w:lang w:eastAsia="he-IL"/>
        </w:rPr>
        <w:t>נה של</w:t>
      </w:r>
      <w:r w:rsidRPr="00F41E78">
        <w:rPr>
          <w:rFonts w:cs="FrankRuehl"/>
          <w:sz w:val="18"/>
          <w:szCs w:val="22"/>
          <w:rtl/>
          <w:lang w:eastAsia="he-IL"/>
        </w:rPr>
        <w:t xml:space="preserve"> הכנסת </w:t>
      </w:r>
      <w:r w:rsidRPr="00F41E78">
        <w:rPr>
          <w:rFonts w:cs="FrankRuehl" w:hint="cs"/>
          <w:sz w:val="18"/>
          <w:szCs w:val="22"/>
          <w:rtl/>
          <w:lang w:eastAsia="he-IL"/>
        </w:rPr>
        <w:t>כמה</w:t>
      </w:r>
      <w:r w:rsidRPr="00F41E78">
        <w:rPr>
          <w:rFonts w:cs="FrankRuehl"/>
          <w:sz w:val="18"/>
          <w:szCs w:val="22"/>
          <w:rtl/>
          <w:lang w:eastAsia="he-IL"/>
        </w:rPr>
        <w:t xml:space="preserve"> הצעות חוק שמטרתן להסדיר את נושא הדיור בר </w:t>
      </w:r>
      <w:r w:rsidRPr="00F41E78">
        <w:rPr>
          <w:rFonts w:cs="FrankRuehl" w:hint="cs"/>
          <w:sz w:val="18"/>
          <w:szCs w:val="22"/>
          <w:rtl/>
          <w:lang w:eastAsia="he-IL"/>
        </w:rPr>
        <w:t>ה</w:t>
      </w:r>
      <w:r w:rsidRPr="00F41E78">
        <w:rPr>
          <w:rFonts w:cs="FrankRuehl"/>
          <w:sz w:val="18"/>
          <w:szCs w:val="22"/>
          <w:rtl/>
          <w:lang w:eastAsia="he-IL"/>
        </w:rPr>
        <w:t>השגה</w:t>
      </w:r>
      <w:r w:rsidRPr="00F41E78">
        <w:rPr>
          <w:rFonts w:cs="FrankRuehl" w:hint="cs"/>
          <w:sz w:val="18"/>
          <w:szCs w:val="22"/>
          <w:rtl/>
          <w:lang w:eastAsia="he-IL"/>
        </w:rPr>
        <w:t xml:space="preserve">; לרבות, הגדרה של המונח דיור בר השגה, תבחינים לזכאות ומנגנונים של </w:t>
      </w:r>
      <w:r w:rsidRPr="00F41E78">
        <w:rPr>
          <w:rFonts w:cs="FrankRuehl" w:hint="eastAsia"/>
          <w:sz w:val="18"/>
          <w:szCs w:val="22"/>
          <w:rtl/>
          <w:lang w:eastAsia="he-IL"/>
        </w:rPr>
        <w:t>פיקוח</w:t>
      </w:r>
      <w:r w:rsidRPr="00F41E78">
        <w:rPr>
          <w:rFonts w:cs="FrankRuehl"/>
          <w:sz w:val="18"/>
          <w:szCs w:val="22"/>
          <w:rtl/>
          <w:lang w:eastAsia="he-IL"/>
        </w:rPr>
        <w:t xml:space="preserve"> </w:t>
      </w:r>
      <w:r w:rsidRPr="00F41E78">
        <w:rPr>
          <w:rFonts w:cs="FrankRuehl" w:hint="eastAsia"/>
          <w:sz w:val="18"/>
          <w:szCs w:val="22"/>
          <w:rtl/>
          <w:lang w:eastAsia="he-IL"/>
        </w:rPr>
        <w:t>ובקרה</w:t>
      </w:r>
      <w:r w:rsidRPr="00F41E78">
        <w:rPr>
          <w:rFonts w:cs="FrankRuehl" w:hint="cs"/>
          <w:sz w:val="18"/>
          <w:szCs w:val="22"/>
          <w:rtl/>
          <w:lang w:eastAsia="he-IL"/>
        </w:rPr>
        <w:t xml:space="preserve"> על תקינות תהליכי מימוש הזכאות לדיור בר השגה. </w:t>
      </w:r>
      <w:r w:rsidRPr="00F41E78">
        <w:rPr>
          <w:rFonts w:cs="FrankRuehl"/>
          <w:sz w:val="18"/>
          <w:szCs w:val="22"/>
          <w:rtl/>
          <w:lang w:eastAsia="he-IL"/>
        </w:rPr>
        <w:t xml:space="preserve">הממשלה התנגדה </w:t>
      </w:r>
      <w:r w:rsidRPr="00F41E78">
        <w:rPr>
          <w:rFonts w:cs="FrankRuehl" w:hint="cs"/>
          <w:sz w:val="18"/>
          <w:szCs w:val="22"/>
          <w:rtl/>
          <w:lang w:eastAsia="he-IL"/>
        </w:rPr>
        <w:t>ל</w:t>
      </w:r>
      <w:r w:rsidRPr="00F41E78">
        <w:rPr>
          <w:rFonts w:cs="FrankRuehl"/>
          <w:sz w:val="18"/>
          <w:szCs w:val="22"/>
          <w:rtl/>
          <w:lang w:eastAsia="he-IL"/>
        </w:rPr>
        <w:t>הצעות חוק</w:t>
      </w:r>
      <w:r w:rsidRPr="00F41E78">
        <w:rPr>
          <w:rFonts w:cs="FrankRuehl" w:hint="cs"/>
          <w:sz w:val="18"/>
          <w:szCs w:val="22"/>
          <w:rtl/>
          <w:lang w:eastAsia="he-IL"/>
        </w:rPr>
        <w:t xml:space="preserve"> אלו.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בינואר 2011</w:t>
      </w:r>
      <w:r w:rsidRPr="00F41E78">
        <w:rPr>
          <w:rFonts w:cs="FrankRuehl"/>
          <w:sz w:val="18"/>
          <w:szCs w:val="22"/>
          <w:rtl/>
          <w:lang w:eastAsia="he-IL"/>
        </w:rPr>
        <w:t xml:space="preserve"> הניח ח"כ אמנון כהן על שולח</w:t>
      </w:r>
      <w:r w:rsidRPr="00F41E78">
        <w:rPr>
          <w:rFonts w:cs="FrankRuehl" w:hint="cs"/>
          <w:sz w:val="18"/>
          <w:szCs w:val="22"/>
          <w:rtl/>
          <w:lang w:eastAsia="he-IL"/>
        </w:rPr>
        <w:t>נה של</w:t>
      </w:r>
      <w:r w:rsidRPr="00F41E78">
        <w:rPr>
          <w:rFonts w:cs="FrankRuehl"/>
          <w:sz w:val="18"/>
          <w:szCs w:val="22"/>
          <w:rtl/>
          <w:lang w:eastAsia="he-IL"/>
        </w:rPr>
        <w:t xml:space="preserve"> הכנסת הצעת חוק פרטית</w:t>
      </w:r>
      <w:r w:rsidRPr="00F41E78">
        <w:rPr>
          <w:rFonts w:cs="FrankRuehl" w:hint="cs"/>
          <w:sz w:val="18"/>
          <w:szCs w:val="22"/>
          <w:rtl/>
          <w:lang w:eastAsia="he-IL"/>
        </w:rPr>
        <w:t xml:space="preserve"> -</w:t>
      </w:r>
      <w:r w:rsidRPr="00F41E78">
        <w:rPr>
          <w:rFonts w:cs="FrankRuehl"/>
          <w:sz w:val="18"/>
          <w:szCs w:val="22"/>
          <w:rtl/>
          <w:lang w:eastAsia="he-IL"/>
        </w:rPr>
        <w:t xml:space="preserve"> "הצעת חוק דיור בר השגה, התשע"ב</w:t>
      </w:r>
      <w:r w:rsidRPr="00F41E78">
        <w:rPr>
          <w:rFonts w:cs="FrankRuehl" w:hint="cs"/>
          <w:sz w:val="18"/>
          <w:szCs w:val="22"/>
          <w:rtl/>
          <w:lang w:eastAsia="he-IL"/>
        </w:rPr>
        <w:t>-</w:t>
      </w:r>
      <w:r w:rsidRPr="00F41E78">
        <w:rPr>
          <w:rFonts w:cs="FrankRuehl"/>
          <w:sz w:val="18"/>
          <w:szCs w:val="22"/>
          <w:rtl/>
          <w:lang w:eastAsia="he-IL"/>
        </w:rPr>
        <w:t xml:space="preserve">2011". בדברי ההסבר </w:t>
      </w:r>
      <w:r w:rsidRPr="00F41E78">
        <w:rPr>
          <w:rFonts w:cs="FrankRuehl" w:hint="cs"/>
          <w:sz w:val="18"/>
          <w:szCs w:val="22"/>
          <w:rtl/>
          <w:lang w:eastAsia="he-IL"/>
        </w:rPr>
        <w:t>להצעה</w:t>
      </w:r>
      <w:r w:rsidRPr="00F41E78">
        <w:rPr>
          <w:rFonts w:cs="FrankRuehl"/>
          <w:sz w:val="18"/>
          <w:szCs w:val="22"/>
          <w:rtl/>
          <w:lang w:eastAsia="he-IL"/>
        </w:rPr>
        <w:t xml:space="preserve"> הוא ציין </w:t>
      </w:r>
      <w:r w:rsidRPr="00F41E78">
        <w:rPr>
          <w:rFonts w:cs="FrankRuehl" w:hint="cs"/>
          <w:sz w:val="18"/>
          <w:szCs w:val="22"/>
          <w:rtl/>
          <w:lang w:eastAsia="he-IL"/>
        </w:rPr>
        <w:t xml:space="preserve">בין היתר </w:t>
      </w:r>
      <w:r w:rsidRPr="00F41E78">
        <w:rPr>
          <w:rFonts w:cs="FrankRuehl"/>
          <w:sz w:val="18"/>
          <w:szCs w:val="22"/>
          <w:rtl/>
          <w:lang w:eastAsia="he-IL"/>
        </w:rPr>
        <w:t xml:space="preserve">כי </w:t>
      </w:r>
      <w:r w:rsidRPr="00F41E78">
        <w:rPr>
          <w:rFonts w:cs="FrankRuehl" w:hint="cs"/>
          <w:sz w:val="18"/>
          <w:szCs w:val="22"/>
          <w:rtl/>
          <w:lang w:eastAsia="he-IL"/>
        </w:rPr>
        <w:t>"</w:t>
      </w:r>
      <w:r w:rsidRPr="00F41E78">
        <w:rPr>
          <w:rFonts w:cs="FrankRuehl"/>
          <w:sz w:val="18"/>
          <w:szCs w:val="22"/>
          <w:rtl/>
          <w:lang w:eastAsia="he-IL"/>
        </w:rPr>
        <w:t>הצעת חוק זו מבקשת להגדיר דיור בר השגה, מסוגים שונים, אשר יסייעו במתן מענה לצרכי הדיור של קבוצות אוכלוסייה שונות. לצד מטרה זו, מבקשת ההצעה להבטיח את השמירה על מלאי דיור בר השגה, כפי שיוסדר לפי חוקי התכנון והבנייה וכן לקבוע הוראות או להסמיך את השר לקבוע כללים לעניין זכאים לדיור בר השגה ותנאי ההתקשרות בדיור מסוג זה. מוצע לציין מטרותיו של החוק במפורש, על מנת שאלו יעמדו לנגד עיניי הגורמים השונים אשר יעסקו בביצועו".</w:t>
      </w:r>
      <w:r w:rsidRPr="00F41E78">
        <w:rPr>
          <w:rFonts w:cs="FrankRuehl" w:hint="cs"/>
          <w:sz w:val="18"/>
          <w:szCs w:val="22"/>
          <w:rtl/>
          <w:lang w:eastAsia="he-IL"/>
        </w:rPr>
        <w:t xml:space="preserve"> </w:t>
      </w:r>
    </w:p>
    <w:p w:rsidR="00E97EDA" w:rsidRPr="00F41E78" w:rsidP="00FF1578">
      <w:pPr>
        <w:spacing w:after="120" w:line="230" w:lineRule="exact"/>
        <w:jc w:val="both"/>
        <w:rPr>
          <w:rFonts w:cs="FrankRuehl"/>
          <w:b/>
          <w:bCs/>
          <w:sz w:val="18"/>
          <w:szCs w:val="22"/>
          <w:rtl/>
          <w:lang w:eastAsia="he-IL"/>
        </w:rPr>
      </w:pPr>
      <w:r w:rsidRPr="00F41E78">
        <w:rPr>
          <w:rFonts w:cs="FrankRuehl"/>
          <w:sz w:val="18"/>
          <w:szCs w:val="22"/>
          <w:rtl/>
          <w:lang w:eastAsia="he-IL"/>
        </w:rPr>
        <w:t xml:space="preserve">בחוות דעתו לוועדת השרים לענייני חקיקה </w:t>
      </w:r>
      <w:r w:rsidRPr="00F41E78">
        <w:rPr>
          <w:rFonts w:cs="FrankRuehl" w:hint="cs"/>
          <w:sz w:val="18"/>
          <w:szCs w:val="22"/>
          <w:rtl/>
          <w:lang w:eastAsia="he-IL"/>
        </w:rPr>
        <w:t>מ-30.11.11</w:t>
      </w:r>
      <w:r w:rsidRPr="00F41E78">
        <w:rPr>
          <w:rFonts w:cs="FrankRuehl"/>
          <w:sz w:val="18"/>
          <w:szCs w:val="22"/>
          <w:rtl/>
          <w:lang w:eastAsia="he-IL"/>
        </w:rPr>
        <w:t xml:space="preserve"> ציין היועץ המשפטי לממשלה כי הצעת החוק של ח"כ אמנון כהן אינה מעלה מניעה משפטית לאישור</w:t>
      </w:r>
      <w:r w:rsidRPr="00F41E78">
        <w:rPr>
          <w:rFonts w:cs="FrankRuehl" w:hint="cs"/>
          <w:sz w:val="18"/>
          <w:szCs w:val="22"/>
          <w:rtl/>
          <w:lang w:eastAsia="he-IL"/>
        </w:rPr>
        <w:t>ה</w:t>
      </w:r>
      <w:r w:rsidRPr="00F41E78">
        <w:rPr>
          <w:rFonts w:cs="FrankRuehl"/>
          <w:sz w:val="18"/>
          <w:szCs w:val="22"/>
          <w:rtl/>
          <w:lang w:eastAsia="he-IL"/>
        </w:rPr>
        <w:t xml:space="preserve"> בוועדת השרים לענייני חקיקה, אך מחייבת "סנכרון בין הצעת החוק בנדון לדיני התכנון והבנייה ובפרט, להצעת חוק התכנון והבנייה, התשע"א-2010</w:t>
      </w:r>
      <w:r w:rsidRPr="00F41E78">
        <w:rPr>
          <w:rFonts w:cs="FrankRuehl" w:hint="cs"/>
          <w:sz w:val="18"/>
          <w:szCs w:val="22"/>
          <w:rtl/>
          <w:lang w:eastAsia="he-IL"/>
        </w:rPr>
        <w:t>"</w:t>
      </w:r>
      <w:r w:rsidRPr="00F41E78">
        <w:rPr>
          <w:rFonts w:cs="FrankRuehl"/>
          <w:sz w:val="18"/>
          <w:szCs w:val="22"/>
          <w:rtl/>
          <w:lang w:eastAsia="he-IL"/>
        </w:rPr>
        <w:t xml:space="preserve"> (להלן - הרפורמה</w:t>
      </w:r>
      <w:r w:rsidRPr="00F41E78">
        <w:rPr>
          <w:rFonts w:cs="FrankRuehl" w:hint="cs"/>
          <w:sz w:val="18"/>
          <w:szCs w:val="22"/>
          <w:rtl/>
          <w:lang w:eastAsia="he-IL"/>
        </w:rPr>
        <w:t xml:space="preserve"> בחוק התכנון והבנייה</w:t>
      </w:r>
      <w:r w:rsidRPr="00F41E78">
        <w:rPr>
          <w:rFonts w:cs="FrankRuehl"/>
          <w:sz w:val="18"/>
          <w:szCs w:val="22"/>
          <w:rtl/>
          <w:lang w:eastAsia="he-IL"/>
        </w:rPr>
        <w:t>).</w:t>
      </w:r>
      <w:r w:rsidRPr="00F41E78">
        <w:rPr>
          <w:rFonts w:cs="FrankRuehl" w:hint="cs"/>
          <w:sz w:val="18"/>
          <w:szCs w:val="22"/>
          <w:rtl/>
          <w:lang w:eastAsia="he-IL"/>
        </w:rPr>
        <w:t xml:space="preserve"> </w:t>
      </w:r>
    </w:p>
    <w:p w:rsidR="00E97EDA" w:rsidRPr="00F41E78" w:rsidP="003B3DE6">
      <w:pPr>
        <w:spacing w:after="240" w:line="230" w:lineRule="exact"/>
        <w:jc w:val="both"/>
        <w:rPr>
          <w:rFonts w:cs="FrankRuehl"/>
          <w:sz w:val="18"/>
          <w:szCs w:val="22"/>
          <w:rtl/>
          <w:lang w:eastAsia="he-IL"/>
        </w:rPr>
      </w:pPr>
      <w:r w:rsidRPr="00F41E78">
        <w:rPr>
          <w:rFonts w:cs="FrankRuehl" w:hint="cs"/>
          <w:sz w:val="18"/>
          <w:szCs w:val="22"/>
          <w:rtl/>
          <w:lang w:eastAsia="he-IL"/>
        </w:rPr>
        <w:t xml:space="preserve">ב-1.1.12 </w:t>
      </w:r>
      <w:r w:rsidRPr="00F41E78">
        <w:rPr>
          <w:rFonts w:cs="FrankRuehl"/>
          <w:sz w:val="18"/>
          <w:szCs w:val="22"/>
          <w:rtl/>
          <w:lang w:eastAsia="he-IL"/>
        </w:rPr>
        <w:t>החליטה ועדת השרים לענייני חקיקה לתמוך בקריאה טרומית בהצעת חוק דיור בר השגה של ח"כ אמנון כהן</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 xml:space="preserve">ב-19.1.12 </w:t>
      </w:r>
      <w:r w:rsidRPr="00F41E78">
        <w:rPr>
          <w:rFonts w:cs="FrankRuehl"/>
          <w:sz w:val="18"/>
          <w:szCs w:val="22"/>
          <w:rtl/>
          <w:lang w:eastAsia="he-IL"/>
        </w:rPr>
        <w:t xml:space="preserve">קיבלה </w:t>
      </w:r>
      <w:r w:rsidRPr="00F41E78">
        <w:rPr>
          <w:rFonts w:cs="FrankRuehl" w:hint="cs"/>
          <w:sz w:val="18"/>
          <w:szCs w:val="22"/>
          <w:rtl/>
          <w:lang w:eastAsia="he-IL"/>
        </w:rPr>
        <w:t>ה</w:t>
      </w:r>
      <w:r w:rsidRPr="00F41E78">
        <w:rPr>
          <w:rFonts w:cs="FrankRuehl"/>
          <w:sz w:val="18"/>
          <w:szCs w:val="22"/>
          <w:rtl/>
          <w:lang w:eastAsia="he-IL"/>
        </w:rPr>
        <w:t>החלטה תוקף של החלטת ממשלה</w:t>
      </w:r>
      <w:r w:rsidRPr="00F41E78">
        <w:rPr>
          <w:rFonts w:cs="FrankRuehl" w:hint="cs"/>
          <w:sz w:val="18"/>
          <w:szCs w:val="22"/>
          <w:rtl/>
          <w:lang w:eastAsia="he-IL"/>
        </w:rPr>
        <w:t xml:space="preserve"> (החלטה מס' </w:t>
      </w:r>
      <w:r w:rsidRPr="00F41E78">
        <w:rPr>
          <w:rFonts w:cs="FrankRuehl"/>
          <w:sz w:val="18"/>
          <w:szCs w:val="22"/>
          <w:rtl/>
          <w:lang w:eastAsia="he-IL"/>
        </w:rPr>
        <w:t>4142</w:t>
      </w:r>
      <w:r w:rsidRPr="00F41E78">
        <w:rPr>
          <w:rFonts w:cs="FrankRuehl" w:hint="cs"/>
          <w:sz w:val="18"/>
          <w:szCs w:val="22"/>
          <w:rtl/>
          <w:lang w:eastAsia="he-IL"/>
        </w:rPr>
        <w:t>)</w:t>
      </w:r>
      <w:r w:rsidRPr="00F41E78">
        <w:rPr>
          <w:rFonts w:cs="FrankRuehl"/>
          <w:sz w:val="18"/>
          <w:szCs w:val="22"/>
          <w:rtl/>
          <w:lang w:eastAsia="he-IL"/>
        </w:rPr>
        <w:t xml:space="preserve"> והוצגה </w:t>
      </w:r>
      <w:r w:rsidRPr="00F41E78">
        <w:rPr>
          <w:rFonts w:cs="FrankRuehl" w:hint="cs"/>
          <w:sz w:val="18"/>
          <w:szCs w:val="22"/>
          <w:rtl/>
          <w:lang w:eastAsia="he-IL"/>
        </w:rPr>
        <w:t>ב-</w:t>
      </w:r>
      <w:r w:rsidRPr="00F41E78">
        <w:rPr>
          <w:rFonts w:cs="FrankRuehl"/>
          <w:sz w:val="18"/>
          <w:szCs w:val="22"/>
          <w:rtl/>
          <w:lang w:eastAsia="he-IL"/>
        </w:rPr>
        <w:t>19.10.12 במליאת הכנסת</w:t>
      </w:r>
      <w:r w:rsidRPr="00F41E78">
        <w:rPr>
          <w:rFonts w:cs="FrankRuehl" w:hint="cs"/>
          <w:sz w:val="18"/>
          <w:szCs w:val="22"/>
          <w:rtl/>
          <w:lang w:eastAsia="he-IL"/>
        </w:rPr>
        <w:t>.</w:t>
      </w:r>
      <w:r w:rsidRPr="00F41E78">
        <w:rPr>
          <w:rFonts w:cs="FrankRuehl"/>
          <w:sz w:val="18"/>
          <w:szCs w:val="22"/>
          <w:rtl/>
          <w:lang w:eastAsia="he-IL"/>
        </w:rPr>
        <w:t xml:space="preserve"> הצעת החוק אושרה בקריאה טרומית פה אחד</w:t>
      </w:r>
      <w:r w:rsidRPr="00F41E78">
        <w:rPr>
          <w:rFonts w:cs="FrankRuehl" w:hint="cs"/>
          <w:sz w:val="18"/>
          <w:szCs w:val="22"/>
          <w:rtl/>
          <w:lang w:eastAsia="he-IL"/>
        </w:rPr>
        <w:t xml:space="preserve">, אך בפברואר 2013 סיימה הכנסת השמונה עשרה את כהונתה בלי שהצעת החוק אושרה. </w:t>
      </w:r>
    </w:p>
    <w:p w:rsidR="00D22B16" w:rsidRPr="00F41E78" w:rsidP="00D22B16">
      <w:pPr>
        <w:pStyle w:val="RESHET"/>
        <w:keepLines/>
        <w:rPr>
          <w:rtl/>
        </w:rPr>
      </w:pPr>
      <w:r w:rsidRPr="00F41E78">
        <w:rPr>
          <w:rFonts w:hint="cs"/>
          <w:rtl/>
        </w:rPr>
        <w:t>ב</w:t>
      </w:r>
      <w:r w:rsidRPr="00F41E78">
        <w:rPr>
          <w:rtl/>
        </w:rPr>
        <w:t xml:space="preserve">מועד סיום הביקורת </w:t>
      </w:r>
      <w:r w:rsidRPr="00F41E78">
        <w:rPr>
          <w:rFonts w:hint="cs"/>
          <w:rtl/>
        </w:rPr>
        <w:t>טרם גובשה הצעת חוק ממשלתית בעניין ההסדרה הכוללת של נושא הדיור בר ההשגה.</w:t>
      </w:r>
    </w:p>
    <w:p w:rsidR="00E97EDA" w:rsidRPr="00F41E78" w:rsidP="003B3DE6">
      <w:pPr>
        <w:spacing w:before="180" w:after="120" w:line="230" w:lineRule="exact"/>
        <w:jc w:val="both"/>
        <w:rPr>
          <w:rFonts w:cs="FrankRuehl"/>
          <w:sz w:val="18"/>
          <w:szCs w:val="22"/>
          <w:rtl/>
          <w:lang w:eastAsia="he-IL"/>
        </w:rPr>
      </w:pPr>
      <w:r w:rsidRPr="00F41E78">
        <w:rPr>
          <w:rFonts w:cs="FrankRuehl" w:hint="eastAsia"/>
          <w:bCs/>
          <w:spacing w:val="40"/>
          <w:sz w:val="18"/>
          <w:szCs w:val="22"/>
          <w:rtl/>
        </w:rPr>
        <w:t>המלצת</w:t>
      </w:r>
      <w:r w:rsidRPr="00F41E78">
        <w:rPr>
          <w:rFonts w:cs="FrankRuehl"/>
          <w:bCs/>
          <w:spacing w:val="40"/>
          <w:sz w:val="18"/>
          <w:szCs w:val="22"/>
          <w:rtl/>
        </w:rPr>
        <w:t xml:space="preserve"> </w:t>
      </w:r>
      <w:r w:rsidRPr="00F41E78">
        <w:rPr>
          <w:rFonts w:cs="FrankRuehl" w:hint="eastAsia"/>
          <w:bCs/>
          <w:spacing w:val="40"/>
          <w:sz w:val="18"/>
          <w:szCs w:val="22"/>
          <w:rtl/>
        </w:rPr>
        <w:t>ועדת</w:t>
      </w:r>
      <w:r w:rsidRPr="00F41E78">
        <w:rPr>
          <w:rFonts w:cs="FrankRuehl"/>
          <w:bCs/>
          <w:spacing w:val="40"/>
          <w:sz w:val="18"/>
          <w:szCs w:val="22"/>
          <w:rtl/>
        </w:rPr>
        <w:t xml:space="preserve"> </w:t>
      </w:r>
      <w:r w:rsidRPr="00F41E78">
        <w:rPr>
          <w:rFonts w:cs="FrankRuehl" w:hint="eastAsia"/>
          <w:bCs/>
          <w:spacing w:val="40"/>
          <w:sz w:val="18"/>
          <w:szCs w:val="22"/>
          <w:rtl/>
        </w:rPr>
        <w:t>טרכטנברג</w:t>
      </w:r>
      <w:r w:rsidRPr="00F41E78">
        <w:rPr>
          <w:rFonts w:cs="FrankRuehl"/>
          <w:bCs/>
          <w:spacing w:val="40"/>
          <w:sz w:val="18"/>
          <w:szCs w:val="22"/>
          <w:rtl/>
        </w:rPr>
        <w:t xml:space="preserve"> </w:t>
      </w:r>
      <w:r w:rsidRPr="00F41E78">
        <w:rPr>
          <w:rFonts w:cs="FrankRuehl" w:hint="eastAsia"/>
          <w:bCs/>
          <w:spacing w:val="40"/>
          <w:sz w:val="18"/>
          <w:szCs w:val="22"/>
          <w:rtl/>
        </w:rPr>
        <w:t>לקידום</w:t>
      </w:r>
      <w:r w:rsidRPr="00F41E78">
        <w:rPr>
          <w:rFonts w:cs="FrankRuehl"/>
          <w:bCs/>
          <w:spacing w:val="40"/>
          <w:sz w:val="18"/>
          <w:szCs w:val="22"/>
          <w:rtl/>
        </w:rPr>
        <w:t xml:space="preserve"> </w:t>
      </w:r>
      <w:r w:rsidRPr="00F41E78">
        <w:rPr>
          <w:rFonts w:cs="FrankRuehl" w:hint="eastAsia"/>
          <w:bCs/>
          <w:spacing w:val="40"/>
          <w:sz w:val="18"/>
          <w:szCs w:val="22"/>
          <w:rtl/>
        </w:rPr>
        <w:t>חקיקה</w:t>
      </w:r>
      <w:r w:rsidRPr="00F41E78">
        <w:rPr>
          <w:rFonts w:cs="FrankRuehl"/>
          <w:bCs/>
          <w:spacing w:val="40"/>
          <w:sz w:val="18"/>
          <w:szCs w:val="22"/>
          <w:rtl/>
        </w:rPr>
        <w:t xml:space="preserve"> </w:t>
      </w:r>
      <w:r w:rsidRPr="00F41E78">
        <w:rPr>
          <w:rFonts w:cs="FrankRuehl" w:hint="eastAsia"/>
          <w:bCs/>
          <w:spacing w:val="40"/>
          <w:sz w:val="18"/>
          <w:szCs w:val="22"/>
          <w:rtl/>
        </w:rPr>
        <w:t>לדיור</w:t>
      </w:r>
      <w:r w:rsidRPr="00F41E78">
        <w:rPr>
          <w:rFonts w:cs="FrankRuehl"/>
          <w:bCs/>
          <w:spacing w:val="40"/>
          <w:sz w:val="18"/>
          <w:szCs w:val="22"/>
          <w:rtl/>
        </w:rPr>
        <w:t xml:space="preserve"> </w:t>
      </w:r>
      <w:r w:rsidRPr="00F41E78">
        <w:rPr>
          <w:rFonts w:cs="FrankRuehl" w:hint="eastAsia"/>
          <w:bCs/>
          <w:spacing w:val="40"/>
          <w:sz w:val="18"/>
          <w:szCs w:val="22"/>
          <w:rtl/>
        </w:rPr>
        <w:t>בר</w:t>
      </w:r>
      <w:r w:rsidRPr="00F41E78">
        <w:rPr>
          <w:rFonts w:cs="FrankRuehl"/>
          <w:bCs/>
          <w:spacing w:val="40"/>
          <w:sz w:val="18"/>
          <w:szCs w:val="22"/>
          <w:rtl/>
        </w:rPr>
        <w:t xml:space="preserve"> </w:t>
      </w:r>
      <w:r w:rsidRPr="00F41E78">
        <w:rPr>
          <w:rFonts w:cs="FrankRuehl" w:hint="eastAsia"/>
          <w:bCs/>
          <w:spacing w:val="40"/>
          <w:sz w:val="18"/>
          <w:szCs w:val="22"/>
          <w:rtl/>
        </w:rPr>
        <w:t>השגה</w:t>
      </w:r>
      <w:r w:rsidRPr="00F41E78">
        <w:rPr>
          <w:rFonts w:cs="FrankRuehl"/>
          <w:bCs/>
          <w:spacing w:val="40"/>
          <w:sz w:val="18"/>
          <w:szCs w:val="22"/>
          <w:rtl/>
        </w:rPr>
        <w:t xml:space="preserve">: </w:t>
      </w:r>
      <w:r w:rsidRPr="00F41E78">
        <w:rPr>
          <w:rFonts w:cs="FrankRuehl"/>
          <w:sz w:val="18"/>
          <w:szCs w:val="22"/>
          <w:rtl/>
          <w:lang w:eastAsia="he-IL"/>
        </w:rPr>
        <w:t xml:space="preserve">ועדת טרכטנברג ראתה צורך בהסדרת </w:t>
      </w:r>
      <w:r w:rsidRPr="00F41E78">
        <w:rPr>
          <w:rFonts w:cs="FrankRuehl" w:hint="cs"/>
          <w:sz w:val="18"/>
          <w:szCs w:val="22"/>
          <w:rtl/>
          <w:lang w:eastAsia="he-IL"/>
        </w:rPr>
        <w:t xml:space="preserve">נושא </w:t>
      </w:r>
      <w:r w:rsidRPr="00F41E78">
        <w:rPr>
          <w:rFonts w:cs="FrankRuehl"/>
          <w:sz w:val="18"/>
          <w:szCs w:val="22"/>
          <w:rtl/>
          <w:lang w:eastAsia="he-IL"/>
        </w:rPr>
        <w:t>הדיור בר ההשגה</w:t>
      </w:r>
      <w:r w:rsidRPr="00F41E78">
        <w:rPr>
          <w:rFonts w:cs="FrankRuehl" w:hint="cs"/>
          <w:sz w:val="18"/>
          <w:szCs w:val="22"/>
          <w:rtl/>
          <w:lang w:eastAsia="he-IL"/>
        </w:rPr>
        <w:t>.</w:t>
      </w:r>
      <w:r w:rsidRPr="00F41E78">
        <w:rPr>
          <w:rFonts w:cs="FrankRuehl"/>
          <w:sz w:val="18"/>
          <w:szCs w:val="22"/>
          <w:rtl/>
          <w:lang w:eastAsia="he-IL"/>
        </w:rPr>
        <w:t xml:space="preserve"> כצעד ראשון היא קבעה שיש לקדם חקיקה שתשקף את מדיניות הממשלה בנושא זה ותגדיר את הכלים ליישום המדיניות. לדעת הוועדה</w:t>
      </w:r>
      <w:r w:rsidRPr="00F41E78">
        <w:rPr>
          <w:rFonts w:cs="FrankRuehl" w:hint="cs"/>
          <w:sz w:val="18"/>
          <w:szCs w:val="22"/>
          <w:rtl/>
          <w:lang w:eastAsia="he-IL"/>
        </w:rPr>
        <w:t>,</w:t>
      </w:r>
      <w:r w:rsidRPr="00F41E78">
        <w:rPr>
          <w:rFonts w:cs="FrankRuehl"/>
          <w:sz w:val="18"/>
          <w:szCs w:val="22"/>
          <w:rtl/>
          <w:lang w:eastAsia="he-IL"/>
        </w:rPr>
        <w:t xml:space="preserve"> יש ליישם דיור בר השגה באמצעות שני כלים</w:t>
      </w:r>
      <w:r w:rsidRPr="00F41E78">
        <w:rPr>
          <w:rFonts w:cs="FrankRuehl" w:hint="cs"/>
          <w:sz w:val="18"/>
          <w:szCs w:val="22"/>
          <w:rtl/>
          <w:lang w:eastAsia="he-IL"/>
        </w:rPr>
        <w:t xml:space="preserve"> -</w:t>
      </w:r>
      <w:r w:rsidRPr="00F41E78">
        <w:rPr>
          <w:rFonts w:cs="FrankRuehl"/>
          <w:sz w:val="18"/>
          <w:szCs w:val="22"/>
          <w:rtl/>
          <w:lang w:eastAsia="he-IL"/>
        </w:rPr>
        <w:t xml:space="preserve"> השכרת דירות לטווח ארוך ובנייה של דירות קטנות</w:t>
      </w:r>
      <w:r w:rsidRPr="00F41E78">
        <w:rPr>
          <w:rFonts w:cs="FrankRuehl" w:hint="cs"/>
          <w:sz w:val="18"/>
          <w:szCs w:val="22"/>
          <w:rtl/>
          <w:lang w:eastAsia="he-IL"/>
        </w:rPr>
        <w:t xml:space="preserve">. לשם כך המליצה הוועדה </w:t>
      </w:r>
      <w:r w:rsidRPr="00F41E78">
        <w:rPr>
          <w:rFonts w:cs="FrankRuehl"/>
          <w:sz w:val="18"/>
          <w:szCs w:val="22"/>
          <w:rtl/>
          <w:lang w:eastAsia="he-IL"/>
        </w:rPr>
        <w:t xml:space="preserve">לערוך תיקונים </w:t>
      </w:r>
      <w:r w:rsidRPr="00F41E78">
        <w:rPr>
          <w:rFonts w:cs="FrankRuehl" w:hint="cs"/>
          <w:sz w:val="18"/>
          <w:szCs w:val="22"/>
          <w:rtl/>
          <w:lang w:eastAsia="he-IL"/>
        </w:rPr>
        <w:t>ברפורמה בחוק התכנון והבנייה שיזמה הממשלה. עוד המליצה</w:t>
      </w:r>
      <w:r w:rsidRPr="00F41E78">
        <w:rPr>
          <w:rFonts w:cs="FrankRuehl"/>
          <w:sz w:val="18"/>
          <w:szCs w:val="22"/>
          <w:rtl/>
          <w:lang w:eastAsia="he-IL"/>
        </w:rPr>
        <w:t xml:space="preserve"> הוועדה להפעיל במשולב מכלול כלים בתחומי תכנון סטטוטורי, קניין ופיקוח ובקרה</w:t>
      </w:r>
      <w:r w:rsidRPr="00F41E78">
        <w:rPr>
          <w:rFonts w:cs="FrankRuehl" w:hint="cs"/>
          <w:sz w:val="18"/>
          <w:szCs w:val="22"/>
          <w:rtl/>
          <w:lang w:eastAsia="he-IL"/>
        </w:rPr>
        <w:t xml:space="preserve"> כדי</w:t>
      </w:r>
      <w:r w:rsidRPr="00F41E78">
        <w:rPr>
          <w:rFonts w:cs="FrankRuehl"/>
          <w:sz w:val="18"/>
          <w:szCs w:val="22"/>
          <w:rtl/>
          <w:lang w:eastAsia="he-IL"/>
        </w:rPr>
        <w:t xml:space="preserve"> להבטיח בחוק כי לא ישונה או יבוטל "ייעוד זה לאורך תקופת זמן ארוכה".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במרץ 2012</w:t>
      </w:r>
      <w:r w:rsidRPr="00F41E78">
        <w:rPr>
          <w:rFonts w:cs="FrankRuehl"/>
          <w:sz w:val="18"/>
          <w:szCs w:val="22"/>
          <w:rtl/>
          <w:lang w:eastAsia="he-IL"/>
        </w:rPr>
        <w:t xml:space="preserve"> קיבלה הממשלה </w:t>
      </w:r>
      <w:r w:rsidRPr="00F41E78">
        <w:rPr>
          <w:rFonts w:cs="FrankRuehl" w:hint="cs"/>
          <w:sz w:val="18"/>
          <w:szCs w:val="22"/>
          <w:rtl/>
          <w:lang w:eastAsia="he-IL"/>
        </w:rPr>
        <w:t>כמה</w:t>
      </w:r>
      <w:r w:rsidRPr="00F41E78">
        <w:rPr>
          <w:rFonts w:cs="FrankRuehl"/>
          <w:sz w:val="18"/>
          <w:szCs w:val="22"/>
          <w:rtl/>
          <w:lang w:eastAsia="he-IL"/>
        </w:rPr>
        <w:t xml:space="preserve"> החלטות בנושאי דיור שתכליתן יישום המלצות ועדת טרכטנברג</w:t>
      </w:r>
      <w:r w:rsidRPr="00F41E78">
        <w:rPr>
          <w:rFonts w:cs="FrankRuehl" w:hint="cs"/>
          <w:sz w:val="18"/>
          <w:szCs w:val="22"/>
          <w:rtl/>
          <w:lang w:eastAsia="he-IL"/>
        </w:rPr>
        <w:t>.</w:t>
      </w:r>
      <w:r w:rsidRPr="00F41E78">
        <w:rPr>
          <w:rFonts w:cs="FrankRuehl"/>
          <w:sz w:val="18"/>
          <w:szCs w:val="22"/>
          <w:rtl/>
          <w:lang w:eastAsia="he-IL"/>
        </w:rPr>
        <w:t xml:space="preserve"> לעניין </w:t>
      </w:r>
      <w:r w:rsidRPr="00F41E78">
        <w:rPr>
          <w:rFonts w:cs="FrankRuehl" w:hint="cs"/>
          <w:sz w:val="18"/>
          <w:szCs w:val="22"/>
          <w:rtl/>
          <w:lang w:eastAsia="he-IL"/>
        </w:rPr>
        <w:t>הדיור בר ההשגה</w:t>
      </w:r>
      <w:r w:rsidRPr="00F41E78">
        <w:rPr>
          <w:rFonts w:cs="FrankRuehl"/>
          <w:sz w:val="18"/>
          <w:szCs w:val="22"/>
          <w:rtl/>
          <w:lang w:eastAsia="he-IL"/>
        </w:rPr>
        <w:t xml:space="preserve"> צוין בהחלטה</w:t>
      </w:r>
      <w:r w:rsidRPr="00F41E78">
        <w:rPr>
          <w:rFonts w:cs="FrankRuehl" w:hint="cs"/>
          <w:sz w:val="18"/>
          <w:szCs w:val="22"/>
          <w:rtl/>
          <w:lang w:eastAsia="he-IL"/>
        </w:rPr>
        <w:t xml:space="preserve"> מס'</w:t>
      </w:r>
      <w:r w:rsidRPr="00F41E78">
        <w:rPr>
          <w:rFonts w:cs="FrankRuehl"/>
          <w:sz w:val="18"/>
          <w:szCs w:val="22"/>
          <w:rtl/>
          <w:lang w:eastAsia="he-IL"/>
        </w:rPr>
        <w:t xml:space="preserve"> 4429 ממר</w:t>
      </w:r>
      <w:r w:rsidRPr="00F41E78">
        <w:rPr>
          <w:rFonts w:cs="FrankRuehl" w:hint="cs"/>
          <w:sz w:val="18"/>
          <w:szCs w:val="22"/>
          <w:rtl/>
          <w:lang w:eastAsia="he-IL"/>
        </w:rPr>
        <w:t>ץ</w:t>
      </w:r>
      <w:r w:rsidRPr="00F41E78">
        <w:rPr>
          <w:rFonts w:cs="FrankRuehl"/>
          <w:sz w:val="18"/>
          <w:szCs w:val="22"/>
          <w:rtl/>
          <w:lang w:eastAsia="he-IL"/>
        </w:rPr>
        <w:t xml:space="preserve"> 2012 כי דיור בר השגה </w:t>
      </w:r>
      <w:r w:rsidRPr="00F41E78">
        <w:rPr>
          <w:rFonts w:cs="FrankRuehl" w:hint="cs"/>
          <w:sz w:val="18"/>
          <w:szCs w:val="22"/>
          <w:rtl/>
          <w:lang w:eastAsia="he-IL"/>
        </w:rPr>
        <w:t>יכלול דירות</w:t>
      </w:r>
      <w:r w:rsidRPr="00F41E78">
        <w:rPr>
          <w:rFonts w:cs="FrankRuehl"/>
          <w:sz w:val="18"/>
          <w:szCs w:val="22"/>
          <w:rtl/>
          <w:lang w:eastAsia="he-IL"/>
        </w:rPr>
        <w:t xml:space="preserve"> להשכרה לטווח ארוך או דירות קטנות כהגדרתן בדוח ועדת טרכטנברג</w:t>
      </w:r>
      <w:r>
        <w:rPr>
          <w:rFonts w:cs="FrankRuehl"/>
          <w:sz w:val="18"/>
          <w:szCs w:val="22"/>
          <w:vertAlign w:val="superscript"/>
          <w:rtl/>
          <w:lang w:eastAsia="he-IL"/>
        </w:rPr>
        <w:footnoteReference w:id="272"/>
      </w:r>
      <w:r w:rsidRPr="00F41E78">
        <w:rPr>
          <w:rFonts w:cs="FrankRuehl"/>
          <w:sz w:val="18"/>
          <w:szCs w:val="22"/>
          <w:rtl/>
          <w:lang w:eastAsia="he-IL"/>
        </w:rPr>
        <w:t xml:space="preserve"> או דירות קטנות כהגדרתן בהחלטות מועצת מקרקעי ישראל</w:t>
      </w:r>
      <w:r>
        <w:rPr>
          <w:rFonts w:cs="FrankRuehl"/>
          <w:sz w:val="18"/>
          <w:szCs w:val="22"/>
          <w:vertAlign w:val="superscript"/>
          <w:rtl/>
          <w:lang w:eastAsia="he-IL"/>
        </w:rPr>
        <w:footnoteReference w:id="273"/>
      </w:r>
      <w:r w:rsidRPr="00F41E78">
        <w:rPr>
          <w:rFonts w:cs="FrankRuehl"/>
          <w:sz w:val="18"/>
          <w:szCs w:val="22"/>
          <w:rtl/>
          <w:lang w:eastAsia="he-IL"/>
        </w:rPr>
        <w:t>.</w:t>
      </w:r>
      <w:r w:rsidRPr="00F41E78">
        <w:rPr>
          <w:rFonts w:cs="FrankRuehl" w:hint="cs"/>
          <w:sz w:val="18"/>
          <w:szCs w:val="22"/>
          <w:rtl/>
          <w:lang w:eastAsia="he-IL"/>
        </w:rPr>
        <w:t xml:space="preserve"> </w:t>
      </w:r>
      <w:r w:rsidRPr="00F41E78">
        <w:rPr>
          <w:rFonts w:cs="FrankRuehl"/>
          <w:sz w:val="18"/>
          <w:szCs w:val="22"/>
          <w:rtl/>
          <w:lang w:eastAsia="he-IL"/>
        </w:rPr>
        <w:t xml:space="preserve">עוד החליטה הממשלה "להטיל על ראש הממשלה ושר האוצר </w:t>
      </w:r>
      <w:r w:rsidRPr="00F41E78">
        <w:rPr>
          <w:rFonts w:cs="FrankRuehl"/>
          <w:sz w:val="18"/>
          <w:szCs w:val="22"/>
          <w:rtl/>
          <w:lang w:eastAsia="he-IL"/>
        </w:rPr>
        <w:t>להביא לממשלה הצעות לשינויי חקיקה, ככל שידרשו, ליישום החלטות הממשלה שיתקבלו כאמור".</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בתשובתו מינואר 2014 ציין משרד המשפטים כי ערך וקידם את ניסוח התוספת החמישית להצעת הרפורמה בחוק התכנון והבנייה</w:t>
      </w:r>
      <w:r>
        <w:rPr>
          <w:rFonts w:cs="FrankRuehl"/>
          <w:sz w:val="18"/>
          <w:szCs w:val="22"/>
          <w:vertAlign w:val="superscript"/>
          <w:rtl/>
          <w:lang w:eastAsia="he-IL"/>
        </w:rPr>
        <w:footnoteReference w:id="274"/>
      </w:r>
      <w:r w:rsidRPr="00F41E78">
        <w:rPr>
          <w:rFonts w:cs="FrankRuehl" w:hint="cs"/>
          <w:sz w:val="18"/>
          <w:szCs w:val="22"/>
          <w:rtl/>
          <w:lang w:eastAsia="he-IL"/>
        </w:rPr>
        <w:t xml:space="preserve"> "שמטרתה הייתה הסדרת הנושא [דיור בר השגה] על שלל היבטיו. כאמור, ככל שתשתית חקיקתית זו הייתה נחקקת סופו של יום, ניתן היה לקבוע מנגנונים שמבטיחים קיום של דיור בר השגה בתכניות שלפי חוק התכנון והבנייה. ההצעה האמורה ביקשה להסדיר את מכלול היבטי הקניין והתכנון שמטרתם הייתה להבטיח כי ההטבה שניתנת לזכאים אכן תגיע לקהל היעד אליה היא מכוונת, כמו כן, ההצעה קבעה מהו דיור בר השגה, מי קובע את הזכאים לו, מהן הסנקציות על מי שמפר את ההוראות וכיצד יש לפקח עליהן. במקביל קבעה הצעת החוק הסדר תכנוני כוללני ביחס לחובה לכלול דיור בר השגה בתכניות, כיצד יש לעגנה ובאילו מקרים ניתן להתגבר על החובה האמורה". מינהל התכנון שבמשרד הפנים הוסיף כי "בימים אלה בוחנת הממשלה אפשרויות להסדרה חקיקתית כוללת של הנושא</w:t>
      </w:r>
      <w:r w:rsidRPr="00F41E78">
        <w:rPr>
          <w:rFonts w:cs="FrankRuehl"/>
          <w:sz w:val="18"/>
          <w:szCs w:val="22"/>
          <w:rtl/>
          <w:lang w:eastAsia="he-IL"/>
        </w:rPr>
        <w:t>"</w:t>
      </w:r>
      <w:r w:rsidRPr="00F41E78">
        <w:rPr>
          <w:rFonts w:cs="FrankRuehl" w:hint="cs"/>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בתשובתו של משרד הבינוי מסר מנכ"ל המשרד כי לנוכח הצורך בהגדרת משמעותו המקומית של המונח הבין-לאומי "דיור בר השגה", ולנוכח מומחיותם הרבה של גורמים חוץ-ממשלתיים בנושא זה, הקים משרד הבינוי בתחילת 2013 קבוצת למידה בנושא. עבודתה של קבוצת הלמידה סוכמה במצגת בנושא "דיור בר השגה: סיכום עקרונות לחקיקה" שהוכנה באוקטובר 2013.</w:t>
      </w:r>
    </w:p>
    <w:p w:rsidR="00E97EDA" w:rsidRPr="00F41E78" w:rsidP="003B3DE6">
      <w:pPr>
        <w:spacing w:after="240" w:line="230" w:lineRule="exact"/>
        <w:jc w:val="both"/>
        <w:rPr>
          <w:rFonts w:cs="FrankRuehl"/>
          <w:sz w:val="18"/>
          <w:szCs w:val="22"/>
          <w:rtl/>
          <w:lang w:eastAsia="he-IL"/>
        </w:rPr>
      </w:pPr>
      <w:r w:rsidRPr="00F41E78">
        <w:rPr>
          <w:rFonts w:cs="FrankRuehl" w:hint="cs"/>
          <w:sz w:val="18"/>
          <w:szCs w:val="22"/>
          <w:rtl/>
          <w:lang w:eastAsia="he-IL"/>
        </w:rPr>
        <w:t xml:space="preserve">בתשובתו של משרד האוצר מינואר 2014 ציין אג"ת כי "עמדת הממשלה הינה כי </w:t>
      </w:r>
      <w:r w:rsidRPr="00F41E78">
        <w:rPr>
          <w:rFonts w:cs="FrankRuehl" w:hint="eastAsia"/>
          <w:sz w:val="18"/>
          <w:szCs w:val="22"/>
          <w:rtl/>
          <w:lang w:eastAsia="he-IL"/>
        </w:rPr>
        <w:t>דיור</w:t>
      </w:r>
      <w:r w:rsidRPr="00F41E78">
        <w:rPr>
          <w:rFonts w:cs="FrankRuehl"/>
          <w:sz w:val="18"/>
          <w:szCs w:val="22"/>
          <w:rtl/>
          <w:lang w:eastAsia="he-IL"/>
        </w:rPr>
        <w:t xml:space="preserve"> </w:t>
      </w:r>
      <w:r w:rsidRPr="00F41E78">
        <w:rPr>
          <w:rFonts w:cs="FrankRuehl" w:hint="eastAsia"/>
          <w:sz w:val="18"/>
          <w:szCs w:val="22"/>
          <w:rtl/>
          <w:lang w:eastAsia="he-IL"/>
        </w:rPr>
        <w:t>בר</w:t>
      </w:r>
      <w:r w:rsidRPr="00F41E78">
        <w:rPr>
          <w:rFonts w:cs="FrankRuehl"/>
          <w:sz w:val="18"/>
          <w:szCs w:val="22"/>
          <w:rtl/>
          <w:lang w:eastAsia="he-IL"/>
        </w:rPr>
        <w:t xml:space="preserve"> </w:t>
      </w:r>
      <w:r w:rsidRPr="00F41E78">
        <w:rPr>
          <w:rFonts w:cs="FrankRuehl" w:hint="eastAsia"/>
          <w:sz w:val="18"/>
          <w:szCs w:val="22"/>
          <w:rtl/>
          <w:lang w:eastAsia="he-IL"/>
        </w:rPr>
        <w:t>השגה</w:t>
      </w:r>
      <w:r w:rsidRPr="00F41E78">
        <w:rPr>
          <w:rFonts w:cs="FrankRuehl"/>
          <w:sz w:val="18"/>
          <w:szCs w:val="22"/>
          <w:rtl/>
          <w:lang w:eastAsia="he-IL"/>
        </w:rPr>
        <w:t xml:space="preserve"> </w:t>
      </w:r>
      <w:r w:rsidRPr="00F41E78">
        <w:rPr>
          <w:rFonts w:cs="FrankRuehl" w:hint="eastAsia"/>
          <w:sz w:val="18"/>
          <w:szCs w:val="22"/>
          <w:rtl/>
          <w:lang w:eastAsia="he-IL"/>
        </w:rPr>
        <w:t>במחיר</w:t>
      </w:r>
      <w:r w:rsidRPr="00F41E78">
        <w:rPr>
          <w:rFonts w:cs="FrankRuehl"/>
          <w:sz w:val="18"/>
          <w:szCs w:val="22"/>
          <w:rtl/>
          <w:lang w:eastAsia="he-IL"/>
        </w:rPr>
        <w:t xml:space="preserve"> </w:t>
      </w:r>
      <w:r w:rsidRPr="00F41E78">
        <w:rPr>
          <w:rFonts w:cs="FrankRuehl" w:hint="eastAsia"/>
          <w:sz w:val="18"/>
          <w:szCs w:val="22"/>
          <w:rtl/>
          <w:lang w:eastAsia="he-IL"/>
        </w:rPr>
        <w:t>מופחת</w:t>
      </w:r>
      <w:r w:rsidRPr="00F41E78">
        <w:rPr>
          <w:rFonts w:cs="FrankRuehl"/>
          <w:sz w:val="18"/>
          <w:szCs w:val="22"/>
          <w:rtl/>
          <w:lang w:eastAsia="he-IL"/>
        </w:rPr>
        <w:t xml:space="preserve"> </w:t>
      </w:r>
      <w:r w:rsidRPr="00F41E78">
        <w:rPr>
          <w:rFonts w:cs="FrankRuehl" w:hint="eastAsia"/>
          <w:sz w:val="18"/>
          <w:szCs w:val="22"/>
          <w:rtl/>
          <w:lang w:eastAsia="he-IL"/>
        </w:rPr>
        <w:t>ממחיר</w:t>
      </w:r>
      <w:r w:rsidRPr="00F41E78">
        <w:rPr>
          <w:rFonts w:cs="FrankRuehl"/>
          <w:sz w:val="18"/>
          <w:szCs w:val="22"/>
          <w:rtl/>
          <w:lang w:eastAsia="he-IL"/>
        </w:rPr>
        <w:t xml:space="preserve"> </w:t>
      </w:r>
      <w:r w:rsidRPr="00F41E78">
        <w:rPr>
          <w:rFonts w:cs="FrankRuehl" w:hint="eastAsia"/>
          <w:sz w:val="18"/>
          <w:szCs w:val="22"/>
          <w:rtl/>
          <w:lang w:eastAsia="he-IL"/>
        </w:rPr>
        <w:t>השוק</w:t>
      </w:r>
      <w:r w:rsidRPr="00F41E78">
        <w:rPr>
          <w:rFonts w:cs="FrankRuehl"/>
          <w:sz w:val="18"/>
          <w:szCs w:val="22"/>
          <w:rtl/>
          <w:lang w:eastAsia="he-IL"/>
        </w:rPr>
        <w:t xml:space="preserve">, </w:t>
      </w:r>
      <w:r w:rsidRPr="00F41E78">
        <w:rPr>
          <w:rFonts w:cs="FrankRuehl" w:hint="eastAsia"/>
          <w:sz w:val="18"/>
          <w:szCs w:val="22"/>
          <w:rtl/>
          <w:lang w:eastAsia="he-IL"/>
        </w:rPr>
        <w:t>קרי</w:t>
      </w:r>
      <w:r w:rsidRPr="00F41E78">
        <w:rPr>
          <w:rFonts w:cs="FrankRuehl"/>
          <w:sz w:val="18"/>
          <w:szCs w:val="22"/>
          <w:rtl/>
          <w:lang w:eastAsia="he-IL"/>
        </w:rPr>
        <w:t xml:space="preserve"> </w:t>
      </w:r>
      <w:r w:rsidRPr="00F41E78">
        <w:rPr>
          <w:rFonts w:cs="FrankRuehl" w:hint="eastAsia"/>
          <w:sz w:val="18"/>
          <w:szCs w:val="22"/>
          <w:rtl/>
          <w:lang w:eastAsia="he-IL"/>
        </w:rPr>
        <w:t>מחיר</w:t>
      </w:r>
      <w:r w:rsidRPr="00F41E78">
        <w:rPr>
          <w:rFonts w:cs="FrankRuehl"/>
          <w:sz w:val="18"/>
          <w:szCs w:val="22"/>
          <w:rtl/>
          <w:lang w:eastAsia="he-IL"/>
        </w:rPr>
        <w:t xml:space="preserve"> </w:t>
      </w:r>
      <w:r w:rsidRPr="00F41E78">
        <w:rPr>
          <w:rFonts w:cs="FrankRuehl" w:hint="eastAsia"/>
          <w:sz w:val="18"/>
          <w:szCs w:val="22"/>
          <w:rtl/>
          <w:lang w:eastAsia="he-IL"/>
        </w:rPr>
        <w:t>למשתכן</w:t>
      </w:r>
      <w:r w:rsidRPr="00F41E78">
        <w:rPr>
          <w:rFonts w:cs="FrankRuehl"/>
          <w:sz w:val="18"/>
          <w:szCs w:val="22"/>
          <w:rtl/>
          <w:lang w:eastAsia="he-IL"/>
        </w:rPr>
        <w:t xml:space="preserve"> </w:t>
      </w:r>
      <w:r w:rsidRPr="00F41E78">
        <w:rPr>
          <w:rFonts w:cs="FrankRuehl" w:hint="eastAsia"/>
          <w:sz w:val="18"/>
          <w:szCs w:val="22"/>
          <w:rtl/>
          <w:lang w:eastAsia="he-IL"/>
        </w:rPr>
        <w:t>ומחיר</w:t>
      </w:r>
      <w:r w:rsidRPr="00F41E78">
        <w:rPr>
          <w:rFonts w:cs="FrankRuehl"/>
          <w:sz w:val="18"/>
          <w:szCs w:val="22"/>
          <w:rtl/>
          <w:lang w:eastAsia="he-IL"/>
        </w:rPr>
        <w:t xml:space="preserve"> </w:t>
      </w:r>
      <w:r w:rsidRPr="00F41E78">
        <w:rPr>
          <w:rFonts w:cs="FrankRuehl" w:hint="eastAsia"/>
          <w:sz w:val="18"/>
          <w:szCs w:val="22"/>
          <w:rtl/>
          <w:lang w:eastAsia="he-IL"/>
        </w:rPr>
        <w:t>להשכרה</w:t>
      </w:r>
      <w:r w:rsidRPr="00F41E78">
        <w:rPr>
          <w:rFonts w:cs="FrankRuehl"/>
          <w:sz w:val="18"/>
          <w:szCs w:val="22"/>
          <w:rtl/>
          <w:lang w:eastAsia="he-IL"/>
        </w:rPr>
        <w:t xml:space="preserve"> </w:t>
      </w:r>
      <w:r w:rsidRPr="00F41E78">
        <w:rPr>
          <w:rFonts w:cs="FrankRuehl" w:hint="eastAsia"/>
          <w:sz w:val="18"/>
          <w:szCs w:val="22"/>
          <w:rtl/>
          <w:lang w:eastAsia="he-IL"/>
        </w:rPr>
        <w:t>מופחת</w:t>
      </w:r>
      <w:r w:rsidRPr="00F41E78">
        <w:rPr>
          <w:rFonts w:cs="FrankRuehl"/>
          <w:sz w:val="18"/>
          <w:szCs w:val="22"/>
          <w:rtl/>
          <w:lang w:eastAsia="he-IL"/>
        </w:rPr>
        <w:t xml:space="preserve"> </w:t>
      </w:r>
      <w:r w:rsidRPr="00F41E78">
        <w:rPr>
          <w:rFonts w:cs="FrankRuehl" w:hint="eastAsia"/>
          <w:sz w:val="18"/>
          <w:szCs w:val="22"/>
          <w:rtl/>
          <w:lang w:eastAsia="he-IL"/>
        </w:rPr>
        <w:t>בשוק</w:t>
      </w:r>
      <w:r w:rsidRPr="00F41E78">
        <w:rPr>
          <w:rFonts w:cs="FrankRuehl"/>
          <w:sz w:val="18"/>
          <w:szCs w:val="22"/>
          <w:rtl/>
          <w:lang w:eastAsia="he-IL"/>
        </w:rPr>
        <w:t xml:space="preserve"> </w:t>
      </w:r>
      <w:r w:rsidRPr="00F41E78">
        <w:rPr>
          <w:rFonts w:cs="FrankRuehl" w:hint="eastAsia"/>
          <w:sz w:val="18"/>
          <w:szCs w:val="22"/>
          <w:rtl/>
          <w:lang w:eastAsia="he-IL"/>
        </w:rPr>
        <w:t>ההשכרה</w:t>
      </w:r>
      <w:r w:rsidRPr="00F41E78">
        <w:rPr>
          <w:rFonts w:cs="FrankRuehl"/>
          <w:sz w:val="18"/>
          <w:szCs w:val="22"/>
          <w:rtl/>
          <w:lang w:eastAsia="he-IL"/>
        </w:rPr>
        <w:t>...</w:t>
      </w:r>
      <w:r w:rsidRPr="00F41E78">
        <w:rPr>
          <w:rFonts w:cs="FrankRuehl" w:hint="cs"/>
          <w:sz w:val="18"/>
          <w:szCs w:val="22"/>
          <w:rtl/>
          <w:lang w:eastAsia="he-IL"/>
        </w:rPr>
        <w:t xml:space="preserve"> </w:t>
      </w:r>
      <w:r w:rsidRPr="00F41E78">
        <w:rPr>
          <w:rFonts w:cs="FrankRuehl" w:hint="eastAsia"/>
          <w:sz w:val="18"/>
          <w:szCs w:val="22"/>
          <w:rtl/>
          <w:lang w:eastAsia="he-IL"/>
        </w:rPr>
        <w:t>ייושם</w:t>
      </w:r>
      <w:r w:rsidRPr="00F41E78">
        <w:rPr>
          <w:rFonts w:cs="FrankRuehl"/>
          <w:sz w:val="18"/>
          <w:szCs w:val="22"/>
          <w:rtl/>
          <w:lang w:eastAsia="he-IL"/>
        </w:rPr>
        <w:t xml:space="preserve"> במסגרת החלטות </w:t>
      </w:r>
      <w:r w:rsidRPr="00F41E78">
        <w:rPr>
          <w:rFonts w:cs="FrankRuehl" w:hint="eastAsia"/>
          <w:sz w:val="18"/>
          <w:szCs w:val="22"/>
          <w:rtl/>
          <w:lang w:eastAsia="he-IL"/>
        </w:rPr>
        <w:t>מינהליות</w:t>
      </w:r>
      <w:r w:rsidRPr="00F41E78">
        <w:rPr>
          <w:rFonts w:cs="FrankRuehl"/>
          <w:sz w:val="18"/>
          <w:szCs w:val="22"/>
          <w:rtl/>
          <w:lang w:eastAsia="he-IL"/>
        </w:rPr>
        <w:t>"</w:t>
      </w:r>
      <w:r w:rsidRPr="00F41E78">
        <w:rPr>
          <w:rFonts w:cs="FrankRuehl" w:hint="cs"/>
          <w:sz w:val="18"/>
          <w:szCs w:val="22"/>
          <w:rtl/>
          <w:lang w:eastAsia="he-IL"/>
        </w:rPr>
        <w:t xml:space="preserve">. </w:t>
      </w:r>
    </w:p>
    <w:p w:rsidR="00D22B16" w:rsidRPr="00F41E78" w:rsidP="00D22B16">
      <w:pPr>
        <w:pStyle w:val="RESHET"/>
        <w:keepLines/>
        <w:rPr>
          <w:rtl/>
        </w:rPr>
      </w:pPr>
      <w:r w:rsidRPr="00F41E78">
        <w:rPr>
          <w:rtl/>
        </w:rPr>
        <w:t xml:space="preserve">מהשתלשלות הדברים </w:t>
      </w:r>
      <w:r w:rsidRPr="00F41E78">
        <w:rPr>
          <w:rFonts w:hint="cs"/>
          <w:rtl/>
        </w:rPr>
        <w:t>האמורים</w:t>
      </w:r>
      <w:r w:rsidRPr="00F41E78">
        <w:rPr>
          <w:rtl/>
        </w:rPr>
        <w:t xml:space="preserve"> עולה כי </w:t>
      </w:r>
      <w:r w:rsidRPr="00F41E78">
        <w:rPr>
          <w:rFonts w:hint="cs"/>
          <w:rtl/>
        </w:rPr>
        <w:t>הממשלה</w:t>
      </w:r>
      <w:r w:rsidRPr="00F41E78">
        <w:rPr>
          <w:rtl/>
        </w:rPr>
        <w:t xml:space="preserve"> </w:t>
      </w:r>
      <w:r w:rsidRPr="00F41E78">
        <w:rPr>
          <w:rtl/>
        </w:rPr>
        <w:t>הכ</w:t>
      </w:r>
      <w:r w:rsidRPr="00F41E78">
        <w:rPr>
          <w:rFonts w:hint="cs"/>
          <w:rtl/>
        </w:rPr>
        <w:t>י</w:t>
      </w:r>
      <w:r w:rsidRPr="00F41E78">
        <w:rPr>
          <w:rtl/>
        </w:rPr>
        <w:t>ר</w:t>
      </w:r>
      <w:r w:rsidRPr="00F41E78">
        <w:rPr>
          <w:rFonts w:hint="cs"/>
          <w:rtl/>
        </w:rPr>
        <w:t>ה ב</w:t>
      </w:r>
      <w:r w:rsidRPr="00F41E78">
        <w:rPr>
          <w:rtl/>
        </w:rPr>
        <w:t xml:space="preserve">צורך </w:t>
      </w:r>
      <w:r w:rsidRPr="00F41E78">
        <w:rPr>
          <w:rFonts w:hint="cs"/>
          <w:rtl/>
        </w:rPr>
        <w:t xml:space="preserve">להסדיר את נושא </w:t>
      </w:r>
      <w:r w:rsidRPr="00F41E78">
        <w:rPr>
          <w:rtl/>
        </w:rPr>
        <w:t>דיור בר השגה על</w:t>
      </w:r>
      <w:r w:rsidRPr="00F41E78">
        <w:rPr>
          <w:rFonts w:hint="cs"/>
          <w:rtl/>
        </w:rPr>
        <w:t xml:space="preserve"> </w:t>
      </w:r>
      <w:r w:rsidRPr="00F41E78">
        <w:rPr>
          <w:rtl/>
        </w:rPr>
        <w:t>היבטיו השונים</w:t>
      </w:r>
      <w:r w:rsidRPr="00F41E78">
        <w:rPr>
          <w:rFonts w:hint="cs"/>
          <w:rtl/>
        </w:rPr>
        <w:t>.</w:t>
      </w:r>
      <w:r w:rsidRPr="00F41E78">
        <w:rPr>
          <w:rtl/>
        </w:rPr>
        <w:t xml:space="preserve"> </w:t>
      </w:r>
      <w:r w:rsidRPr="00F41E78">
        <w:rPr>
          <w:rFonts w:hint="cs"/>
          <w:rtl/>
        </w:rPr>
        <w:t>ב</w:t>
      </w:r>
      <w:r w:rsidRPr="00F41E78">
        <w:rPr>
          <w:rtl/>
        </w:rPr>
        <w:t xml:space="preserve">מועד סיום הביקורת </w:t>
      </w:r>
      <w:r w:rsidRPr="00F41E78">
        <w:rPr>
          <w:rFonts w:hint="cs"/>
          <w:rtl/>
        </w:rPr>
        <w:t>טרם הוסדר באופן כולל נושא</w:t>
      </w:r>
      <w:r w:rsidRPr="00F41E78">
        <w:rPr>
          <w:rtl/>
        </w:rPr>
        <w:t xml:space="preserve"> </w:t>
      </w:r>
      <w:r w:rsidRPr="00F41E78">
        <w:rPr>
          <w:rFonts w:hint="cs"/>
          <w:rtl/>
        </w:rPr>
        <w:t xml:space="preserve">הדיור בר ההשגה, על מכלול היבטיו, לא באמצעות חקיקה ולא באמצעות הסדרה מינהלית. </w:t>
      </w:r>
    </w:p>
    <w:p w:rsidR="00D22B16" w:rsidRPr="00F41E78" w:rsidP="00D22B16">
      <w:pPr>
        <w:pStyle w:val="RESHET"/>
        <w:keepLines/>
        <w:rPr>
          <w:rtl/>
        </w:rPr>
      </w:pPr>
      <w:r w:rsidRPr="00F41E78">
        <w:rPr>
          <w:rtl/>
        </w:rPr>
        <w:t>מממצאי הביקורת המפורטים בהמשך פרק זה ובפרקים האחרים שבשער זה עולה, כי ה</w:t>
      </w:r>
      <w:r w:rsidRPr="00F41E78">
        <w:rPr>
          <w:rFonts w:hint="eastAsia"/>
          <w:rtl/>
        </w:rPr>
        <w:t>י</w:t>
      </w:r>
      <w:r w:rsidRPr="00F41E78">
        <w:rPr>
          <w:rtl/>
        </w:rPr>
        <w:t xml:space="preserve">עדר הסדרה </w:t>
      </w:r>
      <w:r w:rsidRPr="00F41E78">
        <w:rPr>
          <w:rFonts w:hint="eastAsia"/>
          <w:rtl/>
        </w:rPr>
        <w:t>כוללת</w:t>
      </w:r>
      <w:r w:rsidRPr="00F41E78">
        <w:rPr>
          <w:rtl/>
        </w:rPr>
        <w:t xml:space="preserve"> של דיור בר השגה </w:t>
      </w:r>
      <w:r w:rsidRPr="00F41E78">
        <w:rPr>
          <w:rFonts w:hint="eastAsia"/>
          <w:rtl/>
        </w:rPr>
        <w:t>היווה</w:t>
      </w:r>
      <w:r w:rsidRPr="00F41E78">
        <w:rPr>
          <w:rtl/>
        </w:rPr>
        <w:t xml:space="preserve"> </w:t>
      </w:r>
      <w:r w:rsidRPr="00F41E78">
        <w:rPr>
          <w:rFonts w:hint="eastAsia"/>
          <w:rtl/>
        </w:rPr>
        <w:t>גורם</w:t>
      </w:r>
      <w:r w:rsidRPr="00F41E78">
        <w:rPr>
          <w:rtl/>
        </w:rPr>
        <w:t xml:space="preserve"> </w:t>
      </w:r>
      <w:r w:rsidRPr="00F41E78">
        <w:rPr>
          <w:rFonts w:hint="eastAsia"/>
          <w:rtl/>
        </w:rPr>
        <w:t>מעכב</w:t>
      </w:r>
      <w:r w:rsidRPr="00F41E78">
        <w:rPr>
          <w:rtl/>
        </w:rPr>
        <w:t xml:space="preserve"> בקידום פרויקטים לבניית דירות בהישג יד. הדבר בא לידי ביטוי, בין היתר, בחוסר ת</w:t>
      </w:r>
      <w:r w:rsidRPr="00F41E78">
        <w:rPr>
          <w:rFonts w:hint="eastAsia"/>
          <w:rtl/>
        </w:rPr>
        <w:t>י</w:t>
      </w:r>
      <w:r w:rsidRPr="00F41E78">
        <w:rPr>
          <w:rtl/>
        </w:rPr>
        <w:t xml:space="preserve">אום בין </w:t>
      </w:r>
      <w:r w:rsidRPr="00F41E78">
        <w:rPr>
          <w:rFonts w:hint="eastAsia"/>
          <w:rtl/>
        </w:rPr>
        <w:t>גורמים</w:t>
      </w:r>
      <w:r w:rsidRPr="00F41E78">
        <w:rPr>
          <w:rtl/>
        </w:rPr>
        <w:t xml:space="preserve"> </w:t>
      </w:r>
      <w:r w:rsidRPr="00F41E78">
        <w:rPr>
          <w:rFonts w:hint="eastAsia"/>
          <w:rtl/>
        </w:rPr>
        <w:t>שונים</w:t>
      </w:r>
      <w:r w:rsidRPr="00F41E78">
        <w:rPr>
          <w:rtl/>
        </w:rPr>
        <w:t xml:space="preserve"> </w:t>
      </w:r>
      <w:r w:rsidRPr="00F41E78">
        <w:rPr>
          <w:rFonts w:hint="eastAsia"/>
          <w:rtl/>
        </w:rPr>
        <w:t>בנוגע</w:t>
      </w:r>
      <w:r w:rsidRPr="00F41E78">
        <w:rPr>
          <w:rtl/>
        </w:rPr>
        <w:t xml:space="preserve"> למהות</w:t>
      </w:r>
      <w:r w:rsidRPr="00F41E78">
        <w:rPr>
          <w:rFonts w:hint="eastAsia"/>
          <w:rtl/>
        </w:rPr>
        <w:t>ו</w:t>
      </w:r>
      <w:r w:rsidRPr="00F41E78">
        <w:rPr>
          <w:rtl/>
        </w:rPr>
        <w:t xml:space="preserve"> של דיור זה, בחילוקי דעות בעניין תבחיני הזכאות - </w:t>
      </w:r>
      <w:r w:rsidRPr="00F41E78">
        <w:rPr>
          <w:rFonts w:hint="eastAsia"/>
          <w:rtl/>
        </w:rPr>
        <w:t>שלעתים</w:t>
      </w:r>
      <w:r w:rsidRPr="00F41E78">
        <w:rPr>
          <w:rtl/>
        </w:rPr>
        <w:t xml:space="preserve"> </w:t>
      </w:r>
      <w:r w:rsidRPr="00F41E78">
        <w:rPr>
          <w:rFonts w:hint="eastAsia"/>
          <w:rtl/>
        </w:rPr>
        <w:t>נדרש</w:t>
      </w:r>
      <w:r w:rsidRPr="00F41E78">
        <w:rPr>
          <w:rtl/>
        </w:rPr>
        <w:t xml:space="preserve"> </w:t>
      </w:r>
      <w:r w:rsidRPr="00F41E78">
        <w:rPr>
          <w:rFonts w:hint="eastAsia"/>
          <w:rtl/>
        </w:rPr>
        <w:t>ליישבם</w:t>
      </w:r>
      <w:r w:rsidRPr="00F41E78">
        <w:rPr>
          <w:rtl/>
        </w:rPr>
        <w:t xml:space="preserve"> בערכאות משפטיות</w:t>
      </w:r>
      <w:r>
        <w:rPr>
          <w:vertAlign w:val="superscript"/>
          <w:rtl/>
        </w:rPr>
        <w:footnoteReference w:id="275"/>
      </w:r>
      <w:r w:rsidRPr="00F41E78">
        <w:rPr>
          <w:rtl/>
        </w:rPr>
        <w:t xml:space="preserve">, באי-הקצאה של קרקע לדיור בר השגה, </w:t>
      </w:r>
      <w:r w:rsidRPr="00F41E78">
        <w:rPr>
          <w:rFonts w:hint="eastAsia"/>
          <w:rtl/>
        </w:rPr>
        <w:t>ו</w:t>
      </w:r>
      <w:r w:rsidRPr="00F41E78">
        <w:rPr>
          <w:rtl/>
        </w:rPr>
        <w:t xml:space="preserve">בחילוקי דעות </w:t>
      </w:r>
      <w:r w:rsidRPr="00F41E78">
        <w:rPr>
          <w:rFonts w:hint="eastAsia"/>
          <w:rtl/>
        </w:rPr>
        <w:t>בעניין</w:t>
      </w:r>
      <w:r w:rsidRPr="00F41E78">
        <w:rPr>
          <w:rtl/>
        </w:rPr>
        <w:t xml:space="preserve"> קביעת תפקידים ותחומי אחריות של הגורמים הנוגעים בדבר. כל אל</w:t>
      </w:r>
      <w:r w:rsidRPr="00F41E78">
        <w:rPr>
          <w:rFonts w:hint="cs"/>
          <w:rtl/>
        </w:rPr>
        <w:t>ו</w:t>
      </w:r>
      <w:r w:rsidRPr="00F41E78">
        <w:rPr>
          <w:rtl/>
        </w:rPr>
        <w:t xml:space="preserve"> גרמו לעיכובים מתמשכים ואף לביטולים של פרויקטים בתחום הדיור בר </w:t>
      </w:r>
      <w:r w:rsidRPr="00F41E78">
        <w:rPr>
          <w:rFonts w:hint="eastAsia"/>
          <w:rtl/>
        </w:rPr>
        <w:t>ה</w:t>
      </w:r>
      <w:r w:rsidRPr="00F41E78">
        <w:rPr>
          <w:rtl/>
        </w:rPr>
        <w:t xml:space="preserve">השגה, </w:t>
      </w:r>
      <w:r w:rsidRPr="00F41E78">
        <w:rPr>
          <w:rFonts w:hint="eastAsia"/>
          <w:rtl/>
        </w:rPr>
        <w:t>למשל</w:t>
      </w:r>
      <w:r w:rsidRPr="00F41E78">
        <w:rPr>
          <w:rtl/>
        </w:rPr>
        <w:t xml:space="preserve"> </w:t>
      </w:r>
      <w:r w:rsidRPr="00F41E78">
        <w:rPr>
          <w:rFonts w:hint="eastAsia"/>
          <w:rtl/>
        </w:rPr>
        <w:t>בבאר</w:t>
      </w:r>
      <w:r w:rsidRPr="00F41E78">
        <w:rPr>
          <w:rtl/>
        </w:rPr>
        <w:t xml:space="preserve"> </w:t>
      </w:r>
      <w:r w:rsidRPr="00F41E78">
        <w:rPr>
          <w:rFonts w:hint="eastAsia"/>
          <w:rtl/>
        </w:rPr>
        <w:t>יעקב</w:t>
      </w:r>
      <w:r w:rsidRPr="00F41E78">
        <w:rPr>
          <w:rtl/>
        </w:rPr>
        <w:t xml:space="preserve">, </w:t>
      </w:r>
      <w:r w:rsidRPr="00F41E78">
        <w:rPr>
          <w:rFonts w:hint="eastAsia"/>
          <w:rtl/>
        </w:rPr>
        <w:t>בראש</w:t>
      </w:r>
      <w:r w:rsidRPr="00F41E78">
        <w:rPr>
          <w:rtl/>
        </w:rPr>
        <w:t xml:space="preserve"> </w:t>
      </w:r>
      <w:r w:rsidRPr="00F41E78">
        <w:rPr>
          <w:rFonts w:hint="eastAsia"/>
          <w:rtl/>
        </w:rPr>
        <w:t>העין</w:t>
      </w:r>
      <w:r w:rsidRPr="00F41E78">
        <w:rPr>
          <w:rtl/>
        </w:rPr>
        <w:t xml:space="preserve">, </w:t>
      </w:r>
      <w:r w:rsidRPr="00F41E78">
        <w:rPr>
          <w:rFonts w:hint="eastAsia"/>
          <w:rtl/>
        </w:rPr>
        <w:t>ברמלה</w:t>
      </w:r>
      <w:r w:rsidRPr="00F41E78">
        <w:rPr>
          <w:rtl/>
        </w:rPr>
        <w:t xml:space="preserve"> </w:t>
      </w:r>
      <w:r w:rsidRPr="00F41E78">
        <w:rPr>
          <w:rFonts w:hint="eastAsia"/>
          <w:rtl/>
        </w:rPr>
        <w:t>ובמעלה</w:t>
      </w:r>
      <w:r w:rsidRPr="00F41E78">
        <w:rPr>
          <w:rtl/>
        </w:rPr>
        <w:t xml:space="preserve"> </w:t>
      </w:r>
      <w:r w:rsidRPr="00F41E78">
        <w:rPr>
          <w:rFonts w:hint="eastAsia"/>
          <w:rtl/>
        </w:rPr>
        <w:t>אדומים</w:t>
      </w:r>
      <w:r w:rsidRPr="00F41E78">
        <w:rPr>
          <w:rtl/>
        </w:rPr>
        <w:t>.</w:t>
      </w:r>
    </w:p>
    <w:p w:rsidR="00E97EDA" w:rsidRPr="00F41E78" w:rsidP="003B3DE6">
      <w:pPr>
        <w:spacing w:before="180" w:after="120" w:line="230" w:lineRule="exact"/>
        <w:jc w:val="both"/>
        <w:rPr>
          <w:rFonts w:cs="FrankRuehl"/>
          <w:sz w:val="18"/>
          <w:szCs w:val="22"/>
          <w:lang w:eastAsia="he-IL"/>
        </w:rPr>
      </w:pPr>
      <w:r w:rsidRPr="00F41E78">
        <w:rPr>
          <w:rFonts w:cs="FrankRuehl" w:hint="cs"/>
          <w:sz w:val="18"/>
          <w:szCs w:val="22"/>
          <w:rtl/>
          <w:lang w:eastAsia="he-IL"/>
        </w:rPr>
        <w:t xml:space="preserve">באפריל 2014, לאחר מועד סיום הביקורת, פורסם כאמור תיקון 101 הכולל במסגרת התוספת השישית הוראות לעניין "דיור בהישג יד" המוגדר שם כדיור להשכרה לטווח ארוך. על פי התיקון, </w:t>
      </w:r>
      <w:r w:rsidRPr="00F41E78">
        <w:rPr>
          <w:rFonts w:cs="FrankRuehl"/>
          <w:sz w:val="18"/>
          <w:szCs w:val="22"/>
          <w:rtl/>
          <w:lang w:eastAsia="he-IL"/>
        </w:rPr>
        <w:t xml:space="preserve">השכרה לטווח ארוך </w:t>
      </w:r>
      <w:r w:rsidRPr="00F41E78">
        <w:rPr>
          <w:rFonts w:cs="FrankRuehl" w:hint="cs"/>
          <w:sz w:val="18"/>
          <w:szCs w:val="22"/>
          <w:rtl/>
          <w:lang w:eastAsia="he-IL"/>
        </w:rPr>
        <w:t xml:space="preserve">היא </w:t>
      </w:r>
      <w:r w:rsidRPr="00F41E78">
        <w:rPr>
          <w:rFonts w:cs="FrankRuehl"/>
          <w:sz w:val="18"/>
          <w:szCs w:val="22"/>
          <w:rtl/>
          <w:lang w:eastAsia="he-IL"/>
        </w:rPr>
        <w:t>השכרה של יח</w:t>
      </w:r>
      <w:r w:rsidRPr="00F41E78">
        <w:rPr>
          <w:rFonts w:cs="FrankRuehl" w:hint="cs"/>
          <w:sz w:val="18"/>
          <w:szCs w:val="22"/>
          <w:rtl/>
          <w:lang w:eastAsia="he-IL"/>
        </w:rPr>
        <w:t xml:space="preserve">"ד </w:t>
      </w:r>
      <w:r w:rsidRPr="00F41E78">
        <w:rPr>
          <w:rFonts w:cs="FrankRuehl"/>
          <w:sz w:val="18"/>
          <w:szCs w:val="22"/>
          <w:rtl/>
          <w:lang w:eastAsia="he-IL"/>
        </w:rPr>
        <w:t>לתקופה כוללת שלא תפחת מעשר שנים</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 xml:space="preserve">באופן </w:t>
      </w:r>
      <w:r w:rsidRPr="00F41E78">
        <w:rPr>
          <w:rFonts w:cs="FrankRuehl"/>
          <w:sz w:val="18"/>
          <w:szCs w:val="22"/>
          <w:rtl/>
          <w:lang w:eastAsia="he-IL"/>
        </w:rPr>
        <w:t xml:space="preserve">שלפחות חצי </w:t>
      </w:r>
      <w:r w:rsidRPr="00F41E78">
        <w:rPr>
          <w:rFonts w:cs="FrankRuehl" w:hint="cs"/>
          <w:sz w:val="18"/>
          <w:szCs w:val="22"/>
          <w:rtl/>
          <w:lang w:eastAsia="he-IL"/>
        </w:rPr>
        <w:t xml:space="preserve">מיחידות הדיור </w:t>
      </w:r>
      <w:r w:rsidRPr="00F41E78">
        <w:rPr>
          <w:rFonts w:cs="FrankRuehl"/>
          <w:sz w:val="18"/>
          <w:szCs w:val="22"/>
          <w:rtl/>
          <w:lang w:eastAsia="he-IL"/>
        </w:rPr>
        <w:t xml:space="preserve">באותו בניין </w:t>
      </w:r>
      <w:r w:rsidRPr="00F41E78">
        <w:rPr>
          <w:rFonts w:cs="FrankRuehl" w:hint="cs"/>
          <w:sz w:val="18"/>
          <w:szCs w:val="22"/>
          <w:rtl/>
          <w:lang w:eastAsia="he-IL"/>
        </w:rPr>
        <w:t xml:space="preserve">יהיו מיועדות להשכרה. </w:t>
      </w:r>
    </w:p>
    <w:p w:rsidR="00E97EDA" w:rsidRPr="00FA1F2C" w:rsidP="00A7557B">
      <w:pPr>
        <w:pStyle w:val="KOT4"/>
        <w:rPr>
          <w:rtl/>
          <w:lang w:eastAsia="he-IL"/>
        </w:rPr>
      </w:pPr>
      <w:r w:rsidRPr="00FA1F2C">
        <w:rPr>
          <w:rFonts w:hint="cs"/>
          <w:rtl/>
          <w:lang w:eastAsia="he-IL"/>
        </w:rPr>
        <w:t>התייחסות ל</w:t>
      </w:r>
      <w:r w:rsidRPr="00FA1F2C">
        <w:rPr>
          <w:rtl/>
          <w:lang w:eastAsia="he-IL"/>
        </w:rPr>
        <w:t xml:space="preserve">דיור בר השגה </w:t>
      </w:r>
      <w:r w:rsidRPr="00FA1F2C">
        <w:rPr>
          <w:rFonts w:hint="cs"/>
          <w:rtl/>
          <w:lang w:eastAsia="he-IL"/>
        </w:rPr>
        <w:t>בתכניות מתאר סטטוטוריות</w:t>
      </w:r>
    </w:p>
    <w:p w:rsidR="00E97EDA" w:rsidRPr="00F41E78" w:rsidP="00A7557B">
      <w:pPr>
        <w:spacing w:after="120" w:line="230" w:lineRule="exact"/>
        <w:jc w:val="both"/>
        <w:rPr>
          <w:rFonts w:cs="FrankRuehl"/>
          <w:sz w:val="18"/>
          <w:szCs w:val="22"/>
          <w:rtl/>
          <w:lang w:eastAsia="he-IL"/>
        </w:rPr>
      </w:pPr>
      <w:r w:rsidRPr="00F41E78">
        <w:rPr>
          <w:rFonts w:cs="FrankRuehl"/>
          <w:sz w:val="18"/>
          <w:szCs w:val="22"/>
          <w:rtl/>
          <w:lang w:eastAsia="he-IL"/>
        </w:rPr>
        <w:t xml:space="preserve">רמ"י </w:t>
      </w:r>
      <w:r w:rsidRPr="00F41E78">
        <w:rPr>
          <w:rFonts w:cs="FrankRuehl" w:hint="cs"/>
          <w:sz w:val="18"/>
          <w:szCs w:val="22"/>
          <w:rtl/>
          <w:lang w:eastAsia="he-IL"/>
        </w:rPr>
        <w:t>ו</w:t>
      </w:r>
      <w:r w:rsidRPr="00F41E78">
        <w:rPr>
          <w:rFonts w:cs="FrankRuehl"/>
          <w:sz w:val="18"/>
          <w:szCs w:val="22"/>
          <w:rtl/>
          <w:lang w:eastAsia="he-IL"/>
        </w:rPr>
        <w:t xml:space="preserve">משרד הבינוי הם גורמי השלטון המרכזי העיקריים הפועלים להכנת תכניות מפורטות של הקרקע לבנייה למגורים ולאישורן במוסדות התכנון. הרשויות המקומיות </w:t>
      </w:r>
      <w:r w:rsidRPr="00F41E78">
        <w:rPr>
          <w:rFonts w:cs="FrankRuehl" w:hint="cs"/>
          <w:sz w:val="18"/>
          <w:szCs w:val="22"/>
          <w:rtl/>
          <w:lang w:eastAsia="he-IL"/>
        </w:rPr>
        <w:t xml:space="preserve">משתתפות גם הן, </w:t>
      </w:r>
      <w:r w:rsidRPr="00F41E78">
        <w:rPr>
          <w:rFonts w:cs="FrankRuehl"/>
          <w:sz w:val="18"/>
          <w:szCs w:val="22"/>
          <w:rtl/>
          <w:lang w:eastAsia="he-IL"/>
        </w:rPr>
        <w:t>באמצעות ה</w:t>
      </w:r>
      <w:r w:rsidRPr="00F41E78">
        <w:rPr>
          <w:rFonts w:cs="FrankRuehl" w:hint="cs"/>
          <w:sz w:val="18"/>
          <w:szCs w:val="22"/>
          <w:rtl/>
          <w:lang w:eastAsia="he-IL"/>
        </w:rPr>
        <w:t>ו</w:t>
      </w:r>
      <w:r w:rsidRPr="00F41E78">
        <w:rPr>
          <w:rFonts w:cs="FrankRuehl"/>
          <w:sz w:val="18"/>
          <w:szCs w:val="22"/>
          <w:rtl/>
          <w:lang w:eastAsia="he-IL"/>
        </w:rPr>
        <w:t>ועדות המקומיות</w:t>
      </w:r>
      <w:r w:rsidRPr="00F41E78">
        <w:rPr>
          <w:rFonts w:cs="FrankRuehl" w:hint="cs"/>
          <w:sz w:val="18"/>
          <w:szCs w:val="22"/>
          <w:rtl/>
          <w:lang w:eastAsia="he-IL"/>
        </w:rPr>
        <w:t>, ב</w:t>
      </w:r>
      <w:r w:rsidRPr="00F41E78">
        <w:rPr>
          <w:rFonts w:cs="FrankRuehl"/>
          <w:sz w:val="18"/>
          <w:szCs w:val="22"/>
          <w:rtl/>
          <w:lang w:eastAsia="he-IL"/>
        </w:rPr>
        <w:t>הכנת תכניות מתאר מקומיות ותכניות מפורטות</w:t>
      </w:r>
      <w:r w:rsidRPr="00F41E78">
        <w:rPr>
          <w:rFonts w:cs="FrankRuehl" w:hint="cs"/>
          <w:sz w:val="18"/>
          <w:szCs w:val="22"/>
          <w:rtl/>
          <w:lang w:eastAsia="he-IL"/>
        </w:rPr>
        <w:t>.</w:t>
      </w:r>
      <w:r w:rsidRPr="00F41E78">
        <w:rPr>
          <w:rFonts w:cs="FrankRuehl"/>
          <w:sz w:val="18"/>
          <w:szCs w:val="22"/>
          <w:rtl/>
          <w:lang w:eastAsia="he-IL"/>
        </w:rPr>
        <w:t xml:space="preserve"> חוק התכנון</w:t>
      </w:r>
      <w:r w:rsidRPr="00F41E78">
        <w:rPr>
          <w:rFonts w:cs="FrankRuehl" w:hint="cs"/>
          <w:sz w:val="18"/>
          <w:szCs w:val="22"/>
          <w:rtl/>
          <w:lang w:eastAsia="he-IL"/>
        </w:rPr>
        <w:t xml:space="preserve"> והבנייה</w:t>
      </w:r>
      <w:r w:rsidRPr="00F41E78">
        <w:rPr>
          <w:rFonts w:cs="FrankRuehl"/>
          <w:sz w:val="18"/>
          <w:szCs w:val="22"/>
          <w:rtl/>
          <w:lang w:eastAsia="he-IL"/>
        </w:rPr>
        <w:t xml:space="preserve"> מקנה</w:t>
      </w:r>
      <w:r w:rsidRPr="00F41E78">
        <w:rPr>
          <w:rFonts w:cs="FrankRuehl" w:hint="cs"/>
          <w:sz w:val="18"/>
          <w:szCs w:val="22"/>
          <w:rtl/>
          <w:lang w:eastAsia="he-IL"/>
        </w:rPr>
        <w:t xml:space="preserve"> </w:t>
      </w:r>
      <w:r w:rsidRPr="00F41E78">
        <w:rPr>
          <w:rFonts w:cs="FrankRuehl"/>
          <w:sz w:val="18"/>
          <w:szCs w:val="22"/>
          <w:rtl/>
          <w:lang w:eastAsia="he-IL"/>
        </w:rPr>
        <w:t xml:space="preserve">בין היתר סמכות לקבוע </w:t>
      </w:r>
      <w:r w:rsidRPr="00F41E78">
        <w:rPr>
          <w:rFonts w:cs="FrankRuehl" w:hint="cs"/>
          <w:sz w:val="18"/>
          <w:szCs w:val="22"/>
          <w:rtl/>
          <w:lang w:eastAsia="he-IL"/>
        </w:rPr>
        <w:t xml:space="preserve">בתכניות מתאר מקומיות ומפורטות </w:t>
      </w:r>
      <w:r w:rsidRPr="00F41E78">
        <w:rPr>
          <w:rFonts w:cs="FrankRuehl"/>
          <w:sz w:val="18"/>
          <w:szCs w:val="22"/>
          <w:rtl/>
          <w:lang w:eastAsia="he-IL"/>
        </w:rPr>
        <w:t xml:space="preserve">את היקף השימוש בקרקע, </w:t>
      </w:r>
      <w:r w:rsidRPr="00F41E78">
        <w:rPr>
          <w:rFonts w:cs="FrankRuehl" w:hint="cs"/>
          <w:sz w:val="18"/>
          <w:szCs w:val="22"/>
          <w:rtl/>
          <w:lang w:eastAsia="he-IL"/>
        </w:rPr>
        <w:t xml:space="preserve">את </w:t>
      </w:r>
      <w:r w:rsidRPr="00F41E78">
        <w:rPr>
          <w:rFonts w:cs="FrankRuehl"/>
          <w:sz w:val="18"/>
          <w:szCs w:val="22"/>
          <w:rtl/>
          <w:lang w:eastAsia="he-IL"/>
        </w:rPr>
        <w:t>צפיפות הדיור ו</w:t>
      </w:r>
      <w:r w:rsidRPr="00F41E78">
        <w:rPr>
          <w:rFonts w:cs="FrankRuehl" w:hint="cs"/>
          <w:sz w:val="18"/>
          <w:szCs w:val="22"/>
          <w:rtl/>
          <w:lang w:eastAsia="he-IL"/>
        </w:rPr>
        <w:t xml:space="preserve">את </w:t>
      </w:r>
      <w:r w:rsidRPr="00F41E78">
        <w:rPr>
          <w:rFonts w:cs="FrankRuehl"/>
          <w:sz w:val="18"/>
          <w:szCs w:val="22"/>
          <w:rtl/>
          <w:lang w:eastAsia="he-IL"/>
        </w:rPr>
        <w:t>מרכיבי הפיתוח.</w:t>
      </w:r>
    </w:p>
    <w:p w:rsidR="00E97EDA" w:rsidRPr="00F41E78" w:rsidP="00A7557B">
      <w:pPr>
        <w:spacing w:after="120" w:line="230" w:lineRule="exact"/>
        <w:jc w:val="both"/>
        <w:rPr>
          <w:rFonts w:cs="FrankRuehl"/>
          <w:sz w:val="18"/>
          <w:szCs w:val="22"/>
          <w:rtl/>
          <w:lang w:eastAsia="he-IL"/>
        </w:rPr>
      </w:pPr>
      <w:r w:rsidRPr="00F41E78">
        <w:rPr>
          <w:rFonts w:cs="FrankRuehl" w:hint="eastAsia"/>
          <w:bCs/>
          <w:spacing w:val="40"/>
          <w:sz w:val="18"/>
          <w:szCs w:val="22"/>
          <w:rtl/>
        </w:rPr>
        <w:t>אי</w:t>
      </w:r>
      <w:r w:rsidRPr="00F41E78">
        <w:rPr>
          <w:rFonts w:cs="FrankRuehl"/>
          <w:bCs/>
          <w:spacing w:val="40"/>
          <w:sz w:val="18"/>
          <w:szCs w:val="22"/>
          <w:rtl/>
        </w:rPr>
        <w:t>-</w:t>
      </w:r>
      <w:r w:rsidRPr="00F41E78">
        <w:rPr>
          <w:rFonts w:cs="FrankRuehl" w:hint="cs"/>
          <w:bCs/>
          <w:spacing w:val="40"/>
          <w:sz w:val="18"/>
          <w:szCs w:val="22"/>
          <w:rtl/>
        </w:rPr>
        <w:t>יישום</w:t>
      </w:r>
      <w:r w:rsidRPr="00F41E78">
        <w:rPr>
          <w:rFonts w:cs="FrankRuehl"/>
          <w:bCs/>
          <w:spacing w:val="40"/>
          <w:sz w:val="18"/>
          <w:szCs w:val="22"/>
          <w:rtl/>
        </w:rPr>
        <w:t xml:space="preserve"> קווים מנחים והוראות </w:t>
      </w:r>
      <w:r w:rsidRPr="00F41E78">
        <w:rPr>
          <w:rFonts w:cs="FrankRuehl" w:hint="cs"/>
          <w:bCs/>
          <w:spacing w:val="40"/>
          <w:sz w:val="18"/>
          <w:szCs w:val="22"/>
          <w:rtl/>
        </w:rPr>
        <w:t>הקבועים ב</w:t>
      </w:r>
      <w:r w:rsidRPr="00F41E78">
        <w:rPr>
          <w:rFonts w:cs="FrankRuehl"/>
          <w:bCs/>
          <w:spacing w:val="40"/>
          <w:sz w:val="18"/>
          <w:szCs w:val="22"/>
          <w:rtl/>
        </w:rPr>
        <w:t xml:space="preserve">תמ"א 35 </w:t>
      </w:r>
      <w:r w:rsidRPr="00F41E78">
        <w:rPr>
          <w:rFonts w:cs="FrankRuehl" w:hint="cs"/>
          <w:bCs/>
          <w:spacing w:val="40"/>
          <w:sz w:val="18"/>
          <w:szCs w:val="22"/>
          <w:rtl/>
        </w:rPr>
        <w:t>בנוגע</w:t>
      </w:r>
      <w:r w:rsidRPr="00F41E78">
        <w:rPr>
          <w:rFonts w:cs="FrankRuehl"/>
          <w:bCs/>
          <w:spacing w:val="40"/>
          <w:sz w:val="18"/>
          <w:szCs w:val="22"/>
          <w:rtl/>
        </w:rPr>
        <w:t xml:space="preserve"> </w:t>
      </w:r>
      <w:r w:rsidRPr="00F41E78">
        <w:rPr>
          <w:rFonts w:cs="FrankRuehl" w:hint="cs"/>
          <w:bCs/>
          <w:spacing w:val="40"/>
          <w:sz w:val="18"/>
          <w:szCs w:val="22"/>
          <w:rtl/>
        </w:rPr>
        <w:t>ל</w:t>
      </w:r>
      <w:r w:rsidRPr="00F41E78">
        <w:rPr>
          <w:rFonts w:cs="FrankRuehl"/>
          <w:bCs/>
          <w:spacing w:val="40"/>
          <w:sz w:val="18"/>
          <w:szCs w:val="22"/>
          <w:rtl/>
        </w:rPr>
        <w:t>דיור בר השגה:</w:t>
      </w:r>
      <w:r w:rsidRPr="00F41E78">
        <w:rPr>
          <w:rFonts w:cs="FrankRuehl"/>
          <w:sz w:val="18"/>
          <w:szCs w:val="22"/>
          <w:rtl/>
          <w:lang w:eastAsia="he-IL"/>
        </w:rPr>
        <w:t xml:space="preserve"> </w:t>
      </w:r>
      <w:r w:rsidRPr="00F41E78">
        <w:rPr>
          <w:rFonts w:cs="FrankRuehl" w:hint="cs"/>
          <w:sz w:val="18"/>
          <w:szCs w:val="22"/>
          <w:rtl/>
          <w:lang w:eastAsia="he-IL"/>
        </w:rPr>
        <w:t xml:space="preserve">תמ"א 35 ביססה את העיקרון של דיור בר השגה כנושא המחייב מתן התייחסות הן מצד מגישי תכניות הן מצד מוסדות התכנון באמצעות קביעת תמהיל של שטחי יח"ד בתכניות אלו. </w:t>
      </w:r>
      <w:r w:rsidRPr="00F41E78">
        <w:rPr>
          <w:rFonts w:cs="FrankRuehl"/>
          <w:sz w:val="18"/>
          <w:szCs w:val="22"/>
          <w:rtl/>
          <w:lang w:eastAsia="he-IL"/>
        </w:rPr>
        <w:t xml:space="preserve">במסמך המדיניות של תמ"א 35 נקבע כי "תכניות לפיתוח אזורי מגורים, יחויבו הגשה של נספח פרוגרמאתי מפורט המציג לאישור מוסדות התכנון את תמהיל הדיור ואת מערך השירותים החברתיים המוצע בתכנית. בדרך זו יוכלו מוסדות התכנון להבטיח קיומן של דירות לזוגות צעירים, למשפחות חד </w:t>
      </w:r>
      <w:r w:rsidRPr="00F41E78">
        <w:rPr>
          <w:rFonts w:cs="FrankRuehl" w:hint="cs"/>
          <w:sz w:val="18"/>
          <w:szCs w:val="22"/>
          <w:rtl/>
          <w:lang w:eastAsia="he-IL"/>
        </w:rPr>
        <w:t>-</w:t>
      </w:r>
      <w:r w:rsidRPr="00F41E78">
        <w:rPr>
          <w:rFonts w:cs="FrankRuehl"/>
          <w:sz w:val="18"/>
          <w:szCs w:val="22"/>
          <w:rtl/>
          <w:lang w:eastAsia="he-IL"/>
        </w:rPr>
        <w:t xml:space="preserve"> הוריות ואף לקשישים לצד מגורים למשפחות מבוססות יותר של 'אמצע הדרך', ואף לאפשר את אספקת מלוא השירותים החברתיים הדרושים לפיתוחם של ולקידומם".</w:t>
      </w:r>
    </w:p>
    <w:p w:rsidR="00E97EDA" w:rsidRPr="00F41E78" w:rsidP="003B3DE6">
      <w:pPr>
        <w:spacing w:after="240" w:line="230" w:lineRule="exact"/>
        <w:jc w:val="both"/>
        <w:rPr>
          <w:rFonts w:cs="FrankRuehl"/>
          <w:sz w:val="18"/>
          <w:szCs w:val="22"/>
          <w:rtl/>
          <w:lang w:eastAsia="he-IL"/>
        </w:rPr>
      </w:pPr>
      <w:r w:rsidRPr="00F41E78">
        <w:rPr>
          <w:rFonts w:cs="FrankRuehl"/>
          <w:sz w:val="18"/>
          <w:szCs w:val="22"/>
          <w:rtl/>
          <w:lang w:eastAsia="he-IL"/>
        </w:rPr>
        <w:t xml:space="preserve">הוראות תמ"א 35 התייחסו לצורך בדיור בר השגה בכל </w:t>
      </w:r>
      <w:r w:rsidRPr="00F41E78">
        <w:rPr>
          <w:rFonts w:cs="FrankRuehl" w:hint="cs"/>
          <w:sz w:val="18"/>
          <w:szCs w:val="22"/>
          <w:rtl/>
          <w:lang w:eastAsia="he-IL"/>
        </w:rPr>
        <w:t>ה</w:t>
      </w:r>
      <w:r w:rsidRPr="00F41E78">
        <w:rPr>
          <w:rFonts w:cs="FrankRuehl"/>
          <w:sz w:val="18"/>
          <w:szCs w:val="22"/>
          <w:rtl/>
          <w:lang w:eastAsia="he-IL"/>
        </w:rPr>
        <w:t>נוגע למספר יחידות הדיור ו</w:t>
      </w:r>
      <w:r w:rsidRPr="00F41E78">
        <w:rPr>
          <w:rFonts w:cs="FrankRuehl" w:hint="cs"/>
          <w:sz w:val="18"/>
          <w:szCs w:val="22"/>
          <w:rtl/>
          <w:lang w:eastAsia="he-IL"/>
        </w:rPr>
        <w:t>ל</w:t>
      </w:r>
      <w:r w:rsidRPr="00F41E78">
        <w:rPr>
          <w:rFonts w:cs="FrankRuehl"/>
          <w:sz w:val="18"/>
          <w:szCs w:val="22"/>
          <w:rtl/>
          <w:lang w:eastAsia="he-IL"/>
        </w:rPr>
        <w:t xml:space="preserve">תמהיל </w:t>
      </w:r>
      <w:r w:rsidRPr="00F41E78">
        <w:rPr>
          <w:rFonts w:cs="FrankRuehl" w:hint="cs"/>
          <w:sz w:val="18"/>
          <w:szCs w:val="22"/>
          <w:rtl/>
          <w:lang w:eastAsia="he-IL"/>
        </w:rPr>
        <w:t>שטחיהן</w:t>
      </w:r>
      <w:r w:rsidRPr="00F41E78">
        <w:rPr>
          <w:rFonts w:cs="FrankRuehl"/>
          <w:sz w:val="18"/>
          <w:szCs w:val="22"/>
          <w:rtl/>
          <w:lang w:eastAsia="he-IL"/>
        </w:rPr>
        <w:t xml:space="preserve">: </w:t>
      </w:r>
      <w:r w:rsidRPr="00F41E78">
        <w:rPr>
          <w:rFonts w:cs="FrankRuehl"/>
          <w:b/>
          <w:bCs/>
          <w:sz w:val="18"/>
          <w:szCs w:val="22"/>
          <w:rtl/>
          <w:lang w:eastAsia="he-IL"/>
        </w:rPr>
        <w:t>"</w:t>
      </w:r>
      <w:r w:rsidRPr="00F41E78">
        <w:rPr>
          <w:rFonts w:cs="FrankRuehl"/>
          <w:sz w:val="18"/>
          <w:szCs w:val="22"/>
          <w:rtl/>
          <w:lang w:eastAsia="he-IL"/>
        </w:rPr>
        <w:t>תכנית מקומית להרחבה ניכרת תופקד רק אם התקיימו התנאים... מוסד התכנון בחן את הצורך ב</w:t>
      </w:r>
      <w:r w:rsidRPr="00F41E78">
        <w:rPr>
          <w:rFonts w:cs="FrankRuehl" w:hint="cs"/>
          <w:sz w:val="18"/>
          <w:szCs w:val="22"/>
          <w:rtl/>
          <w:lang w:eastAsia="he-IL"/>
        </w:rPr>
        <w:t>'</w:t>
      </w:r>
      <w:r w:rsidRPr="00F41E78">
        <w:rPr>
          <w:rFonts w:cs="FrankRuehl"/>
          <w:sz w:val="18"/>
          <w:szCs w:val="22"/>
          <w:rtl/>
          <w:lang w:eastAsia="he-IL"/>
        </w:rPr>
        <w:t>דיור בהישג יד</w:t>
      </w:r>
      <w:r w:rsidRPr="00F41E78">
        <w:rPr>
          <w:rFonts w:cs="FrankRuehl" w:hint="cs"/>
          <w:sz w:val="18"/>
          <w:szCs w:val="22"/>
          <w:rtl/>
          <w:lang w:eastAsia="he-IL"/>
        </w:rPr>
        <w:t>'</w:t>
      </w:r>
      <w:r w:rsidRPr="00F41E78">
        <w:rPr>
          <w:rFonts w:cs="FrankRuehl"/>
          <w:sz w:val="18"/>
          <w:szCs w:val="22"/>
          <w:rtl/>
          <w:lang w:eastAsia="he-IL"/>
        </w:rPr>
        <w:t xml:space="preserve"> וקבע, במידת הצורך, את כמות יח"ד הנדרשות לכך ואת תמהיל גודלי יח"ד המוצעות בהרחבה" (סעיף 12.1.3)</w:t>
      </w:r>
      <w:r w:rsidRPr="00F41E78">
        <w:rPr>
          <w:rFonts w:cs="FrankRuehl" w:hint="cs"/>
          <w:sz w:val="18"/>
          <w:szCs w:val="22"/>
          <w:rtl/>
          <w:lang w:eastAsia="he-IL"/>
        </w:rPr>
        <w:t>.</w:t>
      </w:r>
      <w:r w:rsidRPr="00F41E78">
        <w:rPr>
          <w:rFonts w:cs="FrankRuehl"/>
          <w:sz w:val="18"/>
          <w:szCs w:val="22"/>
          <w:rtl/>
          <w:lang w:eastAsia="he-IL"/>
        </w:rPr>
        <w:t xml:space="preserve"> כמו כן</w:t>
      </w:r>
      <w:r w:rsidRPr="00F41E78">
        <w:rPr>
          <w:rFonts w:cs="FrankRuehl" w:hint="cs"/>
          <w:sz w:val="18"/>
          <w:szCs w:val="22"/>
          <w:rtl/>
          <w:lang w:eastAsia="he-IL"/>
        </w:rPr>
        <w:t>,</w:t>
      </w:r>
      <w:r w:rsidRPr="00F41E78">
        <w:rPr>
          <w:rFonts w:cs="FrankRuehl"/>
          <w:sz w:val="18"/>
          <w:szCs w:val="22"/>
          <w:rtl/>
          <w:lang w:eastAsia="he-IL"/>
        </w:rPr>
        <w:t xml:space="preserve"> נקבע כי מוסד תכנון יכין תכניות ומסמכי</w:t>
      </w:r>
      <w:r w:rsidRPr="00F41E78">
        <w:rPr>
          <w:rFonts w:cs="FrankRuehl" w:hint="cs"/>
          <w:sz w:val="18"/>
          <w:szCs w:val="22"/>
          <w:rtl/>
          <w:lang w:eastAsia="he-IL"/>
        </w:rPr>
        <w:t xml:space="preserve"> </w:t>
      </w:r>
      <w:r w:rsidRPr="00F41E78">
        <w:rPr>
          <w:rFonts w:cs="FrankRuehl"/>
          <w:sz w:val="18"/>
          <w:szCs w:val="22"/>
          <w:rtl/>
          <w:lang w:eastAsia="he-IL"/>
        </w:rPr>
        <w:t>מדיניות לחידוש ושימור עירוני, ואלו יכללו גם את "ההיקף המתאים של דיור בהישג יד לאוכלוסיות חלשות לרבות שיקום חברתי" (סעיפים 14.4.</w:t>
      </w:r>
      <w:r w:rsidRPr="00F41E78">
        <w:rPr>
          <w:rFonts w:cs="FrankRuehl" w:hint="cs"/>
          <w:sz w:val="18"/>
          <w:szCs w:val="22"/>
          <w:rtl/>
          <w:lang w:eastAsia="he-IL"/>
        </w:rPr>
        <w:t>2</w:t>
      </w:r>
      <w:r w:rsidRPr="00F41E78">
        <w:rPr>
          <w:rFonts w:cs="FrankRuehl"/>
          <w:sz w:val="18"/>
          <w:szCs w:val="22"/>
          <w:rtl/>
          <w:lang w:eastAsia="he-IL"/>
        </w:rPr>
        <w:t>-14.4.</w:t>
      </w:r>
      <w:r w:rsidRPr="00F41E78">
        <w:rPr>
          <w:rFonts w:cs="FrankRuehl" w:hint="cs"/>
          <w:sz w:val="18"/>
          <w:szCs w:val="22"/>
          <w:rtl/>
          <w:lang w:eastAsia="he-IL"/>
        </w:rPr>
        <w:t>1</w:t>
      </w:r>
      <w:r w:rsidRPr="00F41E78">
        <w:rPr>
          <w:rFonts w:cs="FrankRuehl"/>
          <w:sz w:val="18"/>
          <w:szCs w:val="22"/>
          <w:rtl/>
          <w:lang w:eastAsia="he-IL"/>
        </w:rPr>
        <w:t>).</w:t>
      </w:r>
    </w:p>
    <w:p w:rsidR="00D22B16" w:rsidRPr="00F41E78" w:rsidP="00D22B16">
      <w:pPr>
        <w:pStyle w:val="RESHET"/>
        <w:keepLines/>
        <w:rPr>
          <w:rtl/>
        </w:rPr>
      </w:pPr>
      <w:r w:rsidRPr="00F41E78">
        <w:rPr>
          <w:rtl/>
        </w:rPr>
        <w:t xml:space="preserve">בביקורת עלה כי בפועל לא </w:t>
      </w:r>
      <w:r w:rsidRPr="00F41E78">
        <w:rPr>
          <w:rFonts w:hint="cs"/>
          <w:rtl/>
        </w:rPr>
        <w:t>יושמו</w:t>
      </w:r>
      <w:r w:rsidRPr="00F41E78">
        <w:rPr>
          <w:rtl/>
        </w:rPr>
        <w:t xml:space="preserve"> הוראות תמ"א 35 </w:t>
      </w:r>
      <w:r w:rsidRPr="00F41E78">
        <w:rPr>
          <w:rFonts w:hint="cs"/>
          <w:rtl/>
        </w:rPr>
        <w:t>בנוגע</w:t>
      </w:r>
      <w:r w:rsidRPr="00F41E78">
        <w:rPr>
          <w:rtl/>
        </w:rPr>
        <w:t xml:space="preserve"> לדיור בר השגה</w:t>
      </w:r>
      <w:r w:rsidRPr="00F41E78">
        <w:rPr>
          <w:rFonts w:hint="cs"/>
          <w:rtl/>
        </w:rPr>
        <w:t>.</w:t>
      </w:r>
      <w:r w:rsidRPr="00F41E78">
        <w:rPr>
          <w:rtl/>
        </w:rPr>
        <w:t xml:space="preserve"> הסיבה לכך </w:t>
      </w:r>
      <w:r w:rsidRPr="00F41E78">
        <w:rPr>
          <w:rFonts w:hint="cs"/>
          <w:rtl/>
        </w:rPr>
        <w:t>נעוצה בעובדה</w:t>
      </w:r>
      <w:r w:rsidRPr="00F41E78">
        <w:rPr>
          <w:rtl/>
        </w:rPr>
        <w:t xml:space="preserve"> </w:t>
      </w:r>
      <w:r w:rsidRPr="00F41E78">
        <w:rPr>
          <w:rFonts w:hint="cs"/>
          <w:rtl/>
        </w:rPr>
        <w:t>ש</w:t>
      </w:r>
      <w:r w:rsidRPr="00F41E78">
        <w:rPr>
          <w:rtl/>
        </w:rPr>
        <w:t xml:space="preserve">היזמים השלטוניים </w:t>
      </w:r>
      <w:r w:rsidRPr="00F41E78">
        <w:rPr>
          <w:rFonts w:hint="cs"/>
          <w:rtl/>
        </w:rPr>
        <w:t>-</w:t>
      </w:r>
      <w:r w:rsidRPr="00F41E78">
        <w:rPr>
          <w:rtl/>
        </w:rPr>
        <w:t xml:space="preserve"> משרד הבינוי ורמ"י</w:t>
      </w:r>
      <w:r w:rsidRPr="00F41E78">
        <w:rPr>
          <w:rFonts w:hint="cs"/>
          <w:rtl/>
        </w:rPr>
        <w:t xml:space="preserve"> -</w:t>
      </w:r>
      <w:r w:rsidRPr="00F41E78">
        <w:rPr>
          <w:rtl/>
        </w:rPr>
        <w:t xml:space="preserve"> נהגו</w:t>
      </w:r>
      <w:r w:rsidRPr="00F41E78">
        <w:rPr>
          <w:rFonts w:hint="cs"/>
          <w:rtl/>
        </w:rPr>
        <w:t xml:space="preserve"> </w:t>
      </w:r>
      <w:r w:rsidRPr="00F41E78">
        <w:rPr>
          <w:rtl/>
        </w:rPr>
        <w:t>להגיש תכניות קרקע לבנייה למגורים לאישור</w:t>
      </w:r>
      <w:r w:rsidRPr="00F41E78">
        <w:rPr>
          <w:rFonts w:hint="cs"/>
          <w:rtl/>
        </w:rPr>
        <w:t>ם של</w:t>
      </w:r>
      <w:r w:rsidRPr="00F41E78">
        <w:rPr>
          <w:rtl/>
        </w:rPr>
        <w:t xml:space="preserve"> מוסדות התכנון בלי </w:t>
      </w:r>
      <w:r w:rsidRPr="00F41E78">
        <w:rPr>
          <w:rFonts w:hint="cs"/>
          <w:rtl/>
        </w:rPr>
        <w:t>שנגעו ב</w:t>
      </w:r>
      <w:r w:rsidRPr="00F41E78">
        <w:rPr>
          <w:rtl/>
        </w:rPr>
        <w:t>צורך בדיור בר השגה</w:t>
      </w:r>
      <w:r w:rsidRPr="00F41E78">
        <w:rPr>
          <w:rFonts w:hint="cs"/>
          <w:rtl/>
        </w:rPr>
        <w:t>,</w:t>
      </w:r>
      <w:r w:rsidRPr="00F41E78">
        <w:rPr>
          <w:rtl/>
        </w:rPr>
        <w:t xml:space="preserve"> </w:t>
      </w:r>
      <w:r w:rsidRPr="00F41E78">
        <w:rPr>
          <w:rFonts w:hint="cs"/>
          <w:rtl/>
        </w:rPr>
        <w:t xml:space="preserve">לרבות </w:t>
      </w:r>
      <w:r w:rsidRPr="00F41E78">
        <w:rPr>
          <w:rtl/>
        </w:rPr>
        <w:t>תכנון שישקף תמהיל של גודל יחידות הדיור</w:t>
      </w:r>
      <w:r w:rsidRPr="00F41E78">
        <w:rPr>
          <w:rFonts w:hint="cs"/>
          <w:rtl/>
        </w:rPr>
        <w:t>.</w:t>
      </w:r>
    </w:p>
    <w:p w:rsidR="00D22B16" w:rsidRPr="00F41E78" w:rsidP="00D22B16">
      <w:pPr>
        <w:pStyle w:val="RESHET"/>
        <w:keepLines/>
        <w:rPr>
          <w:rtl/>
        </w:rPr>
      </w:pPr>
      <w:r w:rsidRPr="00F41E78">
        <w:rPr>
          <w:rtl/>
        </w:rPr>
        <w:t>עוד עלה בביקורת שמוסדות התכנון, ובעיקר הו</w:t>
      </w:r>
      <w:r w:rsidRPr="00F41E78">
        <w:rPr>
          <w:rFonts w:hint="cs"/>
          <w:rtl/>
        </w:rPr>
        <w:t>ו</w:t>
      </w:r>
      <w:r w:rsidRPr="00F41E78">
        <w:rPr>
          <w:rtl/>
        </w:rPr>
        <w:t xml:space="preserve">עדות המחוזיות, לא מילאו את חובתם לבחון את הצורך בדיור בהישג יד, את </w:t>
      </w:r>
      <w:r w:rsidRPr="00F41E78">
        <w:rPr>
          <w:rFonts w:hint="cs"/>
          <w:rtl/>
        </w:rPr>
        <w:t>מספר</w:t>
      </w:r>
      <w:r w:rsidRPr="00F41E78">
        <w:rPr>
          <w:rtl/>
        </w:rPr>
        <w:t xml:space="preserve"> </w:t>
      </w:r>
      <w:r w:rsidRPr="00F41E78">
        <w:rPr>
          <w:rFonts w:hint="cs"/>
          <w:rtl/>
        </w:rPr>
        <w:t>יחידות הדיור</w:t>
      </w:r>
      <w:r w:rsidRPr="00F41E78">
        <w:rPr>
          <w:rtl/>
        </w:rPr>
        <w:t xml:space="preserve"> הנדרשות לכך ואת תמהיל </w:t>
      </w:r>
      <w:r w:rsidRPr="00F41E78">
        <w:rPr>
          <w:rFonts w:hint="cs"/>
          <w:rtl/>
        </w:rPr>
        <w:t>שטחי</w:t>
      </w:r>
      <w:r w:rsidRPr="00F41E78">
        <w:rPr>
          <w:rtl/>
        </w:rPr>
        <w:t xml:space="preserve"> יחידות הדיור המוצעות. מוסדות התכנון גם לא הכינו תכניות ומסמכי מדיניות לחידוש ושימור עירוני, </w:t>
      </w:r>
      <w:r w:rsidRPr="00F41E78">
        <w:rPr>
          <w:rFonts w:hint="cs"/>
          <w:rtl/>
        </w:rPr>
        <w:t>שבהם</w:t>
      </w:r>
      <w:r w:rsidRPr="00F41E78">
        <w:rPr>
          <w:rtl/>
        </w:rPr>
        <w:t xml:space="preserve"> היה עליהם לכלול גם </w:t>
      </w:r>
      <w:r w:rsidRPr="00F41E78">
        <w:rPr>
          <w:rFonts w:hint="cs"/>
          <w:rtl/>
        </w:rPr>
        <w:t>דיור בהישג יד ב</w:t>
      </w:r>
      <w:r w:rsidRPr="00F41E78">
        <w:rPr>
          <w:rtl/>
        </w:rPr>
        <w:t>היקף המתאים, כ</w:t>
      </w:r>
      <w:r w:rsidRPr="00F41E78">
        <w:rPr>
          <w:rFonts w:hint="cs"/>
          <w:rtl/>
        </w:rPr>
        <w:t>נדרש ב</w:t>
      </w:r>
      <w:r w:rsidRPr="00F41E78">
        <w:rPr>
          <w:rtl/>
        </w:rPr>
        <w:t>הוראות תמ"א 35.</w:t>
      </w:r>
    </w:p>
    <w:p w:rsidR="00E97EDA" w:rsidRPr="00F41E78" w:rsidP="003B3DE6">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בתשובתו של משרד הפנים מינואר 2014 ציין מינהל התכנון כי "חשוב להבהיר באופן חד משמעי כי אין בהוראות תמ"א 35 לבדה, בה נקבעה הוראה כללית של הצורך בבחינת הדיור בהישג יד אך לא נכללו בה הגדרה של דיור בהישג יד, מנגנונים לפיקוח, בקרה וניהול, כדי לאפשר ולתת סמכות למוסד התכנון לקבוע הוראות בנושא זה בתכניות. סמכות זו מחויבת בהסדר חקיקתי כולל". גם משרד המשפטים ציין בתשובתו כי "לא ניתן לקבוע מנגנון מורחב זה [מנגנון של דיור בר השגה] בהוראות תכנוניות ויש להסדירו בחוק כולל שיתייחס הן להיבטים התכנוניים והן להיבטים הקנייניים הרלבנטיים". </w:t>
      </w:r>
    </w:p>
    <w:p w:rsidR="00D22B16" w:rsidRPr="00F41E78" w:rsidP="00D22B16">
      <w:pPr>
        <w:pStyle w:val="RESHET"/>
        <w:keepLines/>
        <w:rPr>
          <w:rtl/>
        </w:rPr>
      </w:pPr>
      <w:r w:rsidRPr="00F41E78">
        <w:rPr>
          <w:rFonts w:hint="eastAsia"/>
          <w:rtl/>
        </w:rPr>
        <w:t>משרד</w:t>
      </w:r>
      <w:r w:rsidRPr="00F41E78">
        <w:rPr>
          <w:rtl/>
        </w:rPr>
        <w:t xml:space="preserve"> מבקר המדינה מעיר </w:t>
      </w:r>
      <w:r w:rsidRPr="00F41E78">
        <w:rPr>
          <w:rFonts w:hint="eastAsia"/>
          <w:rtl/>
        </w:rPr>
        <w:t>למינהל</w:t>
      </w:r>
      <w:r w:rsidRPr="00F41E78">
        <w:rPr>
          <w:rtl/>
        </w:rPr>
        <w:t xml:space="preserve"> התכנון ולמשרד המשפטים כי ההוראות </w:t>
      </w:r>
      <w:r w:rsidRPr="00F41E78">
        <w:rPr>
          <w:rFonts w:hint="eastAsia"/>
          <w:rtl/>
        </w:rPr>
        <w:t>שבתמ</w:t>
      </w:r>
      <w:r w:rsidRPr="00F41E78">
        <w:rPr>
          <w:rtl/>
        </w:rPr>
        <w:t xml:space="preserve">"א 35 נקבעו </w:t>
      </w:r>
      <w:r w:rsidRPr="00F41E78">
        <w:rPr>
          <w:rFonts w:hint="cs"/>
          <w:rtl/>
        </w:rPr>
        <w:t>כבר</w:t>
      </w:r>
      <w:r w:rsidRPr="00F41E78">
        <w:rPr>
          <w:rtl/>
        </w:rPr>
        <w:t xml:space="preserve"> בשנת 2005</w:t>
      </w:r>
      <w:r w:rsidRPr="00F41E78">
        <w:rPr>
          <w:rFonts w:hint="cs"/>
          <w:rtl/>
        </w:rPr>
        <w:t>.</w:t>
      </w:r>
      <w:r w:rsidRPr="00F41E78">
        <w:rPr>
          <w:rtl/>
        </w:rPr>
        <w:t xml:space="preserve"> </w:t>
      </w:r>
      <w:r w:rsidRPr="00F41E78">
        <w:rPr>
          <w:rFonts w:hint="cs"/>
          <w:rtl/>
        </w:rPr>
        <w:t>אולם</w:t>
      </w:r>
      <w:r w:rsidRPr="00F41E78">
        <w:rPr>
          <w:rtl/>
        </w:rPr>
        <w:t xml:space="preserve"> אף שהוגדר בה</w:t>
      </w:r>
      <w:r w:rsidRPr="00F41E78">
        <w:rPr>
          <w:rFonts w:hint="cs"/>
          <w:rtl/>
        </w:rPr>
        <w:t>ן</w:t>
      </w:r>
      <w:r w:rsidRPr="00F41E78">
        <w:rPr>
          <w:rtl/>
        </w:rPr>
        <w:t xml:space="preserve"> במפורש שעל מוסדות התכנון ל</w:t>
      </w:r>
      <w:r w:rsidRPr="00F41E78">
        <w:rPr>
          <w:rFonts w:hint="eastAsia"/>
          <w:rtl/>
        </w:rPr>
        <w:t>התייחס</w:t>
      </w:r>
      <w:r w:rsidRPr="00F41E78">
        <w:rPr>
          <w:rtl/>
        </w:rPr>
        <w:t xml:space="preserve"> </w:t>
      </w:r>
      <w:r w:rsidRPr="00F41E78">
        <w:rPr>
          <w:rFonts w:hint="eastAsia"/>
          <w:rtl/>
        </w:rPr>
        <w:t>לצורך</w:t>
      </w:r>
      <w:r w:rsidRPr="00F41E78">
        <w:rPr>
          <w:rtl/>
        </w:rPr>
        <w:t xml:space="preserve"> </w:t>
      </w:r>
      <w:r w:rsidRPr="00F41E78">
        <w:rPr>
          <w:rFonts w:hint="eastAsia"/>
          <w:rtl/>
        </w:rPr>
        <w:t>בדיור</w:t>
      </w:r>
      <w:r w:rsidRPr="00F41E78">
        <w:rPr>
          <w:rtl/>
        </w:rPr>
        <w:t xml:space="preserve"> </w:t>
      </w:r>
      <w:r w:rsidRPr="00F41E78">
        <w:rPr>
          <w:rFonts w:hint="eastAsia"/>
          <w:rtl/>
        </w:rPr>
        <w:t>בר</w:t>
      </w:r>
      <w:r w:rsidRPr="00F41E78">
        <w:rPr>
          <w:rtl/>
        </w:rPr>
        <w:t xml:space="preserve"> </w:t>
      </w:r>
      <w:r w:rsidRPr="00F41E78">
        <w:rPr>
          <w:rFonts w:hint="eastAsia"/>
          <w:rtl/>
        </w:rPr>
        <w:t>השגה</w:t>
      </w:r>
      <w:r w:rsidRPr="00F41E78">
        <w:rPr>
          <w:rtl/>
        </w:rPr>
        <w:t xml:space="preserve">, </w:t>
      </w:r>
      <w:r w:rsidRPr="00F41E78">
        <w:rPr>
          <w:rFonts w:hint="eastAsia"/>
          <w:rtl/>
        </w:rPr>
        <w:t>הם</w:t>
      </w:r>
      <w:r w:rsidRPr="00F41E78">
        <w:rPr>
          <w:rtl/>
        </w:rPr>
        <w:t xml:space="preserve"> </w:t>
      </w:r>
      <w:r w:rsidRPr="00F41E78">
        <w:rPr>
          <w:rFonts w:hint="eastAsia"/>
          <w:rtl/>
        </w:rPr>
        <w:t>לא</w:t>
      </w:r>
      <w:r w:rsidRPr="00F41E78">
        <w:rPr>
          <w:rtl/>
        </w:rPr>
        <w:t xml:space="preserve"> </w:t>
      </w:r>
      <w:r w:rsidRPr="00F41E78">
        <w:rPr>
          <w:rFonts w:hint="eastAsia"/>
          <w:rtl/>
        </w:rPr>
        <w:t>עמדו</w:t>
      </w:r>
      <w:r w:rsidRPr="00F41E78">
        <w:rPr>
          <w:rtl/>
        </w:rPr>
        <w:t xml:space="preserve"> </w:t>
      </w:r>
      <w:r w:rsidRPr="00F41E78">
        <w:rPr>
          <w:rFonts w:hint="eastAsia"/>
          <w:rtl/>
        </w:rPr>
        <w:t>על</w:t>
      </w:r>
      <w:r w:rsidRPr="00F41E78">
        <w:rPr>
          <w:rtl/>
        </w:rPr>
        <w:t xml:space="preserve"> </w:t>
      </w:r>
      <w:r w:rsidRPr="00F41E78">
        <w:rPr>
          <w:rFonts w:hint="eastAsia"/>
          <w:rtl/>
        </w:rPr>
        <w:t>כך</w:t>
      </w:r>
      <w:r w:rsidRPr="00F41E78">
        <w:rPr>
          <w:rtl/>
        </w:rPr>
        <w:t xml:space="preserve"> </w:t>
      </w:r>
      <w:r w:rsidRPr="00F41E78">
        <w:rPr>
          <w:rFonts w:hint="eastAsia"/>
          <w:rtl/>
        </w:rPr>
        <w:t>שיש</w:t>
      </w:r>
      <w:r w:rsidRPr="00F41E78">
        <w:rPr>
          <w:rtl/>
        </w:rPr>
        <w:t xml:space="preserve"> </w:t>
      </w:r>
      <w:r w:rsidRPr="00F41E78">
        <w:rPr>
          <w:rFonts w:hint="eastAsia"/>
          <w:rtl/>
        </w:rPr>
        <w:t>להשלים</w:t>
      </w:r>
      <w:r w:rsidRPr="00F41E78">
        <w:rPr>
          <w:rtl/>
        </w:rPr>
        <w:t xml:space="preserve"> </w:t>
      </w:r>
      <w:r w:rsidRPr="00F41E78">
        <w:rPr>
          <w:rFonts w:hint="eastAsia"/>
          <w:rtl/>
        </w:rPr>
        <w:t>את</w:t>
      </w:r>
      <w:r w:rsidRPr="00F41E78">
        <w:rPr>
          <w:rtl/>
        </w:rPr>
        <w:t xml:space="preserve"> </w:t>
      </w:r>
      <w:r w:rsidRPr="00F41E78">
        <w:rPr>
          <w:rFonts w:hint="eastAsia"/>
          <w:rtl/>
        </w:rPr>
        <w:t>הסדרת</w:t>
      </w:r>
      <w:r w:rsidRPr="00F41E78">
        <w:rPr>
          <w:rtl/>
        </w:rPr>
        <w:t xml:space="preserve"> </w:t>
      </w:r>
      <w:r w:rsidRPr="00F41E78">
        <w:rPr>
          <w:rFonts w:hint="eastAsia"/>
          <w:rtl/>
        </w:rPr>
        <w:t>הנושא</w:t>
      </w:r>
      <w:r w:rsidRPr="00F41E78">
        <w:rPr>
          <w:rFonts w:hint="cs"/>
          <w:rtl/>
        </w:rPr>
        <w:t>,</w:t>
      </w:r>
      <w:r w:rsidRPr="00F41E78">
        <w:rPr>
          <w:rtl/>
        </w:rPr>
        <w:t xml:space="preserve"> אם ב</w:t>
      </w:r>
      <w:r w:rsidRPr="00F41E78">
        <w:rPr>
          <w:rFonts w:hint="cs"/>
          <w:rtl/>
        </w:rPr>
        <w:t xml:space="preserve">אמצעות חקיקה </w:t>
      </w:r>
      <w:r w:rsidRPr="00F41E78">
        <w:rPr>
          <w:rtl/>
        </w:rPr>
        <w:t xml:space="preserve">אם בדרך אחרת, </w:t>
      </w:r>
      <w:r w:rsidRPr="00F41E78">
        <w:rPr>
          <w:rFonts w:hint="cs"/>
          <w:rtl/>
        </w:rPr>
        <w:t>כדי</w:t>
      </w:r>
      <w:r w:rsidRPr="00F41E78">
        <w:rPr>
          <w:rtl/>
        </w:rPr>
        <w:t xml:space="preserve"> שלא תהיה בפועל </w:t>
      </w:r>
      <w:r w:rsidRPr="00F41E78">
        <w:rPr>
          <w:rFonts w:hint="cs"/>
          <w:rtl/>
        </w:rPr>
        <w:t xml:space="preserve">כל </w:t>
      </w:r>
      <w:r w:rsidRPr="00F41E78">
        <w:rPr>
          <w:rtl/>
        </w:rPr>
        <w:t>מניעה מל</w:t>
      </w:r>
      <w:r w:rsidRPr="00F41E78">
        <w:rPr>
          <w:rFonts w:hint="cs"/>
          <w:rtl/>
        </w:rPr>
        <w:t>יישם</w:t>
      </w:r>
      <w:r w:rsidRPr="00F41E78">
        <w:rPr>
          <w:rtl/>
        </w:rPr>
        <w:t xml:space="preserve"> את הוראות תמ"א 35. </w:t>
      </w:r>
    </w:p>
    <w:p w:rsidR="00E97EDA" w:rsidRPr="00F41E78" w:rsidP="003B3DE6">
      <w:pPr>
        <w:spacing w:before="180" w:after="120" w:line="230" w:lineRule="exact"/>
        <w:jc w:val="both"/>
        <w:rPr>
          <w:rFonts w:cs="FrankRuehl"/>
          <w:sz w:val="18"/>
          <w:szCs w:val="22"/>
          <w:rtl/>
          <w:lang w:eastAsia="he-IL"/>
        </w:rPr>
      </w:pPr>
      <w:r w:rsidRPr="00F41E78">
        <w:rPr>
          <w:rFonts w:cs="FrankRuehl" w:hint="cs"/>
          <w:bCs/>
          <w:spacing w:val="40"/>
          <w:sz w:val="18"/>
          <w:szCs w:val="22"/>
          <w:rtl/>
        </w:rPr>
        <w:t xml:space="preserve">קידום פרויקטים של דיור בר השגה במסלול הווד"לים: </w:t>
      </w:r>
      <w:r w:rsidRPr="00F41E78">
        <w:rPr>
          <w:rFonts w:cs="FrankRuehl" w:hint="cs"/>
          <w:sz w:val="18"/>
          <w:szCs w:val="22"/>
          <w:rtl/>
          <w:lang w:eastAsia="he-IL"/>
        </w:rPr>
        <w:t xml:space="preserve">כאמור, </w:t>
      </w:r>
      <w:r w:rsidRPr="00F41E78">
        <w:rPr>
          <w:rFonts w:cs="FrankRuehl"/>
          <w:sz w:val="18"/>
          <w:szCs w:val="22"/>
          <w:rtl/>
          <w:lang w:eastAsia="he-IL"/>
        </w:rPr>
        <w:t>ב</w:t>
      </w:r>
      <w:r w:rsidRPr="00F41E78">
        <w:rPr>
          <w:rFonts w:cs="FrankRuehl" w:hint="cs"/>
          <w:sz w:val="18"/>
          <w:szCs w:val="22"/>
          <w:rtl/>
          <w:lang w:eastAsia="he-IL"/>
        </w:rPr>
        <w:t xml:space="preserve">אוגוסט 2011 </w:t>
      </w:r>
      <w:r w:rsidRPr="00F41E78">
        <w:rPr>
          <w:rFonts w:cs="FrankRuehl"/>
          <w:sz w:val="18"/>
          <w:szCs w:val="22"/>
          <w:rtl/>
          <w:lang w:eastAsia="he-IL"/>
        </w:rPr>
        <w:t>אישרה הכנסת את חוק</w:t>
      </w:r>
      <w:r w:rsidRPr="00F41E78">
        <w:rPr>
          <w:rFonts w:cs="FrankRuehl" w:hint="cs"/>
          <w:sz w:val="18"/>
          <w:szCs w:val="22"/>
          <w:rtl/>
          <w:lang w:eastAsia="he-IL"/>
        </w:rPr>
        <w:t xml:space="preserve"> הווד"לים</w:t>
      </w:r>
      <w:r>
        <w:rPr>
          <w:rFonts w:cs="FrankRuehl"/>
          <w:sz w:val="18"/>
          <w:szCs w:val="22"/>
          <w:vertAlign w:val="superscript"/>
          <w:rtl/>
          <w:lang w:eastAsia="he-IL"/>
        </w:rPr>
        <w:footnoteReference w:id="276"/>
      </w:r>
      <w:r w:rsidRPr="00F41E78">
        <w:rPr>
          <w:rFonts w:cs="FrankRuehl" w:hint="cs"/>
          <w:sz w:val="18"/>
          <w:szCs w:val="22"/>
          <w:rtl/>
          <w:lang w:eastAsia="he-IL"/>
        </w:rPr>
        <w:t xml:space="preserve">. </w:t>
      </w:r>
      <w:r w:rsidRPr="00F41E78">
        <w:rPr>
          <w:rFonts w:cs="FrankRuehl"/>
          <w:sz w:val="18"/>
          <w:szCs w:val="22"/>
          <w:rtl/>
          <w:lang w:eastAsia="he-IL"/>
        </w:rPr>
        <w:t>החוק קובע, כהוראת שעה, "הסדרים מיוחדים לאישור תכניות בנייה למגורים, שיאפשרו מתן פתרון לצורכי הדיור באמצעות היצע דירות מגורים בגדלים שונים ומסוגים שונים, לרבות באמצעות ייעוד קרקע לדיור להשכר</w:t>
      </w:r>
      <w:r w:rsidRPr="00F41E78">
        <w:rPr>
          <w:rFonts w:cs="FrankRuehl" w:hint="cs"/>
          <w:sz w:val="18"/>
          <w:szCs w:val="22"/>
          <w:rtl/>
          <w:lang w:eastAsia="he-IL"/>
        </w:rPr>
        <w:t>ה</w:t>
      </w:r>
      <w:r w:rsidRPr="00F41E78">
        <w:rPr>
          <w:rFonts w:cs="FrankRuehl"/>
          <w:sz w:val="18"/>
          <w:szCs w:val="22"/>
          <w:rtl/>
          <w:lang w:eastAsia="he-IL"/>
        </w:rPr>
        <w:t xml:space="preserve">". </w:t>
      </w:r>
    </w:p>
    <w:p w:rsidR="00E97EDA" w:rsidRPr="00F41E78" w:rsidP="003B3DE6">
      <w:pPr>
        <w:spacing w:after="240" w:line="230" w:lineRule="exact"/>
        <w:jc w:val="both"/>
        <w:rPr>
          <w:rFonts w:cs="FrankRuehl"/>
          <w:sz w:val="18"/>
          <w:szCs w:val="22"/>
          <w:rtl/>
          <w:lang w:eastAsia="he-IL"/>
        </w:rPr>
      </w:pPr>
      <w:r w:rsidRPr="00F41E78">
        <w:rPr>
          <w:rFonts w:cs="FrankRuehl" w:hint="cs"/>
          <w:sz w:val="18"/>
          <w:szCs w:val="22"/>
          <w:rtl/>
          <w:lang w:eastAsia="he-IL"/>
        </w:rPr>
        <w:t>ההתייחסות</w:t>
      </w:r>
      <w:r w:rsidRPr="00F41E78">
        <w:rPr>
          <w:rFonts w:cs="FrankRuehl"/>
          <w:sz w:val="18"/>
          <w:szCs w:val="22"/>
          <w:rtl/>
          <w:lang w:eastAsia="he-IL"/>
        </w:rPr>
        <w:t xml:space="preserve"> </w:t>
      </w:r>
      <w:r w:rsidRPr="00F41E78">
        <w:rPr>
          <w:rFonts w:cs="FrankRuehl" w:hint="cs"/>
          <w:sz w:val="18"/>
          <w:szCs w:val="22"/>
          <w:rtl/>
          <w:lang w:eastAsia="he-IL"/>
        </w:rPr>
        <w:t>בחוק</w:t>
      </w:r>
      <w:r w:rsidRPr="00F41E78">
        <w:rPr>
          <w:rFonts w:cs="FrankRuehl"/>
          <w:sz w:val="18"/>
          <w:szCs w:val="22"/>
          <w:rtl/>
          <w:lang w:eastAsia="he-IL"/>
        </w:rPr>
        <w:t xml:space="preserve"> </w:t>
      </w:r>
      <w:r w:rsidRPr="00F41E78">
        <w:rPr>
          <w:rFonts w:cs="FrankRuehl" w:hint="cs"/>
          <w:sz w:val="18"/>
          <w:szCs w:val="22"/>
          <w:rtl/>
          <w:lang w:eastAsia="he-IL"/>
        </w:rPr>
        <w:t>הווד</w:t>
      </w:r>
      <w:r w:rsidRPr="00F41E78">
        <w:rPr>
          <w:rFonts w:cs="FrankRuehl"/>
          <w:sz w:val="18"/>
          <w:szCs w:val="22"/>
          <w:rtl/>
          <w:lang w:eastAsia="he-IL"/>
        </w:rPr>
        <w:t>"</w:t>
      </w:r>
      <w:r w:rsidRPr="00F41E78">
        <w:rPr>
          <w:rFonts w:cs="FrankRuehl" w:hint="cs"/>
          <w:sz w:val="18"/>
          <w:szCs w:val="22"/>
          <w:rtl/>
          <w:lang w:eastAsia="he-IL"/>
        </w:rPr>
        <w:t>לים</w:t>
      </w:r>
      <w:r w:rsidRPr="00F41E78">
        <w:rPr>
          <w:rFonts w:cs="FrankRuehl"/>
          <w:sz w:val="18"/>
          <w:szCs w:val="22"/>
          <w:rtl/>
          <w:lang w:eastAsia="he-IL"/>
        </w:rPr>
        <w:t xml:space="preserve"> </w:t>
      </w:r>
      <w:r w:rsidRPr="00F41E78">
        <w:rPr>
          <w:rFonts w:cs="FrankRuehl" w:hint="cs"/>
          <w:sz w:val="18"/>
          <w:szCs w:val="22"/>
          <w:rtl/>
          <w:lang w:eastAsia="he-IL"/>
        </w:rPr>
        <w:t>לצורך</w:t>
      </w:r>
      <w:r w:rsidRPr="00F41E78">
        <w:rPr>
          <w:rFonts w:cs="FrankRuehl"/>
          <w:sz w:val="18"/>
          <w:szCs w:val="22"/>
          <w:rtl/>
          <w:lang w:eastAsia="he-IL"/>
        </w:rPr>
        <w:t xml:space="preserve"> </w:t>
      </w:r>
      <w:r w:rsidRPr="00F41E78">
        <w:rPr>
          <w:rFonts w:cs="FrankRuehl" w:hint="cs"/>
          <w:sz w:val="18"/>
          <w:szCs w:val="22"/>
          <w:rtl/>
          <w:lang w:eastAsia="he-IL"/>
        </w:rPr>
        <w:t>בדיור</w:t>
      </w:r>
      <w:r w:rsidRPr="00F41E78">
        <w:rPr>
          <w:rFonts w:cs="FrankRuehl"/>
          <w:sz w:val="18"/>
          <w:szCs w:val="22"/>
          <w:rtl/>
          <w:lang w:eastAsia="he-IL"/>
        </w:rPr>
        <w:t xml:space="preserve"> </w:t>
      </w:r>
      <w:r w:rsidRPr="00F41E78">
        <w:rPr>
          <w:rFonts w:cs="FrankRuehl" w:hint="cs"/>
          <w:sz w:val="18"/>
          <w:szCs w:val="22"/>
          <w:rtl/>
          <w:lang w:eastAsia="he-IL"/>
        </w:rPr>
        <w:t>בר</w:t>
      </w:r>
      <w:r w:rsidRPr="00F41E78">
        <w:rPr>
          <w:rFonts w:cs="FrankRuehl"/>
          <w:sz w:val="18"/>
          <w:szCs w:val="22"/>
          <w:rtl/>
          <w:lang w:eastAsia="he-IL"/>
        </w:rPr>
        <w:t xml:space="preserve"> </w:t>
      </w:r>
      <w:r w:rsidRPr="00F41E78">
        <w:rPr>
          <w:rFonts w:cs="FrankRuehl" w:hint="cs"/>
          <w:sz w:val="18"/>
          <w:szCs w:val="22"/>
          <w:rtl/>
          <w:lang w:eastAsia="he-IL"/>
        </w:rPr>
        <w:t>השגה,</w:t>
      </w:r>
      <w:r w:rsidRPr="00F41E78">
        <w:rPr>
          <w:rFonts w:cs="FrankRuehl"/>
          <w:sz w:val="18"/>
          <w:szCs w:val="22"/>
          <w:rtl/>
          <w:lang w:eastAsia="he-IL"/>
        </w:rPr>
        <w:t xml:space="preserve"> </w:t>
      </w:r>
      <w:r w:rsidRPr="00F41E78">
        <w:rPr>
          <w:rFonts w:cs="FrankRuehl" w:hint="cs"/>
          <w:sz w:val="18"/>
          <w:szCs w:val="22"/>
          <w:rtl/>
          <w:lang w:eastAsia="he-IL"/>
        </w:rPr>
        <w:t>לרבות תמהיל יחידות הדיור, באה</w:t>
      </w:r>
      <w:r w:rsidRPr="00F41E78">
        <w:rPr>
          <w:rFonts w:cs="FrankRuehl"/>
          <w:sz w:val="18"/>
          <w:szCs w:val="22"/>
          <w:rtl/>
          <w:lang w:eastAsia="he-IL"/>
        </w:rPr>
        <w:t xml:space="preserve"> </w:t>
      </w:r>
      <w:r w:rsidRPr="00F41E78">
        <w:rPr>
          <w:rFonts w:cs="FrankRuehl" w:hint="cs"/>
          <w:sz w:val="18"/>
          <w:szCs w:val="22"/>
          <w:rtl/>
          <w:lang w:eastAsia="he-IL"/>
        </w:rPr>
        <w:t>לידי</w:t>
      </w:r>
      <w:r w:rsidRPr="00F41E78">
        <w:rPr>
          <w:rFonts w:cs="FrankRuehl"/>
          <w:sz w:val="18"/>
          <w:szCs w:val="22"/>
          <w:rtl/>
          <w:lang w:eastAsia="he-IL"/>
        </w:rPr>
        <w:t xml:space="preserve"> </w:t>
      </w:r>
      <w:r w:rsidRPr="00F41E78">
        <w:rPr>
          <w:rFonts w:cs="FrankRuehl" w:hint="cs"/>
          <w:sz w:val="18"/>
          <w:szCs w:val="22"/>
          <w:rtl/>
          <w:lang w:eastAsia="he-IL"/>
        </w:rPr>
        <w:t>ביטוי</w:t>
      </w:r>
      <w:r w:rsidRPr="00F41E78">
        <w:rPr>
          <w:rFonts w:cs="FrankRuehl"/>
          <w:sz w:val="18"/>
          <w:szCs w:val="22"/>
          <w:rtl/>
          <w:lang w:eastAsia="he-IL"/>
        </w:rPr>
        <w:t xml:space="preserve"> </w:t>
      </w:r>
      <w:r w:rsidRPr="00F41E78">
        <w:rPr>
          <w:rFonts w:cs="FrankRuehl" w:hint="cs"/>
          <w:sz w:val="18"/>
          <w:szCs w:val="22"/>
          <w:rtl/>
          <w:lang w:eastAsia="he-IL"/>
        </w:rPr>
        <w:t>בסעיף</w:t>
      </w:r>
      <w:r w:rsidRPr="00F41E78">
        <w:rPr>
          <w:rFonts w:cs="FrankRuehl"/>
          <w:sz w:val="18"/>
          <w:szCs w:val="22"/>
          <w:rtl/>
          <w:lang w:eastAsia="he-IL"/>
        </w:rPr>
        <w:t xml:space="preserve"> 3 </w:t>
      </w:r>
      <w:r w:rsidRPr="00F41E78">
        <w:rPr>
          <w:rFonts w:cs="FrankRuehl" w:hint="cs"/>
          <w:sz w:val="18"/>
          <w:szCs w:val="22"/>
          <w:rtl/>
          <w:lang w:eastAsia="he-IL"/>
        </w:rPr>
        <w:t>להוראות</w:t>
      </w:r>
      <w:r w:rsidRPr="00F41E78">
        <w:rPr>
          <w:rFonts w:cs="FrankRuehl"/>
          <w:sz w:val="18"/>
          <w:szCs w:val="22"/>
          <w:rtl/>
          <w:lang w:eastAsia="he-IL"/>
        </w:rPr>
        <w:t xml:space="preserve"> </w:t>
      </w:r>
      <w:r w:rsidRPr="00F41E78">
        <w:rPr>
          <w:rFonts w:cs="FrankRuehl" w:hint="cs"/>
          <w:sz w:val="18"/>
          <w:szCs w:val="22"/>
          <w:rtl/>
          <w:lang w:eastAsia="he-IL"/>
        </w:rPr>
        <w:t>החוק</w:t>
      </w:r>
      <w:r w:rsidRPr="00F41E78">
        <w:rPr>
          <w:rFonts w:cs="FrankRuehl"/>
          <w:sz w:val="18"/>
          <w:szCs w:val="22"/>
          <w:rtl/>
          <w:lang w:eastAsia="he-IL"/>
        </w:rPr>
        <w:t xml:space="preserve"> </w:t>
      </w:r>
      <w:r w:rsidRPr="00F41E78">
        <w:rPr>
          <w:rFonts w:cs="FrankRuehl" w:hint="cs"/>
          <w:sz w:val="18"/>
          <w:szCs w:val="22"/>
          <w:rtl/>
          <w:lang w:eastAsia="he-IL"/>
        </w:rPr>
        <w:t>ולפיו</w:t>
      </w:r>
      <w:r w:rsidRPr="00F41E78">
        <w:rPr>
          <w:rFonts w:cs="FrankRuehl"/>
          <w:sz w:val="18"/>
          <w:szCs w:val="22"/>
          <w:rtl/>
          <w:lang w:eastAsia="he-IL"/>
        </w:rPr>
        <w:t xml:space="preserve"> "תכנית לדיור לאומי</w:t>
      </w:r>
      <w:r w:rsidRPr="00F41E78">
        <w:rPr>
          <w:rFonts w:cs="FrankRuehl" w:hint="cs"/>
          <w:sz w:val="18"/>
          <w:szCs w:val="22"/>
          <w:rtl/>
          <w:lang w:eastAsia="he-IL"/>
        </w:rPr>
        <w:t xml:space="preserve"> </w:t>
      </w:r>
      <w:r w:rsidRPr="00F41E78">
        <w:rPr>
          <w:rFonts w:cs="FrankRuehl"/>
          <w:sz w:val="18"/>
          <w:szCs w:val="22"/>
          <w:rtl/>
          <w:lang w:eastAsia="he-IL"/>
        </w:rPr>
        <w:t>תכלול</w:t>
      </w:r>
      <w:r w:rsidRPr="00F41E78">
        <w:rPr>
          <w:rFonts w:cs="FrankRuehl" w:hint="cs"/>
          <w:sz w:val="18"/>
          <w:szCs w:val="22"/>
          <w:rtl/>
          <w:lang w:eastAsia="he-IL"/>
        </w:rPr>
        <w:t xml:space="preserve">, בין השאר, </w:t>
      </w:r>
      <w:r w:rsidRPr="00F41E78">
        <w:rPr>
          <w:rFonts w:cs="FrankRuehl"/>
          <w:sz w:val="18"/>
          <w:szCs w:val="22"/>
          <w:rtl/>
          <w:lang w:eastAsia="he-IL"/>
        </w:rPr>
        <w:t>הוראות לעניין</w:t>
      </w:r>
      <w:r w:rsidRPr="00F41E78">
        <w:rPr>
          <w:rFonts w:cs="FrankRuehl" w:hint="cs"/>
          <w:sz w:val="18"/>
          <w:szCs w:val="22"/>
          <w:rtl/>
          <w:lang w:eastAsia="he-IL"/>
        </w:rPr>
        <w:t>...</w:t>
      </w:r>
      <w:r w:rsidRPr="00F41E78">
        <w:rPr>
          <w:rFonts w:cs="FrankRuehl" w:hint="cs"/>
          <w:b/>
          <w:bCs/>
          <w:sz w:val="18"/>
          <w:szCs w:val="22"/>
          <w:rtl/>
          <w:lang w:eastAsia="he-IL"/>
        </w:rPr>
        <w:t xml:space="preserve"> </w:t>
      </w:r>
      <w:r w:rsidRPr="00F41E78">
        <w:rPr>
          <w:rFonts w:cs="FrankRuehl"/>
          <w:b/>
          <w:bCs/>
          <w:sz w:val="18"/>
          <w:szCs w:val="22"/>
          <w:rtl/>
          <w:lang w:eastAsia="he-IL"/>
        </w:rPr>
        <w:t>גודלן של יחידות הדיור והיחס בין דירות קטנות ודירות גדולות בתחומה, ויכול שייקבע בה כי בניין, כולו או חלקו, ייועד להשכרה, ואת התקופה שבה ייועד כאמור, אשר לא תפחת מעשר שנים וכן יכול שייקבע בה ייעוד קרקע לדיור בהישג יד להשכרה</w:t>
      </w:r>
      <w:r w:rsidRPr="00F41E78">
        <w:rPr>
          <w:rFonts w:cs="FrankRuehl" w:hint="cs"/>
          <w:b/>
          <w:b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w:t>
      </w:r>
      <w:r w:rsidRPr="00F41E78">
        <w:rPr>
          <w:rFonts w:cs="FrankRuehl"/>
          <w:sz w:val="18"/>
          <w:szCs w:val="22"/>
          <w:rtl/>
          <w:lang w:eastAsia="he-IL"/>
        </w:rPr>
        <w:t xml:space="preserve">ההדגשה </w:t>
      </w:r>
      <w:r w:rsidRPr="00F41E78">
        <w:rPr>
          <w:rFonts w:cs="FrankRuehl" w:hint="cs"/>
          <w:sz w:val="18"/>
          <w:szCs w:val="22"/>
          <w:rtl/>
          <w:lang w:eastAsia="he-IL"/>
        </w:rPr>
        <w:t>אינה</w:t>
      </w:r>
      <w:r w:rsidRPr="00F41E78">
        <w:rPr>
          <w:rFonts w:cs="FrankRuehl"/>
          <w:sz w:val="18"/>
          <w:szCs w:val="22"/>
          <w:rtl/>
          <w:lang w:eastAsia="he-IL"/>
        </w:rPr>
        <w:t xml:space="preserve"> במקור</w:t>
      </w:r>
      <w:r w:rsidRPr="00F41E78">
        <w:rPr>
          <w:rFonts w:cs="FrankRuehl" w:hint="cs"/>
          <w:sz w:val="18"/>
          <w:szCs w:val="22"/>
          <w:rtl/>
          <w:lang w:eastAsia="he-IL"/>
        </w:rPr>
        <w:t xml:space="preserve">). </w:t>
      </w:r>
    </w:p>
    <w:p w:rsidR="00D22B16" w:rsidRPr="00FA6646" w:rsidP="00D22B16">
      <w:pPr>
        <w:pStyle w:val="RESHET"/>
        <w:keepLines/>
        <w:rPr>
          <w:rtl/>
        </w:rPr>
      </w:pPr>
      <w:r w:rsidRPr="00F41E78">
        <w:rPr>
          <w:rtl/>
        </w:rPr>
        <w:t>אף שמטרת חוק הווד"לים היא לתת</w:t>
      </w:r>
      <w:r>
        <w:rPr>
          <w:rFonts w:hint="cs"/>
          <w:rtl/>
        </w:rPr>
        <w:t xml:space="preserve"> </w:t>
      </w:r>
      <w:r w:rsidRPr="00F41E78">
        <w:rPr>
          <w:rtl/>
        </w:rPr>
        <w:t>"פתרון לצורכי הדיור באמצעות</w:t>
      </w:r>
      <w:r w:rsidRPr="00F41E78">
        <w:rPr>
          <w:rFonts w:hint="cs"/>
          <w:rtl/>
        </w:rPr>
        <w:t xml:space="preserve"> </w:t>
      </w:r>
      <w:r w:rsidRPr="00F41E78">
        <w:rPr>
          <w:rtl/>
        </w:rPr>
        <w:t>היצע דירות מגורים</w:t>
      </w:r>
      <w:r w:rsidRPr="00F41E78">
        <w:rPr>
          <w:rFonts w:hint="cs"/>
          <w:rtl/>
        </w:rPr>
        <w:t xml:space="preserve"> </w:t>
      </w:r>
      <w:r w:rsidRPr="00F41E78">
        <w:rPr>
          <w:rtl/>
        </w:rPr>
        <w:t>בגדלים שונים</w:t>
      </w:r>
      <w:r w:rsidRPr="00F41E78">
        <w:rPr>
          <w:rFonts w:hint="cs"/>
          <w:rtl/>
        </w:rPr>
        <w:t xml:space="preserve"> ומסוגים שונים, לרבות באמצעות ייעוד קרקע לדיור להשכרה"</w:t>
      </w:r>
      <w:r w:rsidRPr="00FA6646">
        <w:rPr>
          <w:rFonts w:hint="cs"/>
          <w:rtl/>
        </w:rPr>
        <w:t>,</w:t>
      </w:r>
      <w:r w:rsidRPr="00FA6646">
        <w:rPr>
          <w:rtl/>
        </w:rPr>
        <w:t xml:space="preserve"> </w:t>
      </w:r>
      <w:r w:rsidRPr="00FA6646">
        <w:rPr>
          <w:rFonts w:hint="cs"/>
          <w:rtl/>
        </w:rPr>
        <w:t>כדי</w:t>
      </w:r>
      <w:r w:rsidRPr="00FA6646">
        <w:rPr>
          <w:rtl/>
        </w:rPr>
        <w:t xml:space="preserve"> לבלום את עליית המחירים המתמשכת ב</w:t>
      </w:r>
      <w:r w:rsidRPr="00FA6646">
        <w:rPr>
          <w:rFonts w:hint="cs"/>
          <w:rtl/>
        </w:rPr>
        <w:t>שוק</w:t>
      </w:r>
      <w:r w:rsidRPr="00FA6646">
        <w:rPr>
          <w:rtl/>
        </w:rPr>
        <w:t xml:space="preserve"> הדיור ולהתמודד עם </w:t>
      </w:r>
      <w:r w:rsidRPr="00FA6646">
        <w:rPr>
          <w:rFonts w:hint="cs"/>
          <w:rtl/>
        </w:rPr>
        <w:t>תוצאותיה,</w:t>
      </w:r>
      <w:r w:rsidRPr="00FA6646">
        <w:rPr>
          <w:rtl/>
        </w:rPr>
        <w:t xml:space="preserve"> </w:t>
      </w:r>
      <w:r w:rsidRPr="00FA6646">
        <w:rPr>
          <w:rFonts w:hint="cs"/>
          <w:rtl/>
        </w:rPr>
        <w:t xml:space="preserve">לא </w:t>
      </w:r>
      <w:r w:rsidRPr="00FA6646">
        <w:rPr>
          <w:rtl/>
        </w:rPr>
        <w:t xml:space="preserve">קבע </w:t>
      </w:r>
      <w:r w:rsidRPr="00FA6646">
        <w:rPr>
          <w:rFonts w:hint="cs"/>
          <w:rtl/>
        </w:rPr>
        <w:t xml:space="preserve">משרד הפנים, כגוף המנחה את פעילות הווד"לים, </w:t>
      </w:r>
      <w:r w:rsidRPr="00FA6646">
        <w:rPr>
          <w:rtl/>
        </w:rPr>
        <w:t xml:space="preserve">יעדים כמותיים </w:t>
      </w:r>
      <w:r w:rsidRPr="00FA6646">
        <w:rPr>
          <w:rFonts w:hint="cs"/>
          <w:rtl/>
        </w:rPr>
        <w:t>בנוגע</w:t>
      </w:r>
      <w:r w:rsidRPr="00FA6646">
        <w:rPr>
          <w:rtl/>
        </w:rPr>
        <w:t xml:space="preserve"> לכך</w:t>
      </w:r>
      <w:r w:rsidRPr="00FA6646">
        <w:rPr>
          <w:rFonts w:hint="cs"/>
          <w:rtl/>
        </w:rPr>
        <w:t>,</w:t>
      </w:r>
      <w:r w:rsidRPr="00FA6646">
        <w:rPr>
          <w:rtl/>
        </w:rPr>
        <w:t xml:space="preserve"> </w:t>
      </w:r>
      <w:r w:rsidRPr="00FA6646">
        <w:rPr>
          <w:rFonts w:hint="cs"/>
          <w:rtl/>
        </w:rPr>
        <w:t>ובכלל זה בנוגע לדיור</w:t>
      </w:r>
      <w:r w:rsidRPr="00FA6646">
        <w:rPr>
          <w:rtl/>
        </w:rPr>
        <w:t xml:space="preserve"> </w:t>
      </w:r>
      <w:r w:rsidRPr="00FA6646">
        <w:rPr>
          <w:rFonts w:hint="cs"/>
          <w:rtl/>
        </w:rPr>
        <w:t>בר</w:t>
      </w:r>
      <w:r w:rsidRPr="00FA6646">
        <w:rPr>
          <w:rtl/>
        </w:rPr>
        <w:t xml:space="preserve"> </w:t>
      </w:r>
      <w:r w:rsidRPr="00FA6646">
        <w:rPr>
          <w:rFonts w:hint="cs"/>
          <w:rtl/>
        </w:rPr>
        <w:t>השגה</w:t>
      </w:r>
      <w:r w:rsidRPr="00FA6646">
        <w:rPr>
          <w:rtl/>
        </w:rPr>
        <w:t xml:space="preserve"> </w:t>
      </w:r>
      <w:r w:rsidRPr="00FA6646">
        <w:rPr>
          <w:rFonts w:hint="cs"/>
          <w:rtl/>
        </w:rPr>
        <w:t xml:space="preserve">ולתמהיל יחידות הדיור המובאות לאישורן. </w:t>
      </w:r>
    </w:p>
    <w:p w:rsidR="00D22B16" w:rsidRPr="00F41E78" w:rsidP="00D22B16">
      <w:pPr>
        <w:pStyle w:val="RESHET"/>
        <w:keepLines/>
        <w:rPr>
          <w:rtl/>
        </w:rPr>
      </w:pPr>
      <w:r w:rsidRPr="00F41E78">
        <w:rPr>
          <w:rtl/>
        </w:rPr>
        <w:t>בפועל</w:t>
      </w:r>
      <w:r w:rsidRPr="00F41E78">
        <w:rPr>
          <w:rFonts w:hint="cs"/>
          <w:rtl/>
        </w:rPr>
        <w:t>, כפי שעולה מדוח נתונים של משרד הפנים,</w:t>
      </w:r>
      <w:r w:rsidRPr="00F41E78">
        <w:rPr>
          <w:rtl/>
        </w:rPr>
        <w:t xml:space="preserve"> התפוקות שהשיגו הווד"לים עד </w:t>
      </w:r>
      <w:r w:rsidRPr="00F41E78">
        <w:rPr>
          <w:rFonts w:hint="cs"/>
          <w:rtl/>
        </w:rPr>
        <w:t>אוגוסט</w:t>
      </w:r>
      <w:r w:rsidRPr="00F41E78">
        <w:rPr>
          <w:rtl/>
        </w:rPr>
        <w:t xml:space="preserve"> 2013 </w:t>
      </w:r>
      <w:r w:rsidRPr="00F41E78">
        <w:rPr>
          <w:rFonts w:hint="cs"/>
          <w:rtl/>
        </w:rPr>
        <w:t>בנוגע</w:t>
      </w:r>
      <w:r w:rsidRPr="00F41E78">
        <w:rPr>
          <w:rtl/>
        </w:rPr>
        <w:t xml:space="preserve"> למספר יחידות</w:t>
      </w:r>
      <w:r w:rsidRPr="00F41E78">
        <w:rPr>
          <w:rFonts w:hint="cs"/>
          <w:rtl/>
        </w:rPr>
        <w:t xml:space="preserve"> של</w:t>
      </w:r>
      <w:r w:rsidRPr="00F41E78">
        <w:rPr>
          <w:rtl/>
        </w:rPr>
        <w:t xml:space="preserve"> הדיור בר </w:t>
      </w:r>
      <w:r w:rsidRPr="00F41E78">
        <w:rPr>
          <w:rFonts w:hint="cs"/>
          <w:rtl/>
        </w:rPr>
        <w:t>ה</w:t>
      </w:r>
      <w:r w:rsidRPr="00F41E78">
        <w:rPr>
          <w:rtl/>
        </w:rPr>
        <w:t xml:space="preserve">השגה היו </w:t>
      </w:r>
      <w:r w:rsidRPr="00F41E78">
        <w:rPr>
          <w:rFonts w:hint="cs"/>
          <w:rtl/>
        </w:rPr>
        <w:t>דלות</w:t>
      </w:r>
      <w:r w:rsidRPr="00F41E78">
        <w:rPr>
          <w:rtl/>
        </w:rPr>
        <w:t xml:space="preserve"> ביותר</w:t>
      </w:r>
      <w:r w:rsidRPr="00F41E78">
        <w:rPr>
          <w:rFonts w:hint="cs"/>
          <w:rtl/>
        </w:rPr>
        <w:t>; רק 1,676 (6.5%) מכלל 25,487 יחידות הדיור שאושרו הוגדרו כיחידות של דיור בר השגה, ורק 433 (1.7%) מיחידות הדיור בתכניות אלו יועדו להשכרה. יוצא אפוא</w:t>
      </w:r>
      <w:r w:rsidRPr="00F41E78">
        <w:rPr>
          <w:rtl/>
        </w:rPr>
        <w:t xml:space="preserve"> </w:t>
      </w:r>
      <w:r w:rsidRPr="00F41E78">
        <w:rPr>
          <w:rFonts w:hint="cs"/>
          <w:rtl/>
        </w:rPr>
        <w:t>שבתפוקות אלו</w:t>
      </w:r>
      <w:r w:rsidRPr="00F41E78">
        <w:rPr>
          <w:rtl/>
        </w:rPr>
        <w:t xml:space="preserve"> </w:t>
      </w:r>
      <w:r w:rsidRPr="00F41E78">
        <w:rPr>
          <w:rFonts w:hint="cs"/>
          <w:rtl/>
        </w:rPr>
        <w:t xml:space="preserve">אין די </w:t>
      </w:r>
      <w:r w:rsidRPr="00F41E78">
        <w:rPr>
          <w:rtl/>
        </w:rPr>
        <w:t xml:space="preserve">כדי לספק </w:t>
      </w:r>
      <w:r w:rsidRPr="00F41E78">
        <w:rPr>
          <w:rFonts w:hint="cs"/>
          <w:rtl/>
        </w:rPr>
        <w:t>פתרונות מערכתיים לבעיית המחסור ב</w:t>
      </w:r>
      <w:r w:rsidRPr="00F41E78">
        <w:rPr>
          <w:rtl/>
        </w:rPr>
        <w:t>דיור בר השגה</w:t>
      </w:r>
      <w:r w:rsidRPr="00F41E78">
        <w:rPr>
          <w:rFonts w:hint="cs"/>
          <w:rtl/>
        </w:rPr>
        <w:t xml:space="preserve">. </w:t>
      </w:r>
    </w:p>
    <w:p w:rsidR="00E97EDA" w:rsidRPr="00F41E78" w:rsidP="003B3DE6">
      <w:pPr>
        <w:spacing w:before="180" w:after="240" w:line="230" w:lineRule="exact"/>
        <w:jc w:val="both"/>
        <w:rPr>
          <w:rFonts w:cs="FrankRuehl"/>
          <w:sz w:val="18"/>
          <w:szCs w:val="22"/>
          <w:rtl/>
          <w:lang w:eastAsia="he-IL"/>
        </w:rPr>
      </w:pPr>
      <w:r w:rsidRPr="00F41E78">
        <w:rPr>
          <w:rFonts w:cs="FrankRuehl" w:hint="cs"/>
          <w:sz w:val="18"/>
          <w:szCs w:val="22"/>
          <w:rtl/>
          <w:lang w:eastAsia="he-IL"/>
        </w:rPr>
        <w:t>בהתייחס להוראות חוק הווד"לים בעניין דיור בר השגה ציין משרד המשפטים בתשובתו כי "היכולת לאשר תכניות הכוללות הוראות בעניין השכרה במחיר מפוקח מערבת קושי משפטי שספק אם ניתן אם ניתן להתגבר עליו במרחב החוקי הקיים. חוק זה [חוק הווד"לים] הינו חוק תכנוני במהותו ואינו אמור לקבוע מדיניות מהסוג האמור ומשכך מתחדד הצורך בהסדרה חוקית כוללת שרק בהתקיימה ניתן יהיה לקבוע הוראות בעניין שכירות מפוקחת".</w:t>
      </w:r>
    </w:p>
    <w:p w:rsidR="00D22B16" w:rsidRPr="00F41E78" w:rsidP="00D22B16">
      <w:pPr>
        <w:pStyle w:val="RESHET"/>
        <w:keepLines/>
        <w:rPr>
          <w:rtl/>
        </w:rPr>
      </w:pPr>
      <w:r w:rsidRPr="00F41E78">
        <w:rPr>
          <w:rFonts w:hint="cs"/>
          <w:rtl/>
        </w:rPr>
        <w:t>משרד מבקר המדינה מעיר למשרד המשפטים כי ההוראות הסטטוטוריות של תמ"א 35 וכן הוראות חוק הווד"לים יצאו בחלקן או במלואן מבית מדרשו של משרד זה, וזאת מתוקף תפקידו כגוף המטה המקצועי-ממשלתי בתחום החקיקה. כגוף כזה שומה היה עליו להביא בחשבון את הקשיים המשפטיים שמקורם בהוראות התכנון הסטטוטורי ולהביאם לידיעתם של מקבלי ההחלטות כדי שהם יתייחסו אליהם ויפעלו לפתרונם; אולם הוא עשה זאת באיחור רב או כלל לא פעל בעניין.</w:t>
      </w:r>
    </w:p>
    <w:p w:rsidR="00E97EDA" w:rsidRPr="00F41E78" w:rsidP="003B3DE6">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בתשובתו של משרד הפנים מינואר 2014 צוין כי "הצורך בהסדרה חוקתית כוללת בתכניות וד"ל או בכל תכנית אחרת, נובע משני נימוקים מרכזיים: האחד, וזאת בהתאם לחוות הדעת של המשנה ליועץ המשפטי לממשלה, בשל ההתערבות והחשש לפגיעה בזכות הקניינית, בעצם עריכת רגולציה על המחיר וקביעה כי הדירות ישווקו במחיר נמוך מהשוק. הנימוק השני </w:t>
      </w:r>
      <w:r w:rsidRPr="00F41E78">
        <w:rPr>
          <w:rFonts w:cs="FrankRuehl"/>
          <w:sz w:val="18"/>
          <w:szCs w:val="22"/>
          <w:rtl/>
          <w:lang w:eastAsia="he-IL"/>
        </w:rPr>
        <w:t>-</w:t>
      </w:r>
      <w:r w:rsidRPr="00F41E78">
        <w:rPr>
          <w:rFonts w:cs="FrankRuehl" w:hint="cs"/>
          <w:sz w:val="18"/>
          <w:szCs w:val="22"/>
          <w:rtl/>
          <w:lang w:eastAsia="he-IL"/>
        </w:rPr>
        <w:t xml:space="preserve"> על מנת להסדיר מנגנונים שיבטיחו שהדירות תגענה לאוכלוסייה הראויה לכך וייקבעו מנגנוני הניהול, תנאי המכירה, הפיקוח והבקרה על דירות אלו". </w:t>
      </w:r>
    </w:p>
    <w:p w:rsidR="00E97EDA" w:rsidRPr="00F41E78" w:rsidP="003B3DE6">
      <w:pPr>
        <w:spacing w:after="240" w:line="230" w:lineRule="exact"/>
        <w:jc w:val="both"/>
        <w:rPr>
          <w:rFonts w:cs="FrankRuehl"/>
          <w:sz w:val="18"/>
          <w:szCs w:val="22"/>
          <w:rtl/>
          <w:lang w:eastAsia="he-IL"/>
        </w:rPr>
      </w:pPr>
      <w:r w:rsidRPr="00F41E78">
        <w:rPr>
          <w:rFonts w:cs="FrankRuehl" w:hint="cs"/>
          <w:sz w:val="18"/>
          <w:szCs w:val="22"/>
          <w:rtl/>
          <w:lang w:eastAsia="he-IL"/>
        </w:rPr>
        <w:t xml:space="preserve">באותה תשובה דיווח מינהל התכנון כי "ביום 25.12.2013 פורסם תיקון לחוק הליכי תכנון ובנייה להאצת הבנייה למגורים תשע"א 2011. התיקון הוסיף נדבך משמעותי לנושא דיור בר השגה בכך שהופך את סמכות מוסד התכנון </w:t>
      </w:r>
      <w:r w:rsidRPr="00F41E78">
        <w:rPr>
          <w:rFonts w:cs="FrankRuehl" w:hint="cs"/>
          <w:b/>
          <w:bCs/>
          <w:sz w:val="18"/>
          <w:szCs w:val="22"/>
          <w:u w:val="single"/>
          <w:rtl/>
          <w:lang w:eastAsia="he-IL"/>
        </w:rPr>
        <w:t>מרשות</w:t>
      </w:r>
      <w:r w:rsidRPr="00F41E78">
        <w:rPr>
          <w:rFonts w:cs="FrankRuehl" w:hint="cs"/>
          <w:sz w:val="18"/>
          <w:szCs w:val="22"/>
          <w:rtl/>
          <w:lang w:eastAsia="he-IL"/>
        </w:rPr>
        <w:t xml:space="preserve"> לקבוע דיור בר השגה בתכניות לדיור לאומי, </w:t>
      </w:r>
      <w:r w:rsidRPr="00F41E78">
        <w:rPr>
          <w:rFonts w:cs="FrankRuehl" w:hint="cs"/>
          <w:b/>
          <w:bCs/>
          <w:sz w:val="18"/>
          <w:szCs w:val="22"/>
          <w:u w:val="single"/>
          <w:rtl/>
          <w:lang w:eastAsia="he-IL"/>
        </w:rPr>
        <w:t>לחובה</w:t>
      </w:r>
      <w:r w:rsidRPr="00F41E78">
        <w:rPr>
          <w:rFonts w:cs="FrankRuehl" w:hint="cs"/>
          <w:sz w:val="18"/>
          <w:szCs w:val="22"/>
          <w:rtl/>
          <w:lang w:eastAsia="he-IL"/>
        </w:rPr>
        <w:t xml:space="preserve"> לכלול הוראות לעניין 'ייעוד בשיעור של 25% לפחות מיחידות הדיור בתכנית, לאחד או יותר מאלה: דירות קטנות, דיור המיועד להשכרה לתקופה שלא תפחת מ-10 שנים או דיור בהישג יד להשכרה'. לחובה זו נקבע סייג המאפשר החרגת כלל זה בהתקיים נסיבות מסוימות הקבועות בחוק ובאישור שר הפנים. התיקון גם מרחיב את זכות הגשת התכנית לדיור לאומי גם לבעלים פרטיים בכפוף למספר תנאים, ובכך צפוי להגדיל משמעותית את מספר התכניות והדירות בהתאמה שיוגשו במסלול זה".</w:t>
      </w:r>
    </w:p>
    <w:p w:rsidR="00D22B16" w:rsidRPr="00F41E78" w:rsidP="00D22B16">
      <w:pPr>
        <w:pStyle w:val="RESHET"/>
        <w:keepLines/>
      </w:pPr>
      <w:r w:rsidRPr="00F41E78">
        <w:rPr>
          <w:rFonts w:hint="cs"/>
          <w:rtl/>
        </w:rPr>
        <w:t xml:space="preserve">לדעת משרד מבקר המדינה, תיקון חוק הווד"לים, כמתואר לעיל, יכול שהוא צעד שיש בכוחו לקדם את הדיור בר ההשגה. אף על פי כן, ישנו חשש כי ללא הסדרה כוללת עלולים להתעורר </w:t>
      </w:r>
      <w:r w:rsidRPr="00F41E78">
        <w:rPr>
          <w:rtl/>
        </w:rPr>
        <w:t>במוסדות התכנו</w:t>
      </w:r>
      <w:r w:rsidRPr="00F41E78">
        <w:rPr>
          <w:rFonts w:hint="cs"/>
          <w:rtl/>
        </w:rPr>
        <w:t xml:space="preserve">ן קשיים באישור תכניות הכוללות התייחסות לעניין הדיור בר ההשגה ובהוצאתן לפועל. עלולים להתעורר קשיים בקביעת השיטה והכללים להפעלתה, כפי שציינו משרד המשפטים ומינהל התכנון בתשובותיהם. לכן, מתחדד הצורך שהממשלה, על משרדיה ועל מוסדותיה הנוגעים בדבר, תסדיר את נושא הדיור בר ההשגה, על מכלול היבטיו התכנוניים והקנייניים, ותקבע את הכללים להפעלתו. </w:t>
      </w:r>
    </w:p>
    <w:p w:rsidR="005001B1" w:rsidRPr="00F41E78" w:rsidP="00A7557B">
      <w:pPr>
        <w:spacing w:after="120" w:line="230" w:lineRule="exact"/>
        <w:jc w:val="both"/>
        <w:rPr>
          <w:rFonts w:cs="FrankRuehl"/>
          <w:b/>
          <w:bCs/>
          <w:sz w:val="18"/>
          <w:szCs w:val="22"/>
          <w:lang w:eastAsia="he-IL"/>
        </w:rPr>
      </w:pPr>
    </w:p>
    <w:p w:rsidR="005001B1" w:rsidRPr="00F41E78" w:rsidP="00A7557B">
      <w:pPr>
        <w:spacing w:after="120" w:line="230" w:lineRule="exact"/>
        <w:jc w:val="both"/>
        <w:rPr>
          <w:rFonts w:cs="FrankRuehl"/>
          <w:sz w:val="18"/>
          <w:szCs w:val="22"/>
          <w:rtl/>
          <w:lang w:eastAsia="he-IL"/>
        </w:rPr>
      </w:pPr>
    </w:p>
    <w:p w:rsidR="00E97EDA" w:rsidRPr="00FA1F2C" w:rsidP="00A7557B">
      <w:pPr>
        <w:pStyle w:val="KOT4"/>
        <w:rPr>
          <w:rtl/>
          <w:lang w:eastAsia="he-IL"/>
        </w:rPr>
      </w:pPr>
      <w:r w:rsidRPr="00FA1F2C">
        <w:rPr>
          <w:rFonts w:hint="cs"/>
          <w:rtl/>
          <w:lang w:eastAsia="he-IL"/>
        </w:rPr>
        <w:t>דיור בר השגה - היבטים בהתוויית מדיניות ובעבודת המטה</w:t>
      </w:r>
    </w:p>
    <w:p w:rsidR="00E97EDA" w:rsidRPr="00F41E78" w:rsidP="00A7557B">
      <w:pPr>
        <w:spacing w:after="120" w:line="230" w:lineRule="exact"/>
        <w:jc w:val="both"/>
        <w:rPr>
          <w:rFonts w:cs="FrankRuehl"/>
          <w:b/>
          <w:bCs/>
          <w:sz w:val="18"/>
          <w:szCs w:val="22"/>
          <w:rtl/>
          <w:lang w:eastAsia="he-IL"/>
        </w:rPr>
      </w:pPr>
      <w:r w:rsidRPr="00F41E78">
        <w:rPr>
          <w:rFonts w:cs="FrankRuehl" w:hint="eastAsia"/>
          <w:bCs/>
          <w:spacing w:val="40"/>
          <w:sz w:val="18"/>
          <w:szCs w:val="22"/>
          <w:rtl/>
        </w:rPr>
        <w:t>דיור</w:t>
      </w:r>
      <w:r w:rsidRPr="00F41E78">
        <w:rPr>
          <w:rFonts w:cs="FrankRuehl"/>
          <w:bCs/>
          <w:spacing w:val="40"/>
          <w:sz w:val="18"/>
          <w:szCs w:val="22"/>
          <w:rtl/>
        </w:rPr>
        <w:t xml:space="preserve"> </w:t>
      </w:r>
      <w:r w:rsidRPr="00F41E78">
        <w:rPr>
          <w:rFonts w:cs="FrankRuehl" w:hint="eastAsia"/>
          <w:bCs/>
          <w:spacing w:val="40"/>
          <w:sz w:val="18"/>
          <w:szCs w:val="22"/>
          <w:rtl/>
        </w:rPr>
        <w:t>בר</w:t>
      </w:r>
      <w:r w:rsidRPr="00F41E78">
        <w:rPr>
          <w:rFonts w:cs="FrankRuehl"/>
          <w:bCs/>
          <w:spacing w:val="40"/>
          <w:sz w:val="18"/>
          <w:szCs w:val="22"/>
          <w:rtl/>
        </w:rPr>
        <w:t xml:space="preserve"> </w:t>
      </w:r>
      <w:r w:rsidRPr="00F41E78">
        <w:rPr>
          <w:rFonts w:cs="FrankRuehl" w:hint="eastAsia"/>
          <w:bCs/>
          <w:spacing w:val="40"/>
          <w:sz w:val="18"/>
          <w:szCs w:val="22"/>
          <w:rtl/>
        </w:rPr>
        <w:t>השגה</w:t>
      </w:r>
      <w:r w:rsidRPr="00F41E78">
        <w:rPr>
          <w:rFonts w:cs="FrankRuehl"/>
          <w:bCs/>
          <w:spacing w:val="40"/>
          <w:sz w:val="18"/>
          <w:szCs w:val="22"/>
          <w:rtl/>
        </w:rPr>
        <w:t xml:space="preserve"> -</w:t>
      </w:r>
      <w:r w:rsidRPr="00F41E78">
        <w:rPr>
          <w:rFonts w:cs="FrankRuehl" w:hint="cs"/>
          <w:bCs/>
          <w:spacing w:val="40"/>
          <w:sz w:val="18"/>
          <w:szCs w:val="22"/>
          <w:rtl/>
        </w:rPr>
        <w:t xml:space="preserve"> </w:t>
      </w:r>
      <w:r w:rsidRPr="00F41E78">
        <w:rPr>
          <w:rFonts w:cs="FrankRuehl" w:hint="eastAsia"/>
          <w:bCs/>
          <w:spacing w:val="40"/>
          <w:sz w:val="18"/>
          <w:szCs w:val="22"/>
          <w:rtl/>
        </w:rPr>
        <w:t>מרכיב</w:t>
      </w:r>
      <w:r w:rsidRPr="00F41E78">
        <w:rPr>
          <w:rFonts w:cs="FrankRuehl"/>
          <w:bCs/>
          <w:spacing w:val="40"/>
          <w:sz w:val="18"/>
          <w:szCs w:val="22"/>
          <w:rtl/>
        </w:rPr>
        <w:t xml:space="preserve"> </w:t>
      </w:r>
      <w:r w:rsidRPr="00F41E78">
        <w:rPr>
          <w:rFonts w:cs="FrankRuehl" w:hint="eastAsia"/>
          <w:bCs/>
          <w:spacing w:val="40"/>
          <w:sz w:val="18"/>
          <w:szCs w:val="22"/>
          <w:rtl/>
        </w:rPr>
        <w:t>במדיניות</w:t>
      </w:r>
      <w:r w:rsidRPr="00F41E78">
        <w:rPr>
          <w:rFonts w:cs="FrankRuehl"/>
          <w:bCs/>
          <w:spacing w:val="40"/>
          <w:sz w:val="18"/>
          <w:szCs w:val="22"/>
          <w:rtl/>
        </w:rPr>
        <w:t xml:space="preserve"> </w:t>
      </w:r>
      <w:r w:rsidRPr="00F41E78">
        <w:rPr>
          <w:rFonts w:cs="FrankRuehl" w:hint="eastAsia"/>
          <w:bCs/>
          <w:spacing w:val="40"/>
          <w:sz w:val="18"/>
          <w:szCs w:val="22"/>
          <w:rtl/>
        </w:rPr>
        <w:t>הדיור</w:t>
      </w:r>
      <w:r w:rsidRPr="00F41E78">
        <w:rPr>
          <w:rFonts w:cs="FrankRuehl"/>
          <w:bCs/>
          <w:spacing w:val="40"/>
          <w:sz w:val="18"/>
          <w:szCs w:val="22"/>
          <w:rtl/>
        </w:rPr>
        <w:t xml:space="preserve"> </w:t>
      </w:r>
      <w:r w:rsidRPr="00F41E78">
        <w:rPr>
          <w:rFonts w:cs="FrankRuehl" w:hint="eastAsia"/>
          <w:bCs/>
          <w:spacing w:val="40"/>
          <w:sz w:val="18"/>
          <w:szCs w:val="22"/>
          <w:rtl/>
        </w:rPr>
        <w:t>הממשלתית</w:t>
      </w:r>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 xml:space="preserve">בשער השני של דוח זה שכותרתו </w:t>
      </w:r>
      <w:r w:rsidRPr="00F41E78">
        <w:rPr>
          <w:rFonts w:cs="FrankRuehl"/>
          <w:sz w:val="18"/>
          <w:szCs w:val="22"/>
          <w:rtl/>
          <w:lang w:eastAsia="he-IL"/>
        </w:rPr>
        <w:t xml:space="preserve">"התוויית </w:t>
      </w:r>
      <w:r w:rsidRPr="00F41E78">
        <w:rPr>
          <w:rFonts w:cs="FrankRuehl" w:hint="eastAsia"/>
          <w:sz w:val="18"/>
          <w:szCs w:val="22"/>
          <w:rtl/>
          <w:lang w:eastAsia="he-IL"/>
        </w:rPr>
        <w:t>מדיניות</w:t>
      </w:r>
      <w:r w:rsidRPr="00F41E78">
        <w:rPr>
          <w:rFonts w:cs="FrankRuehl"/>
          <w:sz w:val="18"/>
          <w:szCs w:val="22"/>
          <w:rtl/>
          <w:lang w:eastAsia="he-IL"/>
        </w:rPr>
        <w:t xml:space="preserve"> </w:t>
      </w:r>
      <w:r w:rsidRPr="00F41E78">
        <w:rPr>
          <w:rFonts w:cs="FrankRuehl" w:hint="eastAsia"/>
          <w:sz w:val="18"/>
          <w:szCs w:val="22"/>
          <w:rtl/>
          <w:lang w:eastAsia="he-IL"/>
        </w:rPr>
        <w:t>הממשלה</w:t>
      </w:r>
      <w:r w:rsidRPr="00F41E78">
        <w:rPr>
          <w:rFonts w:cs="FrankRuehl"/>
          <w:sz w:val="18"/>
          <w:szCs w:val="22"/>
          <w:rtl/>
          <w:lang w:eastAsia="he-IL"/>
        </w:rPr>
        <w:t xml:space="preserve"> </w:t>
      </w:r>
      <w:r w:rsidRPr="00F41E78">
        <w:rPr>
          <w:rFonts w:cs="FrankRuehl" w:hint="cs"/>
          <w:sz w:val="18"/>
          <w:szCs w:val="22"/>
          <w:rtl/>
          <w:lang w:eastAsia="he-IL"/>
        </w:rPr>
        <w:t>ו</w:t>
      </w:r>
      <w:r w:rsidRPr="00F41E78">
        <w:rPr>
          <w:rFonts w:cs="FrankRuehl" w:hint="eastAsia"/>
          <w:sz w:val="18"/>
          <w:szCs w:val="22"/>
          <w:rtl/>
          <w:lang w:eastAsia="he-IL"/>
        </w:rPr>
        <w:t>התמודדותה</w:t>
      </w:r>
      <w:r w:rsidRPr="00F41E78">
        <w:rPr>
          <w:rFonts w:cs="FrankRuehl"/>
          <w:sz w:val="18"/>
          <w:szCs w:val="22"/>
          <w:rtl/>
          <w:lang w:eastAsia="he-IL"/>
        </w:rPr>
        <w:t xml:space="preserve"> </w:t>
      </w:r>
      <w:r w:rsidRPr="00F41E78">
        <w:rPr>
          <w:rFonts w:cs="FrankRuehl" w:hint="eastAsia"/>
          <w:sz w:val="18"/>
          <w:szCs w:val="22"/>
          <w:rtl/>
          <w:lang w:eastAsia="he-IL"/>
        </w:rPr>
        <w:t>עם</w:t>
      </w:r>
      <w:r w:rsidRPr="00F41E78">
        <w:rPr>
          <w:rFonts w:cs="FrankRuehl"/>
          <w:sz w:val="18"/>
          <w:szCs w:val="22"/>
          <w:rtl/>
          <w:lang w:eastAsia="he-IL"/>
        </w:rPr>
        <w:t xml:space="preserve"> </w:t>
      </w:r>
      <w:r w:rsidRPr="00F41E78">
        <w:rPr>
          <w:rFonts w:cs="FrankRuehl" w:hint="eastAsia"/>
          <w:sz w:val="18"/>
          <w:szCs w:val="22"/>
          <w:rtl/>
          <w:lang w:eastAsia="he-IL"/>
        </w:rPr>
        <w:t>המשבר</w:t>
      </w:r>
      <w:r w:rsidRPr="00F41E78">
        <w:rPr>
          <w:rFonts w:cs="FrankRuehl"/>
          <w:sz w:val="18"/>
          <w:szCs w:val="22"/>
          <w:rtl/>
          <w:lang w:eastAsia="he-IL"/>
        </w:rPr>
        <w:t xml:space="preserve"> </w:t>
      </w:r>
      <w:r w:rsidRPr="00F41E78">
        <w:rPr>
          <w:rFonts w:cs="FrankRuehl" w:hint="eastAsia"/>
          <w:sz w:val="18"/>
          <w:szCs w:val="22"/>
          <w:rtl/>
          <w:lang w:eastAsia="he-IL"/>
        </w:rPr>
        <w:t>הדיור</w:t>
      </w:r>
      <w:r w:rsidRPr="00F41E78">
        <w:rPr>
          <w:rFonts w:cs="FrankRuehl"/>
          <w:sz w:val="18"/>
          <w:szCs w:val="22"/>
          <w:rtl/>
          <w:lang w:eastAsia="he-IL"/>
        </w:rPr>
        <w:t>"</w:t>
      </w:r>
      <w:r w:rsidRPr="00F41E78">
        <w:rPr>
          <w:rFonts w:cs="FrankRuehl" w:hint="cs"/>
          <w:sz w:val="18"/>
          <w:szCs w:val="22"/>
          <w:rtl/>
          <w:lang w:eastAsia="he-IL"/>
        </w:rPr>
        <w:t xml:space="preserve"> עמד משרד מבקר המדינה על היעדר מדיניות דיור ממשלתית סדורה, כוללת וארוכת טווח</w:t>
      </w:r>
      <w:r w:rsidRPr="00F41E78">
        <w:rPr>
          <w:rFonts w:cs="FrankRuehl"/>
          <w:sz w:val="18"/>
          <w:szCs w:val="22"/>
          <w:rtl/>
          <w:lang w:eastAsia="he-IL"/>
        </w:rPr>
        <w:t>.</w:t>
      </w:r>
      <w:r w:rsidRPr="00F41E78">
        <w:rPr>
          <w:rFonts w:cs="FrankRuehl" w:hint="cs"/>
          <w:b/>
          <w:bCs/>
          <w:sz w:val="18"/>
          <w:szCs w:val="22"/>
          <w:rtl/>
          <w:lang w:eastAsia="he-IL"/>
        </w:rPr>
        <w:t xml:space="preserve"> </w:t>
      </w:r>
      <w:r w:rsidRPr="00F41E78">
        <w:rPr>
          <w:rFonts w:cs="FrankRuehl" w:hint="cs"/>
          <w:sz w:val="18"/>
          <w:szCs w:val="22"/>
          <w:rtl/>
          <w:lang w:eastAsia="he-IL"/>
        </w:rPr>
        <w:t xml:space="preserve">מסקירת החלטות הממשלה שהובאה בשער האמור עולה כי דיור בר השגה הוא אחד המרכיבים הרלוונטיים במסגרת קביעת מדיניות הדיור </w:t>
      </w:r>
      <w:r w:rsidRPr="00F41E78">
        <w:rPr>
          <w:rFonts w:cs="FrankRuehl" w:hint="eastAsia"/>
          <w:sz w:val="18"/>
          <w:szCs w:val="22"/>
          <w:rtl/>
          <w:lang w:eastAsia="he-IL"/>
        </w:rPr>
        <w:t>הממשלתית</w:t>
      </w:r>
      <w:r w:rsidRPr="00F41E78">
        <w:rPr>
          <w:rFonts w:cs="FrankRuehl" w:hint="cs"/>
          <w:sz w:val="18"/>
          <w:szCs w:val="22"/>
          <w:rtl/>
          <w:lang w:eastAsia="he-IL"/>
        </w:rPr>
        <w:t xml:space="preserve">. </w:t>
      </w:r>
    </w:p>
    <w:p w:rsidR="00E97EDA" w:rsidRPr="00F41E78" w:rsidP="003B3DE6">
      <w:pPr>
        <w:spacing w:after="240" w:line="230" w:lineRule="exact"/>
        <w:jc w:val="both"/>
        <w:outlineLvl w:val="5"/>
        <w:rPr>
          <w:rFonts w:cs="FrankRuehl"/>
          <w:sz w:val="18"/>
          <w:szCs w:val="22"/>
          <w:rtl/>
          <w:lang w:eastAsia="he-IL"/>
        </w:rPr>
      </w:pPr>
      <w:r w:rsidRPr="00F41E78">
        <w:rPr>
          <w:rFonts w:cs="FrankRuehl"/>
          <w:bCs/>
          <w:spacing w:val="40"/>
          <w:sz w:val="18"/>
          <w:szCs w:val="22"/>
          <w:rtl/>
        </w:rPr>
        <w:t xml:space="preserve">התייחסות למונח דיור בר השגה: </w:t>
      </w:r>
      <w:r w:rsidRPr="00D57FF2">
        <w:rPr>
          <w:rFonts w:cs="FrankRuehl" w:hint="cs"/>
          <w:spacing w:val="-2"/>
          <w:sz w:val="18"/>
          <w:szCs w:val="22"/>
          <w:rtl/>
          <w:lang w:eastAsia="he-IL"/>
        </w:rPr>
        <w:t>כדי להבטיח שעבודת המטה של משרדי הממשלה ושל המוסדות הרלוונטיים האחרים תיעשה בתיאום ביניהם, נדרש בראש וראשונה שהם יפעלו על בסיס משותף של כללים, כמו חוקים, החלטות ממשלה ונהלים, ועל בסיס מונחים אחידים.</w:t>
      </w:r>
    </w:p>
    <w:p w:rsidR="00D22B16" w:rsidRPr="00F41E78" w:rsidP="00D22B16">
      <w:pPr>
        <w:pStyle w:val="RESHET"/>
        <w:keepLines/>
        <w:rPr>
          <w:rtl/>
        </w:rPr>
      </w:pPr>
      <w:r w:rsidRPr="00F41E78">
        <w:rPr>
          <w:rtl/>
        </w:rPr>
        <w:t>מעיון בניירות מטה של משרדי ממשלה, בהחלטות ממשלה ובתכניותיה</w:t>
      </w:r>
      <w:r w:rsidRPr="00F41E78">
        <w:rPr>
          <w:rFonts w:hint="cs"/>
          <w:rtl/>
        </w:rPr>
        <w:t>,</w:t>
      </w:r>
      <w:r w:rsidRPr="00F41E78">
        <w:rPr>
          <w:rtl/>
        </w:rPr>
        <w:t xml:space="preserve"> </w:t>
      </w:r>
      <w:r w:rsidRPr="00F41E78">
        <w:rPr>
          <w:rFonts w:hint="cs"/>
          <w:rtl/>
        </w:rPr>
        <w:t>וכן</w:t>
      </w:r>
      <w:r w:rsidRPr="00F41E78">
        <w:rPr>
          <w:rtl/>
        </w:rPr>
        <w:t xml:space="preserve"> במסמכי מדיניות ו</w:t>
      </w:r>
      <w:r w:rsidRPr="00F41E78">
        <w:rPr>
          <w:rFonts w:hint="cs"/>
          <w:rtl/>
        </w:rPr>
        <w:t>ב</w:t>
      </w:r>
      <w:r w:rsidRPr="00F41E78">
        <w:rPr>
          <w:rtl/>
        </w:rPr>
        <w:t>הוראות התכנון של תכניות מתאר סטטוטוריות</w:t>
      </w:r>
      <w:r w:rsidRPr="00F41E78">
        <w:rPr>
          <w:rFonts w:hint="cs"/>
          <w:rtl/>
        </w:rPr>
        <w:t>,</w:t>
      </w:r>
      <w:r w:rsidRPr="00F41E78">
        <w:rPr>
          <w:rtl/>
        </w:rPr>
        <w:t xml:space="preserve"> עולה כי </w:t>
      </w:r>
      <w:r w:rsidRPr="00F41E78">
        <w:rPr>
          <w:rFonts w:hint="cs"/>
          <w:rtl/>
        </w:rPr>
        <w:t xml:space="preserve">ישנם הבדלים בין </w:t>
      </w:r>
      <w:r w:rsidRPr="00F41E78">
        <w:rPr>
          <w:rtl/>
        </w:rPr>
        <w:t xml:space="preserve">גורמים שלטוניים שונים </w:t>
      </w:r>
      <w:r w:rsidRPr="00F41E78">
        <w:rPr>
          <w:rFonts w:hint="cs"/>
          <w:rtl/>
        </w:rPr>
        <w:t>בקריטריונים הקובעים אילו יח"ד מוגדרות יחידות של</w:t>
      </w:r>
      <w:r w:rsidRPr="00F41E78">
        <w:rPr>
          <w:rtl/>
        </w:rPr>
        <w:t xml:space="preserve"> דיור בר השגה</w:t>
      </w:r>
      <w:r w:rsidRPr="00F41E78">
        <w:rPr>
          <w:rFonts w:hint="cs"/>
          <w:rtl/>
        </w:rPr>
        <w:t>.</w:t>
      </w:r>
      <w:r w:rsidRPr="00F41E78">
        <w:rPr>
          <w:rtl/>
        </w:rPr>
        <w:t xml:space="preserve"> למשל</w:t>
      </w:r>
      <w:r w:rsidRPr="00F41E78">
        <w:rPr>
          <w:rFonts w:hint="cs"/>
          <w:rtl/>
        </w:rPr>
        <w:t>, שטחן,</w:t>
      </w:r>
      <w:r w:rsidRPr="00F41E78">
        <w:rPr>
          <w:rtl/>
        </w:rPr>
        <w:t xml:space="preserve"> </w:t>
      </w:r>
      <w:r w:rsidRPr="00F41E78">
        <w:rPr>
          <w:rFonts w:hint="cs"/>
          <w:rtl/>
        </w:rPr>
        <w:t>אופן</w:t>
      </w:r>
      <w:r w:rsidRPr="00F41E78">
        <w:rPr>
          <w:rtl/>
        </w:rPr>
        <w:t xml:space="preserve"> החזקתן </w:t>
      </w:r>
      <w:r w:rsidRPr="00F41E78">
        <w:rPr>
          <w:rFonts w:hint="cs"/>
          <w:rtl/>
        </w:rPr>
        <w:t>- ב</w:t>
      </w:r>
      <w:r w:rsidRPr="00F41E78">
        <w:rPr>
          <w:rtl/>
        </w:rPr>
        <w:t>עלות או שכירות</w:t>
      </w:r>
      <w:r w:rsidRPr="00F41E78">
        <w:rPr>
          <w:rFonts w:hint="cs"/>
          <w:rtl/>
        </w:rPr>
        <w:t xml:space="preserve"> -</w:t>
      </w:r>
      <w:r w:rsidRPr="00F41E78">
        <w:rPr>
          <w:rtl/>
        </w:rPr>
        <w:t xml:space="preserve"> פלח אוכלוסיי</w:t>
      </w:r>
      <w:r w:rsidRPr="00F41E78">
        <w:rPr>
          <w:rFonts w:hint="cs"/>
          <w:rtl/>
        </w:rPr>
        <w:t>ת</w:t>
      </w:r>
      <w:r w:rsidRPr="00F41E78">
        <w:rPr>
          <w:rtl/>
        </w:rPr>
        <w:t xml:space="preserve"> </w:t>
      </w:r>
      <w:r w:rsidRPr="00F41E78">
        <w:rPr>
          <w:rFonts w:hint="cs"/>
          <w:rtl/>
        </w:rPr>
        <w:t>היעד</w:t>
      </w:r>
      <w:r w:rsidRPr="00F41E78">
        <w:rPr>
          <w:rtl/>
        </w:rPr>
        <w:t xml:space="preserve">, </w:t>
      </w:r>
      <w:r w:rsidRPr="00F41E78">
        <w:rPr>
          <w:rFonts w:hint="cs"/>
          <w:rtl/>
        </w:rPr>
        <w:t>היקף</w:t>
      </w:r>
      <w:r w:rsidRPr="00F41E78">
        <w:rPr>
          <w:rtl/>
        </w:rPr>
        <w:t xml:space="preserve"> הסבסוד של המדינה לצורך בנייתן או רכישתן </w:t>
      </w:r>
      <w:r w:rsidRPr="00F41E78">
        <w:rPr>
          <w:rFonts w:hint="cs"/>
          <w:rtl/>
        </w:rPr>
        <w:t xml:space="preserve">וכן </w:t>
      </w:r>
      <w:r w:rsidRPr="00F41E78">
        <w:rPr>
          <w:rtl/>
        </w:rPr>
        <w:t>מחירן.</w:t>
      </w:r>
    </w:p>
    <w:p w:rsidR="00E97EDA" w:rsidRPr="00F41E78" w:rsidP="00D57FF2">
      <w:pPr>
        <w:spacing w:after="240" w:line="230" w:lineRule="exact"/>
        <w:jc w:val="both"/>
        <w:rPr>
          <w:rFonts w:cs="FrankRuehl"/>
          <w:sz w:val="18"/>
          <w:szCs w:val="22"/>
          <w:rtl/>
          <w:lang w:eastAsia="he-IL"/>
        </w:rPr>
      </w:pPr>
      <w:r w:rsidRPr="00F41E78">
        <w:rPr>
          <w:rFonts w:cs="FrankRuehl" w:hint="cs"/>
          <w:bCs/>
          <w:spacing w:val="40"/>
          <w:sz w:val="18"/>
          <w:szCs w:val="22"/>
          <w:rtl/>
        </w:rPr>
        <w:t>אומדן</w:t>
      </w:r>
      <w:r w:rsidRPr="00F41E78">
        <w:rPr>
          <w:rFonts w:cs="FrankRuehl"/>
          <w:bCs/>
          <w:spacing w:val="40"/>
          <w:sz w:val="18"/>
          <w:szCs w:val="22"/>
          <w:rtl/>
        </w:rPr>
        <w:t xml:space="preserve"> היקף אוכלוסיית היעד הזכאית לדיור בר השגה: </w:t>
      </w:r>
      <w:r w:rsidRPr="00F41E78">
        <w:rPr>
          <w:rFonts w:cs="FrankRuehl"/>
          <w:sz w:val="18"/>
          <w:szCs w:val="22"/>
          <w:rtl/>
          <w:lang w:eastAsia="he-IL"/>
        </w:rPr>
        <w:t>אחד הפרמטרים ה</w:t>
      </w:r>
      <w:r w:rsidRPr="00F41E78">
        <w:rPr>
          <w:rFonts w:cs="FrankRuehl" w:hint="cs"/>
          <w:sz w:val="18"/>
          <w:szCs w:val="22"/>
          <w:rtl/>
          <w:lang w:eastAsia="he-IL"/>
        </w:rPr>
        <w:t>בולטים</w:t>
      </w:r>
      <w:r w:rsidRPr="00F41E78">
        <w:rPr>
          <w:rFonts w:cs="FrankRuehl"/>
          <w:sz w:val="18"/>
          <w:szCs w:val="22"/>
          <w:rtl/>
          <w:lang w:eastAsia="he-IL"/>
        </w:rPr>
        <w:t xml:space="preserve"> </w:t>
      </w:r>
      <w:r w:rsidRPr="00F41E78">
        <w:rPr>
          <w:rFonts w:cs="FrankRuehl" w:hint="cs"/>
          <w:sz w:val="18"/>
          <w:szCs w:val="22"/>
          <w:rtl/>
          <w:lang w:eastAsia="he-IL"/>
        </w:rPr>
        <w:t>שיש להביא בחשבון בעת שמגדירים</w:t>
      </w:r>
      <w:r w:rsidRPr="00F41E78">
        <w:rPr>
          <w:rFonts w:cs="FrankRuehl"/>
          <w:sz w:val="18"/>
          <w:szCs w:val="22"/>
          <w:rtl/>
          <w:lang w:eastAsia="he-IL"/>
        </w:rPr>
        <w:t xml:space="preserve"> דיור בר השגה הוא אוכלוסיית היעד. </w:t>
      </w:r>
      <w:r w:rsidRPr="00F41E78">
        <w:rPr>
          <w:rFonts w:cs="FrankRuehl" w:hint="cs"/>
          <w:sz w:val="18"/>
          <w:szCs w:val="22"/>
          <w:rtl/>
          <w:lang w:eastAsia="he-IL"/>
        </w:rPr>
        <w:t xml:space="preserve">אוכלוסיית היעד נקבעת על פי </w:t>
      </w:r>
      <w:r w:rsidRPr="00F41E78">
        <w:rPr>
          <w:rFonts w:cs="FrankRuehl"/>
          <w:sz w:val="18"/>
          <w:szCs w:val="22"/>
          <w:rtl/>
          <w:lang w:eastAsia="he-IL"/>
        </w:rPr>
        <w:t>מאפיינים שונים</w:t>
      </w:r>
      <w:r w:rsidRPr="00F41E78">
        <w:rPr>
          <w:rFonts w:cs="FrankRuehl" w:hint="cs"/>
          <w:sz w:val="18"/>
          <w:szCs w:val="22"/>
          <w:rtl/>
          <w:lang w:eastAsia="he-IL"/>
        </w:rPr>
        <w:t xml:space="preserve"> כמו</w:t>
      </w:r>
      <w:r w:rsidRPr="00F41E78">
        <w:rPr>
          <w:rFonts w:cs="FrankRuehl"/>
          <w:sz w:val="18"/>
          <w:szCs w:val="22"/>
          <w:rtl/>
          <w:lang w:eastAsia="he-IL"/>
        </w:rPr>
        <w:t xml:space="preserve"> מבחן הכנסה, היעדר בעלות על דירה</w:t>
      </w:r>
      <w:r w:rsidRPr="00F41E78">
        <w:rPr>
          <w:rFonts w:cs="FrankRuehl" w:hint="cs"/>
          <w:sz w:val="18"/>
          <w:szCs w:val="22"/>
          <w:rtl/>
          <w:lang w:eastAsia="he-IL"/>
        </w:rPr>
        <w:t xml:space="preserve"> בעבר</w:t>
      </w:r>
      <w:r w:rsidRPr="00F41E78">
        <w:rPr>
          <w:rFonts w:cs="FrankRuehl"/>
          <w:sz w:val="18"/>
          <w:szCs w:val="22"/>
          <w:rtl/>
          <w:lang w:eastAsia="he-IL"/>
        </w:rPr>
        <w:t xml:space="preserve">, גיל דיירי משקי הבית </w:t>
      </w:r>
      <w:r w:rsidRPr="00F41E78">
        <w:rPr>
          <w:rFonts w:cs="FrankRuehl" w:hint="cs"/>
          <w:sz w:val="18"/>
          <w:szCs w:val="22"/>
          <w:rtl/>
          <w:lang w:eastAsia="he-IL"/>
        </w:rPr>
        <w:t>ו</w:t>
      </w:r>
      <w:r w:rsidRPr="00F41E78">
        <w:rPr>
          <w:rFonts w:cs="FrankRuehl"/>
          <w:sz w:val="18"/>
          <w:szCs w:val="22"/>
          <w:rtl/>
          <w:lang w:eastAsia="he-IL"/>
        </w:rPr>
        <w:t xml:space="preserve">גודל המשפחה. הגדרת אוכלוסיית היעד מאפשרת </w:t>
      </w:r>
      <w:r w:rsidRPr="00F41E78">
        <w:rPr>
          <w:rFonts w:cs="FrankRuehl" w:hint="cs"/>
          <w:sz w:val="18"/>
          <w:szCs w:val="22"/>
          <w:rtl/>
          <w:lang w:eastAsia="he-IL"/>
        </w:rPr>
        <w:t>להעריך את</w:t>
      </w:r>
      <w:r w:rsidRPr="00F41E78">
        <w:rPr>
          <w:rFonts w:cs="FrankRuehl"/>
          <w:sz w:val="18"/>
          <w:szCs w:val="22"/>
          <w:rtl/>
          <w:lang w:eastAsia="he-IL"/>
        </w:rPr>
        <w:t xml:space="preserve"> מספר משקי הבית </w:t>
      </w:r>
      <w:r w:rsidRPr="00F41E78">
        <w:rPr>
          <w:rFonts w:cs="FrankRuehl" w:hint="cs"/>
          <w:sz w:val="18"/>
          <w:szCs w:val="22"/>
          <w:rtl/>
          <w:lang w:eastAsia="he-IL"/>
        </w:rPr>
        <w:t>שיהיו</w:t>
      </w:r>
      <w:r w:rsidRPr="00F41E78">
        <w:rPr>
          <w:rFonts w:cs="FrankRuehl"/>
          <w:sz w:val="18"/>
          <w:szCs w:val="22"/>
          <w:rtl/>
          <w:lang w:eastAsia="he-IL"/>
        </w:rPr>
        <w:t xml:space="preserve"> זכאים לדיור בר השגה ו</w:t>
      </w:r>
      <w:r w:rsidRPr="00F41E78">
        <w:rPr>
          <w:rFonts w:cs="FrankRuehl" w:hint="cs"/>
          <w:sz w:val="18"/>
          <w:szCs w:val="22"/>
          <w:rtl/>
          <w:lang w:eastAsia="he-IL"/>
        </w:rPr>
        <w:t>לקבוע</w:t>
      </w:r>
      <w:r w:rsidRPr="00F41E78">
        <w:rPr>
          <w:rFonts w:cs="FrankRuehl"/>
          <w:sz w:val="18"/>
          <w:szCs w:val="22"/>
          <w:rtl/>
          <w:lang w:eastAsia="he-IL"/>
        </w:rPr>
        <w:t xml:space="preserve"> </w:t>
      </w:r>
      <w:r w:rsidRPr="00F41E78">
        <w:rPr>
          <w:rFonts w:cs="FrankRuehl" w:hint="cs"/>
          <w:sz w:val="18"/>
          <w:szCs w:val="22"/>
          <w:rtl/>
          <w:lang w:eastAsia="he-IL"/>
        </w:rPr>
        <w:t>את</w:t>
      </w:r>
      <w:r w:rsidRPr="00F41E78">
        <w:rPr>
          <w:rFonts w:cs="FrankRuehl"/>
          <w:sz w:val="18"/>
          <w:szCs w:val="22"/>
          <w:rtl/>
          <w:lang w:eastAsia="he-IL"/>
        </w:rPr>
        <w:t xml:space="preserve"> מספר יחידות הדיור הנדרשות.</w:t>
      </w:r>
    </w:p>
    <w:p w:rsidR="00D22B16" w:rsidRPr="00F41E78" w:rsidP="00D22B16">
      <w:pPr>
        <w:pStyle w:val="RESHET"/>
        <w:keepLines/>
        <w:rPr>
          <w:rtl/>
        </w:rPr>
      </w:pPr>
      <w:r w:rsidRPr="00F41E78">
        <w:rPr>
          <w:rtl/>
        </w:rPr>
        <w:t>בביקורת עלה כי משרד הבינוי</w:t>
      </w:r>
      <w:r w:rsidRPr="00F41E78">
        <w:rPr>
          <w:rFonts w:hint="cs"/>
          <w:rtl/>
        </w:rPr>
        <w:t>,</w:t>
      </w:r>
      <w:r w:rsidRPr="00F41E78">
        <w:rPr>
          <w:rtl/>
        </w:rPr>
        <w:t xml:space="preserve"> מינהל התכנון ורמ"י </w:t>
      </w:r>
      <w:r w:rsidRPr="00F41E78">
        <w:rPr>
          <w:rFonts w:hint="cs"/>
          <w:rtl/>
        </w:rPr>
        <w:t xml:space="preserve">לא קבעו מהו </w:t>
      </w:r>
      <w:r w:rsidRPr="00F41E78">
        <w:rPr>
          <w:rtl/>
        </w:rPr>
        <w:t xml:space="preserve">היקף האוכלוסייה שניתן להגדירה כבעלת פוטנציאל </w:t>
      </w:r>
      <w:r w:rsidRPr="00F41E78">
        <w:rPr>
          <w:rFonts w:hint="cs"/>
          <w:rtl/>
        </w:rPr>
        <w:t>לקבלת</w:t>
      </w:r>
      <w:r w:rsidRPr="00F41E78">
        <w:rPr>
          <w:rtl/>
        </w:rPr>
        <w:t xml:space="preserve"> זכאות לדיור בר השגה.</w:t>
      </w:r>
    </w:p>
    <w:p w:rsidR="00D22B16" w:rsidRPr="00F41E78" w:rsidP="00D22B16">
      <w:pPr>
        <w:pStyle w:val="RESHET"/>
        <w:keepLines/>
        <w:rPr>
          <w:rtl/>
        </w:rPr>
      </w:pPr>
      <w:r w:rsidRPr="00F41E78">
        <w:rPr>
          <w:rtl/>
        </w:rPr>
        <w:t xml:space="preserve">לדעת </w:t>
      </w:r>
      <w:r w:rsidRPr="00F41E78">
        <w:rPr>
          <w:rFonts w:hint="cs"/>
          <w:rtl/>
        </w:rPr>
        <w:t>משרד מבקר המדינה</w:t>
      </w:r>
      <w:r w:rsidRPr="00F41E78">
        <w:rPr>
          <w:rtl/>
        </w:rPr>
        <w:t xml:space="preserve">, </w:t>
      </w:r>
      <w:r w:rsidRPr="00F41E78">
        <w:rPr>
          <w:rFonts w:hint="cs"/>
          <w:rtl/>
        </w:rPr>
        <w:t>היעדר אומדן הנוגע ל</w:t>
      </w:r>
      <w:r w:rsidRPr="00F41E78">
        <w:rPr>
          <w:rtl/>
        </w:rPr>
        <w:t>היקפה של אוכלוסיית היעד לדיור בר השגה הוא ח</w:t>
      </w:r>
      <w:r w:rsidRPr="00F41E78">
        <w:rPr>
          <w:rFonts w:hint="cs"/>
          <w:rtl/>
        </w:rPr>
        <w:t>ֶ</w:t>
      </w:r>
      <w:r w:rsidRPr="00F41E78">
        <w:rPr>
          <w:rtl/>
        </w:rPr>
        <w:t xml:space="preserve">סר עקרוני שבלעדיו </w:t>
      </w:r>
      <w:r w:rsidRPr="00F41E78">
        <w:rPr>
          <w:rFonts w:hint="cs"/>
          <w:rtl/>
        </w:rPr>
        <w:t xml:space="preserve">לא תיתכן הלימה בין </w:t>
      </w:r>
      <w:r w:rsidRPr="00F41E78">
        <w:rPr>
          <w:rtl/>
        </w:rPr>
        <w:t xml:space="preserve">התכניות לדיור בר השגה </w:t>
      </w:r>
      <w:r w:rsidRPr="00F41E78">
        <w:rPr>
          <w:rFonts w:hint="cs"/>
          <w:rtl/>
        </w:rPr>
        <w:t xml:space="preserve">ובין </w:t>
      </w:r>
      <w:r w:rsidRPr="00F41E78">
        <w:rPr>
          <w:rtl/>
        </w:rPr>
        <w:t xml:space="preserve">הצרכים של האוכלוסייה </w:t>
      </w:r>
      <w:r w:rsidRPr="00F41E78">
        <w:rPr>
          <w:rFonts w:hint="cs"/>
          <w:rtl/>
        </w:rPr>
        <w:t>המגוונת ורחבת ההיקף של התושבים הנזקקים לדיור בר השגה</w:t>
      </w:r>
      <w:r w:rsidRPr="00F41E78">
        <w:rPr>
          <w:rtl/>
        </w:rPr>
        <w:t>. על משרד הבינוי</w:t>
      </w:r>
      <w:r w:rsidRPr="00F41E78">
        <w:rPr>
          <w:rFonts w:hint="cs"/>
          <w:rtl/>
        </w:rPr>
        <w:t>,</w:t>
      </w:r>
      <w:r w:rsidRPr="00F41E78">
        <w:rPr>
          <w:rtl/>
        </w:rPr>
        <w:t xml:space="preserve"> </w:t>
      </w:r>
      <w:r w:rsidRPr="00F41E78">
        <w:rPr>
          <w:rFonts w:hint="cs"/>
          <w:rtl/>
        </w:rPr>
        <w:t>בשיתוף</w:t>
      </w:r>
      <w:r w:rsidRPr="00F41E78">
        <w:rPr>
          <w:rtl/>
        </w:rPr>
        <w:t xml:space="preserve"> הגורמים</w:t>
      </w:r>
      <w:r w:rsidRPr="00F41E78">
        <w:rPr>
          <w:rFonts w:hint="cs"/>
          <w:rtl/>
        </w:rPr>
        <w:t xml:space="preserve"> הרלוונטיים</w:t>
      </w:r>
      <w:r w:rsidRPr="00F41E78">
        <w:rPr>
          <w:rtl/>
        </w:rPr>
        <w:t xml:space="preserve"> האחרים</w:t>
      </w:r>
      <w:r w:rsidRPr="00F41E78">
        <w:rPr>
          <w:rFonts w:hint="cs"/>
          <w:rtl/>
        </w:rPr>
        <w:t>,</w:t>
      </w:r>
      <w:r w:rsidRPr="00F41E78">
        <w:rPr>
          <w:rtl/>
        </w:rPr>
        <w:t xml:space="preserve"> להוביל עבודת מטה להשלמת חסר זה.</w:t>
      </w:r>
    </w:p>
    <w:p w:rsidR="00E97EDA" w:rsidRPr="00F41E78" w:rsidP="00D57FF2">
      <w:pPr>
        <w:spacing w:before="180" w:after="120" w:line="230" w:lineRule="exact"/>
        <w:jc w:val="both"/>
        <w:outlineLvl w:val="3"/>
        <w:rPr>
          <w:rFonts w:cs="FrankRuehl"/>
          <w:b/>
          <w:bCs/>
          <w:sz w:val="18"/>
          <w:szCs w:val="22"/>
          <w:rtl/>
          <w:lang w:eastAsia="he-IL"/>
        </w:rPr>
      </w:pPr>
      <w:r w:rsidRPr="00F41E78">
        <w:rPr>
          <w:rFonts w:cs="FrankRuehl"/>
          <w:bCs/>
          <w:spacing w:val="40"/>
          <w:sz w:val="18"/>
          <w:szCs w:val="22"/>
          <w:rtl/>
        </w:rPr>
        <w:t xml:space="preserve">התייחסות </w:t>
      </w:r>
      <w:r w:rsidRPr="00F41E78">
        <w:rPr>
          <w:rFonts w:cs="FrankRuehl" w:hint="eastAsia"/>
          <w:bCs/>
          <w:spacing w:val="40"/>
          <w:sz w:val="18"/>
          <w:szCs w:val="22"/>
          <w:rtl/>
        </w:rPr>
        <w:t>לשטח</w:t>
      </w:r>
      <w:r w:rsidRPr="00F41E78">
        <w:rPr>
          <w:rFonts w:cs="FrankRuehl"/>
          <w:bCs/>
          <w:spacing w:val="40"/>
          <w:sz w:val="18"/>
          <w:szCs w:val="22"/>
          <w:rtl/>
        </w:rPr>
        <w:t xml:space="preserve"> הדירות כפרמטר להגדרת דיור בר השגה:</w:t>
      </w:r>
      <w:r w:rsidRPr="00F41E78">
        <w:rPr>
          <w:rFonts w:cs="FrankRuehl"/>
          <w:sz w:val="18"/>
          <w:szCs w:val="22"/>
          <w:rtl/>
          <w:lang w:eastAsia="he-IL"/>
        </w:rPr>
        <w:t xml:space="preserve"> ככלל</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יח"ד</w:t>
      </w:r>
      <w:r w:rsidRPr="00F41E78">
        <w:rPr>
          <w:rFonts w:cs="FrankRuehl"/>
          <w:sz w:val="18"/>
          <w:szCs w:val="22"/>
          <w:rtl/>
          <w:lang w:eastAsia="he-IL"/>
        </w:rPr>
        <w:t xml:space="preserve"> </w:t>
      </w:r>
      <w:r w:rsidRPr="00F41E78">
        <w:rPr>
          <w:rFonts w:cs="FrankRuehl" w:hint="cs"/>
          <w:sz w:val="18"/>
          <w:szCs w:val="22"/>
          <w:rtl/>
          <w:lang w:eastAsia="he-IL"/>
        </w:rPr>
        <w:t xml:space="preserve">שנכללו </w:t>
      </w:r>
      <w:r w:rsidRPr="00F41E78">
        <w:rPr>
          <w:rFonts w:cs="FrankRuehl"/>
          <w:sz w:val="18"/>
          <w:szCs w:val="22"/>
          <w:rtl/>
          <w:lang w:eastAsia="he-IL"/>
        </w:rPr>
        <w:t>במסגרת דיור בר השגה הן "דירות קטנות"</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ב</w:t>
      </w:r>
      <w:r w:rsidRPr="00F41E78">
        <w:rPr>
          <w:rFonts w:cs="FrankRuehl"/>
          <w:sz w:val="18"/>
          <w:szCs w:val="22"/>
          <w:rtl/>
          <w:lang w:eastAsia="he-IL"/>
        </w:rPr>
        <w:t xml:space="preserve">ביקורת </w:t>
      </w:r>
      <w:r w:rsidRPr="00F41E78">
        <w:rPr>
          <w:rFonts w:cs="FrankRuehl" w:hint="cs"/>
          <w:sz w:val="18"/>
          <w:szCs w:val="22"/>
          <w:rtl/>
          <w:lang w:eastAsia="he-IL"/>
        </w:rPr>
        <w:t>נבדקו</w:t>
      </w:r>
      <w:r w:rsidRPr="00F41E78">
        <w:rPr>
          <w:rFonts w:cs="FrankRuehl"/>
          <w:sz w:val="18"/>
          <w:szCs w:val="22"/>
          <w:rtl/>
          <w:lang w:eastAsia="he-IL"/>
        </w:rPr>
        <w:t xml:space="preserve"> התייחסותם של הגורמים השונים </w:t>
      </w:r>
      <w:r w:rsidRPr="00F41E78">
        <w:rPr>
          <w:rFonts w:cs="FrankRuehl" w:hint="cs"/>
          <w:sz w:val="18"/>
          <w:szCs w:val="22"/>
          <w:rtl/>
          <w:lang w:eastAsia="he-IL"/>
        </w:rPr>
        <w:t>לשטחן</w:t>
      </w:r>
      <w:r w:rsidRPr="00F41E78">
        <w:rPr>
          <w:rFonts w:cs="FrankRuehl"/>
          <w:sz w:val="18"/>
          <w:szCs w:val="22"/>
          <w:rtl/>
          <w:lang w:eastAsia="he-IL"/>
        </w:rPr>
        <w:t xml:space="preserve"> של דירות אלו </w:t>
      </w:r>
      <w:r w:rsidRPr="00F41E78">
        <w:rPr>
          <w:rFonts w:cs="FrankRuehl" w:hint="cs"/>
          <w:sz w:val="18"/>
          <w:szCs w:val="22"/>
          <w:rtl/>
          <w:lang w:eastAsia="he-IL"/>
        </w:rPr>
        <w:t xml:space="preserve">ונמצא כי הגורמים השונים מגדירים אחרת את שטחה של "דירה קטנה". </w:t>
      </w:r>
    </w:p>
    <w:p w:rsidR="00E97EDA" w:rsidRPr="00F41E78" w:rsidP="00A7557B">
      <w:pPr>
        <w:spacing w:after="120" w:line="230" w:lineRule="exact"/>
        <w:jc w:val="both"/>
        <w:rPr>
          <w:rFonts w:cs="FrankRuehl"/>
          <w:sz w:val="18"/>
          <w:szCs w:val="22"/>
          <w:rtl/>
          <w:lang w:eastAsia="he-IL"/>
        </w:rPr>
      </w:pPr>
      <w:r w:rsidRPr="00F41E78">
        <w:rPr>
          <w:rFonts w:cs="FrankRuehl" w:hint="eastAsia"/>
          <w:spacing w:val="40"/>
          <w:sz w:val="18"/>
          <w:szCs w:val="22"/>
          <w:rtl/>
        </w:rPr>
        <w:t>משרד</w:t>
      </w:r>
      <w:r w:rsidRPr="00F41E78">
        <w:rPr>
          <w:rFonts w:cs="FrankRuehl"/>
          <w:spacing w:val="40"/>
          <w:sz w:val="18"/>
          <w:szCs w:val="22"/>
          <w:rtl/>
        </w:rPr>
        <w:t xml:space="preserve"> </w:t>
      </w:r>
      <w:r w:rsidRPr="00F41E78">
        <w:rPr>
          <w:rFonts w:cs="FrankRuehl" w:hint="eastAsia"/>
          <w:spacing w:val="40"/>
          <w:sz w:val="18"/>
          <w:szCs w:val="22"/>
          <w:rtl/>
        </w:rPr>
        <w:t>הפנים</w:t>
      </w:r>
      <w:r w:rsidRPr="00F41E78">
        <w:rPr>
          <w:rFonts w:cs="FrankRuehl"/>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 xml:space="preserve">במאי 2011 </w:t>
      </w:r>
      <w:r w:rsidRPr="00F41E78">
        <w:rPr>
          <w:rFonts w:cs="FrankRuehl"/>
          <w:sz w:val="18"/>
          <w:szCs w:val="22"/>
          <w:rtl/>
          <w:lang w:eastAsia="he-IL"/>
        </w:rPr>
        <w:t>פרסם מנכ"ל משרד הפנים הוראה מטעמו בנושא "קידום יחידות דיור קטנות במוסדות התכנון"</w:t>
      </w:r>
      <w:r w:rsidRPr="00F41E78">
        <w:rPr>
          <w:rFonts w:cs="FrankRuehl" w:hint="cs"/>
          <w:sz w:val="18"/>
          <w:szCs w:val="22"/>
          <w:rtl/>
          <w:lang w:eastAsia="he-IL"/>
        </w:rPr>
        <w:t>.</w:t>
      </w:r>
      <w:r w:rsidRPr="00F41E78">
        <w:rPr>
          <w:rFonts w:cs="FrankRuehl"/>
          <w:sz w:val="18"/>
          <w:szCs w:val="22"/>
          <w:rtl/>
          <w:lang w:eastAsia="he-IL"/>
        </w:rPr>
        <w:t xml:space="preserve"> ההוראה </w:t>
      </w:r>
      <w:r w:rsidRPr="00F41E78">
        <w:rPr>
          <w:rFonts w:cs="FrankRuehl" w:hint="cs"/>
          <w:sz w:val="18"/>
          <w:szCs w:val="22"/>
          <w:rtl/>
          <w:lang w:eastAsia="he-IL"/>
        </w:rPr>
        <w:t>נוגעת ב</w:t>
      </w:r>
      <w:r w:rsidRPr="00F41E78">
        <w:rPr>
          <w:rFonts w:cs="FrankRuehl"/>
          <w:sz w:val="18"/>
          <w:szCs w:val="22"/>
          <w:rtl/>
          <w:lang w:eastAsia="he-IL"/>
        </w:rPr>
        <w:t xml:space="preserve">צורך בדיור בר השגה, </w:t>
      </w:r>
      <w:r w:rsidRPr="00F41E78">
        <w:rPr>
          <w:rFonts w:cs="FrankRuehl" w:hint="cs"/>
          <w:sz w:val="18"/>
          <w:szCs w:val="22"/>
          <w:rtl/>
          <w:lang w:eastAsia="he-IL"/>
        </w:rPr>
        <w:t>בשטח</w:t>
      </w:r>
      <w:r w:rsidRPr="00F41E78">
        <w:rPr>
          <w:rFonts w:cs="FrankRuehl"/>
          <w:sz w:val="18"/>
          <w:szCs w:val="22"/>
          <w:rtl/>
          <w:lang w:eastAsia="he-IL"/>
        </w:rPr>
        <w:t xml:space="preserve"> </w:t>
      </w:r>
      <w:r w:rsidRPr="00F41E78">
        <w:rPr>
          <w:rFonts w:cs="FrankRuehl" w:hint="cs"/>
          <w:sz w:val="18"/>
          <w:szCs w:val="22"/>
          <w:rtl/>
          <w:lang w:eastAsia="he-IL"/>
        </w:rPr>
        <w:t>יחידות הדיור</w:t>
      </w:r>
      <w:r w:rsidRPr="00F41E78">
        <w:rPr>
          <w:rFonts w:cs="FrankRuehl"/>
          <w:sz w:val="18"/>
          <w:szCs w:val="22"/>
          <w:rtl/>
          <w:lang w:eastAsia="he-IL"/>
        </w:rPr>
        <w:t xml:space="preserve"> </w:t>
      </w:r>
      <w:r w:rsidRPr="00F41E78">
        <w:rPr>
          <w:rFonts w:cs="FrankRuehl" w:hint="cs"/>
          <w:sz w:val="18"/>
          <w:szCs w:val="22"/>
          <w:rtl/>
          <w:lang w:eastAsia="he-IL"/>
        </w:rPr>
        <w:t>ובאזור המגורים. היא קובעת בין השאר כי</w:t>
      </w:r>
      <w:r w:rsidRPr="00F41E78">
        <w:rPr>
          <w:rFonts w:cs="FrankRuehl"/>
          <w:sz w:val="18"/>
          <w:szCs w:val="22"/>
          <w:rtl/>
          <w:lang w:eastAsia="he-IL"/>
        </w:rPr>
        <w:t xml:space="preserve"> </w:t>
      </w:r>
      <w:r w:rsidRPr="00F41E78">
        <w:rPr>
          <w:rFonts w:cs="FrankRuehl" w:hint="cs"/>
          <w:sz w:val="18"/>
          <w:szCs w:val="22"/>
          <w:rtl/>
          <w:lang w:eastAsia="he-IL"/>
        </w:rPr>
        <w:t>"</w:t>
      </w:r>
      <w:r w:rsidRPr="00F41E78">
        <w:rPr>
          <w:rFonts w:cs="FrankRuehl"/>
          <w:sz w:val="18"/>
          <w:szCs w:val="22"/>
          <w:rtl/>
          <w:lang w:eastAsia="he-IL"/>
        </w:rPr>
        <w:t xml:space="preserve">יחידת דיור קטנה </w:t>
      </w:r>
      <w:r w:rsidRPr="00F41E78">
        <w:rPr>
          <w:rFonts w:cs="FrankRuehl" w:hint="cs"/>
          <w:sz w:val="18"/>
          <w:szCs w:val="22"/>
          <w:rtl/>
          <w:lang w:eastAsia="he-IL"/>
        </w:rPr>
        <w:t xml:space="preserve">היא </w:t>
      </w:r>
      <w:r w:rsidRPr="00F41E78">
        <w:rPr>
          <w:rFonts w:cs="FrankRuehl"/>
          <w:sz w:val="18"/>
          <w:szCs w:val="22"/>
          <w:rtl/>
          <w:lang w:eastAsia="he-IL"/>
        </w:rPr>
        <w:t xml:space="preserve">לעניין זה: עד 100 מ"ר </w:t>
      </w:r>
      <w:r w:rsidRPr="00F41E78">
        <w:rPr>
          <w:rFonts w:cs="FrankRuehl" w:hint="cs"/>
          <w:sz w:val="18"/>
          <w:szCs w:val="22"/>
          <w:rtl/>
          <w:lang w:eastAsia="he-IL"/>
        </w:rPr>
        <w:t xml:space="preserve">- </w:t>
      </w:r>
      <w:r w:rsidRPr="00F41E78">
        <w:rPr>
          <w:rFonts w:cs="FrankRuehl"/>
          <w:sz w:val="18"/>
          <w:szCs w:val="22"/>
          <w:rtl/>
          <w:lang w:eastAsia="he-IL"/>
        </w:rPr>
        <w:t>אזורי עדיפות לאומית, עפ"י 'מפת אזורי עדיפות לאומית' (המתעדכנת מ</w:t>
      </w:r>
      <w:r w:rsidRPr="00F41E78">
        <w:rPr>
          <w:rFonts w:cs="FrankRuehl" w:hint="cs"/>
          <w:sz w:val="18"/>
          <w:szCs w:val="22"/>
          <w:rtl/>
          <w:lang w:eastAsia="he-IL"/>
        </w:rPr>
        <w:t xml:space="preserve">די </w:t>
      </w:r>
      <w:r w:rsidRPr="00F41E78">
        <w:rPr>
          <w:rFonts w:cs="FrankRuehl"/>
          <w:sz w:val="18"/>
          <w:szCs w:val="22"/>
          <w:rtl/>
          <w:lang w:eastAsia="he-IL"/>
        </w:rPr>
        <w:t xml:space="preserve">פעם </w:t>
      </w:r>
      <w:r w:rsidRPr="00F41E78">
        <w:rPr>
          <w:rFonts w:cs="FrankRuehl" w:hint="cs"/>
          <w:sz w:val="18"/>
          <w:szCs w:val="22"/>
          <w:rtl/>
          <w:lang w:eastAsia="he-IL"/>
        </w:rPr>
        <w:t>ב</w:t>
      </w:r>
      <w:r w:rsidRPr="00F41E78">
        <w:rPr>
          <w:rFonts w:cs="FrankRuehl"/>
          <w:sz w:val="18"/>
          <w:szCs w:val="22"/>
          <w:rtl/>
          <w:lang w:eastAsia="he-IL"/>
        </w:rPr>
        <w:t xml:space="preserve">פעם). עד 75 מ"ר </w:t>
      </w:r>
      <w:r w:rsidRPr="00F41E78">
        <w:rPr>
          <w:rFonts w:cs="FrankRuehl" w:hint="cs"/>
          <w:sz w:val="18"/>
          <w:szCs w:val="22"/>
          <w:rtl/>
          <w:lang w:eastAsia="he-IL"/>
        </w:rPr>
        <w:t>-</w:t>
      </w:r>
      <w:r w:rsidRPr="00F41E78">
        <w:rPr>
          <w:rFonts w:cs="FrankRuehl"/>
          <w:sz w:val="18"/>
          <w:szCs w:val="22"/>
          <w:rtl/>
          <w:lang w:eastAsia="he-IL"/>
        </w:rPr>
        <w:t xml:space="preserve"> ביתר אזורי הארץ"</w:t>
      </w:r>
      <w:r w:rsidRPr="00F41E78">
        <w:rPr>
          <w:rFonts w:cs="FrankRuehl" w:hint="cs"/>
          <w:sz w:val="18"/>
          <w:szCs w:val="22"/>
          <w:rtl/>
          <w:lang w:eastAsia="he-IL"/>
        </w:rPr>
        <w:t>.</w:t>
      </w:r>
    </w:p>
    <w:p w:rsidR="00E97EDA" w:rsidRPr="00FA1F2C" w:rsidP="00A7557B">
      <w:pPr>
        <w:spacing w:after="120" w:line="230" w:lineRule="exact"/>
        <w:jc w:val="both"/>
        <w:rPr>
          <w:b/>
          <w:bCs/>
          <w:szCs w:val="26"/>
          <w:rtl/>
          <w:lang w:eastAsia="he-IL"/>
        </w:rPr>
      </w:pPr>
      <w:r w:rsidRPr="00F41E78">
        <w:rPr>
          <w:rFonts w:cs="FrankRuehl" w:hint="eastAsia"/>
          <w:spacing w:val="40"/>
          <w:sz w:val="18"/>
          <w:szCs w:val="22"/>
          <w:rtl/>
        </w:rPr>
        <w:t>רמ</w:t>
      </w:r>
      <w:r w:rsidRPr="00F41E78">
        <w:rPr>
          <w:rFonts w:cs="FrankRuehl"/>
          <w:spacing w:val="40"/>
          <w:sz w:val="18"/>
          <w:szCs w:val="22"/>
          <w:rtl/>
        </w:rPr>
        <w:t>"</w:t>
      </w:r>
      <w:r w:rsidRPr="00F41E78">
        <w:rPr>
          <w:rFonts w:cs="FrankRuehl" w:hint="eastAsia"/>
          <w:spacing w:val="40"/>
          <w:sz w:val="18"/>
          <w:szCs w:val="22"/>
          <w:rtl/>
        </w:rPr>
        <w:t>י</w:t>
      </w:r>
      <w:r w:rsidRPr="00F41E78">
        <w:rPr>
          <w:rFonts w:cs="FrankRuehl"/>
          <w:spacing w:val="40"/>
          <w:sz w:val="18"/>
          <w:szCs w:val="22"/>
          <w:rtl/>
        </w:rPr>
        <w:t xml:space="preserve">: </w:t>
      </w:r>
      <w:r w:rsidRPr="00F41E78">
        <w:rPr>
          <w:rFonts w:cs="FrankRuehl"/>
          <w:sz w:val="18"/>
          <w:szCs w:val="22"/>
          <w:rtl/>
          <w:lang w:eastAsia="he-IL"/>
        </w:rPr>
        <w:t xml:space="preserve">שלושה חודשים לאחר שמנכ"ל משרד הפנים הגדיר </w:t>
      </w:r>
      <w:r w:rsidRPr="00F41E78">
        <w:rPr>
          <w:rFonts w:cs="FrankRuehl" w:hint="cs"/>
          <w:sz w:val="18"/>
          <w:szCs w:val="22"/>
          <w:rtl/>
          <w:lang w:eastAsia="he-IL"/>
        </w:rPr>
        <w:t>את שטחה</w:t>
      </w:r>
      <w:r w:rsidRPr="00F41E78">
        <w:rPr>
          <w:rFonts w:cs="FrankRuehl"/>
          <w:sz w:val="18"/>
          <w:szCs w:val="22"/>
          <w:rtl/>
          <w:lang w:eastAsia="he-IL"/>
        </w:rPr>
        <w:t xml:space="preserve"> של "דירה קטנה", עסק</w:t>
      </w:r>
      <w:r w:rsidRPr="00F41E78">
        <w:rPr>
          <w:rFonts w:cs="FrankRuehl" w:hint="cs"/>
          <w:sz w:val="18"/>
          <w:szCs w:val="22"/>
          <w:rtl/>
          <w:lang w:eastAsia="he-IL"/>
        </w:rPr>
        <w:t>ה</w:t>
      </w:r>
      <w:r w:rsidRPr="00F41E78">
        <w:rPr>
          <w:rFonts w:cs="FrankRuehl"/>
          <w:sz w:val="18"/>
          <w:szCs w:val="22"/>
          <w:rtl/>
          <w:lang w:eastAsia="he-IL"/>
        </w:rPr>
        <w:t xml:space="preserve"> בכך גם רמ"י</w:t>
      </w:r>
      <w:r w:rsidRPr="00F41E78">
        <w:rPr>
          <w:rFonts w:cs="FrankRuehl" w:hint="cs"/>
          <w:sz w:val="18"/>
          <w:szCs w:val="22"/>
          <w:rtl/>
          <w:lang w:eastAsia="he-IL"/>
        </w:rPr>
        <w:t>.</w:t>
      </w:r>
      <w:r w:rsidRPr="00F41E78">
        <w:rPr>
          <w:rFonts w:cs="FrankRuehl"/>
          <w:sz w:val="18"/>
          <w:szCs w:val="22"/>
          <w:rtl/>
          <w:lang w:eastAsia="he-IL"/>
        </w:rPr>
        <w:t xml:space="preserve"> בהחלטה</w:t>
      </w:r>
      <w:r w:rsidRPr="00F41E78">
        <w:rPr>
          <w:rFonts w:cs="FrankRuehl" w:hint="cs"/>
          <w:sz w:val="18"/>
          <w:szCs w:val="22"/>
          <w:rtl/>
          <w:lang w:eastAsia="he-IL"/>
        </w:rPr>
        <w:t xml:space="preserve"> מס'</w:t>
      </w:r>
      <w:r w:rsidRPr="00F41E78">
        <w:rPr>
          <w:rFonts w:cs="FrankRuehl"/>
          <w:sz w:val="18"/>
          <w:szCs w:val="22"/>
          <w:rtl/>
          <w:lang w:eastAsia="he-IL"/>
        </w:rPr>
        <w:t xml:space="preserve"> 1239 </w:t>
      </w:r>
      <w:r w:rsidRPr="00F41E78">
        <w:rPr>
          <w:rFonts w:cs="FrankRuehl" w:hint="cs"/>
          <w:sz w:val="18"/>
          <w:szCs w:val="22"/>
          <w:rtl/>
          <w:lang w:eastAsia="he-IL"/>
        </w:rPr>
        <w:t>מאוגוסט 2011</w:t>
      </w:r>
      <w:r w:rsidRPr="00F41E78">
        <w:rPr>
          <w:rFonts w:cs="FrankRuehl"/>
          <w:sz w:val="18"/>
          <w:szCs w:val="22"/>
          <w:rtl/>
          <w:lang w:eastAsia="he-IL"/>
        </w:rPr>
        <w:t xml:space="preserve"> שעסקה בנושא "דיור בהישג יד ('מחיר למשתכן'</w:t>
      </w:r>
      <w:r w:rsidRPr="00F41E78">
        <w:rPr>
          <w:rFonts w:cs="FrankRuehl"/>
          <w:sz w:val="18"/>
          <w:szCs w:val="22"/>
          <w:vertAlign w:val="superscript"/>
          <w:rtl/>
          <w:lang w:eastAsia="he-IL"/>
        </w:rPr>
        <w:t>[</w:t>
      </w:r>
      <w:r>
        <w:rPr>
          <w:rFonts w:cs="FrankRuehl"/>
          <w:sz w:val="18"/>
          <w:szCs w:val="22"/>
          <w:vertAlign w:val="superscript"/>
          <w:rtl/>
          <w:lang w:eastAsia="he-IL"/>
        </w:rPr>
        <w:footnoteReference w:id="277"/>
      </w:r>
      <w:r w:rsidRPr="00F41E78">
        <w:rPr>
          <w:rFonts w:cs="FrankRuehl"/>
          <w:sz w:val="18"/>
          <w:szCs w:val="22"/>
          <w:vertAlign w:val="superscript"/>
          <w:rtl/>
          <w:lang w:eastAsia="he-IL"/>
        </w:rPr>
        <w:t>]</w:t>
      </w:r>
      <w:r w:rsidRPr="00F41E78">
        <w:rPr>
          <w:rFonts w:cs="FrankRuehl"/>
          <w:sz w:val="18"/>
          <w:szCs w:val="22"/>
          <w:rtl/>
          <w:lang w:eastAsia="he-IL"/>
        </w:rPr>
        <w:t>)" קבעה מועצת מקרקעי ישראל כי יחידות דיור בר השגה הן "</w:t>
      </w:r>
      <w:r w:rsidRPr="00F41E78">
        <w:rPr>
          <w:rFonts w:cs="FrankRuehl"/>
          <w:b/>
          <w:bCs/>
          <w:sz w:val="18"/>
          <w:szCs w:val="22"/>
          <w:rtl/>
          <w:lang w:eastAsia="he-IL"/>
        </w:rPr>
        <w:t>דירות קטנות" ש"שטחן אינו עולה על 100 מ"ר באזורים ללא עדיפות לאומית ועל 120 מ"ר באזורי עדיפות לאומית</w:t>
      </w:r>
      <w:r w:rsidRPr="00F41E78">
        <w:rPr>
          <w:rFonts w:cs="FrankRuehl"/>
          <w:sz w:val="18"/>
          <w:szCs w:val="22"/>
          <w:rtl/>
          <w:lang w:eastAsia="he-IL"/>
        </w:rPr>
        <w:t xml:space="preserve">" (ההדגשה </w:t>
      </w:r>
      <w:r w:rsidRPr="00F41E78">
        <w:rPr>
          <w:rFonts w:cs="FrankRuehl" w:hint="cs"/>
          <w:sz w:val="18"/>
          <w:szCs w:val="22"/>
          <w:rtl/>
          <w:lang w:eastAsia="he-IL"/>
        </w:rPr>
        <w:t>אינה</w:t>
      </w:r>
      <w:r w:rsidRPr="00F41E78">
        <w:rPr>
          <w:rFonts w:cs="FrankRuehl"/>
          <w:sz w:val="18"/>
          <w:szCs w:val="22"/>
          <w:rtl/>
          <w:lang w:eastAsia="he-IL"/>
        </w:rPr>
        <w:t xml:space="preserve"> במקור). הגדרה זו נוגעת גם ל</w:t>
      </w:r>
      <w:r w:rsidRPr="00F41E78">
        <w:rPr>
          <w:rFonts w:cs="FrankRuehl" w:hint="cs"/>
          <w:sz w:val="18"/>
          <w:szCs w:val="22"/>
          <w:rtl/>
          <w:lang w:eastAsia="he-IL"/>
        </w:rPr>
        <w:t>יח"ד</w:t>
      </w:r>
      <w:r w:rsidRPr="00F41E78">
        <w:rPr>
          <w:rFonts w:cs="FrankRuehl"/>
          <w:sz w:val="18"/>
          <w:szCs w:val="22"/>
          <w:rtl/>
          <w:lang w:eastAsia="he-IL"/>
        </w:rPr>
        <w:t xml:space="preserve"> </w:t>
      </w:r>
      <w:r w:rsidRPr="00F41E78">
        <w:rPr>
          <w:rFonts w:cs="FrankRuehl" w:hint="cs"/>
          <w:sz w:val="18"/>
          <w:szCs w:val="22"/>
          <w:rtl/>
          <w:lang w:eastAsia="he-IL"/>
        </w:rPr>
        <w:t>ש</w:t>
      </w:r>
      <w:r w:rsidRPr="00F41E78">
        <w:rPr>
          <w:rFonts w:cs="FrankRuehl"/>
          <w:sz w:val="18"/>
          <w:szCs w:val="22"/>
          <w:rtl/>
          <w:lang w:eastAsia="he-IL"/>
        </w:rPr>
        <w:t>בבעלות</w:t>
      </w:r>
      <w:r w:rsidRPr="00F41E78">
        <w:rPr>
          <w:rFonts w:cs="FrankRuehl" w:hint="cs"/>
          <w:sz w:val="18"/>
          <w:szCs w:val="22"/>
          <w:rtl/>
          <w:lang w:eastAsia="he-IL"/>
        </w:rPr>
        <w:t xml:space="preserve"> הדייר</w:t>
      </w:r>
      <w:r w:rsidRPr="00F41E78">
        <w:rPr>
          <w:rFonts w:cs="FrankRuehl"/>
          <w:sz w:val="18"/>
          <w:szCs w:val="22"/>
          <w:rtl/>
          <w:lang w:eastAsia="he-IL"/>
        </w:rPr>
        <w:t xml:space="preserve"> וגם ל</w:t>
      </w:r>
      <w:r w:rsidRPr="00F41E78">
        <w:rPr>
          <w:rFonts w:cs="FrankRuehl" w:hint="cs"/>
          <w:sz w:val="18"/>
          <w:szCs w:val="22"/>
          <w:rtl/>
          <w:lang w:eastAsia="he-IL"/>
        </w:rPr>
        <w:t>יח"ד</w:t>
      </w:r>
      <w:r w:rsidRPr="00F41E78">
        <w:rPr>
          <w:rFonts w:cs="FrankRuehl"/>
          <w:sz w:val="18"/>
          <w:szCs w:val="22"/>
          <w:rtl/>
          <w:lang w:eastAsia="he-IL"/>
        </w:rPr>
        <w:t xml:space="preserve"> </w:t>
      </w:r>
      <w:r w:rsidRPr="00F41E78">
        <w:rPr>
          <w:rFonts w:cs="FrankRuehl" w:hint="cs"/>
          <w:sz w:val="18"/>
          <w:szCs w:val="22"/>
          <w:rtl/>
          <w:lang w:eastAsia="he-IL"/>
        </w:rPr>
        <w:t>ב</w:t>
      </w:r>
      <w:r w:rsidRPr="00F41E78">
        <w:rPr>
          <w:rFonts w:cs="FrankRuehl"/>
          <w:sz w:val="18"/>
          <w:szCs w:val="22"/>
          <w:rtl/>
          <w:lang w:eastAsia="he-IL"/>
        </w:rPr>
        <w:t>השכרה</w:t>
      </w:r>
      <w:r w:rsidRPr="00F41E78">
        <w:rPr>
          <w:rFonts w:cs="FrankRuehl" w:hint="cs"/>
          <w:sz w:val="18"/>
          <w:szCs w:val="22"/>
          <w:rtl/>
          <w:lang w:eastAsia="he-IL"/>
        </w:rPr>
        <w:t>,</w:t>
      </w:r>
      <w:r w:rsidRPr="00F41E78">
        <w:rPr>
          <w:rFonts w:cs="FrankRuehl"/>
          <w:sz w:val="18"/>
          <w:szCs w:val="22"/>
          <w:rtl/>
          <w:lang w:eastAsia="he-IL"/>
        </w:rPr>
        <w:t xml:space="preserve"> ו</w:t>
      </w:r>
      <w:r w:rsidRPr="00F41E78">
        <w:rPr>
          <w:rFonts w:cs="FrankRuehl" w:hint="cs"/>
          <w:sz w:val="18"/>
          <w:szCs w:val="22"/>
          <w:rtl/>
          <w:lang w:eastAsia="he-IL"/>
        </w:rPr>
        <w:t>היא תקפה</w:t>
      </w:r>
      <w:r w:rsidRPr="00F41E78">
        <w:rPr>
          <w:rFonts w:cs="FrankRuehl"/>
          <w:sz w:val="18"/>
          <w:szCs w:val="22"/>
          <w:rtl/>
          <w:lang w:eastAsia="he-IL"/>
        </w:rPr>
        <w:t xml:space="preserve"> גם בהחלטה נוספת של </w:t>
      </w:r>
      <w:r w:rsidRPr="00F41E78">
        <w:rPr>
          <w:rFonts w:cs="FrankRuehl" w:hint="cs"/>
          <w:sz w:val="18"/>
          <w:szCs w:val="22"/>
          <w:rtl/>
          <w:lang w:eastAsia="he-IL"/>
        </w:rPr>
        <w:t xml:space="preserve">המועצה (החלטה מס' </w:t>
      </w:r>
      <w:r w:rsidRPr="00F41E78">
        <w:rPr>
          <w:rFonts w:cs="FrankRuehl"/>
          <w:sz w:val="18"/>
          <w:szCs w:val="22"/>
          <w:rtl/>
          <w:lang w:eastAsia="he-IL"/>
        </w:rPr>
        <w:t>1249</w:t>
      </w:r>
      <w:r w:rsidRPr="00F41E78">
        <w:rPr>
          <w:rFonts w:cs="FrankRuehl" w:hint="cs"/>
          <w:sz w:val="18"/>
          <w:szCs w:val="22"/>
          <w:rtl/>
          <w:lang w:eastAsia="he-IL"/>
        </w:rPr>
        <w:t>)</w:t>
      </w:r>
      <w:r w:rsidRPr="00F41E78">
        <w:rPr>
          <w:rFonts w:cs="FrankRuehl"/>
          <w:sz w:val="18"/>
          <w:szCs w:val="22"/>
          <w:rtl/>
          <w:lang w:eastAsia="he-IL"/>
        </w:rPr>
        <w:t xml:space="preserve"> מינואר 2012</w:t>
      </w:r>
      <w:r w:rsidRPr="00FA1F2C">
        <w:rPr>
          <w:b/>
          <w:bCs/>
          <w:szCs w:val="26"/>
          <w:rtl/>
          <w:lang w:eastAsia="he-IL"/>
        </w:rPr>
        <w:t xml:space="preserve"> </w:t>
      </w:r>
      <w:r w:rsidRPr="00FA6646" w:rsidR="00FA6646">
        <w:rPr>
          <w:rFonts w:cs="FrankRuehl" w:hint="cs"/>
          <w:sz w:val="20"/>
          <w:szCs w:val="22"/>
          <w:rtl/>
          <w:lang w:eastAsia="he-IL"/>
        </w:rPr>
        <w:t>ה</w:t>
      </w:r>
      <w:r w:rsidRPr="00FA6646" w:rsidR="00FA6646">
        <w:rPr>
          <w:rFonts w:cs="FrankRuehl"/>
          <w:sz w:val="20"/>
          <w:szCs w:val="22"/>
          <w:rtl/>
          <w:lang w:eastAsia="he-IL"/>
        </w:rPr>
        <w:t>נוגע</w:t>
      </w:r>
      <w:r w:rsidRPr="00FA6646" w:rsidR="00FA6646">
        <w:rPr>
          <w:rFonts w:cs="FrankRuehl" w:hint="cs"/>
          <w:sz w:val="20"/>
          <w:szCs w:val="22"/>
          <w:rtl/>
          <w:lang w:eastAsia="he-IL"/>
        </w:rPr>
        <w:t>ת</w:t>
      </w:r>
      <w:r w:rsidRPr="00FA6646" w:rsidR="00FA6646">
        <w:rPr>
          <w:rFonts w:cs="FrankRuehl"/>
          <w:sz w:val="20"/>
          <w:szCs w:val="22"/>
          <w:rtl/>
          <w:lang w:eastAsia="he-IL"/>
        </w:rPr>
        <w:t xml:space="preserve"> ל</w:t>
      </w:r>
      <w:r w:rsidRPr="00FA6646" w:rsidR="00FA6646">
        <w:rPr>
          <w:rFonts w:cs="FrankRuehl" w:hint="cs"/>
          <w:sz w:val="20"/>
          <w:szCs w:val="22"/>
          <w:rtl/>
          <w:lang w:eastAsia="he-IL"/>
        </w:rPr>
        <w:t>יח"ד</w:t>
      </w:r>
      <w:r w:rsidRPr="00FA6646" w:rsidR="00FA6646">
        <w:rPr>
          <w:rFonts w:cs="FrankRuehl"/>
          <w:sz w:val="20"/>
          <w:szCs w:val="22"/>
          <w:rtl/>
          <w:lang w:eastAsia="he-IL"/>
        </w:rPr>
        <w:t xml:space="preserve"> במסלול </w:t>
      </w:r>
      <w:r w:rsidRPr="00FA6646" w:rsidR="00FA6646">
        <w:rPr>
          <w:rFonts w:cs="FrankRuehl" w:hint="cs"/>
          <w:sz w:val="20"/>
          <w:szCs w:val="22"/>
          <w:rtl/>
          <w:lang w:eastAsia="he-IL"/>
        </w:rPr>
        <w:t>"</w:t>
      </w:r>
      <w:r w:rsidRPr="00FA6646" w:rsidR="00FA6646">
        <w:rPr>
          <w:rFonts w:cs="FrankRuehl"/>
          <w:sz w:val="20"/>
          <w:szCs w:val="22"/>
          <w:rtl/>
          <w:lang w:eastAsia="he-IL"/>
        </w:rPr>
        <w:t xml:space="preserve">מחיר </w:t>
      </w:r>
      <w:r w:rsidRPr="00FA6646" w:rsidR="00FA6646">
        <w:rPr>
          <w:rFonts w:cs="FrankRuehl" w:hint="cs"/>
          <w:sz w:val="20"/>
          <w:szCs w:val="22"/>
          <w:rtl/>
          <w:lang w:eastAsia="he-IL"/>
        </w:rPr>
        <w:t xml:space="preserve">דירה </w:t>
      </w:r>
      <w:r w:rsidRPr="00FA6646" w:rsidR="00FA6646">
        <w:rPr>
          <w:rFonts w:cs="FrankRuehl"/>
          <w:sz w:val="20"/>
          <w:szCs w:val="22"/>
          <w:rtl/>
          <w:lang w:eastAsia="he-IL"/>
        </w:rPr>
        <w:t>למשתכן</w:t>
      </w:r>
      <w:r w:rsidRPr="00FA6646" w:rsidR="00FA6646">
        <w:rPr>
          <w:rFonts w:cs="FrankRuehl" w:hint="cs"/>
          <w:sz w:val="20"/>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eastAsia"/>
          <w:spacing w:val="40"/>
          <w:sz w:val="18"/>
          <w:szCs w:val="22"/>
          <w:rtl/>
        </w:rPr>
        <w:t>הגדרה</w:t>
      </w:r>
      <w:r w:rsidRPr="00F41E78">
        <w:rPr>
          <w:rFonts w:cs="FrankRuehl"/>
          <w:spacing w:val="40"/>
          <w:sz w:val="18"/>
          <w:szCs w:val="22"/>
          <w:rtl/>
        </w:rPr>
        <w:t xml:space="preserve"> </w:t>
      </w:r>
      <w:r w:rsidRPr="00F41E78">
        <w:rPr>
          <w:rFonts w:cs="FrankRuehl" w:hint="eastAsia"/>
          <w:spacing w:val="40"/>
          <w:sz w:val="18"/>
          <w:szCs w:val="22"/>
          <w:rtl/>
        </w:rPr>
        <w:t>שנקבעה</w:t>
      </w:r>
      <w:r w:rsidRPr="00F41E78">
        <w:rPr>
          <w:rFonts w:cs="FrankRuehl"/>
          <w:spacing w:val="40"/>
          <w:sz w:val="18"/>
          <w:szCs w:val="22"/>
          <w:rtl/>
        </w:rPr>
        <w:t xml:space="preserve"> </w:t>
      </w:r>
      <w:r w:rsidRPr="00F41E78">
        <w:rPr>
          <w:rFonts w:cs="FrankRuehl" w:hint="eastAsia"/>
          <w:spacing w:val="40"/>
          <w:sz w:val="18"/>
          <w:szCs w:val="22"/>
          <w:rtl/>
        </w:rPr>
        <w:t>בהוראות</w:t>
      </w:r>
      <w:r w:rsidRPr="00F41E78">
        <w:rPr>
          <w:rFonts w:cs="FrankRuehl"/>
          <w:spacing w:val="40"/>
          <w:sz w:val="18"/>
          <w:szCs w:val="22"/>
          <w:rtl/>
        </w:rPr>
        <w:t xml:space="preserve"> </w:t>
      </w:r>
      <w:r w:rsidRPr="00F41E78">
        <w:rPr>
          <w:rFonts w:cs="FrankRuehl" w:hint="eastAsia"/>
          <w:spacing w:val="40"/>
          <w:sz w:val="18"/>
          <w:szCs w:val="22"/>
          <w:rtl/>
        </w:rPr>
        <w:t>חוק</w:t>
      </w:r>
      <w:r w:rsidRPr="00F41E78">
        <w:rPr>
          <w:rFonts w:cs="FrankRuehl"/>
          <w:spacing w:val="40"/>
          <w:sz w:val="18"/>
          <w:szCs w:val="22"/>
          <w:rtl/>
        </w:rPr>
        <w:t xml:space="preserve"> </w:t>
      </w:r>
      <w:r w:rsidRPr="00F41E78">
        <w:rPr>
          <w:rFonts w:cs="FrankRuehl" w:hint="eastAsia"/>
          <w:spacing w:val="40"/>
          <w:sz w:val="18"/>
          <w:szCs w:val="22"/>
          <w:rtl/>
        </w:rPr>
        <w:t>הו</w:t>
      </w:r>
      <w:r w:rsidRPr="00F41E78">
        <w:rPr>
          <w:rFonts w:cs="FrankRuehl" w:hint="cs"/>
          <w:spacing w:val="40"/>
          <w:sz w:val="18"/>
          <w:szCs w:val="22"/>
          <w:rtl/>
        </w:rPr>
        <w:t>ו</w:t>
      </w:r>
      <w:r w:rsidRPr="00F41E78">
        <w:rPr>
          <w:rFonts w:cs="FrankRuehl" w:hint="eastAsia"/>
          <w:spacing w:val="40"/>
          <w:sz w:val="18"/>
          <w:szCs w:val="22"/>
          <w:rtl/>
        </w:rPr>
        <w:t>ד</w:t>
      </w:r>
      <w:r w:rsidRPr="00F41E78">
        <w:rPr>
          <w:rFonts w:cs="FrankRuehl"/>
          <w:spacing w:val="40"/>
          <w:sz w:val="18"/>
          <w:szCs w:val="22"/>
          <w:rtl/>
        </w:rPr>
        <w:t xml:space="preserve">"לים </w:t>
      </w:r>
      <w:r w:rsidRPr="00F41E78">
        <w:rPr>
          <w:rFonts w:cs="FrankRuehl" w:hint="eastAsia"/>
          <w:spacing w:val="40"/>
          <w:sz w:val="18"/>
          <w:szCs w:val="22"/>
          <w:rtl/>
        </w:rPr>
        <w:t>וחלה</w:t>
      </w:r>
      <w:r w:rsidRPr="00F41E78">
        <w:rPr>
          <w:rFonts w:cs="FrankRuehl"/>
          <w:spacing w:val="40"/>
          <w:sz w:val="18"/>
          <w:szCs w:val="22"/>
          <w:rtl/>
        </w:rPr>
        <w:t xml:space="preserve"> על </w:t>
      </w:r>
      <w:r w:rsidRPr="00F41E78">
        <w:rPr>
          <w:rFonts w:cs="FrankRuehl" w:hint="cs"/>
          <w:spacing w:val="40"/>
          <w:sz w:val="18"/>
          <w:szCs w:val="22"/>
          <w:rtl/>
        </w:rPr>
        <w:t>"</w:t>
      </w:r>
      <w:r w:rsidRPr="00F41E78">
        <w:rPr>
          <w:rFonts w:cs="FrankRuehl" w:hint="eastAsia"/>
          <w:spacing w:val="40"/>
          <w:sz w:val="18"/>
          <w:szCs w:val="22"/>
          <w:rtl/>
        </w:rPr>
        <w:t>דירות</w:t>
      </w:r>
      <w:r w:rsidRPr="00F41E78">
        <w:rPr>
          <w:rFonts w:cs="FrankRuehl"/>
          <w:spacing w:val="40"/>
          <w:sz w:val="18"/>
          <w:szCs w:val="22"/>
          <w:rtl/>
        </w:rPr>
        <w:t xml:space="preserve"> </w:t>
      </w:r>
      <w:r w:rsidRPr="00F41E78">
        <w:rPr>
          <w:rFonts w:cs="FrankRuehl" w:hint="eastAsia"/>
          <w:spacing w:val="40"/>
          <w:sz w:val="18"/>
          <w:szCs w:val="22"/>
          <w:rtl/>
        </w:rPr>
        <w:t>קטנות</w:t>
      </w:r>
      <w:r w:rsidRPr="00F41E78">
        <w:rPr>
          <w:rFonts w:cs="FrankRuehl" w:hint="cs"/>
          <w:spacing w:val="40"/>
          <w:sz w:val="18"/>
          <w:szCs w:val="22"/>
          <w:rtl/>
        </w:rPr>
        <w:t>"</w:t>
      </w:r>
      <w:r w:rsidRPr="00F41E78">
        <w:rPr>
          <w:rFonts w:cs="FrankRuehl"/>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ב</w:t>
      </w:r>
      <w:r w:rsidRPr="00F41E78">
        <w:rPr>
          <w:rFonts w:cs="FrankRuehl"/>
          <w:sz w:val="18"/>
          <w:szCs w:val="22"/>
          <w:rtl/>
          <w:lang w:eastAsia="he-IL"/>
        </w:rPr>
        <w:t xml:space="preserve">-11.8.11, למחרת </w:t>
      </w:r>
      <w:r w:rsidRPr="00F41E78">
        <w:rPr>
          <w:rFonts w:cs="FrankRuehl" w:hint="cs"/>
          <w:sz w:val="18"/>
          <w:szCs w:val="22"/>
          <w:rtl/>
          <w:lang w:eastAsia="he-IL"/>
        </w:rPr>
        <w:t>היום שבו התקבלה החלטת</w:t>
      </w:r>
      <w:r w:rsidRPr="00F41E78">
        <w:rPr>
          <w:rFonts w:cs="FrankRuehl"/>
          <w:sz w:val="18"/>
          <w:szCs w:val="22"/>
          <w:rtl/>
          <w:lang w:eastAsia="he-IL"/>
        </w:rPr>
        <w:t xml:space="preserve"> מועצת מקרקעי ישראל, נכנס לתוקף חוק </w:t>
      </w:r>
      <w:r w:rsidRPr="00F41E78">
        <w:rPr>
          <w:rFonts w:cs="FrankRuehl" w:hint="cs"/>
          <w:sz w:val="18"/>
          <w:szCs w:val="22"/>
          <w:rtl/>
          <w:lang w:eastAsia="he-IL"/>
        </w:rPr>
        <w:t>הווד"לים.</w:t>
      </w:r>
      <w:r w:rsidRPr="00F41E78">
        <w:rPr>
          <w:rFonts w:cs="FrankRuehl"/>
          <w:sz w:val="18"/>
          <w:szCs w:val="22"/>
          <w:rtl/>
          <w:lang w:eastAsia="he-IL"/>
        </w:rPr>
        <w:t xml:space="preserve"> לפי הוראות</w:t>
      </w:r>
      <w:r w:rsidRPr="00F41E78">
        <w:rPr>
          <w:rFonts w:cs="FrankRuehl" w:hint="cs"/>
          <w:sz w:val="18"/>
          <w:szCs w:val="22"/>
          <w:rtl/>
          <w:lang w:eastAsia="he-IL"/>
        </w:rPr>
        <w:t>יו,</w:t>
      </w:r>
      <w:r w:rsidRPr="00F41E78">
        <w:rPr>
          <w:rFonts w:cs="FrankRuehl"/>
          <w:sz w:val="18"/>
          <w:szCs w:val="22"/>
          <w:rtl/>
          <w:lang w:eastAsia="he-IL"/>
        </w:rPr>
        <w:t xml:space="preserve"> "דירות קטנות" הן "</w:t>
      </w:r>
      <w:r w:rsidRPr="00F41E78">
        <w:rPr>
          <w:rFonts w:cs="FrankRuehl"/>
          <w:b/>
          <w:bCs/>
          <w:sz w:val="18"/>
          <w:szCs w:val="22"/>
          <w:rtl/>
          <w:lang w:eastAsia="he-IL"/>
        </w:rPr>
        <w:t>דירות ששטחן הכולל המותר לבנייה, לרבות מרחב מוגן דירתי, כמשמעותו לפי חוק ההתגוננות האזרחית, התשי"א-19</w:t>
      </w:r>
      <w:r w:rsidRPr="00F41E78">
        <w:rPr>
          <w:rFonts w:cs="FrankRuehl" w:hint="cs"/>
          <w:b/>
          <w:bCs/>
          <w:sz w:val="18"/>
          <w:szCs w:val="22"/>
          <w:rtl/>
          <w:lang w:eastAsia="he-IL"/>
        </w:rPr>
        <w:t>5</w:t>
      </w:r>
      <w:r w:rsidRPr="00F41E78">
        <w:rPr>
          <w:rFonts w:cs="FrankRuehl"/>
          <w:b/>
          <w:bCs/>
          <w:sz w:val="18"/>
          <w:szCs w:val="22"/>
          <w:rtl/>
          <w:lang w:eastAsia="he-IL"/>
        </w:rPr>
        <w:t>1, אינו עולה על 75 מ"ר</w:t>
      </w:r>
      <w:r w:rsidRPr="00F41E78">
        <w:rPr>
          <w:rFonts w:cs="FrankRuehl"/>
          <w:sz w:val="18"/>
          <w:szCs w:val="22"/>
          <w:rtl/>
          <w:lang w:eastAsia="he-IL"/>
        </w:rPr>
        <w:t xml:space="preserve">" (ההדגשה </w:t>
      </w:r>
      <w:r w:rsidRPr="00F41E78">
        <w:rPr>
          <w:rFonts w:cs="FrankRuehl" w:hint="cs"/>
          <w:sz w:val="18"/>
          <w:szCs w:val="22"/>
          <w:rtl/>
          <w:lang w:eastAsia="he-IL"/>
        </w:rPr>
        <w:t>אינה</w:t>
      </w:r>
      <w:r w:rsidRPr="00F41E78">
        <w:rPr>
          <w:rFonts w:cs="FrankRuehl"/>
          <w:sz w:val="18"/>
          <w:szCs w:val="22"/>
          <w:rtl/>
          <w:lang w:eastAsia="he-IL"/>
        </w:rPr>
        <w:t xml:space="preserve"> במקור)</w:t>
      </w:r>
      <w:r w:rsidRPr="00F41E78">
        <w:rPr>
          <w:rFonts w:cs="FrankRuehl" w:hint="cs"/>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eastAsia"/>
          <w:spacing w:val="40"/>
          <w:sz w:val="18"/>
          <w:szCs w:val="22"/>
          <w:rtl/>
        </w:rPr>
        <w:t>משרד הבינוי</w:t>
      </w:r>
      <w:r w:rsidRPr="00F41E78">
        <w:rPr>
          <w:rFonts w:cs="FrankRuehl"/>
          <w:spacing w:val="40"/>
          <w:sz w:val="18"/>
          <w:szCs w:val="22"/>
          <w:rtl/>
        </w:rPr>
        <w:t>:</w:t>
      </w:r>
      <w:r w:rsidRPr="00F41E78">
        <w:rPr>
          <w:rFonts w:cs="FrankRuehl"/>
          <w:sz w:val="18"/>
          <w:szCs w:val="22"/>
          <w:rtl/>
          <w:lang w:eastAsia="he-IL"/>
        </w:rPr>
        <w:t xml:space="preserve"> על פי הנוהל של משרד הבינוי מינואר 2013, שעודכן בעקבות החלטת </w:t>
      </w:r>
      <w:r w:rsidRPr="00F41E78">
        <w:rPr>
          <w:rFonts w:cs="FrankRuehl" w:hint="cs"/>
          <w:sz w:val="18"/>
          <w:szCs w:val="22"/>
          <w:rtl/>
          <w:lang w:eastAsia="he-IL"/>
        </w:rPr>
        <w:t xml:space="preserve">מועצת מקרקעי ישראל </w:t>
      </w:r>
      <w:r w:rsidRPr="00F41E78">
        <w:rPr>
          <w:rFonts w:cs="FrankRuehl"/>
          <w:sz w:val="18"/>
          <w:szCs w:val="22"/>
          <w:rtl/>
          <w:lang w:eastAsia="he-IL"/>
        </w:rPr>
        <w:t xml:space="preserve">מינואר 2012, </w:t>
      </w:r>
      <w:r w:rsidRPr="00F41E78">
        <w:rPr>
          <w:rFonts w:cs="FrankRuehl" w:hint="cs"/>
          <w:sz w:val="18"/>
          <w:szCs w:val="22"/>
          <w:rtl/>
          <w:lang w:eastAsia="he-IL"/>
        </w:rPr>
        <w:t>שטחן המרבי</w:t>
      </w:r>
      <w:r w:rsidRPr="00F41E78">
        <w:rPr>
          <w:rFonts w:cs="FrankRuehl"/>
          <w:sz w:val="18"/>
          <w:szCs w:val="22"/>
          <w:rtl/>
          <w:lang w:eastAsia="he-IL"/>
        </w:rPr>
        <w:t xml:space="preserve"> של דירות קטנות </w:t>
      </w:r>
      <w:r w:rsidRPr="00F41E78">
        <w:rPr>
          <w:rFonts w:cs="FrankRuehl" w:hint="cs"/>
          <w:sz w:val="18"/>
          <w:szCs w:val="22"/>
          <w:rtl/>
          <w:lang w:eastAsia="he-IL"/>
        </w:rPr>
        <w:t xml:space="preserve">אמנם </w:t>
      </w:r>
      <w:r w:rsidRPr="00F41E78">
        <w:rPr>
          <w:rFonts w:cs="FrankRuehl"/>
          <w:sz w:val="18"/>
          <w:szCs w:val="22"/>
          <w:rtl/>
          <w:lang w:eastAsia="he-IL"/>
        </w:rPr>
        <w:t>יהיה דומה לזה שקבעה רמ"י</w:t>
      </w:r>
      <w:r w:rsidRPr="00F41E78">
        <w:rPr>
          <w:rFonts w:cs="FrankRuehl" w:hint="cs"/>
          <w:sz w:val="18"/>
          <w:szCs w:val="22"/>
          <w:rtl/>
          <w:lang w:eastAsia="he-IL"/>
        </w:rPr>
        <w:t>, דהיינו</w:t>
      </w:r>
      <w:r w:rsidRPr="00F41E78">
        <w:rPr>
          <w:rFonts w:cs="FrankRuehl"/>
          <w:sz w:val="18"/>
          <w:szCs w:val="22"/>
          <w:rtl/>
          <w:lang w:eastAsia="he-IL"/>
        </w:rPr>
        <w:t xml:space="preserve"> </w:t>
      </w:r>
      <w:r w:rsidRPr="00F41E78">
        <w:rPr>
          <w:rFonts w:cs="FrankRuehl"/>
          <w:b/>
          <w:bCs/>
          <w:sz w:val="18"/>
          <w:szCs w:val="22"/>
          <w:rtl/>
          <w:lang w:eastAsia="he-IL"/>
        </w:rPr>
        <w:t>עד 100 מ"ר באזורים ללא עדיפות לאומית ועד 120 מ"ר באזורי עדיפות לאומית, א</w:t>
      </w:r>
      <w:r w:rsidRPr="00F41E78">
        <w:rPr>
          <w:rFonts w:cs="FrankRuehl" w:hint="cs"/>
          <w:b/>
          <w:bCs/>
          <w:sz w:val="18"/>
          <w:szCs w:val="22"/>
          <w:rtl/>
          <w:lang w:eastAsia="he-IL"/>
        </w:rPr>
        <w:t>ך</w:t>
      </w:r>
      <w:r w:rsidRPr="00F41E78">
        <w:rPr>
          <w:rFonts w:cs="FrankRuehl"/>
          <w:b/>
          <w:bCs/>
          <w:sz w:val="18"/>
          <w:szCs w:val="22"/>
          <w:rtl/>
          <w:lang w:eastAsia="he-IL"/>
        </w:rPr>
        <w:t xml:space="preserve"> משרד הבינוי הוסיף וקבע כי </w:t>
      </w:r>
      <w:r w:rsidRPr="00F41E78">
        <w:rPr>
          <w:rFonts w:cs="FrankRuehl" w:hint="cs"/>
          <w:b/>
          <w:bCs/>
          <w:sz w:val="18"/>
          <w:szCs w:val="22"/>
          <w:rtl/>
          <w:lang w:eastAsia="he-IL"/>
        </w:rPr>
        <w:t>שטחן</w:t>
      </w:r>
      <w:r w:rsidRPr="00F41E78">
        <w:rPr>
          <w:rFonts w:cs="FrankRuehl"/>
          <w:b/>
          <w:bCs/>
          <w:sz w:val="18"/>
          <w:szCs w:val="22"/>
          <w:rtl/>
          <w:lang w:eastAsia="he-IL"/>
        </w:rPr>
        <w:t xml:space="preserve"> לא יפחת מ-75 מ"ר</w:t>
      </w:r>
      <w:r w:rsidRPr="00F41E78">
        <w:rPr>
          <w:rFonts w:cs="FrankRuehl"/>
          <w:sz w:val="18"/>
          <w:szCs w:val="22"/>
          <w:rtl/>
          <w:lang w:eastAsia="he-IL"/>
        </w:rPr>
        <w:t>.</w:t>
      </w:r>
    </w:p>
    <w:p w:rsidR="00E97EDA" w:rsidRPr="00582A43" w:rsidP="00CD2633">
      <w:pPr>
        <w:spacing w:after="240" w:line="230" w:lineRule="exact"/>
        <w:jc w:val="both"/>
        <w:rPr>
          <w:rFonts w:cs="FrankRuehl"/>
          <w:sz w:val="18"/>
          <w:szCs w:val="22"/>
          <w:rtl/>
          <w:lang w:eastAsia="he-IL"/>
        </w:rPr>
      </w:pPr>
      <w:r w:rsidRPr="00582A43">
        <w:rPr>
          <w:rFonts w:cs="FrankRuehl" w:hint="eastAsia"/>
          <w:spacing w:val="40"/>
          <w:sz w:val="18"/>
          <w:szCs w:val="22"/>
          <w:rtl/>
        </w:rPr>
        <w:t>ועדת</w:t>
      </w:r>
      <w:r w:rsidRPr="00582A43">
        <w:rPr>
          <w:rFonts w:cs="FrankRuehl"/>
          <w:spacing w:val="40"/>
          <w:sz w:val="18"/>
          <w:szCs w:val="22"/>
          <w:rtl/>
        </w:rPr>
        <w:t xml:space="preserve"> </w:t>
      </w:r>
      <w:r w:rsidRPr="00582A43">
        <w:rPr>
          <w:rFonts w:cs="FrankRuehl" w:hint="eastAsia"/>
          <w:spacing w:val="40"/>
          <w:sz w:val="18"/>
          <w:szCs w:val="22"/>
          <w:rtl/>
        </w:rPr>
        <w:t>טרכטנברג</w:t>
      </w:r>
      <w:r w:rsidRPr="00582A43">
        <w:rPr>
          <w:rFonts w:cs="FrankRuehl"/>
          <w:spacing w:val="40"/>
          <w:sz w:val="18"/>
          <w:szCs w:val="22"/>
          <w:rtl/>
        </w:rPr>
        <w:t>:</w:t>
      </w:r>
      <w:r w:rsidRPr="00582A43">
        <w:rPr>
          <w:rFonts w:cs="FrankRuehl"/>
          <w:sz w:val="18"/>
          <w:szCs w:val="22"/>
          <w:rtl/>
          <w:lang w:eastAsia="he-IL"/>
        </w:rPr>
        <w:t xml:space="preserve"> על פי ועדת טרכטנברג "גודל דירה הוא פרמטר שיכול להשפיע באופן מהותי על מחירה הסופי של הדירה... </w:t>
      </w:r>
      <w:r w:rsidRPr="00582A43">
        <w:rPr>
          <w:rFonts w:cs="FrankRuehl"/>
          <w:b/>
          <w:bCs/>
          <w:sz w:val="18"/>
          <w:szCs w:val="22"/>
          <w:rtl/>
          <w:lang w:eastAsia="he-IL"/>
        </w:rPr>
        <w:t>ההגדרה המוצעת לדירה קטנה הינה דירה עד 85 מ"ר</w:t>
      </w:r>
      <w:r w:rsidRPr="00582A43">
        <w:rPr>
          <w:rFonts w:cs="FrankRuehl"/>
          <w:sz w:val="18"/>
          <w:szCs w:val="22"/>
          <w:rtl/>
          <w:lang w:eastAsia="he-IL"/>
        </w:rPr>
        <w:t xml:space="preserve"> (ההדגשה </w:t>
      </w:r>
      <w:r w:rsidRPr="00582A43">
        <w:rPr>
          <w:rFonts w:cs="FrankRuehl" w:hint="cs"/>
          <w:sz w:val="18"/>
          <w:szCs w:val="22"/>
          <w:rtl/>
          <w:lang w:eastAsia="he-IL"/>
        </w:rPr>
        <w:t>אינה</w:t>
      </w:r>
      <w:r w:rsidRPr="00582A43">
        <w:rPr>
          <w:rFonts w:cs="FrankRuehl"/>
          <w:sz w:val="18"/>
          <w:szCs w:val="22"/>
          <w:rtl/>
          <w:lang w:eastAsia="he-IL"/>
        </w:rPr>
        <w:t xml:space="preserve"> במקור).</w:t>
      </w:r>
    </w:p>
    <w:p w:rsidR="00D22B16" w:rsidRPr="00F41E78" w:rsidP="00D22B16">
      <w:pPr>
        <w:pStyle w:val="RESHET"/>
        <w:keepLines/>
        <w:rPr>
          <w:rtl/>
        </w:rPr>
      </w:pPr>
      <w:r w:rsidRPr="00F41E78">
        <w:rPr>
          <w:rtl/>
        </w:rPr>
        <w:t xml:space="preserve">לדעת משרד מבקר המדינה, </w:t>
      </w:r>
      <w:r w:rsidRPr="00F41E78">
        <w:rPr>
          <w:rFonts w:hint="cs"/>
          <w:rtl/>
        </w:rPr>
        <w:t>ההבדלים בין הגורמים השונים בהגדרתם את שטח ה"דירה קטנה" בנגיעה ל</w:t>
      </w:r>
      <w:r w:rsidRPr="00F41E78">
        <w:rPr>
          <w:rtl/>
        </w:rPr>
        <w:t>מונח דיור בר השגה אינ</w:t>
      </w:r>
      <w:r w:rsidRPr="00F41E78">
        <w:rPr>
          <w:rFonts w:hint="cs"/>
          <w:rtl/>
        </w:rPr>
        <w:t>ם</w:t>
      </w:r>
      <w:r w:rsidRPr="00F41E78">
        <w:rPr>
          <w:rtl/>
        </w:rPr>
        <w:t xml:space="preserve"> סמנטי</w:t>
      </w:r>
      <w:r w:rsidRPr="00F41E78">
        <w:rPr>
          <w:rFonts w:hint="cs"/>
          <w:rtl/>
        </w:rPr>
        <w:t>ים</w:t>
      </w:r>
      <w:r w:rsidRPr="00F41E78">
        <w:rPr>
          <w:rtl/>
        </w:rPr>
        <w:t xml:space="preserve"> בלבד</w:t>
      </w:r>
      <w:r w:rsidRPr="00F41E78">
        <w:rPr>
          <w:rFonts w:hint="cs"/>
          <w:rtl/>
        </w:rPr>
        <w:t>.</w:t>
      </w:r>
      <w:r w:rsidRPr="00F41E78">
        <w:rPr>
          <w:rtl/>
        </w:rPr>
        <w:t xml:space="preserve"> </w:t>
      </w:r>
      <w:r w:rsidRPr="00F41E78">
        <w:rPr>
          <w:rFonts w:hint="cs"/>
          <w:rtl/>
        </w:rPr>
        <w:t>ההגדרות השונות מלמדות</w:t>
      </w:r>
      <w:r w:rsidRPr="00F41E78">
        <w:rPr>
          <w:rtl/>
        </w:rPr>
        <w:t xml:space="preserve"> על תפיסות שונות של הגופים הממשלתיים המעצבים את מדיניות הדיור הלאומית ואחראים </w:t>
      </w:r>
      <w:r w:rsidRPr="00F41E78">
        <w:rPr>
          <w:rFonts w:hint="cs"/>
          <w:rtl/>
        </w:rPr>
        <w:t>ל</w:t>
      </w:r>
      <w:r w:rsidRPr="00F41E78">
        <w:rPr>
          <w:rtl/>
        </w:rPr>
        <w:t xml:space="preserve">הוצאתה לפועל. </w:t>
      </w:r>
      <w:r w:rsidRPr="00F41E78">
        <w:rPr>
          <w:rFonts w:hint="cs"/>
          <w:rtl/>
        </w:rPr>
        <w:t>שטח</w:t>
      </w:r>
      <w:r w:rsidRPr="00F41E78">
        <w:rPr>
          <w:rtl/>
        </w:rPr>
        <w:t xml:space="preserve"> דירה</w:t>
      </w:r>
      <w:r w:rsidRPr="00F41E78">
        <w:rPr>
          <w:rFonts w:hint="cs"/>
          <w:rtl/>
        </w:rPr>
        <w:t xml:space="preserve"> קטנה,</w:t>
      </w:r>
      <w:r w:rsidRPr="00F41E78">
        <w:rPr>
          <w:rtl/>
        </w:rPr>
        <w:t xml:space="preserve"> </w:t>
      </w:r>
      <w:r w:rsidRPr="00F41E78">
        <w:rPr>
          <w:rFonts w:hint="cs"/>
          <w:rtl/>
        </w:rPr>
        <w:t>בייחוד</w:t>
      </w:r>
      <w:r w:rsidRPr="00F41E78">
        <w:rPr>
          <w:rtl/>
        </w:rPr>
        <w:t xml:space="preserve"> כשהוא פרמטר הקובע את מהותו של </w:t>
      </w:r>
      <w:r w:rsidRPr="00F41E78">
        <w:rPr>
          <w:rFonts w:hint="cs"/>
          <w:rtl/>
        </w:rPr>
        <w:t>ה</w:t>
      </w:r>
      <w:r w:rsidRPr="00F41E78">
        <w:rPr>
          <w:rtl/>
        </w:rPr>
        <w:t xml:space="preserve">דיור בר </w:t>
      </w:r>
      <w:r w:rsidRPr="00F41E78">
        <w:rPr>
          <w:rFonts w:hint="cs"/>
          <w:rtl/>
        </w:rPr>
        <w:t>ה</w:t>
      </w:r>
      <w:r w:rsidRPr="00F41E78">
        <w:rPr>
          <w:rtl/>
        </w:rPr>
        <w:t xml:space="preserve">השגה, מכוון לפלח אוכלוסייה </w:t>
      </w:r>
      <w:r w:rsidRPr="00F41E78">
        <w:rPr>
          <w:rFonts w:hint="cs"/>
          <w:rtl/>
        </w:rPr>
        <w:t>המוגדרת כ</w:t>
      </w:r>
      <w:r w:rsidRPr="00F41E78">
        <w:rPr>
          <w:rtl/>
        </w:rPr>
        <w:t>אוכלוסיית יעד לקבלת דיור בר השגה</w:t>
      </w:r>
      <w:r w:rsidRPr="00F41E78">
        <w:rPr>
          <w:rFonts w:hint="cs"/>
          <w:rtl/>
        </w:rPr>
        <w:t>;</w:t>
      </w:r>
      <w:r w:rsidRPr="00F41E78">
        <w:rPr>
          <w:rtl/>
        </w:rPr>
        <w:t xml:space="preserve"> </w:t>
      </w:r>
      <w:r w:rsidRPr="00F41E78">
        <w:rPr>
          <w:rFonts w:hint="cs"/>
          <w:rtl/>
        </w:rPr>
        <w:t>על פי</w:t>
      </w:r>
      <w:r w:rsidRPr="00F41E78">
        <w:rPr>
          <w:rtl/>
        </w:rPr>
        <w:t xml:space="preserve"> שטח </w:t>
      </w:r>
      <w:r w:rsidRPr="00F41E78">
        <w:rPr>
          <w:rFonts w:hint="cs"/>
          <w:rtl/>
        </w:rPr>
        <w:t>יחידות הדיור</w:t>
      </w:r>
      <w:r w:rsidRPr="00F41E78">
        <w:rPr>
          <w:rtl/>
        </w:rPr>
        <w:t xml:space="preserve"> </w:t>
      </w:r>
      <w:r w:rsidRPr="00F41E78">
        <w:rPr>
          <w:rFonts w:hint="cs"/>
          <w:rtl/>
        </w:rPr>
        <w:t>ה</w:t>
      </w:r>
      <w:r w:rsidRPr="00F41E78">
        <w:rPr>
          <w:rtl/>
        </w:rPr>
        <w:t xml:space="preserve">מקסימלי ניתן להעריך גם את המאפיינים </w:t>
      </w:r>
      <w:r w:rsidRPr="00F41E78">
        <w:rPr>
          <w:rFonts w:hint="cs"/>
          <w:rtl/>
        </w:rPr>
        <w:t>השונים</w:t>
      </w:r>
      <w:r w:rsidRPr="00F41E78">
        <w:rPr>
          <w:rtl/>
        </w:rPr>
        <w:t xml:space="preserve"> של אותו משק בית.</w:t>
      </w:r>
    </w:p>
    <w:p w:rsidR="00D22B16" w:rsidRPr="00F41E78" w:rsidP="00D22B16">
      <w:pPr>
        <w:pStyle w:val="RESHET"/>
        <w:keepLines/>
        <w:rPr>
          <w:rtl/>
        </w:rPr>
      </w:pPr>
      <w:r w:rsidRPr="00F41E78">
        <w:rPr>
          <w:rtl/>
        </w:rPr>
        <w:t>בה</w:t>
      </w:r>
      <w:r w:rsidRPr="00F41E78">
        <w:rPr>
          <w:rFonts w:hint="cs"/>
          <w:rtl/>
        </w:rPr>
        <w:t>י</w:t>
      </w:r>
      <w:r w:rsidRPr="00F41E78">
        <w:rPr>
          <w:rtl/>
        </w:rPr>
        <w:t>עדר "שפה משותפת" בין משרד הפנים ומוסדות התכנון, האחראים לתכנון ו</w:t>
      </w:r>
      <w:r w:rsidRPr="00F41E78">
        <w:rPr>
          <w:rFonts w:hint="cs"/>
          <w:rtl/>
        </w:rPr>
        <w:t>ל</w:t>
      </w:r>
      <w:r w:rsidRPr="00F41E78">
        <w:rPr>
          <w:rtl/>
        </w:rPr>
        <w:t xml:space="preserve">אישור </w:t>
      </w:r>
      <w:r w:rsidRPr="00F41E78">
        <w:rPr>
          <w:rFonts w:hint="cs"/>
          <w:rtl/>
        </w:rPr>
        <w:t>ה</w:t>
      </w:r>
      <w:r w:rsidRPr="00F41E78">
        <w:rPr>
          <w:rtl/>
        </w:rPr>
        <w:t xml:space="preserve">סטטוטורי של תכניות מתאר, </w:t>
      </w:r>
      <w:r w:rsidRPr="00F41E78">
        <w:rPr>
          <w:rFonts w:hint="cs"/>
          <w:rtl/>
        </w:rPr>
        <w:t>ו</w:t>
      </w:r>
      <w:r w:rsidRPr="00F41E78">
        <w:rPr>
          <w:rtl/>
        </w:rPr>
        <w:t>בין ר</w:t>
      </w:r>
      <w:r w:rsidRPr="00F41E78">
        <w:rPr>
          <w:rFonts w:hint="cs"/>
          <w:rtl/>
        </w:rPr>
        <w:t>מ"י</w:t>
      </w:r>
      <w:r w:rsidRPr="00F41E78">
        <w:rPr>
          <w:rtl/>
        </w:rPr>
        <w:t xml:space="preserve"> ומשרד הבינוי האחראים לייזום, </w:t>
      </w:r>
      <w:r w:rsidRPr="00F41E78">
        <w:rPr>
          <w:rFonts w:hint="cs"/>
          <w:rtl/>
        </w:rPr>
        <w:t>ל</w:t>
      </w:r>
      <w:r w:rsidRPr="00F41E78">
        <w:rPr>
          <w:rtl/>
        </w:rPr>
        <w:t>שיווק ו</w:t>
      </w:r>
      <w:r w:rsidRPr="00F41E78">
        <w:rPr>
          <w:rFonts w:hint="cs"/>
          <w:rtl/>
        </w:rPr>
        <w:t>ל</w:t>
      </w:r>
      <w:r w:rsidRPr="00F41E78">
        <w:rPr>
          <w:rtl/>
        </w:rPr>
        <w:t xml:space="preserve">ביצוע </w:t>
      </w:r>
      <w:r w:rsidRPr="00F41E78">
        <w:rPr>
          <w:rFonts w:hint="cs"/>
          <w:rtl/>
        </w:rPr>
        <w:t xml:space="preserve">של </w:t>
      </w:r>
      <w:r w:rsidRPr="00F41E78">
        <w:rPr>
          <w:rtl/>
        </w:rPr>
        <w:t xml:space="preserve">פרויקטים בתחום הדיור בר </w:t>
      </w:r>
      <w:r w:rsidRPr="00F41E78">
        <w:rPr>
          <w:rFonts w:hint="cs"/>
          <w:rtl/>
        </w:rPr>
        <w:t>ה</w:t>
      </w:r>
      <w:r w:rsidRPr="00F41E78">
        <w:rPr>
          <w:rtl/>
        </w:rPr>
        <w:t>השגה, נוצרת אי</w:t>
      </w:r>
      <w:r w:rsidRPr="00F41E78">
        <w:rPr>
          <w:rFonts w:hint="cs"/>
          <w:rtl/>
        </w:rPr>
        <w:t>-</w:t>
      </w:r>
      <w:r w:rsidRPr="00F41E78">
        <w:rPr>
          <w:rtl/>
        </w:rPr>
        <w:t xml:space="preserve">תאימות בין תכניות סטטוטוריות </w:t>
      </w:r>
      <w:r w:rsidRPr="00F41E78">
        <w:rPr>
          <w:rFonts w:hint="cs"/>
          <w:rtl/>
        </w:rPr>
        <w:t>תקפות</w:t>
      </w:r>
      <w:r w:rsidRPr="00F41E78">
        <w:rPr>
          <w:rtl/>
        </w:rPr>
        <w:t xml:space="preserve"> </w:t>
      </w:r>
      <w:r w:rsidRPr="00F41E78">
        <w:rPr>
          <w:rFonts w:hint="cs"/>
          <w:rtl/>
        </w:rPr>
        <w:t>ו</w:t>
      </w:r>
      <w:r w:rsidRPr="00F41E78">
        <w:rPr>
          <w:rtl/>
        </w:rPr>
        <w:t>בין הפרויקטים שמשרד הבינוי ורמ"י משווקים ליזמים פרטיים.</w:t>
      </w:r>
    </w:p>
    <w:p w:rsidR="00E97EDA" w:rsidRPr="00F41E78" w:rsidP="00C75E4D">
      <w:pPr>
        <w:spacing w:before="180" w:after="240" w:line="230" w:lineRule="exact"/>
        <w:jc w:val="both"/>
        <w:outlineLvl w:val="5"/>
        <w:rPr>
          <w:rFonts w:cs="FrankRuehl"/>
          <w:sz w:val="18"/>
          <w:szCs w:val="22"/>
          <w:rtl/>
          <w:lang w:eastAsia="he-IL"/>
        </w:rPr>
      </w:pPr>
      <w:r w:rsidRPr="00F41E78">
        <w:rPr>
          <w:rFonts w:cs="FrankRuehl" w:hint="eastAsia"/>
          <w:bCs/>
          <w:spacing w:val="40"/>
          <w:sz w:val="18"/>
          <w:szCs w:val="22"/>
          <w:rtl/>
        </w:rPr>
        <w:t>היעדר</w:t>
      </w:r>
      <w:r w:rsidRPr="00F41E78">
        <w:rPr>
          <w:rFonts w:cs="FrankRuehl"/>
          <w:bCs/>
          <w:spacing w:val="40"/>
          <w:sz w:val="18"/>
          <w:szCs w:val="22"/>
          <w:rtl/>
        </w:rPr>
        <w:t xml:space="preserve"> </w:t>
      </w:r>
      <w:r w:rsidRPr="00F41E78">
        <w:rPr>
          <w:rFonts w:cs="FrankRuehl" w:hint="eastAsia"/>
          <w:bCs/>
          <w:spacing w:val="40"/>
          <w:sz w:val="18"/>
          <w:szCs w:val="22"/>
          <w:rtl/>
        </w:rPr>
        <w:t>פרוגרמה</w:t>
      </w:r>
      <w:r w:rsidRPr="00F41E78">
        <w:rPr>
          <w:rFonts w:cs="FrankRuehl"/>
          <w:bCs/>
          <w:spacing w:val="40"/>
          <w:sz w:val="18"/>
          <w:szCs w:val="22"/>
          <w:rtl/>
        </w:rPr>
        <w:t xml:space="preserve"> </w:t>
      </w:r>
      <w:r w:rsidRPr="00F41E78">
        <w:rPr>
          <w:rFonts w:cs="FrankRuehl" w:hint="eastAsia"/>
          <w:bCs/>
          <w:spacing w:val="40"/>
          <w:sz w:val="18"/>
          <w:szCs w:val="22"/>
          <w:rtl/>
        </w:rPr>
        <w:t>ותכנית</w:t>
      </w:r>
      <w:r w:rsidRPr="00F41E78">
        <w:rPr>
          <w:rFonts w:cs="FrankRuehl"/>
          <w:bCs/>
          <w:spacing w:val="40"/>
          <w:sz w:val="18"/>
          <w:szCs w:val="22"/>
          <w:rtl/>
        </w:rPr>
        <w:t xml:space="preserve"> </w:t>
      </w:r>
      <w:r w:rsidRPr="00F41E78">
        <w:rPr>
          <w:rFonts w:cs="FrankRuehl" w:hint="eastAsia"/>
          <w:bCs/>
          <w:spacing w:val="40"/>
          <w:sz w:val="18"/>
          <w:szCs w:val="22"/>
          <w:rtl/>
        </w:rPr>
        <w:t>פעולה</w:t>
      </w:r>
      <w:r w:rsidRPr="00F41E78">
        <w:rPr>
          <w:rFonts w:cs="FrankRuehl"/>
          <w:bCs/>
          <w:spacing w:val="40"/>
          <w:sz w:val="18"/>
          <w:szCs w:val="22"/>
          <w:rtl/>
        </w:rPr>
        <w:t xml:space="preserve"> </w:t>
      </w:r>
      <w:r w:rsidRPr="00F41E78">
        <w:rPr>
          <w:rFonts w:cs="FrankRuehl" w:hint="eastAsia"/>
          <w:bCs/>
          <w:spacing w:val="40"/>
          <w:sz w:val="18"/>
          <w:szCs w:val="22"/>
          <w:rtl/>
        </w:rPr>
        <w:t>להשגת</w:t>
      </w:r>
      <w:r w:rsidRPr="00F41E78">
        <w:rPr>
          <w:rFonts w:cs="FrankRuehl"/>
          <w:bCs/>
          <w:spacing w:val="40"/>
          <w:sz w:val="18"/>
          <w:szCs w:val="22"/>
          <w:rtl/>
        </w:rPr>
        <w:t xml:space="preserve"> </w:t>
      </w:r>
      <w:r w:rsidRPr="00F41E78">
        <w:rPr>
          <w:rFonts w:cs="FrankRuehl" w:hint="eastAsia"/>
          <w:bCs/>
          <w:spacing w:val="40"/>
          <w:sz w:val="18"/>
          <w:szCs w:val="22"/>
          <w:rtl/>
        </w:rPr>
        <w:t>יעדים</w:t>
      </w:r>
      <w:r w:rsidRPr="00F41E78">
        <w:rPr>
          <w:rFonts w:cs="FrankRuehl"/>
          <w:bCs/>
          <w:spacing w:val="40"/>
          <w:sz w:val="18"/>
          <w:szCs w:val="22"/>
          <w:rtl/>
        </w:rPr>
        <w:t xml:space="preserve"> </w:t>
      </w:r>
      <w:r w:rsidRPr="00F41E78">
        <w:rPr>
          <w:rFonts w:cs="FrankRuehl" w:hint="eastAsia"/>
          <w:bCs/>
          <w:spacing w:val="40"/>
          <w:sz w:val="18"/>
          <w:szCs w:val="22"/>
          <w:rtl/>
        </w:rPr>
        <w:t>בתחום</w:t>
      </w:r>
      <w:r w:rsidRPr="00F41E78">
        <w:rPr>
          <w:rFonts w:cs="FrankRuehl"/>
          <w:bCs/>
          <w:spacing w:val="40"/>
          <w:sz w:val="18"/>
          <w:szCs w:val="22"/>
          <w:rtl/>
        </w:rPr>
        <w:t xml:space="preserve"> </w:t>
      </w:r>
      <w:r w:rsidRPr="00F41E78">
        <w:rPr>
          <w:rFonts w:cs="FrankRuehl" w:hint="eastAsia"/>
          <w:bCs/>
          <w:spacing w:val="40"/>
          <w:sz w:val="18"/>
          <w:szCs w:val="22"/>
          <w:rtl/>
        </w:rPr>
        <w:t>הדיור</w:t>
      </w:r>
      <w:r w:rsidRPr="00F41E78">
        <w:rPr>
          <w:rFonts w:cs="FrankRuehl"/>
          <w:bCs/>
          <w:spacing w:val="40"/>
          <w:sz w:val="18"/>
          <w:szCs w:val="22"/>
          <w:rtl/>
        </w:rPr>
        <w:t xml:space="preserve"> </w:t>
      </w:r>
      <w:r w:rsidRPr="00F41E78">
        <w:rPr>
          <w:rFonts w:cs="FrankRuehl" w:hint="eastAsia"/>
          <w:bCs/>
          <w:spacing w:val="40"/>
          <w:sz w:val="18"/>
          <w:szCs w:val="22"/>
          <w:rtl/>
        </w:rPr>
        <w:t>בר</w:t>
      </w:r>
      <w:r w:rsidRPr="00F41E78">
        <w:rPr>
          <w:rFonts w:cs="FrankRuehl"/>
          <w:bCs/>
          <w:spacing w:val="40"/>
          <w:sz w:val="18"/>
          <w:szCs w:val="22"/>
          <w:rtl/>
        </w:rPr>
        <w:t xml:space="preserve"> </w:t>
      </w:r>
      <w:r w:rsidRPr="00F41E78">
        <w:rPr>
          <w:rFonts w:cs="FrankRuehl" w:hint="eastAsia"/>
          <w:bCs/>
          <w:spacing w:val="40"/>
          <w:sz w:val="18"/>
          <w:szCs w:val="22"/>
          <w:rtl/>
        </w:rPr>
        <w:t>ההשגה</w:t>
      </w:r>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בפברואר 2008</w:t>
      </w:r>
      <w:r w:rsidRPr="00F41E78">
        <w:rPr>
          <w:rFonts w:cs="FrankRuehl"/>
          <w:sz w:val="18"/>
          <w:szCs w:val="22"/>
          <w:rtl/>
          <w:lang w:eastAsia="he-IL"/>
        </w:rPr>
        <w:t xml:space="preserve"> החליטה הוועדה המחוזית לתכנון ולבניה של מחוז תל אביב על הקמת צוות היגוי</w:t>
      </w:r>
      <w:r w:rsidRPr="00F41E78">
        <w:rPr>
          <w:rFonts w:cs="FrankRuehl" w:hint="cs"/>
          <w:sz w:val="18"/>
          <w:szCs w:val="22"/>
          <w:rtl/>
          <w:lang w:eastAsia="he-IL"/>
        </w:rPr>
        <w:t>,</w:t>
      </w:r>
      <w:r w:rsidRPr="00F41E78">
        <w:rPr>
          <w:rFonts w:cs="FrankRuehl"/>
          <w:sz w:val="18"/>
          <w:szCs w:val="22"/>
          <w:rtl/>
          <w:lang w:eastAsia="he-IL"/>
        </w:rPr>
        <w:t xml:space="preserve"> בהשתתפות נציגי</w:t>
      </w:r>
      <w:r w:rsidRPr="00F41E78">
        <w:rPr>
          <w:rFonts w:cs="FrankRuehl" w:hint="cs"/>
          <w:sz w:val="18"/>
          <w:szCs w:val="22"/>
          <w:rtl/>
          <w:lang w:eastAsia="he-IL"/>
        </w:rPr>
        <w:t>ם</w:t>
      </w:r>
      <w:r w:rsidRPr="00F41E78">
        <w:rPr>
          <w:rFonts w:cs="FrankRuehl"/>
          <w:sz w:val="18"/>
          <w:szCs w:val="22"/>
          <w:rtl/>
          <w:lang w:eastAsia="he-IL"/>
        </w:rPr>
        <w:t xml:space="preserve"> </w:t>
      </w:r>
      <w:r w:rsidRPr="00F41E78">
        <w:rPr>
          <w:rFonts w:cs="FrankRuehl" w:hint="cs"/>
          <w:sz w:val="18"/>
          <w:szCs w:val="22"/>
          <w:rtl/>
          <w:lang w:eastAsia="he-IL"/>
        </w:rPr>
        <w:t>מ</w:t>
      </w:r>
      <w:r w:rsidRPr="00F41E78">
        <w:rPr>
          <w:rFonts w:cs="FrankRuehl"/>
          <w:sz w:val="18"/>
          <w:szCs w:val="22"/>
          <w:rtl/>
          <w:lang w:eastAsia="he-IL"/>
        </w:rPr>
        <w:t>רשויות מקומיות,</w:t>
      </w:r>
      <w:r w:rsidRPr="00F41E78">
        <w:rPr>
          <w:rFonts w:cs="FrankRuehl" w:hint="cs"/>
          <w:sz w:val="18"/>
          <w:szCs w:val="22"/>
          <w:rtl/>
          <w:lang w:eastAsia="he-IL"/>
        </w:rPr>
        <w:t xml:space="preserve"> מ</w:t>
      </w:r>
      <w:r w:rsidRPr="00F41E78">
        <w:rPr>
          <w:rFonts w:cs="FrankRuehl"/>
          <w:sz w:val="18"/>
          <w:szCs w:val="22"/>
          <w:rtl/>
          <w:lang w:eastAsia="he-IL"/>
        </w:rPr>
        <w:t>רמ"י ו</w:t>
      </w:r>
      <w:r w:rsidRPr="00F41E78">
        <w:rPr>
          <w:rFonts w:cs="FrankRuehl" w:hint="cs"/>
          <w:sz w:val="18"/>
          <w:szCs w:val="22"/>
          <w:rtl/>
          <w:lang w:eastAsia="he-IL"/>
        </w:rPr>
        <w:t>מ</w:t>
      </w:r>
      <w:r w:rsidRPr="00F41E78">
        <w:rPr>
          <w:rFonts w:cs="FrankRuehl"/>
          <w:sz w:val="18"/>
          <w:szCs w:val="22"/>
          <w:rtl/>
          <w:lang w:eastAsia="he-IL"/>
        </w:rPr>
        <w:t>משרד הבינוי</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לצורכי תכנון</w:t>
      </w:r>
      <w:r w:rsidRPr="00F41E78">
        <w:rPr>
          <w:rFonts w:cs="FrankRuehl"/>
          <w:sz w:val="18"/>
          <w:szCs w:val="22"/>
          <w:rtl/>
          <w:lang w:eastAsia="he-IL"/>
        </w:rPr>
        <w:t xml:space="preserve"> </w:t>
      </w:r>
      <w:r w:rsidRPr="00F41E78">
        <w:rPr>
          <w:rFonts w:cs="FrankRuehl" w:hint="cs"/>
          <w:sz w:val="18"/>
          <w:szCs w:val="22"/>
          <w:rtl/>
          <w:lang w:eastAsia="he-IL"/>
        </w:rPr>
        <w:t xml:space="preserve">מפורט של מדיניות </w:t>
      </w:r>
      <w:r w:rsidRPr="00F41E78">
        <w:rPr>
          <w:rFonts w:cs="FrankRuehl"/>
          <w:sz w:val="18"/>
          <w:szCs w:val="22"/>
          <w:rtl/>
          <w:lang w:eastAsia="he-IL"/>
        </w:rPr>
        <w:t>מקומי</w:t>
      </w:r>
      <w:r w:rsidRPr="00F41E78">
        <w:rPr>
          <w:rFonts w:cs="FrankRuehl" w:hint="cs"/>
          <w:sz w:val="18"/>
          <w:szCs w:val="22"/>
          <w:rtl/>
          <w:lang w:eastAsia="he-IL"/>
        </w:rPr>
        <w:t>ת בין היתר בנושא</w:t>
      </w:r>
      <w:r w:rsidRPr="00F41E78">
        <w:rPr>
          <w:rFonts w:cs="FrankRuehl"/>
          <w:sz w:val="18"/>
          <w:szCs w:val="22"/>
          <w:rtl/>
          <w:lang w:eastAsia="he-IL"/>
        </w:rPr>
        <w:t xml:space="preserve"> דיור בר השגה. בסיכום עבודת צוות ההיגוי נקבע כי משרד הבינוי יכין פרוגרמה לדיור בר השגה הכוללת ניתוח של היעדים, הביקושים והצרכים לפי מחוזות לטווח</w:t>
      </w:r>
      <w:r w:rsidRPr="00F41E78">
        <w:rPr>
          <w:rFonts w:cs="FrankRuehl" w:hint="cs"/>
          <w:sz w:val="18"/>
          <w:szCs w:val="22"/>
          <w:rtl/>
          <w:lang w:eastAsia="he-IL"/>
        </w:rPr>
        <w:t>י</w:t>
      </w:r>
      <w:r w:rsidRPr="00F41E78">
        <w:rPr>
          <w:rFonts w:cs="FrankRuehl"/>
          <w:sz w:val="18"/>
          <w:szCs w:val="22"/>
          <w:rtl/>
          <w:lang w:eastAsia="he-IL"/>
        </w:rPr>
        <w:t xml:space="preserve"> הקצר והארוך (</w:t>
      </w:r>
      <w:r w:rsidRPr="00F41E78">
        <w:rPr>
          <w:rFonts w:cs="FrankRuehl" w:hint="cs"/>
          <w:sz w:val="18"/>
          <w:szCs w:val="22"/>
          <w:rtl/>
          <w:lang w:eastAsia="he-IL"/>
        </w:rPr>
        <w:t>עד 10 שנים ועד 20 שנים, בהתאמה</w:t>
      </w:r>
      <w:r w:rsidRPr="00F41E78">
        <w:rPr>
          <w:rFonts w:cs="FrankRuehl"/>
          <w:sz w:val="18"/>
          <w:szCs w:val="22"/>
          <w:rtl/>
          <w:lang w:eastAsia="he-IL"/>
        </w:rPr>
        <w:t xml:space="preserve">). עוד סוכם כי </w:t>
      </w:r>
      <w:r w:rsidRPr="00F41E78">
        <w:rPr>
          <w:rFonts w:cs="FrankRuehl" w:hint="cs"/>
          <w:sz w:val="18"/>
          <w:szCs w:val="22"/>
          <w:rtl/>
          <w:lang w:eastAsia="he-IL"/>
        </w:rPr>
        <w:t xml:space="preserve">על פי </w:t>
      </w:r>
      <w:r w:rsidRPr="00F41E78">
        <w:rPr>
          <w:rFonts w:cs="FrankRuehl"/>
          <w:sz w:val="18"/>
          <w:szCs w:val="22"/>
          <w:rtl/>
          <w:lang w:eastAsia="he-IL"/>
        </w:rPr>
        <w:t xml:space="preserve">הנתונים </w:t>
      </w:r>
      <w:r w:rsidRPr="00F41E78">
        <w:rPr>
          <w:rFonts w:cs="FrankRuehl" w:hint="cs"/>
          <w:sz w:val="18"/>
          <w:szCs w:val="22"/>
          <w:rtl/>
          <w:lang w:eastAsia="he-IL"/>
        </w:rPr>
        <w:t>ייבחנו</w:t>
      </w:r>
      <w:r w:rsidRPr="00F41E78">
        <w:rPr>
          <w:rFonts w:cs="FrankRuehl"/>
          <w:sz w:val="18"/>
          <w:szCs w:val="22"/>
          <w:rtl/>
          <w:lang w:eastAsia="he-IL"/>
        </w:rPr>
        <w:t xml:space="preserve"> נחיצות</w:t>
      </w:r>
      <w:r w:rsidRPr="00F41E78">
        <w:rPr>
          <w:rFonts w:cs="FrankRuehl" w:hint="cs"/>
          <w:sz w:val="18"/>
          <w:szCs w:val="22"/>
          <w:rtl/>
          <w:lang w:eastAsia="he-IL"/>
        </w:rPr>
        <w:t>ן</w:t>
      </w:r>
      <w:r w:rsidRPr="00F41E78">
        <w:rPr>
          <w:rFonts w:cs="FrankRuehl"/>
          <w:sz w:val="18"/>
          <w:szCs w:val="22"/>
          <w:rtl/>
          <w:lang w:eastAsia="he-IL"/>
        </w:rPr>
        <w:t xml:space="preserve"> והיקפ</w:t>
      </w:r>
      <w:r w:rsidRPr="00F41E78">
        <w:rPr>
          <w:rFonts w:cs="FrankRuehl" w:hint="cs"/>
          <w:sz w:val="18"/>
          <w:szCs w:val="22"/>
          <w:rtl/>
          <w:lang w:eastAsia="he-IL"/>
        </w:rPr>
        <w:t>ן</w:t>
      </w:r>
      <w:r w:rsidRPr="00F41E78">
        <w:rPr>
          <w:rFonts w:cs="FrankRuehl"/>
          <w:sz w:val="18"/>
          <w:szCs w:val="22"/>
          <w:rtl/>
          <w:lang w:eastAsia="he-IL"/>
        </w:rPr>
        <w:t xml:space="preserve"> של תכניות לדיור בר השגה.</w:t>
      </w:r>
    </w:p>
    <w:p w:rsidR="00D22B16" w:rsidRPr="00F41E78" w:rsidP="00D22B16">
      <w:pPr>
        <w:pStyle w:val="RESHET"/>
        <w:keepLines/>
        <w:rPr>
          <w:rtl/>
        </w:rPr>
      </w:pPr>
      <w:r w:rsidRPr="00F41E78">
        <w:rPr>
          <w:rtl/>
        </w:rPr>
        <w:t>הביקורת העלתה כי על אף החלטת</w:t>
      </w:r>
      <w:r w:rsidRPr="00F41E78">
        <w:rPr>
          <w:rFonts w:hint="cs"/>
          <w:rtl/>
        </w:rPr>
        <w:t>ו</w:t>
      </w:r>
      <w:r w:rsidRPr="00F41E78">
        <w:rPr>
          <w:rtl/>
        </w:rPr>
        <w:t xml:space="preserve"> </w:t>
      </w:r>
      <w:r w:rsidRPr="00F41E78">
        <w:rPr>
          <w:rFonts w:hint="cs"/>
          <w:rtl/>
        </w:rPr>
        <w:t xml:space="preserve">של </w:t>
      </w:r>
      <w:r w:rsidRPr="00F41E78">
        <w:rPr>
          <w:rtl/>
        </w:rPr>
        <w:t xml:space="preserve">צוות ההיגוי </w:t>
      </w:r>
      <w:r w:rsidRPr="00F41E78">
        <w:rPr>
          <w:rFonts w:hint="cs"/>
          <w:rtl/>
        </w:rPr>
        <w:t>ה</w:t>
      </w:r>
      <w:r w:rsidRPr="00F41E78">
        <w:rPr>
          <w:rtl/>
        </w:rPr>
        <w:t>בין-משרדי לא הכין משרד הבינוי פרוגרמות לדיור בר השגה.</w:t>
      </w:r>
    </w:p>
    <w:p w:rsidR="00D22B16" w:rsidRPr="00F41E78" w:rsidP="00D22B16">
      <w:pPr>
        <w:pStyle w:val="RESHET"/>
        <w:keepLines/>
        <w:rPr>
          <w:rtl/>
        </w:rPr>
      </w:pPr>
      <w:r w:rsidRPr="00F41E78">
        <w:rPr>
          <w:rFonts w:hint="cs"/>
          <w:rtl/>
        </w:rPr>
        <w:t>משרד מבקר המדינה העיר למשרד הבינוי כי מאחר שלא גיבש פרוגרמה לדיור בר השגה שבמסגרתה ייקבעו</w:t>
      </w:r>
      <w:r w:rsidRPr="00F41E78">
        <w:rPr>
          <w:rtl/>
        </w:rPr>
        <w:t xml:space="preserve"> יעדים כמותיים, </w:t>
      </w:r>
      <w:r w:rsidRPr="00F41E78">
        <w:rPr>
          <w:rFonts w:hint="cs"/>
          <w:rtl/>
        </w:rPr>
        <w:t>היקף ה</w:t>
      </w:r>
      <w:r w:rsidRPr="00F41E78">
        <w:rPr>
          <w:rtl/>
        </w:rPr>
        <w:t>ביקושים ו</w:t>
      </w:r>
      <w:r w:rsidRPr="00F41E78">
        <w:rPr>
          <w:rFonts w:hint="cs"/>
          <w:rtl/>
        </w:rPr>
        <w:t>אפיון ה</w:t>
      </w:r>
      <w:r w:rsidRPr="00F41E78">
        <w:rPr>
          <w:rtl/>
        </w:rPr>
        <w:t>צרכים לפי מחוזות ובטווחי זמן שונים</w:t>
      </w:r>
      <w:r w:rsidRPr="00F41E78">
        <w:rPr>
          <w:rFonts w:hint="cs"/>
          <w:rtl/>
        </w:rPr>
        <w:t xml:space="preserve">, הרי </w:t>
      </w:r>
      <w:r w:rsidRPr="00F41E78">
        <w:rPr>
          <w:rtl/>
        </w:rPr>
        <w:t xml:space="preserve">אין </w:t>
      </w:r>
      <w:r w:rsidRPr="00F41E78">
        <w:rPr>
          <w:rFonts w:hint="cs"/>
          <w:rtl/>
        </w:rPr>
        <w:t>הוא ואין מוסדות התכנון</w:t>
      </w:r>
      <w:r w:rsidRPr="00F41E78">
        <w:rPr>
          <w:rtl/>
        </w:rPr>
        <w:t xml:space="preserve"> </w:t>
      </w:r>
      <w:r w:rsidRPr="00F41E78">
        <w:rPr>
          <w:rFonts w:hint="cs"/>
          <w:rtl/>
        </w:rPr>
        <w:t>מחזיקים ב</w:t>
      </w:r>
      <w:r w:rsidRPr="00F41E78">
        <w:rPr>
          <w:rtl/>
        </w:rPr>
        <w:t>מידע ו</w:t>
      </w:r>
      <w:r w:rsidRPr="00F41E78">
        <w:rPr>
          <w:rFonts w:hint="cs"/>
          <w:rtl/>
        </w:rPr>
        <w:t>ב</w:t>
      </w:r>
      <w:r w:rsidRPr="00F41E78">
        <w:rPr>
          <w:rtl/>
        </w:rPr>
        <w:t>כלים ל</w:t>
      </w:r>
      <w:r w:rsidRPr="00F41E78">
        <w:rPr>
          <w:rFonts w:hint="cs"/>
          <w:rtl/>
        </w:rPr>
        <w:t xml:space="preserve">קיום תהליך </w:t>
      </w:r>
      <w:r w:rsidRPr="00F41E78">
        <w:rPr>
          <w:rtl/>
        </w:rPr>
        <w:t xml:space="preserve">קבלת החלטות מיטבי בדבר היקפו ואפיונו </w:t>
      </w:r>
      <w:r w:rsidRPr="00F41E78">
        <w:rPr>
          <w:rFonts w:hint="cs"/>
          <w:rtl/>
        </w:rPr>
        <w:t xml:space="preserve">של </w:t>
      </w:r>
      <w:r w:rsidRPr="00F41E78">
        <w:rPr>
          <w:rtl/>
        </w:rPr>
        <w:t>דיור בר השגה</w:t>
      </w:r>
      <w:r w:rsidRPr="00F41E78">
        <w:rPr>
          <w:rFonts w:hint="cs"/>
          <w:rtl/>
        </w:rPr>
        <w:t>; ובפועל, לא ניתן למלא אחר הצרכים של פלח אוכלוסייה רחב היקף</w:t>
      </w:r>
      <w:r w:rsidRPr="00F41E78">
        <w:rPr>
          <w:rtl/>
        </w:rPr>
        <w:t xml:space="preserve">. </w:t>
      </w:r>
    </w:p>
    <w:p w:rsidR="00E97EDA" w:rsidRPr="00F41E78" w:rsidP="00D57FF2">
      <w:pPr>
        <w:spacing w:before="180" w:after="240" w:line="230" w:lineRule="exact"/>
        <w:jc w:val="both"/>
        <w:rPr>
          <w:rFonts w:cs="FrankRuehl"/>
          <w:sz w:val="18"/>
          <w:szCs w:val="22"/>
          <w:rtl/>
          <w:lang w:eastAsia="he-IL"/>
        </w:rPr>
      </w:pPr>
      <w:r w:rsidRPr="00F41E78">
        <w:rPr>
          <w:rFonts w:cs="FrankRuehl" w:hint="eastAsia"/>
          <w:bCs/>
          <w:spacing w:val="40"/>
          <w:sz w:val="18"/>
          <w:szCs w:val="22"/>
          <w:rtl/>
        </w:rPr>
        <w:t>בסיס</w:t>
      </w:r>
      <w:r w:rsidRPr="00F41E78">
        <w:rPr>
          <w:rFonts w:cs="FrankRuehl"/>
          <w:bCs/>
          <w:spacing w:val="40"/>
          <w:sz w:val="18"/>
          <w:szCs w:val="22"/>
          <w:rtl/>
        </w:rPr>
        <w:t xml:space="preserve"> </w:t>
      </w:r>
      <w:r w:rsidRPr="00F41E78">
        <w:rPr>
          <w:rFonts w:cs="FrankRuehl" w:hint="eastAsia"/>
          <w:bCs/>
          <w:spacing w:val="40"/>
          <w:sz w:val="18"/>
          <w:szCs w:val="22"/>
          <w:rtl/>
        </w:rPr>
        <w:t>נתונים</w:t>
      </w:r>
      <w:r w:rsidRPr="00F41E78">
        <w:rPr>
          <w:rFonts w:cs="FrankRuehl"/>
          <w:bCs/>
          <w:spacing w:val="40"/>
          <w:sz w:val="18"/>
          <w:szCs w:val="22"/>
          <w:rtl/>
        </w:rPr>
        <w:t xml:space="preserve"> </w:t>
      </w:r>
      <w:r w:rsidRPr="00F41E78">
        <w:rPr>
          <w:rFonts w:cs="FrankRuehl" w:hint="eastAsia"/>
          <w:bCs/>
          <w:spacing w:val="40"/>
          <w:sz w:val="18"/>
          <w:szCs w:val="22"/>
          <w:rtl/>
        </w:rPr>
        <w:t>חסר</w:t>
      </w:r>
      <w:r w:rsidRPr="00F41E78">
        <w:rPr>
          <w:rFonts w:cs="FrankRuehl"/>
          <w:bCs/>
          <w:spacing w:val="40"/>
          <w:sz w:val="18"/>
          <w:szCs w:val="22"/>
          <w:rtl/>
        </w:rPr>
        <w:t xml:space="preserve"> </w:t>
      </w:r>
      <w:r w:rsidRPr="00F41E78">
        <w:rPr>
          <w:rFonts w:cs="FrankRuehl" w:hint="eastAsia"/>
          <w:bCs/>
          <w:spacing w:val="40"/>
          <w:sz w:val="18"/>
          <w:szCs w:val="22"/>
          <w:rtl/>
        </w:rPr>
        <w:t>בעניין</w:t>
      </w:r>
      <w:r w:rsidRPr="00F41E78">
        <w:rPr>
          <w:rFonts w:cs="FrankRuehl"/>
          <w:bCs/>
          <w:spacing w:val="40"/>
          <w:sz w:val="18"/>
          <w:szCs w:val="22"/>
          <w:rtl/>
        </w:rPr>
        <w:t xml:space="preserve"> </w:t>
      </w:r>
      <w:r w:rsidRPr="00F41E78">
        <w:rPr>
          <w:rFonts w:cs="FrankRuehl" w:hint="eastAsia"/>
          <w:bCs/>
          <w:spacing w:val="40"/>
          <w:sz w:val="18"/>
          <w:szCs w:val="22"/>
          <w:rtl/>
        </w:rPr>
        <w:t>ה</w:t>
      </w:r>
      <w:r w:rsidRPr="00F41E78">
        <w:rPr>
          <w:rFonts w:cs="FrankRuehl"/>
          <w:bCs/>
          <w:spacing w:val="40"/>
          <w:sz w:val="18"/>
          <w:szCs w:val="22"/>
          <w:rtl/>
        </w:rPr>
        <w:t xml:space="preserve">מלאי </w:t>
      </w:r>
      <w:r w:rsidRPr="00F41E78">
        <w:rPr>
          <w:rFonts w:cs="FrankRuehl" w:hint="eastAsia"/>
          <w:bCs/>
          <w:spacing w:val="40"/>
          <w:sz w:val="18"/>
          <w:szCs w:val="22"/>
          <w:rtl/>
        </w:rPr>
        <w:t>ה</w:t>
      </w:r>
      <w:r w:rsidRPr="00F41E78">
        <w:rPr>
          <w:rFonts w:cs="FrankRuehl"/>
          <w:bCs/>
          <w:spacing w:val="40"/>
          <w:sz w:val="18"/>
          <w:szCs w:val="22"/>
          <w:rtl/>
        </w:rPr>
        <w:t>תכנוני:</w:t>
      </w:r>
      <w:r w:rsidRPr="00F41E78">
        <w:rPr>
          <w:rFonts w:cs="FrankRuehl"/>
          <w:sz w:val="18"/>
          <w:szCs w:val="22"/>
          <w:rtl/>
          <w:lang w:eastAsia="he-IL"/>
        </w:rPr>
        <w:t xml:space="preserve"> </w:t>
      </w:r>
      <w:r w:rsidRPr="00F41E78">
        <w:rPr>
          <w:rFonts w:cs="FrankRuehl" w:hint="cs"/>
          <w:sz w:val="18"/>
          <w:szCs w:val="22"/>
          <w:rtl/>
          <w:lang w:eastAsia="he-IL"/>
        </w:rPr>
        <w:t>כאמור,</w:t>
      </w:r>
      <w:r w:rsidRPr="00F41E78">
        <w:rPr>
          <w:rFonts w:cs="FrankRuehl"/>
          <w:sz w:val="18"/>
          <w:szCs w:val="22"/>
          <w:rtl/>
          <w:lang w:eastAsia="he-IL"/>
        </w:rPr>
        <w:t xml:space="preserve"> יצירת מלאי תכנוני זמין, </w:t>
      </w:r>
      <w:r w:rsidRPr="00F41E78">
        <w:rPr>
          <w:rFonts w:cs="FrankRuehl" w:hint="cs"/>
          <w:sz w:val="18"/>
          <w:szCs w:val="22"/>
          <w:rtl/>
          <w:lang w:eastAsia="he-IL"/>
        </w:rPr>
        <w:t xml:space="preserve">לרבות מלאי תכנוני זמין לדיור בר השגה על סוגיו השונים, </w:t>
      </w:r>
      <w:r w:rsidRPr="00F41E78">
        <w:rPr>
          <w:rFonts w:cs="FrankRuehl"/>
          <w:sz w:val="18"/>
          <w:szCs w:val="22"/>
          <w:rtl/>
          <w:lang w:eastAsia="he-IL"/>
        </w:rPr>
        <w:t>בפריסה התואמת את הביקוש ואת מדיניות הממשלה</w:t>
      </w:r>
      <w:r w:rsidRPr="00F41E78">
        <w:rPr>
          <w:rFonts w:cs="FrankRuehl" w:hint="cs"/>
          <w:sz w:val="18"/>
          <w:szCs w:val="22"/>
          <w:rtl/>
          <w:lang w:eastAsia="he-IL"/>
        </w:rPr>
        <w:t>,</w:t>
      </w:r>
      <w:r w:rsidRPr="00F41E78">
        <w:rPr>
          <w:rFonts w:cs="FrankRuehl"/>
          <w:sz w:val="18"/>
          <w:szCs w:val="22"/>
          <w:rtl/>
          <w:lang w:eastAsia="he-IL"/>
        </w:rPr>
        <w:t xml:space="preserve"> היא תנאי הכרחי לעמידה בביקושים ולשמירה על יציבות מחירי הדיור.</w:t>
      </w:r>
    </w:p>
    <w:p w:rsidR="00D22B16" w:rsidRPr="00F41E78" w:rsidP="00D22B16">
      <w:pPr>
        <w:pStyle w:val="RESHET"/>
        <w:keepLines/>
        <w:rPr>
          <w:rtl/>
        </w:rPr>
      </w:pPr>
      <w:r w:rsidRPr="00F41E78">
        <w:rPr>
          <w:rFonts w:hint="cs"/>
          <w:rtl/>
        </w:rPr>
        <w:t xml:space="preserve">הביקורת העלתה כי אין בידי המשרדים והמוסדות השלטוניים הנוגעים בדבר, ובעיקר </w:t>
      </w:r>
      <w:r w:rsidRPr="00F41E78">
        <w:rPr>
          <w:rFonts w:hint="cs"/>
          <w:rtl/>
        </w:rPr>
        <w:softHyphen/>
        <w:t>משרד הבינוי, מינהל התכנון ורמ"י, נתונים תקפים ומלאים על המלאי התכנוני הזמין המתאים לשיווק קרקעות המדינה על פי מסלול "מחיר דירה למשתכן" ומסלול "השכרה לטווח ארוך במחיר מפוקח". רק ביוני 2012, בעקבות הוראה מפורשת שנקבעה בחוק הווד"לים, החל מינהל התכנון לעקוב אחר מספר היחידות של הדיור בר ההשגה שאישרו הווד"לים ולפרסם נתונים אלו.</w:t>
      </w:r>
    </w:p>
    <w:p w:rsidR="00E97EDA" w:rsidRPr="00F41E78" w:rsidP="00A7557B">
      <w:pPr>
        <w:keepNext/>
        <w:keepLines/>
        <w:spacing w:after="120" w:line="230" w:lineRule="exact"/>
        <w:jc w:val="both"/>
        <w:outlineLvl w:val="6"/>
        <w:rPr>
          <w:rFonts w:cs="FrankRuehl"/>
          <w:bCs/>
          <w:spacing w:val="40"/>
          <w:sz w:val="18"/>
          <w:szCs w:val="22"/>
          <w:rtl/>
          <w:lang w:eastAsia="he-IL"/>
        </w:rPr>
      </w:pPr>
      <w:r w:rsidRPr="00F41E78">
        <w:rPr>
          <w:rFonts w:cs="FrankRuehl" w:hint="cs"/>
          <w:bCs/>
          <w:spacing w:val="40"/>
          <w:sz w:val="18"/>
          <w:szCs w:val="22"/>
          <w:rtl/>
          <w:lang w:eastAsia="he-IL"/>
        </w:rPr>
        <w:t>פעולות והחלטות של קבינט הדיור בנושא דיור בר השגה</w:t>
      </w:r>
      <w:r w:rsidRPr="00F41E78">
        <w:rPr>
          <w:rFonts w:cs="FrankRuehl"/>
          <w:bCs/>
          <w:spacing w:val="40"/>
          <w:sz w:val="18"/>
          <w:szCs w:val="22"/>
          <w:rtl/>
          <w:lang w:eastAsia="he-IL"/>
        </w:rPr>
        <w:t xml:space="preserve">: </w:t>
      </w:r>
    </w:p>
    <w:p w:rsidR="00E97EDA" w:rsidRPr="00F41E78" w:rsidP="003D6B99">
      <w:pPr>
        <w:spacing w:after="120" w:line="230" w:lineRule="exact"/>
        <w:jc w:val="both"/>
        <w:rPr>
          <w:rFonts w:cs="FrankRuehl"/>
          <w:sz w:val="18"/>
          <w:szCs w:val="22"/>
          <w:rtl/>
          <w:lang w:eastAsia="he-IL"/>
        </w:rPr>
      </w:pPr>
      <w:r w:rsidRPr="00F41E78">
        <w:rPr>
          <w:rFonts w:cs="FrankRuehl" w:hint="cs"/>
          <w:sz w:val="18"/>
          <w:szCs w:val="22"/>
          <w:rtl/>
          <w:lang w:eastAsia="he-IL"/>
        </w:rPr>
        <w:t>מעיון בהחלטות הממשלה שהתקבלו בנושא זה על בסיס החלטות קבינט הדיור בחודשים מאי-נובמבר 2013 עולה כי ההחלטות עסקו בנושאים אלו:</w:t>
      </w:r>
    </w:p>
    <w:p w:rsidR="00E97EDA" w:rsidRPr="00F41E78" w:rsidP="00D57FF2">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1.</w:t>
      </w:r>
      <w:r w:rsidRPr="00F41E78">
        <w:rPr>
          <w:rFonts w:cs="FrankRuehl" w:hint="cs"/>
          <w:sz w:val="18"/>
          <w:szCs w:val="22"/>
          <w:rtl/>
          <w:lang w:eastAsia="he-IL"/>
        </w:rPr>
        <w:tab/>
        <w:t xml:space="preserve">החלטה מס' 300 והחלטה מס' 301 ממאי 2013 עסקו בעיקר בהקמת מטה במשרד האוצר שירכז את הפעלת הפרויקט הלאומי לדיור שבמסגרתו ייבנו 150,000 </w:t>
      </w:r>
      <w:r w:rsidRPr="00F41E78">
        <w:rPr>
          <w:rFonts w:cs="FrankRuehl"/>
          <w:sz w:val="18"/>
          <w:szCs w:val="22"/>
          <w:rtl/>
          <w:lang w:eastAsia="he-IL"/>
        </w:rPr>
        <w:t>יח"ד בעשור הקרוב</w:t>
      </w:r>
      <w:r w:rsidRPr="00F41E78">
        <w:rPr>
          <w:rFonts w:cs="FrankRuehl" w:hint="cs"/>
          <w:sz w:val="18"/>
          <w:szCs w:val="22"/>
          <w:rtl/>
          <w:lang w:eastAsia="he-IL"/>
        </w:rPr>
        <w:t>, וכן ב</w:t>
      </w:r>
      <w:r w:rsidRPr="00F41E78">
        <w:rPr>
          <w:rFonts w:cs="FrankRuehl"/>
          <w:sz w:val="18"/>
          <w:szCs w:val="22"/>
          <w:rtl/>
          <w:lang w:eastAsia="he-IL"/>
        </w:rPr>
        <w:t xml:space="preserve">הקמת </w:t>
      </w:r>
      <w:r w:rsidRPr="00F41E78">
        <w:rPr>
          <w:rFonts w:cs="FrankRuehl" w:hint="cs"/>
          <w:sz w:val="18"/>
          <w:szCs w:val="22"/>
          <w:rtl/>
          <w:lang w:eastAsia="he-IL"/>
        </w:rPr>
        <w:t>ה</w:t>
      </w:r>
      <w:r w:rsidRPr="00F41E78">
        <w:rPr>
          <w:rFonts w:cs="FrankRuehl"/>
          <w:sz w:val="18"/>
          <w:szCs w:val="22"/>
          <w:rtl/>
          <w:lang w:eastAsia="he-IL"/>
        </w:rPr>
        <w:t>צוות</w:t>
      </w:r>
      <w:r w:rsidRPr="00F41E78">
        <w:rPr>
          <w:rFonts w:cs="FrankRuehl" w:hint="cs"/>
          <w:sz w:val="18"/>
          <w:szCs w:val="22"/>
          <w:rtl/>
          <w:lang w:eastAsia="he-IL"/>
        </w:rPr>
        <w:t xml:space="preserve"> הבין-משרדי </w:t>
      </w:r>
      <w:r w:rsidRPr="00F41E78">
        <w:rPr>
          <w:rFonts w:cs="FrankRuehl"/>
          <w:sz w:val="18"/>
          <w:szCs w:val="22"/>
          <w:rtl/>
          <w:lang w:eastAsia="he-IL"/>
        </w:rPr>
        <w:t>שיגבש</w:t>
      </w:r>
      <w:r w:rsidRPr="00F41E78">
        <w:rPr>
          <w:rFonts w:cs="FrankRuehl" w:hint="cs"/>
          <w:sz w:val="18"/>
          <w:szCs w:val="22"/>
          <w:rtl/>
          <w:lang w:eastAsia="he-IL"/>
        </w:rPr>
        <w:t xml:space="preserve"> בתוך 90 יום</w:t>
      </w:r>
      <w:r w:rsidRPr="00F41E78">
        <w:rPr>
          <w:rFonts w:cs="FrankRuehl"/>
          <w:sz w:val="18"/>
          <w:szCs w:val="22"/>
          <w:rtl/>
          <w:lang w:eastAsia="he-IL"/>
        </w:rPr>
        <w:t xml:space="preserve"> תכנית ממשלתית </w:t>
      </w:r>
      <w:r w:rsidRPr="00F41E78">
        <w:rPr>
          <w:rFonts w:cs="FrankRuehl" w:hint="cs"/>
          <w:sz w:val="18"/>
          <w:szCs w:val="22"/>
          <w:rtl/>
          <w:lang w:eastAsia="he-IL"/>
        </w:rPr>
        <w:t xml:space="preserve">עבור הפרויקט הלאומי לדיור; </w:t>
      </w:r>
    </w:p>
    <w:p w:rsidR="00E97EDA" w:rsidRPr="00F41E78" w:rsidP="00D57FF2">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2.</w:t>
      </w:r>
      <w:r w:rsidRPr="00F41E78">
        <w:rPr>
          <w:rFonts w:cs="FrankRuehl" w:hint="cs"/>
          <w:sz w:val="18"/>
          <w:szCs w:val="22"/>
          <w:rtl/>
          <w:lang w:eastAsia="he-IL"/>
        </w:rPr>
        <w:tab/>
        <w:t>החלטה מס' 372 מיוני 2013 עסקה בה</w:t>
      </w:r>
      <w:r w:rsidRPr="00F41E78">
        <w:rPr>
          <w:rFonts w:cs="FrankRuehl"/>
          <w:sz w:val="18"/>
          <w:szCs w:val="22"/>
          <w:rtl/>
          <w:lang w:eastAsia="he-IL"/>
        </w:rPr>
        <w:t>סרת חסמי</w:t>
      </w:r>
      <w:r w:rsidRPr="00F41E78">
        <w:rPr>
          <w:rFonts w:cs="FrankRuehl" w:hint="cs"/>
          <w:sz w:val="18"/>
          <w:szCs w:val="22"/>
          <w:rtl/>
          <w:lang w:eastAsia="he-IL"/>
        </w:rPr>
        <w:t xml:space="preserve"> מיסוי ותכנון</w:t>
      </w:r>
      <w:r w:rsidRPr="00F41E78">
        <w:rPr>
          <w:rFonts w:cs="FrankRuehl"/>
          <w:sz w:val="18"/>
          <w:szCs w:val="22"/>
          <w:rtl/>
          <w:lang w:eastAsia="he-IL"/>
        </w:rPr>
        <w:t xml:space="preserve"> בבנייה להשכרה לטווח ארוך</w:t>
      </w:r>
      <w:r w:rsidRPr="00F41E78">
        <w:rPr>
          <w:rFonts w:cs="FrankRuehl" w:hint="cs"/>
          <w:sz w:val="18"/>
          <w:szCs w:val="22"/>
          <w:rtl/>
          <w:lang w:eastAsia="he-IL"/>
        </w:rPr>
        <w:t xml:space="preserve">; </w:t>
      </w:r>
    </w:p>
    <w:p w:rsidR="00E97EDA" w:rsidRPr="00F41E78" w:rsidP="00D57FF2">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3.</w:t>
      </w:r>
      <w:r w:rsidRPr="00F41E78">
        <w:rPr>
          <w:rFonts w:cs="FrankRuehl" w:hint="cs"/>
          <w:sz w:val="18"/>
          <w:szCs w:val="22"/>
          <w:rtl/>
          <w:lang w:eastAsia="he-IL"/>
        </w:rPr>
        <w:tab/>
        <w:t xml:space="preserve">החלטה מס' 547 מיולי 2013 קבעה תבחינים לזכאי דיור במחיר מופחת הן לבעל דירה הן לשוכר דירה; </w:t>
      </w:r>
    </w:p>
    <w:p w:rsidR="00E97EDA" w:rsidRPr="00F41E78" w:rsidP="00D57FF2">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4.</w:t>
      </w:r>
      <w:r w:rsidRPr="00F41E78">
        <w:rPr>
          <w:rFonts w:cs="FrankRuehl" w:hint="cs"/>
          <w:sz w:val="18"/>
          <w:szCs w:val="22"/>
          <w:rtl/>
          <w:lang w:eastAsia="he-IL"/>
        </w:rPr>
        <w:tab/>
        <w:t>החלטה מס' 770 מאוקטובר 2013 והחלטה מס' 988 מנובמבר 2013 קבעו הסדרים להקמת החברה הממשלתית החדשה שגם היא תועסק ב</w:t>
      </w:r>
      <w:r w:rsidRPr="00F41E78">
        <w:rPr>
          <w:rFonts w:cs="FrankRuehl"/>
          <w:sz w:val="18"/>
          <w:szCs w:val="22"/>
          <w:rtl/>
          <w:lang w:eastAsia="he-IL"/>
        </w:rPr>
        <w:t>פרויקט הלאומי לדיור</w:t>
      </w:r>
      <w:r w:rsidRPr="00F41E78">
        <w:rPr>
          <w:rFonts w:cs="FrankRuehl" w:hint="cs"/>
          <w:sz w:val="18"/>
          <w:szCs w:val="22"/>
          <w:rtl/>
          <w:lang w:eastAsia="he-IL"/>
        </w:rPr>
        <w:t xml:space="preserve">; </w:t>
      </w:r>
    </w:p>
    <w:p w:rsidR="00E97EDA" w:rsidRPr="00F41E78" w:rsidP="00D57FF2">
      <w:pPr>
        <w:spacing w:after="120" w:line="230" w:lineRule="exact"/>
        <w:ind w:left="340" w:hanging="340"/>
        <w:jc w:val="both"/>
        <w:rPr>
          <w:rFonts w:cs="FrankRuehl"/>
          <w:sz w:val="18"/>
          <w:szCs w:val="22"/>
          <w:rtl/>
          <w:lang w:eastAsia="he-IL"/>
        </w:rPr>
      </w:pPr>
      <w:r w:rsidRPr="00F41E78">
        <w:rPr>
          <w:rFonts w:cs="FrankRuehl" w:hint="cs"/>
          <w:sz w:val="18"/>
          <w:szCs w:val="22"/>
          <w:rtl/>
          <w:lang w:eastAsia="he-IL"/>
        </w:rPr>
        <w:t>5.</w:t>
      </w:r>
      <w:r w:rsidRPr="00F41E78">
        <w:rPr>
          <w:rFonts w:cs="FrankRuehl" w:hint="cs"/>
          <w:sz w:val="18"/>
          <w:szCs w:val="22"/>
          <w:rtl/>
          <w:lang w:eastAsia="he-IL"/>
        </w:rPr>
        <w:tab/>
        <w:t>בהחלטה מס' 987 מנובמבר 2013 אומצו</w:t>
      </w:r>
      <w:r w:rsidRPr="00F41E78">
        <w:rPr>
          <w:rFonts w:cs="FrankRuehl"/>
          <w:sz w:val="18"/>
          <w:szCs w:val="22"/>
          <w:rtl/>
          <w:lang w:eastAsia="he-IL"/>
        </w:rPr>
        <w:t xml:space="preserve"> </w:t>
      </w:r>
      <w:r w:rsidRPr="00F41E78">
        <w:rPr>
          <w:rFonts w:cs="FrankRuehl" w:hint="cs"/>
          <w:sz w:val="18"/>
          <w:szCs w:val="22"/>
          <w:rtl/>
          <w:lang w:eastAsia="he-IL"/>
        </w:rPr>
        <w:t>המלצותיו</w:t>
      </w:r>
      <w:r w:rsidRPr="00F41E78">
        <w:rPr>
          <w:rFonts w:cs="FrankRuehl"/>
          <w:sz w:val="18"/>
          <w:szCs w:val="22"/>
          <w:rtl/>
          <w:lang w:eastAsia="he-IL"/>
        </w:rPr>
        <w:t xml:space="preserve"> של הצוות הבין</w:t>
      </w:r>
      <w:r w:rsidRPr="00F41E78">
        <w:rPr>
          <w:rFonts w:cs="FrankRuehl" w:hint="cs"/>
          <w:sz w:val="18"/>
          <w:szCs w:val="22"/>
          <w:rtl/>
          <w:lang w:eastAsia="he-IL"/>
        </w:rPr>
        <w:t>-</w:t>
      </w:r>
      <w:r w:rsidRPr="00F41E78">
        <w:rPr>
          <w:rFonts w:cs="FrankRuehl"/>
          <w:sz w:val="18"/>
          <w:szCs w:val="22"/>
          <w:rtl/>
          <w:lang w:eastAsia="he-IL"/>
        </w:rPr>
        <w:t xml:space="preserve">משרדי </w:t>
      </w:r>
      <w:r w:rsidRPr="00F41E78">
        <w:rPr>
          <w:rFonts w:cs="FrankRuehl" w:hint="cs"/>
          <w:sz w:val="18"/>
          <w:szCs w:val="22"/>
          <w:rtl/>
          <w:lang w:eastAsia="he-IL"/>
        </w:rPr>
        <w:t>בעניין</w:t>
      </w:r>
      <w:r w:rsidRPr="00F41E78">
        <w:rPr>
          <w:rFonts w:cs="FrankRuehl"/>
          <w:sz w:val="18"/>
          <w:szCs w:val="22"/>
          <w:rtl/>
          <w:lang w:eastAsia="he-IL"/>
        </w:rPr>
        <w:t xml:space="preserve"> הפרויקט </w:t>
      </w:r>
      <w:r w:rsidRPr="00F41E78">
        <w:rPr>
          <w:rFonts w:cs="FrankRuehl" w:hint="cs"/>
          <w:sz w:val="18"/>
          <w:szCs w:val="22"/>
          <w:rtl/>
          <w:lang w:eastAsia="he-IL"/>
        </w:rPr>
        <w:t>ה</w:t>
      </w:r>
      <w:r w:rsidRPr="00F41E78">
        <w:rPr>
          <w:rFonts w:cs="FrankRuehl"/>
          <w:sz w:val="18"/>
          <w:szCs w:val="22"/>
          <w:rtl/>
          <w:lang w:eastAsia="he-IL"/>
        </w:rPr>
        <w:t>לאומי לדיור</w:t>
      </w:r>
      <w:r w:rsidRPr="00F41E78">
        <w:rPr>
          <w:rFonts w:cs="FrankRuehl" w:hint="cs"/>
          <w:sz w:val="18"/>
          <w:szCs w:val="22"/>
          <w:rtl/>
          <w:lang w:eastAsia="he-IL"/>
        </w:rPr>
        <w:t xml:space="preserve">. בהחלטה נקבע כי מתחמים לדיור לאומי יוכרזו כבעלי עדיפות עליונה והאחריות לקידום התכנון, לפיתוח המתחמים ולהסדרת זמינותם תוטל על החברה "דירה להשכיר", על רמ"י ועל משרד הבינוי. עוד נקבע כי מוסדות תכנון ייעודיים יבצעו את הליכי התכנון הסטטוטורי של המתחמים במישור הארצי ושיווק המתחמים יגובה במנגנון של רשת ביטחון בכפוף להחלטות החשבת הכללית. </w:t>
      </w:r>
    </w:p>
    <w:p w:rsidR="00E97EDA" w:rsidRPr="00F41E78" w:rsidP="00D57FF2">
      <w:pPr>
        <w:spacing w:after="240" w:line="230" w:lineRule="exact"/>
        <w:jc w:val="both"/>
        <w:rPr>
          <w:rFonts w:cs="FrankRuehl"/>
          <w:b/>
          <w:sz w:val="18"/>
          <w:szCs w:val="22"/>
          <w:rtl/>
        </w:rPr>
      </w:pPr>
      <w:r w:rsidRPr="00F41E78">
        <w:rPr>
          <w:rFonts w:cs="FrankRuehl" w:hint="cs"/>
          <w:sz w:val="18"/>
          <w:szCs w:val="22"/>
          <w:rtl/>
        </w:rPr>
        <w:t xml:space="preserve">באפריל 2014, לאחר סיום הביקורת, קיבל קבינט הדיור שתי החלטות נוספות בנושאים בעלי זיקה לתחום דיור בר השגה, שקיבלו תוקף החלטות ממשלה. החלטה מס' 530 בנושא "מע"מ אפס לרוכשי דירה ראשונה" - שר האוצר הפיץ תזכיר חוק ולפיו עסקה למכירת דירת מגורים הנמכרת לראשונה מקבלן לזכאים, שתבוצע לאחר כניסת החוק לתוקף, תזכה בהטבה של מע"ם בשיעור אפס לעניין עסקה זו (להלן - הטבת מע"ם אפס). </w:t>
      </w:r>
      <w:r w:rsidRPr="00F41E78">
        <w:rPr>
          <w:rFonts w:cs="FrankRuehl"/>
          <w:sz w:val="18"/>
          <w:szCs w:val="22"/>
          <w:rtl/>
        </w:rPr>
        <w:t xml:space="preserve">נכון לאוגוסט 2014 הכנסת טרם אישרה את החוק </w:t>
      </w:r>
      <w:r w:rsidRPr="00F41E78">
        <w:rPr>
          <w:rFonts w:cs="FrankRuehl" w:hint="cs"/>
          <w:sz w:val="18"/>
          <w:szCs w:val="22"/>
          <w:rtl/>
        </w:rPr>
        <w:t xml:space="preserve">המוצע, </w:t>
      </w:r>
      <w:r w:rsidRPr="00F41E78">
        <w:rPr>
          <w:rFonts w:cs="FrankRuehl"/>
          <w:sz w:val="18"/>
          <w:szCs w:val="22"/>
          <w:rtl/>
        </w:rPr>
        <w:t>לכן טרם הוחל בשיווק קרקעות במסלול זה</w:t>
      </w:r>
      <w:r w:rsidRPr="00F41E78">
        <w:rPr>
          <w:rFonts w:cs="FrankRuehl" w:hint="cs"/>
          <w:sz w:val="18"/>
          <w:szCs w:val="22"/>
          <w:rtl/>
        </w:rPr>
        <w:t xml:space="preserve">. החלטה מס' 532 בנושא "שיווק יחידות הדיור במתכונת 'מחיר מטרה'" ולפיה יכין צוות בין-משרדי, בראשותו של שר האוצר, תכנית לפרסום מכרזים לצורך בנייה למגורים, באופן שייקבע מחיר מרבי לדירה הנמוך בכ-20% ממחירי השוק. </w:t>
      </w:r>
    </w:p>
    <w:p w:rsidR="00D22B16" w:rsidRPr="00F41E78" w:rsidP="00D22B16">
      <w:pPr>
        <w:pStyle w:val="RESHET"/>
        <w:keepLines/>
        <w:rPr>
          <w:rtl/>
        </w:rPr>
      </w:pPr>
      <w:r w:rsidRPr="00F41E78">
        <w:rPr>
          <w:rFonts w:hint="cs"/>
          <w:rtl/>
        </w:rPr>
        <w:t xml:space="preserve">לדעת משרד מבקר המדינה, בכל החלטות הממשלה האמורות יש משום תפנית המקדמת את התוויית המדיניות בתחום הדיור בר ההשגה; הממשלה הציבה יעד כמותי ברור לבנייתן של כ-150,000 יח"ד בעשור הקרוב במסגרת </w:t>
      </w:r>
      <w:r w:rsidRPr="00F41E78">
        <w:rPr>
          <w:rtl/>
        </w:rPr>
        <w:t>הפרויקט הלאומי לדיור</w:t>
      </w:r>
      <w:r w:rsidRPr="00F41E78">
        <w:rPr>
          <w:rFonts w:hint="cs"/>
          <w:rtl/>
        </w:rPr>
        <w:t>. הממשלה החליטה להגביר את מעורבותה בהיבט התקציבי - באמצעות הענקת רשת ביטחון כלכלית ליזמים, מתן הנחות על מחיר הקרקע שבבעלות המדינה ומתן הקלות והנחות מס עבור בנייה להשכרה (ראו להלן). כמו כן נקבעה תפיסה ולפיה יש לתת עדיפות לדיור להשכרה, שחלקו יימכר במחיר מופחת ממחיר השוק כדי ליצור הלימה בין צורכי אוכלוסיית היעד לדיור בר השגה.</w:t>
      </w:r>
    </w:p>
    <w:p w:rsidR="00D22B16" w:rsidRPr="00F41E78" w:rsidP="00D22B16">
      <w:pPr>
        <w:pStyle w:val="RESHET"/>
        <w:keepLines/>
        <w:rPr>
          <w:rtl/>
        </w:rPr>
      </w:pPr>
      <w:r w:rsidRPr="00F41E78">
        <w:rPr>
          <w:rFonts w:hint="cs"/>
          <w:rtl/>
        </w:rPr>
        <w:t xml:space="preserve">לדעת משרד מבקר המדינה, אף שמדובר בצעדים מהותיים לקידום דיור בהישג יד, במועד סיום הביקורת עדיין נותר על כנו הצורך בהסדרה של תחום הדיור בר ההשגה בכללותו כמרכיב חיוני במדיניות הדיור </w:t>
      </w:r>
      <w:r w:rsidRPr="00F41E78">
        <w:rPr>
          <w:rFonts w:hint="eastAsia"/>
          <w:rtl/>
        </w:rPr>
        <w:t>הממשלתית</w:t>
      </w:r>
      <w:r w:rsidRPr="00F41E78">
        <w:rPr>
          <w:rFonts w:hint="cs"/>
          <w:rtl/>
        </w:rPr>
        <w:t xml:space="preserve"> הכוללת וארוכת הטווח.</w:t>
      </w:r>
    </w:p>
    <w:p w:rsidR="00D57FF2" w:rsidP="00D57FF2">
      <w:pPr>
        <w:spacing w:after="120" w:line="230" w:lineRule="exact"/>
        <w:jc w:val="both"/>
        <w:rPr>
          <w:rFonts w:cs="FrankRuehl"/>
          <w:sz w:val="22"/>
          <w:szCs w:val="22"/>
          <w:rtl/>
        </w:rPr>
      </w:pPr>
    </w:p>
    <w:p w:rsidR="00D57FF2" w:rsidP="00D57FF2">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D57FF2" w:rsidP="00D57FF2">
      <w:pPr>
        <w:spacing w:after="120" w:line="230" w:lineRule="exact"/>
        <w:jc w:val="both"/>
        <w:rPr>
          <w:rFonts w:cs="FrankRuehl"/>
          <w:sz w:val="22"/>
          <w:szCs w:val="22"/>
          <w:rtl/>
        </w:rPr>
      </w:pPr>
    </w:p>
    <w:p w:rsidR="00D22B16" w:rsidRPr="00F41E78" w:rsidP="00D22B16">
      <w:pPr>
        <w:pStyle w:val="RESHET"/>
        <w:keepLines/>
        <w:rPr>
          <w:rtl/>
        </w:rPr>
      </w:pPr>
      <w:r w:rsidRPr="00F41E78">
        <w:rPr>
          <w:rFonts w:hint="cs"/>
          <w:rtl/>
        </w:rPr>
        <w:t>אחד ההדגשים העיקריים של המחאה החברתית ב</w:t>
      </w:r>
      <w:r w:rsidRPr="00F41E78">
        <w:rPr>
          <w:rtl/>
        </w:rPr>
        <w:t>קיץ 2011 הי</w:t>
      </w:r>
      <w:r w:rsidRPr="00F41E78">
        <w:rPr>
          <w:rFonts w:hint="cs"/>
          <w:rtl/>
        </w:rPr>
        <w:t xml:space="preserve">ה </w:t>
      </w:r>
      <w:r w:rsidRPr="00F41E78">
        <w:rPr>
          <w:rtl/>
        </w:rPr>
        <w:t xml:space="preserve">מחאה על מחירי הדיור הנוסקים. </w:t>
      </w:r>
      <w:r w:rsidRPr="00F41E78">
        <w:rPr>
          <w:rFonts w:hint="cs"/>
          <w:rtl/>
        </w:rPr>
        <w:t xml:space="preserve">מחאת הדיור נשענה על </w:t>
      </w:r>
      <w:r w:rsidRPr="00F41E78">
        <w:rPr>
          <w:rtl/>
        </w:rPr>
        <w:t>הפגיעה ההולכת וגוברת ביכולת</w:t>
      </w:r>
      <w:r w:rsidRPr="00F41E78">
        <w:rPr>
          <w:rFonts w:hint="cs"/>
          <w:rtl/>
        </w:rPr>
        <w:t>ם של</w:t>
      </w:r>
      <w:r w:rsidRPr="00F41E78">
        <w:rPr>
          <w:rtl/>
        </w:rPr>
        <w:t xml:space="preserve"> משקי הבית מהשכבות הסוציו-אקונומיות הבינוניות והנמוכות להשיג לעצמם דיור נאות - לרכישה או להשכרה, וזאת בשל </w:t>
      </w:r>
      <w:r w:rsidRPr="00F41E78">
        <w:rPr>
          <w:rFonts w:hint="cs"/>
          <w:rtl/>
        </w:rPr>
        <w:t xml:space="preserve">נטל </w:t>
      </w:r>
      <w:r w:rsidRPr="00F41E78">
        <w:rPr>
          <w:rtl/>
        </w:rPr>
        <w:t>ההוצאות הגבוהות יחסית להכנסותיהם</w:t>
      </w:r>
      <w:r w:rsidRPr="00F41E78">
        <w:rPr>
          <w:rFonts w:hint="cs"/>
          <w:rtl/>
        </w:rPr>
        <w:t xml:space="preserve">. ממצאי </w:t>
      </w:r>
      <w:r w:rsidRPr="00F41E78">
        <w:rPr>
          <w:rFonts w:hint="eastAsia"/>
          <w:rtl/>
        </w:rPr>
        <w:t>דוח</w:t>
      </w:r>
      <w:r w:rsidRPr="00F41E78">
        <w:rPr>
          <w:rtl/>
        </w:rPr>
        <w:t xml:space="preserve"> </w:t>
      </w:r>
      <w:r w:rsidRPr="00F41E78">
        <w:rPr>
          <w:rFonts w:hint="eastAsia"/>
          <w:rtl/>
        </w:rPr>
        <w:t>זה</w:t>
      </w:r>
      <w:r w:rsidRPr="00F41E78">
        <w:rPr>
          <w:rFonts w:hint="cs"/>
          <w:rtl/>
        </w:rPr>
        <w:t xml:space="preserve"> מחדדים את הצורך ב</w:t>
      </w:r>
      <w:r w:rsidRPr="00F41E78">
        <w:rPr>
          <w:rtl/>
        </w:rPr>
        <w:t xml:space="preserve">הסדרה </w:t>
      </w:r>
      <w:r w:rsidRPr="00F41E78">
        <w:rPr>
          <w:rFonts w:hint="cs"/>
          <w:rtl/>
        </w:rPr>
        <w:t xml:space="preserve">כוללת </w:t>
      </w:r>
      <w:r w:rsidRPr="00F41E78">
        <w:rPr>
          <w:rtl/>
        </w:rPr>
        <w:t xml:space="preserve">של </w:t>
      </w:r>
      <w:r w:rsidRPr="00F41E78">
        <w:rPr>
          <w:rFonts w:hint="cs"/>
          <w:rtl/>
        </w:rPr>
        <w:t>תחום ה</w:t>
      </w:r>
      <w:r w:rsidRPr="00F41E78">
        <w:rPr>
          <w:rtl/>
        </w:rPr>
        <w:t xml:space="preserve">דיור בר </w:t>
      </w:r>
      <w:r w:rsidRPr="00F41E78">
        <w:rPr>
          <w:rFonts w:hint="cs"/>
          <w:rtl/>
        </w:rPr>
        <w:t>ה</w:t>
      </w:r>
      <w:r w:rsidRPr="00F41E78">
        <w:rPr>
          <w:rtl/>
        </w:rPr>
        <w:t>השגה על היבטיו</w:t>
      </w:r>
      <w:r w:rsidRPr="00F41E78">
        <w:rPr>
          <w:rFonts w:hint="cs"/>
          <w:rtl/>
        </w:rPr>
        <w:t xml:space="preserve"> השונים. בין השאר, נדרש להגדיר את המונח "דיור בר השגה", להטמיע את התחום בתכנון סטטוטורי הן באמצעות קביעת היקפו הן באמצעות קביעת תמהיל יחידות הדיור מבחינת שטחן ואופן החזקה בהן (רכישה או השכרה) ולהכין בסיס נתונים מקיף הנוגע לצרכים והמלאים של דיור בר השגה. היעדרם של כל אלו הוא חסם </w:t>
      </w:r>
      <w:r w:rsidRPr="00F41E78">
        <w:rPr>
          <w:rtl/>
        </w:rPr>
        <w:t xml:space="preserve">בקידום פרויקטים לבניית </w:t>
      </w:r>
      <w:r w:rsidRPr="00F41E78">
        <w:rPr>
          <w:rFonts w:hint="cs"/>
          <w:rtl/>
        </w:rPr>
        <w:t>דיור בר השגה</w:t>
      </w:r>
      <w:r w:rsidRPr="00F41E78">
        <w:rPr>
          <w:rtl/>
        </w:rPr>
        <w:t xml:space="preserve">. </w:t>
      </w:r>
    </w:p>
    <w:p w:rsidR="00D22B16" w:rsidRPr="00FA1F2C" w:rsidP="00D22B16">
      <w:pPr>
        <w:pStyle w:val="RESHET"/>
        <w:keepLines/>
        <w:rPr>
          <w:szCs w:val="20"/>
          <w:rtl/>
        </w:rPr>
      </w:pPr>
      <w:r w:rsidRPr="00F41E78">
        <w:rPr>
          <w:rFonts w:hint="cs"/>
          <w:rtl/>
        </w:rPr>
        <w:t xml:space="preserve">בעת האחרונה נצפים אינדיקטורים כמו נתונים של מינהל התכנון מאוגוסט 2013 בדבר ההיקפים המצומצמים של יחידות דיור בר השגה שאישרו הווד"לים, נתוני הלמ"ס בדבר </w:t>
      </w:r>
      <w:r w:rsidRPr="00F41E78">
        <w:rPr>
          <w:rtl/>
        </w:rPr>
        <w:t xml:space="preserve">מספר משקי הבית המתווספים מדי שנה </w:t>
      </w:r>
      <w:r w:rsidRPr="00F41E78">
        <w:rPr>
          <w:rFonts w:hint="cs"/>
          <w:rtl/>
        </w:rPr>
        <w:t>שעבור רובם זו הדירה</w:t>
      </w:r>
      <w:r w:rsidRPr="00F41E78">
        <w:rPr>
          <w:rtl/>
        </w:rPr>
        <w:t xml:space="preserve"> הראשונה</w:t>
      </w:r>
      <w:r w:rsidRPr="00F41E78">
        <w:rPr>
          <w:rFonts w:hint="cs"/>
          <w:rtl/>
        </w:rPr>
        <w:t xml:space="preserve">, החלטת הממשלה ממרץ 2012 לשווק 40,000 יחידות דיור בר השגה בשנים 2016-2012 וכן הנתונים על צורכי הדיור להשכרה (כ-15,000 יח"ד בשנה) שהציג קבינט הדיור. אינדיקטורים אלו מעידים שהמלאי התכנוני הזמין של יחידות דיור בר השגה מצומצם ואין בו די לתת מענה לצורכי אוכלוסיית היעד לדיור בר השגה. </w:t>
      </w:r>
    </w:p>
    <w:p w:rsidR="00D22B16" w:rsidRPr="00F41E78" w:rsidP="00D22B16">
      <w:pPr>
        <w:pStyle w:val="RESHET"/>
        <w:keepLines/>
      </w:pPr>
      <w:r w:rsidRPr="00F41E78">
        <w:rPr>
          <w:rFonts w:hint="cs"/>
          <w:rtl/>
        </w:rPr>
        <w:t>החלטות הממשלה בתחום הדיור בר ההשגה שהתקבלו על בסיס החלטותיו של קבינט הדיור אמנם מקדמות את התוויית מדיניות הדיור בהישג יד העשויה לקדם את יישומו, אך לשם כך על הממשלה להאיץ את ההסדרה הכוללת הנדרשת אם בחקיקה אם בדרך מינהלית אחרת.</w:t>
      </w:r>
    </w:p>
    <w:p w:rsidR="005001B1" w:rsidRPr="00F41E78" w:rsidP="00A7557B">
      <w:pPr>
        <w:spacing w:after="120" w:line="230" w:lineRule="exact"/>
        <w:jc w:val="both"/>
        <w:rPr>
          <w:rFonts w:cs="FrankRuehl"/>
          <w:sz w:val="18"/>
          <w:szCs w:val="22"/>
          <w:lang w:eastAsia="he-IL"/>
        </w:rPr>
      </w:pPr>
    </w:p>
    <w:p w:rsidR="00FF1578" w:rsidP="00A7557B">
      <w:pPr>
        <w:spacing w:after="120" w:line="230" w:lineRule="exact"/>
        <w:jc w:val="both"/>
        <w:rPr>
          <w:rFonts w:cs="FrankRuehl"/>
          <w:sz w:val="18"/>
          <w:szCs w:val="22"/>
          <w:rtl/>
          <w:lang w:eastAsia="he-IL"/>
        </w:rPr>
        <w:sectPr w:rsidSect="0076055F">
          <w:footnotePr>
            <w:numRestart w:val="eachSect"/>
          </w:footnotePr>
          <w:pgSz w:w="11906" w:h="16838" w:code="9"/>
          <w:pgMar w:top="1758" w:right="2552" w:bottom="4253" w:left="2552" w:header="1247" w:footer="1134" w:gutter="0"/>
          <w:cols w:space="720"/>
          <w:rtlGutter/>
        </w:sectPr>
      </w:pPr>
    </w:p>
    <w:p w:rsidR="005001B1" w:rsidRPr="00F41E78" w:rsidP="00A7557B">
      <w:pPr>
        <w:spacing w:after="120" w:line="230" w:lineRule="exact"/>
        <w:jc w:val="both"/>
        <w:rPr>
          <w:rFonts w:cs="FrankRuehl"/>
          <w:sz w:val="18"/>
          <w:szCs w:val="22"/>
          <w:rtl/>
          <w:lang w:eastAsia="he-IL"/>
        </w:rPr>
      </w:pPr>
    </w:p>
    <w:p w:rsidR="00C75E4D" w:rsidP="00A331AC">
      <w:pPr>
        <w:pStyle w:val="KOT2"/>
        <w:outlineLvl w:val="0"/>
        <w:rPr>
          <w:b w:val="0"/>
          <w:bCs w:val="0"/>
          <w:sz w:val="28"/>
          <w:szCs w:val="28"/>
          <w:rtl/>
        </w:rPr>
        <w:sectPr w:rsidSect="00FF1578">
          <w:footnotePr>
            <w:numRestart w:val="eachSect"/>
          </w:footnotePr>
          <w:pgSz w:w="11906" w:h="16838" w:code="9"/>
          <w:pgMar w:top="1758" w:right="2552" w:bottom="4253" w:left="2552" w:header="1247" w:footer="1134" w:gutter="0"/>
          <w:cols w:space="720"/>
          <w:titlePg/>
          <w:rtlGutter/>
        </w:sectPr>
      </w:pPr>
      <w:bookmarkStart w:id="63" w:name="_Toc373940439"/>
    </w:p>
    <w:p w:rsidR="00E97EDA" w:rsidRPr="00FA1F2C" w:rsidP="00A331AC">
      <w:pPr>
        <w:pStyle w:val="KOT2"/>
        <w:outlineLvl w:val="0"/>
        <w:rPr>
          <w:rtl/>
        </w:rPr>
      </w:pPr>
      <w:r w:rsidRPr="00A331AC">
        <w:rPr>
          <w:rFonts w:hint="cs"/>
          <w:b w:val="0"/>
          <w:bCs w:val="0"/>
          <w:sz w:val="28"/>
          <w:szCs w:val="28"/>
          <w:rtl/>
        </w:rPr>
        <w:t>פרק שני</w:t>
      </w:r>
      <w:r w:rsidRPr="00A331AC">
        <w:rPr>
          <w:b w:val="0"/>
          <w:bCs w:val="0"/>
          <w:sz w:val="28"/>
          <w:szCs w:val="28"/>
          <w:rtl/>
        </w:rPr>
        <w:br/>
      </w:r>
      <w:r w:rsidRPr="00FA1F2C">
        <w:rPr>
          <w:rtl/>
        </w:rPr>
        <w:t>מסלול "מחיר דירה למשתכן"</w:t>
      </w:r>
      <w:bookmarkEnd w:id="63"/>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בביקורת בדק משרד מבקר המדינה את סדרי הפעלת התכנית הממשלתית בתחום הדיור בר ההשגה - מסלול "מחיר דירה למשתכן" (להלן - מחיר למשתכן או מסלול מחיר למשתכן). נבדקו בעיקר היבטים אלו: יעדי המסלול; סדרי השיווק של קרקעות המדינה, ה</w:t>
      </w:r>
      <w:r w:rsidRPr="00F41E78">
        <w:rPr>
          <w:rFonts w:cs="FrankRuehl" w:hint="eastAsia"/>
          <w:sz w:val="18"/>
          <w:szCs w:val="22"/>
          <w:rtl/>
          <w:lang w:eastAsia="he-IL"/>
        </w:rPr>
        <w:t>בקרה</w:t>
      </w:r>
      <w:r w:rsidRPr="00F41E78">
        <w:rPr>
          <w:rFonts w:cs="FrankRuehl"/>
          <w:sz w:val="18"/>
          <w:szCs w:val="22"/>
          <w:rtl/>
          <w:lang w:eastAsia="he-IL"/>
        </w:rPr>
        <w:t xml:space="preserve"> </w:t>
      </w:r>
      <w:r w:rsidRPr="00F41E78">
        <w:rPr>
          <w:rFonts w:cs="FrankRuehl" w:hint="eastAsia"/>
          <w:sz w:val="18"/>
          <w:szCs w:val="22"/>
          <w:rtl/>
          <w:lang w:eastAsia="he-IL"/>
        </w:rPr>
        <w:t>ו</w:t>
      </w:r>
      <w:r w:rsidRPr="00F41E78">
        <w:rPr>
          <w:rFonts w:cs="FrankRuehl" w:hint="cs"/>
          <w:sz w:val="18"/>
          <w:szCs w:val="22"/>
          <w:rtl/>
          <w:lang w:eastAsia="he-IL"/>
        </w:rPr>
        <w:t>ה</w:t>
      </w:r>
      <w:r w:rsidRPr="00F41E78">
        <w:rPr>
          <w:rFonts w:cs="FrankRuehl" w:hint="eastAsia"/>
          <w:sz w:val="18"/>
          <w:szCs w:val="22"/>
          <w:rtl/>
          <w:lang w:eastAsia="he-IL"/>
        </w:rPr>
        <w:t>מעקב</w:t>
      </w:r>
      <w:r w:rsidRPr="00F41E78">
        <w:rPr>
          <w:rFonts w:cs="FrankRuehl" w:hint="cs"/>
          <w:sz w:val="18"/>
          <w:szCs w:val="22"/>
          <w:rtl/>
          <w:lang w:eastAsia="he-IL"/>
        </w:rPr>
        <w:t xml:space="preserve"> בנושא ותוצאות שיווק הדירות; מאפייני הזכאים שנרשמו לרכישת הדירות; הגורמים לכישלון מכרזים שעניינם מחיר למשתכן, אופן השמירה על מאגר יחידות הדיור שנבנו במסגרת מסלול מחיר למשתכן. </w:t>
      </w:r>
    </w:p>
    <w:p w:rsidR="00E97EDA" w:rsidRPr="00F41E78" w:rsidP="00A7557B">
      <w:pPr>
        <w:spacing w:after="120" w:line="230" w:lineRule="exact"/>
        <w:jc w:val="both"/>
        <w:rPr>
          <w:rFonts w:cs="FrankRuehl"/>
          <w:sz w:val="18"/>
          <w:szCs w:val="22"/>
          <w:lang w:eastAsia="he-IL"/>
        </w:rPr>
      </w:pPr>
      <w:r w:rsidRPr="00F41E78">
        <w:rPr>
          <w:rFonts w:cs="FrankRuehl" w:hint="cs"/>
          <w:sz w:val="18"/>
          <w:szCs w:val="22"/>
          <w:rtl/>
          <w:lang w:eastAsia="he-IL"/>
        </w:rPr>
        <w:t>על פי נתוני משרד הבינוי</w:t>
      </w:r>
      <w:r>
        <w:rPr>
          <w:rFonts w:cs="FrankRuehl"/>
          <w:sz w:val="18"/>
          <w:szCs w:val="22"/>
          <w:vertAlign w:val="superscript"/>
          <w:rtl/>
          <w:lang w:eastAsia="he-IL"/>
        </w:rPr>
        <w:footnoteReference w:id="278"/>
      </w:r>
      <w:r w:rsidRPr="00F41E78">
        <w:rPr>
          <w:rFonts w:cs="FrankRuehl" w:hint="cs"/>
          <w:sz w:val="18"/>
          <w:szCs w:val="22"/>
          <w:rtl/>
          <w:lang w:eastAsia="he-IL"/>
        </w:rPr>
        <w:t>, מאז הוחל בהפעלת מסלול מחיר למשתכן, מאמצע 1994 עד סוף 2012, במשך יותר מ-18 שנים, שווקו ליזמים 27,234 יח"ד. בתקופה זו נמכרו 19,195 יח"ד - 10,191 מהן לזכאי משרד הבינוי והיתר נמכרו לכלל הציבור במחירי השוק. לנוכח התפוקות הדלות שהניב השיווק במסלול זה והליקויים שנמצאו בהפעלתו החליט משרד הבינוי בדצמבר 2013, לאחר סיום הביקורת, להפסיק את שיווק הקרקעות</w:t>
      </w:r>
      <w:r>
        <w:rPr>
          <w:rFonts w:cs="FrankRuehl"/>
          <w:sz w:val="18"/>
          <w:szCs w:val="22"/>
          <w:vertAlign w:val="superscript"/>
          <w:rtl/>
          <w:lang w:eastAsia="he-IL"/>
        </w:rPr>
        <w:footnoteReference w:id="279"/>
      </w:r>
      <w:r w:rsidRPr="00F41E78">
        <w:rPr>
          <w:rFonts w:cs="FrankRuehl" w:hint="cs"/>
          <w:sz w:val="18"/>
          <w:szCs w:val="22"/>
          <w:rtl/>
          <w:lang w:eastAsia="he-IL"/>
        </w:rPr>
        <w:t xml:space="preserve"> במסלול זה. הליקויים שהועלו בביקורת זו עשויים להיות רלוונטיים גם לתכניות דיור אחרות שהממשלה בכלל ומשרד הבינוי בפרט עשויים להפעיל בעתיד. תיקון הליקויים יכול לשפר ולשכלל את עבודת המטה הממשלתית ואת סדרי הניהול וההפעלה של גורמים אלו ולהביא לידי תפוקות אפקטיביות.</w:t>
      </w:r>
    </w:p>
    <w:p w:rsidR="005001B1" w:rsidRPr="00F41E78" w:rsidP="00A7557B">
      <w:pPr>
        <w:spacing w:after="120" w:line="230" w:lineRule="exact"/>
        <w:jc w:val="both"/>
        <w:rPr>
          <w:rFonts w:cs="FrankRuehl"/>
          <w:sz w:val="18"/>
          <w:szCs w:val="22"/>
          <w:lang w:eastAsia="he-IL"/>
        </w:rPr>
      </w:pPr>
    </w:p>
    <w:p w:rsidR="005001B1" w:rsidRPr="00F41E78" w:rsidP="00A7557B">
      <w:pPr>
        <w:spacing w:after="120" w:line="230" w:lineRule="exact"/>
        <w:jc w:val="both"/>
        <w:rPr>
          <w:rFonts w:cs="FrankRuehl"/>
          <w:sz w:val="18"/>
          <w:szCs w:val="22"/>
          <w:rtl/>
          <w:lang w:eastAsia="he-IL"/>
        </w:rPr>
      </w:pPr>
    </w:p>
    <w:p w:rsidR="00E97EDA" w:rsidRPr="00FA1F2C" w:rsidP="00A7557B">
      <w:pPr>
        <w:pStyle w:val="KOT4"/>
        <w:rPr>
          <w:rtl/>
          <w:lang w:eastAsia="he-IL"/>
        </w:rPr>
      </w:pPr>
      <w:r w:rsidRPr="00E97EDA">
        <w:rPr>
          <w:rFonts w:hint="cs"/>
          <w:rtl/>
          <w:lang w:eastAsia="he-IL"/>
        </w:rPr>
        <w:t xml:space="preserve">מסלול </w:t>
      </w:r>
      <w:r w:rsidRPr="00E97EDA">
        <w:rPr>
          <w:rtl/>
          <w:lang w:eastAsia="he-IL"/>
        </w:rPr>
        <w:t xml:space="preserve">מחיר למשתכן </w:t>
      </w:r>
      <w:r w:rsidRPr="00E97EDA">
        <w:rPr>
          <w:rFonts w:hint="cs"/>
          <w:rtl/>
          <w:lang w:eastAsia="he-IL"/>
        </w:rPr>
        <w:t>-</w:t>
      </w:r>
      <w:r w:rsidRPr="00E97EDA">
        <w:rPr>
          <w:rtl/>
          <w:lang w:eastAsia="he-IL"/>
        </w:rPr>
        <w:t xml:space="preserve"> </w:t>
      </w:r>
      <w:r w:rsidRPr="00E97EDA">
        <w:rPr>
          <w:rFonts w:hint="eastAsia"/>
          <w:rtl/>
          <w:lang w:eastAsia="he-IL"/>
        </w:rPr>
        <w:t>תכנית</w:t>
      </w:r>
      <w:r w:rsidRPr="00E97EDA">
        <w:rPr>
          <w:rtl/>
          <w:lang w:eastAsia="he-IL"/>
        </w:rPr>
        <w:t xml:space="preserve"> </w:t>
      </w:r>
      <w:r w:rsidRPr="00E97EDA">
        <w:rPr>
          <w:rFonts w:hint="eastAsia"/>
          <w:rtl/>
          <w:lang w:eastAsia="he-IL"/>
        </w:rPr>
        <w:t>ממשלתית</w:t>
      </w:r>
      <w:r w:rsidRPr="00E97EDA">
        <w:rPr>
          <w:rtl/>
          <w:lang w:eastAsia="he-IL"/>
        </w:rPr>
        <w:t xml:space="preserve"> </w:t>
      </w:r>
      <w:r w:rsidRPr="00E97EDA">
        <w:rPr>
          <w:rFonts w:hint="eastAsia"/>
          <w:rtl/>
          <w:lang w:eastAsia="he-IL"/>
        </w:rPr>
        <w:t>בתחום</w:t>
      </w:r>
      <w:r w:rsidRPr="00E97EDA">
        <w:rPr>
          <w:rtl/>
          <w:lang w:eastAsia="he-IL"/>
        </w:rPr>
        <w:t xml:space="preserve"> </w:t>
      </w:r>
      <w:r w:rsidRPr="00E97EDA">
        <w:rPr>
          <w:rFonts w:hint="eastAsia"/>
          <w:rtl/>
          <w:lang w:eastAsia="he-IL"/>
        </w:rPr>
        <w:t>דיור</w:t>
      </w:r>
      <w:r w:rsidRPr="00E97EDA">
        <w:rPr>
          <w:rtl/>
          <w:lang w:eastAsia="he-IL"/>
        </w:rPr>
        <w:t xml:space="preserve"> </w:t>
      </w:r>
      <w:r w:rsidRPr="00E97EDA">
        <w:rPr>
          <w:rFonts w:hint="eastAsia"/>
          <w:rtl/>
          <w:lang w:eastAsia="he-IL"/>
        </w:rPr>
        <w:t>בר</w:t>
      </w:r>
      <w:r w:rsidRPr="00E97EDA">
        <w:rPr>
          <w:rtl/>
          <w:lang w:eastAsia="he-IL"/>
        </w:rPr>
        <w:t xml:space="preserve"> </w:t>
      </w:r>
      <w:r w:rsidRPr="00E97EDA">
        <w:rPr>
          <w:rFonts w:hint="eastAsia"/>
          <w:rtl/>
          <w:lang w:eastAsia="he-IL"/>
        </w:rPr>
        <w:t>השגה</w:t>
      </w:r>
      <w:r w:rsidRPr="00E97EDA">
        <w:rPr>
          <w:rFonts w:hint="cs"/>
          <w:rtl/>
          <w:lang w:eastAsia="he-IL"/>
        </w:rPr>
        <w:t xml:space="preserve"> </w:t>
      </w:r>
    </w:p>
    <w:p w:rsidR="00E97EDA" w:rsidRPr="00E97EDA" w:rsidP="00A7557B">
      <w:pPr>
        <w:pStyle w:val="KOT5"/>
        <w:rPr>
          <w:rtl/>
          <w:lang w:eastAsia="he-IL"/>
        </w:rPr>
      </w:pPr>
      <w:r w:rsidRPr="00E97EDA">
        <w:rPr>
          <w:rFonts w:hint="eastAsia"/>
          <w:rtl/>
          <w:lang w:eastAsia="he-IL"/>
        </w:rPr>
        <w:t>עיקרי</w:t>
      </w:r>
      <w:r w:rsidRPr="00E97EDA">
        <w:rPr>
          <w:rtl/>
          <w:lang w:eastAsia="he-IL"/>
        </w:rPr>
        <w:t xml:space="preserve"> </w:t>
      </w:r>
      <w:r w:rsidRPr="00E97EDA">
        <w:rPr>
          <w:rFonts w:hint="cs"/>
          <w:rtl/>
          <w:lang w:eastAsia="he-IL"/>
        </w:rPr>
        <w:t xml:space="preserve">התכנית </w:t>
      </w:r>
    </w:p>
    <w:p w:rsidR="00E97EDA" w:rsidRPr="00F41E78" w:rsidP="00A7557B">
      <w:pPr>
        <w:spacing w:after="120" w:line="230" w:lineRule="exact"/>
        <w:jc w:val="both"/>
        <w:rPr>
          <w:rFonts w:cs="FrankRuehl"/>
          <w:sz w:val="18"/>
          <w:szCs w:val="22"/>
          <w:rtl/>
          <w:lang w:eastAsia="he-IL"/>
        </w:rPr>
      </w:pPr>
      <w:r w:rsidRPr="00F41E78">
        <w:rPr>
          <w:rFonts w:cs="FrankRuehl"/>
          <w:bCs/>
          <w:spacing w:val="40"/>
          <w:sz w:val="18"/>
          <w:szCs w:val="22"/>
          <w:rtl/>
        </w:rPr>
        <w:t xml:space="preserve">מטרות התכנית: </w:t>
      </w:r>
      <w:r w:rsidRPr="00F41E78">
        <w:rPr>
          <w:rFonts w:cs="FrankRuehl" w:hint="cs"/>
          <w:sz w:val="18"/>
          <w:szCs w:val="22"/>
          <w:rtl/>
          <w:lang w:eastAsia="he-IL"/>
        </w:rPr>
        <w:t xml:space="preserve">בהחלטת ממשלה מס' 3205 ממאי 1994, שבה הועלתה בעיית המחסור ביח"ד </w:t>
      </w:r>
      <w:r w:rsidRPr="00F41E78">
        <w:rPr>
          <w:rFonts w:cs="FrankRuehl" w:hint="eastAsia"/>
          <w:sz w:val="18"/>
          <w:szCs w:val="22"/>
          <w:rtl/>
          <w:lang w:eastAsia="he-IL"/>
        </w:rPr>
        <w:t>באזורי</w:t>
      </w:r>
      <w:r w:rsidRPr="00F41E78">
        <w:rPr>
          <w:rFonts w:cs="FrankRuehl"/>
          <w:sz w:val="18"/>
          <w:szCs w:val="22"/>
          <w:rtl/>
          <w:lang w:eastAsia="he-IL"/>
        </w:rPr>
        <w:t xml:space="preserve"> </w:t>
      </w:r>
      <w:r w:rsidRPr="00F41E78">
        <w:rPr>
          <w:rFonts w:cs="FrankRuehl" w:hint="eastAsia"/>
          <w:sz w:val="18"/>
          <w:szCs w:val="22"/>
          <w:rtl/>
          <w:lang w:eastAsia="he-IL"/>
        </w:rPr>
        <w:t>הביקוש</w:t>
      </w:r>
      <w:r w:rsidRPr="00F41E78">
        <w:rPr>
          <w:rFonts w:cs="FrankRuehl"/>
          <w:sz w:val="18"/>
          <w:szCs w:val="22"/>
          <w:rtl/>
          <w:lang w:eastAsia="he-IL"/>
        </w:rPr>
        <w:t xml:space="preserve"> </w:t>
      </w:r>
      <w:r w:rsidRPr="00F41E78">
        <w:rPr>
          <w:rFonts w:cs="FrankRuehl" w:hint="eastAsia"/>
          <w:sz w:val="18"/>
          <w:szCs w:val="22"/>
          <w:rtl/>
          <w:lang w:eastAsia="he-IL"/>
        </w:rPr>
        <w:t>שהוגדרו</w:t>
      </w:r>
      <w:r w:rsidRPr="00F41E78">
        <w:rPr>
          <w:rFonts w:cs="FrankRuehl"/>
          <w:sz w:val="18"/>
          <w:szCs w:val="22"/>
          <w:rtl/>
          <w:lang w:eastAsia="he-IL"/>
        </w:rPr>
        <w:t xml:space="preserve"> </w:t>
      </w:r>
      <w:r w:rsidRPr="00F41E78">
        <w:rPr>
          <w:rFonts w:cs="FrankRuehl" w:hint="eastAsia"/>
          <w:sz w:val="18"/>
          <w:szCs w:val="22"/>
          <w:rtl/>
          <w:lang w:eastAsia="he-IL"/>
        </w:rPr>
        <w:t>כאזור</w:t>
      </w:r>
      <w:r w:rsidRPr="00F41E78">
        <w:rPr>
          <w:rFonts w:cs="FrankRuehl"/>
          <w:sz w:val="18"/>
          <w:szCs w:val="22"/>
          <w:rtl/>
          <w:lang w:eastAsia="he-IL"/>
        </w:rPr>
        <w:t xml:space="preserve"> </w:t>
      </w:r>
      <w:r w:rsidRPr="00F41E78">
        <w:rPr>
          <w:rFonts w:cs="FrankRuehl" w:hint="eastAsia"/>
          <w:sz w:val="18"/>
          <w:szCs w:val="22"/>
          <w:rtl/>
          <w:lang w:eastAsia="he-IL"/>
        </w:rPr>
        <w:t>שבין</w:t>
      </w:r>
      <w:r w:rsidRPr="00F41E78">
        <w:rPr>
          <w:rFonts w:cs="FrankRuehl"/>
          <w:sz w:val="18"/>
          <w:szCs w:val="22"/>
          <w:rtl/>
          <w:lang w:eastAsia="he-IL"/>
        </w:rPr>
        <w:t xml:space="preserve"> </w:t>
      </w:r>
      <w:r w:rsidRPr="00F41E78">
        <w:rPr>
          <w:rFonts w:cs="FrankRuehl" w:hint="eastAsia"/>
          <w:sz w:val="18"/>
          <w:szCs w:val="22"/>
          <w:rtl/>
          <w:lang w:eastAsia="he-IL"/>
        </w:rPr>
        <w:t>עכו</w:t>
      </w:r>
      <w:r w:rsidRPr="00F41E78">
        <w:rPr>
          <w:rFonts w:cs="FrankRuehl"/>
          <w:sz w:val="18"/>
          <w:szCs w:val="22"/>
          <w:rtl/>
          <w:lang w:eastAsia="he-IL"/>
        </w:rPr>
        <w:t xml:space="preserve">-כרמיאל </w:t>
      </w:r>
      <w:r w:rsidRPr="00F41E78">
        <w:rPr>
          <w:rFonts w:cs="FrankRuehl" w:hint="eastAsia"/>
          <w:sz w:val="18"/>
          <w:szCs w:val="22"/>
          <w:rtl/>
          <w:lang w:eastAsia="he-IL"/>
        </w:rPr>
        <w:t>בצפון</w:t>
      </w:r>
      <w:r w:rsidRPr="00F41E78">
        <w:rPr>
          <w:rFonts w:cs="FrankRuehl"/>
          <w:sz w:val="18"/>
          <w:szCs w:val="22"/>
          <w:rtl/>
          <w:lang w:eastAsia="he-IL"/>
        </w:rPr>
        <w:t xml:space="preserve"> </w:t>
      </w:r>
      <w:r w:rsidRPr="00F41E78">
        <w:rPr>
          <w:rFonts w:cs="FrankRuehl" w:hint="eastAsia"/>
          <w:sz w:val="18"/>
          <w:szCs w:val="22"/>
          <w:rtl/>
          <w:lang w:eastAsia="he-IL"/>
        </w:rPr>
        <w:t>ואשקלון</w:t>
      </w:r>
      <w:r w:rsidRPr="00F41E78">
        <w:rPr>
          <w:rFonts w:cs="FrankRuehl"/>
          <w:sz w:val="18"/>
          <w:szCs w:val="22"/>
          <w:rtl/>
          <w:lang w:eastAsia="he-IL"/>
        </w:rPr>
        <w:t xml:space="preserve"> </w:t>
      </w:r>
      <w:r w:rsidRPr="00F41E78">
        <w:rPr>
          <w:rFonts w:cs="FrankRuehl" w:hint="eastAsia"/>
          <w:sz w:val="18"/>
          <w:szCs w:val="22"/>
          <w:rtl/>
          <w:lang w:eastAsia="he-IL"/>
        </w:rPr>
        <w:t>בדרום</w:t>
      </w:r>
      <w:r w:rsidRPr="00F41E78">
        <w:rPr>
          <w:rFonts w:cs="FrankRuehl" w:hint="cs"/>
          <w:sz w:val="18"/>
          <w:szCs w:val="22"/>
          <w:rtl/>
          <w:lang w:eastAsia="he-IL"/>
        </w:rPr>
        <w:t xml:space="preserve">, נקבע כי תאושר תכנית ייעודית שכותרתה "מחיר דירה למשתכן". התכנית נועדה לבניית יח"ד לזכאי משרד הבינוי כדי לסייע בפתרון בעיית המחסור בדירות. מסלול מחיר למשתכן נקבע על פי החלטת ממשלה מס' 3261 מיוני 1994. על פי נוהל משרד הבינוי (להלן - נוהל מחיר למשתכן), שעודכן כמה פעמים מאז הפעלת המסלול, ולאחרונה בינואר 2013, לתכנית שתי מטרות והן "לתת פתרונות דיור זולים לזכאי משרד הבינוי והשיכון ולהוזיל את מחירי הדיור". </w:t>
      </w:r>
    </w:p>
    <w:p w:rsidR="00E97EDA" w:rsidRPr="00F41E78" w:rsidP="00A7557B">
      <w:pPr>
        <w:spacing w:after="120" w:line="230" w:lineRule="exact"/>
        <w:jc w:val="both"/>
        <w:rPr>
          <w:rFonts w:cs="FrankRuehl"/>
          <w:sz w:val="18"/>
          <w:szCs w:val="22"/>
          <w:rtl/>
          <w:lang w:eastAsia="he-IL"/>
        </w:rPr>
      </w:pPr>
      <w:r w:rsidRPr="00F41E78">
        <w:rPr>
          <w:rFonts w:cs="FrankRuehl"/>
          <w:bCs/>
          <w:spacing w:val="40"/>
          <w:sz w:val="18"/>
          <w:szCs w:val="22"/>
          <w:rtl/>
        </w:rPr>
        <w:t xml:space="preserve">תנאי </w:t>
      </w:r>
      <w:r w:rsidRPr="00F41E78">
        <w:rPr>
          <w:rFonts w:cs="FrankRuehl" w:hint="eastAsia"/>
          <w:bCs/>
          <w:spacing w:val="40"/>
          <w:sz w:val="18"/>
          <w:szCs w:val="22"/>
          <w:rtl/>
        </w:rPr>
        <w:t>ה</w:t>
      </w:r>
      <w:r w:rsidRPr="00F41E78">
        <w:rPr>
          <w:rFonts w:cs="FrankRuehl" w:hint="cs"/>
          <w:bCs/>
          <w:spacing w:val="40"/>
          <w:sz w:val="18"/>
          <w:szCs w:val="22"/>
          <w:rtl/>
        </w:rPr>
        <w:t>תכנית</w:t>
      </w:r>
      <w:r w:rsidRPr="00F41E78">
        <w:rPr>
          <w:rFonts w:cs="FrankRuehl"/>
          <w:bCs/>
          <w:spacing w:val="40"/>
          <w:sz w:val="18"/>
          <w:szCs w:val="22"/>
          <w:rtl/>
        </w:rPr>
        <w:t xml:space="preserve">: </w:t>
      </w:r>
      <w:r w:rsidRPr="00F41E78">
        <w:rPr>
          <w:rFonts w:cs="FrankRuehl" w:hint="cs"/>
          <w:sz w:val="18"/>
          <w:szCs w:val="22"/>
          <w:rtl/>
          <w:lang w:eastAsia="he-IL"/>
        </w:rPr>
        <w:t xml:space="preserve">תנאים אלו נקבעו מדי פעם בפעם בהחלטות של מועצת מקרקעי ישראל </w:t>
      </w:r>
      <w:r w:rsidRPr="00F41E78">
        <w:rPr>
          <w:rFonts w:cs="FrankRuehl" w:hint="eastAsia"/>
          <w:sz w:val="18"/>
          <w:szCs w:val="22"/>
          <w:rtl/>
          <w:lang w:eastAsia="he-IL"/>
        </w:rPr>
        <w:t>ובנוהל</w:t>
      </w:r>
      <w:r w:rsidRPr="00F41E78">
        <w:rPr>
          <w:rFonts w:cs="FrankRuehl"/>
          <w:sz w:val="18"/>
          <w:szCs w:val="22"/>
          <w:rtl/>
          <w:lang w:eastAsia="he-IL"/>
        </w:rPr>
        <w:t xml:space="preserve"> </w:t>
      </w:r>
      <w:r w:rsidRPr="00F41E78">
        <w:rPr>
          <w:rFonts w:cs="FrankRuehl" w:hint="eastAsia"/>
          <w:sz w:val="18"/>
          <w:szCs w:val="22"/>
          <w:rtl/>
          <w:lang w:eastAsia="he-IL"/>
        </w:rPr>
        <w:t>מחיר</w:t>
      </w:r>
      <w:r w:rsidRPr="00F41E78">
        <w:rPr>
          <w:rFonts w:cs="FrankRuehl"/>
          <w:sz w:val="18"/>
          <w:szCs w:val="22"/>
          <w:rtl/>
          <w:lang w:eastAsia="he-IL"/>
        </w:rPr>
        <w:t xml:space="preserve"> </w:t>
      </w:r>
      <w:r w:rsidRPr="00F41E78">
        <w:rPr>
          <w:rFonts w:cs="FrankRuehl" w:hint="eastAsia"/>
          <w:sz w:val="18"/>
          <w:szCs w:val="22"/>
          <w:rtl/>
          <w:lang w:eastAsia="he-IL"/>
        </w:rPr>
        <w:t>למשתכן</w:t>
      </w:r>
      <w:r w:rsidRPr="00F41E78">
        <w:rPr>
          <w:rFonts w:cs="FrankRuehl" w:hint="cs"/>
          <w:sz w:val="18"/>
          <w:szCs w:val="22"/>
          <w:rtl/>
          <w:lang w:eastAsia="he-IL"/>
        </w:rPr>
        <w:t xml:space="preserve"> ועל פי החלטות ותכניות של הממשלה בנושא הדיור. על פי התנאים האמורים, מחיר הקרקע המשווקת ועלויות הפיתוח, המפורסמים במכרזים, קבועים וידועים מראש, והם נקבעים לפי הערכת השמאי הממשלתי בניכוי שיעור ההנחה שנקבעה. היזמים הניגשים למכרז מציעים את המחיר הסופי של יחידות הדיור שיימכרו לזכאי משרד הבינוי, והזוכה במכרז הוא היזם שהציע את המחיר הנמוך ביותר למ"ר בנוי של יח"ד למגורים. </w:t>
      </w:r>
    </w:p>
    <w:p w:rsidR="00E97EDA" w:rsidRPr="00F41E78" w:rsidP="00FF1578">
      <w:pPr>
        <w:spacing w:after="120" w:line="230" w:lineRule="exact"/>
        <w:jc w:val="both"/>
        <w:rPr>
          <w:rFonts w:cs="FrankRuehl"/>
          <w:sz w:val="18"/>
          <w:szCs w:val="22"/>
          <w:rtl/>
          <w:lang w:eastAsia="he-IL"/>
        </w:rPr>
      </w:pPr>
      <w:r w:rsidRPr="00F41E78">
        <w:rPr>
          <w:rFonts w:cs="FrankRuehl" w:hint="cs"/>
          <w:sz w:val="18"/>
          <w:szCs w:val="22"/>
          <w:rtl/>
          <w:lang w:eastAsia="he-IL"/>
        </w:rPr>
        <w:t xml:space="preserve">מתחילת הפעלת המסלול ביוני 1994 עד אוגוסט 2011 היה מחיר הקרקע של יחידות הדיור במסלול זה 91% מערך הקרקע שקבע השמאי הממשלתי, דהיינו שיעור ההנחה במחיר הקרקע היה 9% </w:t>
      </w:r>
      <w:r w:rsidRPr="00F41E78">
        <w:rPr>
          <w:rFonts w:cs="FrankRuehl" w:hint="cs"/>
          <w:sz w:val="18"/>
          <w:szCs w:val="22"/>
          <w:rtl/>
          <w:lang w:eastAsia="he-IL"/>
        </w:rPr>
        <w:t xml:space="preserve">בלבד. באוגוסט 2011 החליטה מועצת מקרקעי ישראל </w:t>
      </w:r>
      <w:r w:rsidRPr="00F41E78">
        <w:rPr>
          <w:rFonts w:cs="FrankRuehl"/>
          <w:sz w:val="18"/>
          <w:szCs w:val="22"/>
          <w:rtl/>
          <w:lang w:eastAsia="he-IL"/>
        </w:rPr>
        <w:t xml:space="preserve">(החלטה </w:t>
      </w:r>
      <w:r w:rsidRPr="00F41E78">
        <w:rPr>
          <w:rFonts w:cs="FrankRuehl" w:hint="eastAsia"/>
          <w:sz w:val="18"/>
          <w:szCs w:val="22"/>
          <w:rtl/>
          <w:lang w:eastAsia="he-IL"/>
        </w:rPr>
        <w:t>מס</w:t>
      </w:r>
      <w:r w:rsidRPr="00F41E78">
        <w:rPr>
          <w:rFonts w:cs="FrankRuehl"/>
          <w:sz w:val="18"/>
          <w:szCs w:val="22"/>
          <w:rtl/>
          <w:lang w:eastAsia="he-IL"/>
        </w:rPr>
        <w:t>' 1239</w:t>
      </w:r>
      <w:r>
        <w:rPr>
          <w:rFonts w:cs="FrankRuehl"/>
          <w:sz w:val="18"/>
          <w:szCs w:val="22"/>
          <w:vertAlign w:val="superscript"/>
          <w:rtl/>
          <w:lang w:eastAsia="he-IL"/>
        </w:rPr>
        <w:footnoteReference w:id="280"/>
      </w:r>
      <w:r w:rsidRPr="00F41E78">
        <w:rPr>
          <w:rFonts w:cs="FrankRuehl"/>
          <w:sz w:val="18"/>
          <w:szCs w:val="22"/>
          <w:rtl/>
          <w:lang w:eastAsia="he-IL"/>
        </w:rPr>
        <w:t>)</w:t>
      </w:r>
      <w:r w:rsidRPr="00F41E78">
        <w:rPr>
          <w:rFonts w:cs="FrankRuehl" w:hint="cs"/>
          <w:sz w:val="18"/>
          <w:szCs w:val="22"/>
          <w:rtl/>
          <w:lang w:eastAsia="he-IL"/>
        </w:rPr>
        <w:t xml:space="preserve"> להגדיל את שיעור ההנחה ל-50% מהשומה שקבע השמאי הממשלתי. בהחלטה נקבע כי ההנחה במחיר הקרקע תינתן רק עבור יח"ד המיועדות להימכר לזכאים, ובלבד שערך הקרקע של יח"ד לא יעלה על 400,000 ש"ח ושיעור ההנחה על הקרקע של יח"ד לא יעלה על 150,000 ש"ח. תנאי זה נקבע בשל הצורך להגביל את סכום הסבסוד שהמדינה נותנת לזכאים, המביא לידי הקטנתן של הכנסות המדינה המתקבלות ממכירת הקרקע. סיבה נוספת לכך היא הצורך לווסת את שיווקי הקרקע באופן שאלו לא יתמקדו דווקא באזורי ביקוש מרכזיים שבהם עלות הקרקע גבוהה במיוחד. </w:t>
      </w:r>
    </w:p>
    <w:p w:rsidR="00D22B16" w:rsidRPr="00FF1578" w:rsidP="00FF1578">
      <w:pPr>
        <w:spacing w:after="120" w:line="230" w:lineRule="exact"/>
        <w:jc w:val="both"/>
        <w:rPr>
          <w:rFonts w:cs="FrankRuehl"/>
          <w:sz w:val="18"/>
          <w:szCs w:val="22"/>
          <w:lang w:eastAsia="he-IL"/>
        </w:rPr>
      </w:pPr>
      <w:r w:rsidRPr="00FF1578">
        <w:rPr>
          <w:rFonts w:cs="FrankRuehl" w:hint="eastAsia"/>
          <w:sz w:val="18"/>
          <w:szCs w:val="22"/>
          <w:rtl/>
          <w:lang w:eastAsia="he-IL"/>
        </w:rPr>
        <w:t>עוד</w:t>
      </w:r>
      <w:r w:rsidRPr="00FF1578">
        <w:rPr>
          <w:rFonts w:cs="FrankRuehl"/>
          <w:sz w:val="18"/>
          <w:szCs w:val="22"/>
          <w:rtl/>
          <w:lang w:eastAsia="he-IL"/>
        </w:rPr>
        <w:t xml:space="preserve"> </w:t>
      </w:r>
      <w:r w:rsidRPr="00FF1578">
        <w:rPr>
          <w:rFonts w:cs="FrankRuehl" w:hint="eastAsia"/>
          <w:sz w:val="18"/>
          <w:szCs w:val="22"/>
          <w:rtl/>
          <w:lang w:eastAsia="he-IL"/>
        </w:rPr>
        <w:t>נקבע</w:t>
      </w:r>
      <w:r w:rsidRPr="00FF1578">
        <w:rPr>
          <w:rFonts w:cs="FrankRuehl"/>
          <w:sz w:val="18"/>
          <w:szCs w:val="22"/>
          <w:rtl/>
          <w:lang w:eastAsia="he-IL"/>
        </w:rPr>
        <w:t xml:space="preserve"> </w:t>
      </w:r>
      <w:r w:rsidRPr="00FF1578">
        <w:rPr>
          <w:rFonts w:cs="FrankRuehl" w:hint="eastAsia"/>
          <w:sz w:val="18"/>
          <w:szCs w:val="22"/>
          <w:rtl/>
          <w:lang w:eastAsia="he-IL"/>
        </w:rPr>
        <w:t>בהחלטה</w:t>
      </w:r>
      <w:r w:rsidRPr="00FF1578">
        <w:rPr>
          <w:rFonts w:cs="FrankRuehl" w:hint="cs"/>
          <w:sz w:val="18"/>
          <w:szCs w:val="22"/>
          <w:rtl/>
          <w:lang w:eastAsia="he-IL"/>
        </w:rPr>
        <w:t xml:space="preserve"> מס'</w:t>
      </w:r>
      <w:r w:rsidRPr="00FF1578">
        <w:rPr>
          <w:rFonts w:cs="FrankRuehl"/>
          <w:sz w:val="18"/>
          <w:szCs w:val="22"/>
          <w:rtl/>
          <w:lang w:eastAsia="he-IL"/>
        </w:rPr>
        <w:t xml:space="preserve"> 1239 </w:t>
      </w:r>
      <w:r w:rsidRPr="00FF1578">
        <w:rPr>
          <w:rFonts w:cs="FrankRuehl" w:hint="eastAsia"/>
          <w:sz w:val="18"/>
          <w:szCs w:val="22"/>
          <w:rtl/>
          <w:lang w:eastAsia="he-IL"/>
        </w:rPr>
        <w:t>כי</w:t>
      </w:r>
      <w:r w:rsidRPr="00FF1578">
        <w:rPr>
          <w:rFonts w:cs="FrankRuehl"/>
          <w:sz w:val="18"/>
          <w:szCs w:val="22"/>
          <w:rtl/>
          <w:lang w:eastAsia="he-IL"/>
        </w:rPr>
        <w:t xml:space="preserve"> </w:t>
      </w:r>
      <w:r w:rsidRPr="00FF1578">
        <w:rPr>
          <w:rFonts w:cs="FrankRuehl" w:hint="eastAsia"/>
          <w:sz w:val="18"/>
          <w:szCs w:val="22"/>
          <w:rtl/>
          <w:lang w:eastAsia="he-IL"/>
        </w:rPr>
        <w:t>שטחה</w:t>
      </w:r>
      <w:r w:rsidRPr="00FF1578">
        <w:rPr>
          <w:rFonts w:cs="FrankRuehl"/>
          <w:sz w:val="18"/>
          <w:szCs w:val="22"/>
          <w:rtl/>
          <w:lang w:eastAsia="he-IL"/>
        </w:rPr>
        <w:t xml:space="preserve"> </w:t>
      </w:r>
      <w:r w:rsidRPr="00FF1578">
        <w:rPr>
          <w:rFonts w:cs="FrankRuehl" w:hint="eastAsia"/>
          <w:sz w:val="18"/>
          <w:szCs w:val="22"/>
          <w:rtl/>
          <w:lang w:eastAsia="he-IL"/>
        </w:rPr>
        <w:t>של</w:t>
      </w:r>
      <w:r w:rsidRPr="00FF1578">
        <w:rPr>
          <w:rFonts w:cs="FrankRuehl"/>
          <w:sz w:val="18"/>
          <w:szCs w:val="22"/>
          <w:rtl/>
          <w:lang w:eastAsia="he-IL"/>
        </w:rPr>
        <w:t xml:space="preserve"> </w:t>
      </w:r>
      <w:r w:rsidRPr="00FF1578">
        <w:rPr>
          <w:rFonts w:cs="FrankRuehl" w:hint="cs"/>
          <w:sz w:val="18"/>
          <w:szCs w:val="22"/>
          <w:rtl/>
          <w:lang w:eastAsia="he-IL"/>
        </w:rPr>
        <w:t>יח"ד</w:t>
      </w:r>
      <w:r w:rsidRPr="00FF1578">
        <w:rPr>
          <w:rFonts w:cs="FrankRuehl"/>
          <w:sz w:val="18"/>
          <w:szCs w:val="22"/>
          <w:rtl/>
          <w:lang w:eastAsia="he-IL"/>
        </w:rPr>
        <w:t xml:space="preserve"> </w:t>
      </w:r>
      <w:r w:rsidRPr="00FF1578">
        <w:rPr>
          <w:rFonts w:cs="FrankRuehl" w:hint="eastAsia"/>
          <w:sz w:val="18"/>
          <w:szCs w:val="22"/>
          <w:rtl/>
          <w:lang w:eastAsia="he-IL"/>
        </w:rPr>
        <w:t>במסלול</w:t>
      </w:r>
      <w:r w:rsidRPr="00FF1578">
        <w:rPr>
          <w:rFonts w:cs="FrankRuehl"/>
          <w:sz w:val="18"/>
          <w:szCs w:val="22"/>
          <w:rtl/>
          <w:lang w:eastAsia="he-IL"/>
        </w:rPr>
        <w:t xml:space="preserve"> </w:t>
      </w:r>
      <w:r w:rsidRPr="00FF1578">
        <w:rPr>
          <w:rFonts w:cs="FrankRuehl" w:hint="eastAsia"/>
          <w:sz w:val="18"/>
          <w:szCs w:val="22"/>
          <w:rtl/>
          <w:lang w:eastAsia="he-IL"/>
        </w:rPr>
        <w:t>מחיר</w:t>
      </w:r>
      <w:r w:rsidRPr="00FF1578">
        <w:rPr>
          <w:rFonts w:cs="FrankRuehl"/>
          <w:sz w:val="18"/>
          <w:szCs w:val="22"/>
          <w:rtl/>
          <w:lang w:eastAsia="he-IL"/>
        </w:rPr>
        <w:t xml:space="preserve"> </w:t>
      </w:r>
      <w:r w:rsidRPr="00FF1578">
        <w:rPr>
          <w:rFonts w:cs="FrankRuehl" w:hint="eastAsia"/>
          <w:sz w:val="18"/>
          <w:szCs w:val="22"/>
          <w:rtl/>
          <w:lang w:eastAsia="he-IL"/>
        </w:rPr>
        <w:t>למשתכן</w:t>
      </w:r>
      <w:r w:rsidRPr="00FF1578">
        <w:rPr>
          <w:rFonts w:cs="FrankRuehl"/>
          <w:sz w:val="18"/>
          <w:szCs w:val="22"/>
          <w:rtl/>
          <w:lang w:eastAsia="he-IL"/>
        </w:rPr>
        <w:t xml:space="preserve"> </w:t>
      </w:r>
      <w:r w:rsidRPr="00FF1578">
        <w:rPr>
          <w:rFonts w:cs="FrankRuehl" w:hint="eastAsia"/>
          <w:sz w:val="18"/>
          <w:szCs w:val="22"/>
          <w:rtl/>
          <w:lang w:eastAsia="he-IL"/>
        </w:rPr>
        <w:t>לא</w:t>
      </w:r>
      <w:r w:rsidRPr="00FF1578">
        <w:rPr>
          <w:rFonts w:cs="FrankRuehl"/>
          <w:sz w:val="18"/>
          <w:szCs w:val="22"/>
          <w:rtl/>
          <w:lang w:eastAsia="he-IL"/>
        </w:rPr>
        <w:t xml:space="preserve"> </w:t>
      </w:r>
      <w:r w:rsidRPr="00FF1578">
        <w:rPr>
          <w:rFonts w:cs="FrankRuehl" w:hint="eastAsia"/>
          <w:sz w:val="18"/>
          <w:szCs w:val="22"/>
          <w:rtl/>
          <w:lang w:eastAsia="he-IL"/>
        </w:rPr>
        <w:t>יעלה</w:t>
      </w:r>
      <w:r w:rsidRPr="00FF1578">
        <w:rPr>
          <w:rFonts w:cs="FrankRuehl"/>
          <w:sz w:val="18"/>
          <w:szCs w:val="22"/>
          <w:rtl/>
          <w:lang w:eastAsia="he-IL"/>
        </w:rPr>
        <w:t xml:space="preserve"> </w:t>
      </w:r>
      <w:r w:rsidRPr="00FF1578">
        <w:rPr>
          <w:rFonts w:cs="FrankRuehl" w:hint="eastAsia"/>
          <w:sz w:val="18"/>
          <w:szCs w:val="22"/>
          <w:rtl/>
          <w:lang w:eastAsia="he-IL"/>
        </w:rPr>
        <w:t>על</w:t>
      </w:r>
      <w:r w:rsidRPr="00FF1578">
        <w:rPr>
          <w:rFonts w:cs="FrankRuehl"/>
          <w:sz w:val="18"/>
          <w:szCs w:val="22"/>
          <w:rtl/>
          <w:lang w:eastAsia="he-IL"/>
        </w:rPr>
        <w:t xml:space="preserve"> 100 </w:t>
      </w:r>
      <w:r w:rsidRPr="00FF1578">
        <w:rPr>
          <w:rFonts w:cs="FrankRuehl" w:hint="eastAsia"/>
          <w:sz w:val="18"/>
          <w:szCs w:val="22"/>
          <w:rtl/>
          <w:lang w:eastAsia="he-IL"/>
        </w:rPr>
        <w:t>מ</w:t>
      </w:r>
      <w:r w:rsidRPr="00FF1578">
        <w:rPr>
          <w:rFonts w:cs="FrankRuehl"/>
          <w:sz w:val="18"/>
          <w:szCs w:val="22"/>
          <w:rtl/>
          <w:lang w:eastAsia="he-IL"/>
        </w:rPr>
        <w:t xml:space="preserve">"ר </w:t>
      </w:r>
      <w:r w:rsidRPr="00FF1578">
        <w:rPr>
          <w:rFonts w:cs="FrankRuehl" w:hint="eastAsia"/>
          <w:sz w:val="18"/>
          <w:szCs w:val="22"/>
          <w:rtl/>
          <w:lang w:eastAsia="he-IL"/>
        </w:rPr>
        <w:t>ובאזורי</w:t>
      </w:r>
      <w:r w:rsidRPr="00FF1578">
        <w:rPr>
          <w:rFonts w:cs="FrankRuehl"/>
          <w:sz w:val="18"/>
          <w:szCs w:val="22"/>
          <w:rtl/>
          <w:lang w:eastAsia="he-IL"/>
        </w:rPr>
        <w:t xml:space="preserve"> </w:t>
      </w:r>
      <w:r w:rsidRPr="00FF1578">
        <w:rPr>
          <w:rFonts w:cs="FrankRuehl" w:hint="eastAsia"/>
          <w:sz w:val="18"/>
          <w:szCs w:val="22"/>
          <w:rtl/>
          <w:lang w:eastAsia="he-IL"/>
        </w:rPr>
        <w:t>עדיפות</w:t>
      </w:r>
      <w:r w:rsidRPr="00FF1578">
        <w:rPr>
          <w:rFonts w:cs="FrankRuehl"/>
          <w:sz w:val="18"/>
          <w:szCs w:val="22"/>
          <w:rtl/>
          <w:lang w:eastAsia="he-IL"/>
        </w:rPr>
        <w:t xml:space="preserve"> </w:t>
      </w:r>
      <w:r w:rsidRPr="00FF1578">
        <w:rPr>
          <w:rFonts w:cs="FrankRuehl" w:hint="eastAsia"/>
          <w:sz w:val="18"/>
          <w:szCs w:val="22"/>
          <w:rtl/>
          <w:lang w:eastAsia="he-IL"/>
        </w:rPr>
        <w:t>לאומית</w:t>
      </w:r>
      <w:r w:rsidRPr="00FF1578">
        <w:rPr>
          <w:rFonts w:cs="FrankRuehl"/>
          <w:sz w:val="18"/>
          <w:szCs w:val="22"/>
          <w:rtl/>
          <w:lang w:eastAsia="he-IL"/>
        </w:rPr>
        <w:t xml:space="preserve"> - </w:t>
      </w:r>
      <w:r w:rsidRPr="00FF1578">
        <w:rPr>
          <w:rFonts w:cs="FrankRuehl" w:hint="eastAsia"/>
          <w:sz w:val="18"/>
          <w:szCs w:val="22"/>
          <w:rtl/>
          <w:lang w:eastAsia="he-IL"/>
        </w:rPr>
        <w:t>על</w:t>
      </w:r>
      <w:r w:rsidRPr="00FF1578">
        <w:rPr>
          <w:rFonts w:cs="FrankRuehl"/>
          <w:sz w:val="18"/>
          <w:szCs w:val="22"/>
          <w:rtl/>
          <w:lang w:eastAsia="he-IL"/>
        </w:rPr>
        <w:t xml:space="preserve"> 120 </w:t>
      </w:r>
      <w:r w:rsidRPr="00FF1578">
        <w:rPr>
          <w:rFonts w:cs="FrankRuehl" w:hint="eastAsia"/>
          <w:sz w:val="18"/>
          <w:szCs w:val="22"/>
          <w:rtl/>
          <w:lang w:eastAsia="he-IL"/>
        </w:rPr>
        <w:t>מ</w:t>
      </w:r>
      <w:r w:rsidRPr="00FF1578">
        <w:rPr>
          <w:rFonts w:cs="FrankRuehl"/>
          <w:sz w:val="18"/>
          <w:szCs w:val="22"/>
          <w:rtl/>
          <w:lang w:eastAsia="he-IL"/>
        </w:rPr>
        <w:t>"ר</w:t>
      </w:r>
      <w:r w:rsidRPr="00FF1578">
        <w:rPr>
          <w:rFonts w:cs="FrankRuehl" w:hint="cs"/>
          <w:sz w:val="18"/>
          <w:szCs w:val="22"/>
          <w:rtl/>
          <w:lang w:eastAsia="he-IL"/>
        </w:rPr>
        <w:t>.</w:t>
      </w:r>
      <w:r w:rsidRPr="00FF1578">
        <w:rPr>
          <w:rFonts w:cs="FrankRuehl"/>
          <w:sz w:val="18"/>
          <w:szCs w:val="22"/>
          <w:rtl/>
          <w:lang w:eastAsia="he-IL"/>
        </w:rPr>
        <w:t xml:space="preserve"> </w:t>
      </w:r>
      <w:r w:rsidRPr="00FF1578">
        <w:rPr>
          <w:rFonts w:cs="FrankRuehl" w:hint="cs"/>
          <w:sz w:val="18"/>
          <w:szCs w:val="22"/>
          <w:rtl/>
          <w:lang w:eastAsia="he-IL"/>
        </w:rPr>
        <w:t xml:space="preserve">עוד נקבע </w:t>
      </w:r>
      <w:r w:rsidRPr="00FF1578">
        <w:rPr>
          <w:rFonts w:cs="FrankRuehl" w:hint="eastAsia"/>
          <w:sz w:val="18"/>
          <w:szCs w:val="22"/>
          <w:rtl/>
          <w:lang w:eastAsia="he-IL"/>
        </w:rPr>
        <w:t>כי</w:t>
      </w:r>
      <w:r w:rsidRPr="00FF1578">
        <w:rPr>
          <w:rFonts w:cs="FrankRuehl"/>
          <w:sz w:val="18"/>
          <w:szCs w:val="22"/>
          <w:rtl/>
          <w:lang w:eastAsia="he-IL"/>
        </w:rPr>
        <w:t xml:space="preserve"> </w:t>
      </w:r>
      <w:r w:rsidRPr="00FF1578">
        <w:rPr>
          <w:rFonts w:cs="FrankRuehl" w:hint="eastAsia"/>
          <w:sz w:val="18"/>
          <w:szCs w:val="22"/>
          <w:rtl/>
          <w:lang w:eastAsia="he-IL"/>
        </w:rPr>
        <w:t>משרד הבינוי</w:t>
      </w:r>
      <w:r w:rsidRPr="00FF1578">
        <w:rPr>
          <w:rFonts w:cs="FrankRuehl"/>
          <w:sz w:val="18"/>
          <w:szCs w:val="22"/>
          <w:rtl/>
          <w:lang w:eastAsia="he-IL"/>
        </w:rPr>
        <w:t xml:space="preserve"> </w:t>
      </w:r>
      <w:r w:rsidRPr="00FF1578">
        <w:rPr>
          <w:rFonts w:cs="FrankRuehl" w:hint="eastAsia"/>
          <w:sz w:val="18"/>
          <w:szCs w:val="22"/>
          <w:rtl/>
          <w:lang w:eastAsia="he-IL"/>
        </w:rPr>
        <w:t>יקבע</w:t>
      </w:r>
      <w:r w:rsidRPr="00FF1578">
        <w:rPr>
          <w:rFonts w:cs="FrankRuehl"/>
          <w:sz w:val="18"/>
          <w:szCs w:val="22"/>
          <w:rtl/>
          <w:lang w:eastAsia="he-IL"/>
        </w:rPr>
        <w:t xml:space="preserve"> </w:t>
      </w:r>
      <w:r w:rsidRPr="00FF1578">
        <w:rPr>
          <w:rFonts w:cs="FrankRuehl" w:hint="eastAsia"/>
          <w:sz w:val="18"/>
          <w:szCs w:val="22"/>
          <w:rtl/>
          <w:lang w:eastAsia="he-IL"/>
        </w:rPr>
        <w:t>את</w:t>
      </w:r>
      <w:r w:rsidRPr="00FF1578">
        <w:rPr>
          <w:rFonts w:cs="FrankRuehl"/>
          <w:sz w:val="18"/>
          <w:szCs w:val="22"/>
          <w:rtl/>
          <w:lang w:eastAsia="he-IL"/>
        </w:rPr>
        <w:t xml:space="preserve"> </w:t>
      </w:r>
      <w:r w:rsidRPr="00FF1578">
        <w:rPr>
          <w:rFonts w:cs="FrankRuehl" w:hint="eastAsia"/>
          <w:sz w:val="18"/>
          <w:szCs w:val="22"/>
          <w:rtl/>
          <w:lang w:eastAsia="he-IL"/>
        </w:rPr>
        <w:t>מספר</w:t>
      </w:r>
      <w:r w:rsidRPr="00FF1578">
        <w:rPr>
          <w:rFonts w:cs="FrankRuehl"/>
          <w:sz w:val="18"/>
          <w:szCs w:val="22"/>
          <w:rtl/>
          <w:lang w:eastAsia="he-IL"/>
        </w:rPr>
        <w:t xml:space="preserve"> </w:t>
      </w:r>
      <w:r w:rsidRPr="00FF1578">
        <w:rPr>
          <w:rFonts w:cs="FrankRuehl" w:hint="cs"/>
          <w:sz w:val="18"/>
          <w:szCs w:val="22"/>
          <w:rtl/>
          <w:lang w:eastAsia="he-IL"/>
        </w:rPr>
        <w:t>יחידות הדיור</w:t>
      </w:r>
      <w:r w:rsidRPr="00FF1578">
        <w:rPr>
          <w:rFonts w:cs="FrankRuehl"/>
          <w:sz w:val="18"/>
          <w:szCs w:val="22"/>
          <w:rtl/>
          <w:lang w:eastAsia="he-IL"/>
        </w:rPr>
        <w:t xml:space="preserve"> </w:t>
      </w:r>
      <w:r w:rsidRPr="00FF1578">
        <w:rPr>
          <w:rFonts w:cs="FrankRuehl" w:hint="eastAsia"/>
          <w:sz w:val="18"/>
          <w:szCs w:val="22"/>
          <w:rtl/>
          <w:lang w:eastAsia="he-IL"/>
        </w:rPr>
        <w:t>שישווקו</w:t>
      </w:r>
      <w:r w:rsidRPr="00FF1578">
        <w:rPr>
          <w:rFonts w:cs="FrankRuehl"/>
          <w:sz w:val="18"/>
          <w:szCs w:val="22"/>
          <w:rtl/>
          <w:lang w:eastAsia="he-IL"/>
        </w:rPr>
        <w:t xml:space="preserve"> </w:t>
      </w:r>
      <w:r w:rsidRPr="00FF1578">
        <w:rPr>
          <w:rFonts w:cs="FrankRuehl" w:hint="eastAsia"/>
          <w:sz w:val="18"/>
          <w:szCs w:val="22"/>
          <w:rtl/>
          <w:lang w:eastAsia="he-IL"/>
        </w:rPr>
        <w:t>לזכאים</w:t>
      </w:r>
      <w:r w:rsidRPr="00FF1578">
        <w:rPr>
          <w:rFonts w:cs="FrankRuehl"/>
          <w:sz w:val="18"/>
          <w:szCs w:val="22"/>
          <w:rtl/>
          <w:lang w:eastAsia="he-IL"/>
        </w:rPr>
        <w:t xml:space="preserve"> </w:t>
      </w:r>
      <w:r w:rsidRPr="00FF1578">
        <w:rPr>
          <w:rFonts w:cs="FrankRuehl" w:hint="eastAsia"/>
          <w:sz w:val="18"/>
          <w:szCs w:val="22"/>
          <w:rtl/>
          <w:lang w:eastAsia="he-IL"/>
        </w:rPr>
        <w:t>בכל</w:t>
      </w:r>
      <w:r w:rsidRPr="00FF1578">
        <w:rPr>
          <w:rFonts w:cs="FrankRuehl"/>
          <w:sz w:val="18"/>
          <w:szCs w:val="22"/>
          <w:rtl/>
          <w:lang w:eastAsia="he-IL"/>
        </w:rPr>
        <w:t xml:space="preserve"> </w:t>
      </w:r>
      <w:r w:rsidRPr="00FF1578">
        <w:rPr>
          <w:rFonts w:cs="FrankRuehl" w:hint="eastAsia"/>
          <w:sz w:val="18"/>
          <w:szCs w:val="22"/>
          <w:rtl/>
          <w:lang w:eastAsia="he-IL"/>
        </w:rPr>
        <w:t>מתחם</w:t>
      </w:r>
      <w:r w:rsidRPr="00FF1578">
        <w:rPr>
          <w:rFonts w:cs="FrankRuehl"/>
          <w:sz w:val="18"/>
          <w:szCs w:val="22"/>
          <w:rtl/>
          <w:lang w:eastAsia="he-IL"/>
        </w:rPr>
        <w:t xml:space="preserve"> </w:t>
      </w:r>
      <w:r w:rsidRPr="00FF1578">
        <w:rPr>
          <w:rFonts w:cs="FrankRuehl" w:hint="eastAsia"/>
          <w:sz w:val="18"/>
          <w:szCs w:val="22"/>
          <w:rtl/>
          <w:lang w:eastAsia="he-IL"/>
        </w:rPr>
        <w:t>או</w:t>
      </w:r>
      <w:r w:rsidRPr="00FF1578">
        <w:rPr>
          <w:rFonts w:cs="FrankRuehl"/>
          <w:sz w:val="18"/>
          <w:szCs w:val="22"/>
          <w:rtl/>
          <w:lang w:eastAsia="he-IL"/>
        </w:rPr>
        <w:t xml:space="preserve"> </w:t>
      </w:r>
      <w:r w:rsidRPr="00FF1578">
        <w:rPr>
          <w:rFonts w:cs="FrankRuehl" w:hint="eastAsia"/>
          <w:sz w:val="18"/>
          <w:szCs w:val="22"/>
          <w:rtl/>
          <w:lang w:eastAsia="he-IL"/>
        </w:rPr>
        <w:t>מגרש</w:t>
      </w:r>
      <w:r w:rsidRPr="00FF1578">
        <w:rPr>
          <w:rFonts w:cs="FrankRuehl"/>
          <w:sz w:val="18"/>
          <w:szCs w:val="22"/>
          <w:rtl/>
          <w:lang w:eastAsia="he-IL"/>
        </w:rPr>
        <w:t>.</w:t>
      </w:r>
    </w:p>
    <w:p w:rsidR="005001B1" w:rsidRPr="00D57FF2" w:rsidP="00A7557B">
      <w:pPr>
        <w:spacing w:after="120" w:line="230" w:lineRule="exact"/>
        <w:jc w:val="both"/>
        <w:rPr>
          <w:rFonts w:cs="FrankRuehl"/>
          <w:sz w:val="18"/>
          <w:szCs w:val="22"/>
          <w:rtl/>
          <w:lang w:eastAsia="he-IL"/>
        </w:rPr>
      </w:pPr>
    </w:p>
    <w:p w:rsidR="00E97EDA" w:rsidRPr="00E97EDA" w:rsidP="00A7557B">
      <w:pPr>
        <w:pStyle w:val="KOT5"/>
        <w:rPr>
          <w:rtl/>
        </w:rPr>
      </w:pPr>
      <w:r w:rsidRPr="00E97EDA">
        <w:rPr>
          <w:rFonts w:hint="cs"/>
          <w:rtl/>
        </w:rPr>
        <w:t>יעדי</w:t>
      </w:r>
      <w:r w:rsidRPr="00E97EDA">
        <w:rPr>
          <w:rtl/>
        </w:rPr>
        <w:t xml:space="preserve"> </w:t>
      </w:r>
      <w:r w:rsidRPr="00E97EDA">
        <w:rPr>
          <w:rFonts w:hint="cs"/>
          <w:rtl/>
        </w:rPr>
        <w:t>השיווק</w:t>
      </w:r>
      <w:r w:rsidRPr="00E97EDA">
        <w:rPr>
          <w:rtl/>
        </w:rPr>
        <w:t xml:space="preserve"> </w:t>
      </w:r>
      <w:r w:rsidRPr="00E97EDA">
        <w:rPr>
          <w:rFonts w:hint="cs"/>
          <w:rtl/>
        </w:rPr>
        <w:t>של</w:t>
      </w:r>
      <w:r w:rsidRPr="00E97EDA">
        <w:rPr>
          <w:rtl/>
        </w:rPr>
        <w:t xml:space="preserve"> </w:t>
      </w:r>
      <w:r w:rsidRPr="00E97EDA">
        <w:rPr>
          <w:rFonts w:hint="cs"/>
          <w:rtl/>
        </w:rPr>
        <w:t>התכנית</w:t>
      </w:r>
      <w:r w:rsidRPr="00E97EDA">
        <w:rPr>
          <w:rtl/>
        </w:rPr>
        <w:t xml:space="preserve"> </w:t>
      </w:r>
    </w:p>
    <w:p w:rsidR="00E97EDA" w:rsidRPr="00F41E78" w:rsidP="00A7557B">
      <w:pPr>
        <w:spacing w:after="120" w:line="230" w:lineRule="exact"/>
        <w:jc w:val="both"/>
        <w:outlineLvl w:val="3"/>
        <w:rPr>
          <w:rFonts w:cs="FrankRuehl"/>
          <w:b/>
          <w:sz w:val="18"/>
          <w:szCs w:val="22"/>
          <w:rtl/>
          <w:lang w:eastAsia="he-IL"/>
        </w:rPr>
      </w:pPr>
      <w:r w:rsidRPr="00F41E78">
        <w:rPr>
          <w:rFonts w:cs="FrankRuehl"/>
          <w:bCs/>
          <w:spacing w:val="40"/>
          <w:sz w:val="18"/>
          <w:szCs w:val="22"/>
          <w:rtl/>
        </w:rPr>
        <w:t>קביעת יעדי שיווק כמותיים בהחלטות ובתכניות דיור ממשלתיות:</w:t>
      </w:r>
      <w:r w:rsidRPr="00F41E78">
        <w:rPr>
          <w:rFonts w:cs="FrankRuehl"/>
          <w:sz w:val="18"/>
          <w:szCs w:val="22"/>
          <w:rtl/>
          <w:lang w:eastAsia="he-IL"/>
        </w:rPr>
        <w:t xml:space="preserve"> </w:t>
      </w:r>
      <w:r w:rsidRPr="00F41E78">
        <w:rPr>
          <w:rFonts w:cs="FrankRuehl" w:hint="cs"/>
          <w:b/>
          <w:sz w:val="18"/>
          <w:szCs w:val="22"/>
          <w:rtl/>
          <w:lang w:eastAsia="he-IL"/>
        </w:rPr>
        <w:t>בשנים 1997-1994 קבעה הממשלה מפעם לפעם יעדים כמותיים לשיווק קרקע לבניית 20,500 יח"ד במסלול מחיר למשתכן, אך לא נקבעו לוחות זמנים להשגתם.</w:t>
      </w:r>
      <w:r w:rsidRPr="00F41E78">
        <w:rPr>
          <w:rFonts w:cs="FrankRuehl"/>
          <w:sz w:val="18"/>
          <w:szCs w:val="22"/>
          <w:rtl/>
        </w:rPr>
        <w:t xml:space="preserve"> </w:t>
      </w:r>
      <w:r w:rsidRPr="00F41E78">
        <w:rPr>
          <w:rFonts w:cs="FrankRuehl"/>
          <w:b/>
          <w:sz w:val="18"/>
          <w:szCs w:val="22"/>
          <w:rtl/>
          <w:lang w:eastAsia="he-IL"/>
        </w:rPr>
        <w:t xml:space="preserve">במשך כ-14 שנה, </w:t>
      </w:r>
      <w:r w:rsidRPr="00F41E78">
        <w:rPr>
          <w:rFonts w:cs="FrankRuehl" w:hint="cs"/>
          <w:b/>
          <w:sz w:val="18"/>
          <w:szCs w:val="22"/>
          <w:rtl/>
          <w:lang w:eastAsia="he-IL"/>
        </w:rPr>
        <w:t>מ</w:t>
      </w:r>
      <w:r w:rsidRPr="00F41E78">
        <w:rPr>
          <w:rFonts w:cs="FrankRuehl"/>
          <w:b/>
          <w:sz w:val="18"/>
          <w:szCs w:val="22"/>
          <w:rtl/>
          <w:lang w:eastAsia="he-IL"/>
        </w:rPr>
        <w:t xml:space="preserve">יוני 1997 </w:t>
      </w:r>
      <w:r w:rsidRPr="00F41E78">
        <w:rPr>
          <w:rFonts w:cs="FrankRuehl" w:hint="cs"/>
          <w:b/>
          <w:sz w:val="18"/>
          <w:szCs w:val="22"/>
          <w:rtl/>
          <w:lang w:eastAsia="he-IL"/>
        </w:rPr>
        <w:t xml:space="preserve">עד </w:t>
      </w:r>
      <w:r w:rsidRPr="00F41E78">
        <w:rPr>
          <w:rFonts w:cs="FrankRuehl"/>
          <w:b/>
          <w:sz w:val="18"/>
          <w:szCs w:val="22"/>
          <w:rtl/>
          <w:lang w:eastAsia="he-IL"/>
        </w:rPr>
        <w:t xml:space="preserve">אוקטובר 2011, לא הציבה הממשלה </w:t>
      </w:r>
      <w:r w:rsidRPr="00F41E78">
        <w:rPr>
          <w:rFonts w:cs="FrankRuehl" w:hint="cs"/>
          <w:b/>
          <w:sz w:val="18"/>
          <w:szCs w:val="22"/>
          <w:rtl/>
          <w:lang w:eastAsia="he-IL"/>
        </w:rPr>
        <w:t xml:space="preserve">כלל </w:t>
      </w:r>
      <w:r w:rsidRPr="00F41E78">
        <w:rPr>
          <w:rFonts w:cs="FrankRuehl"/>
          <w:b/>
          <w:sz w:val="18"/>
          <w:szCs w:val="22"/>
          <w:rtl/>
          <w:lang w:eastAsia="he-IL"/>
        </w:rPr>
        <w:t>יעדים כמותיים לשיווק יח"ד במסלול זה.</w:t>
      </w:r>
      <w:r w:rsidRPr="00F41E78">
        <w:rPr>
          <w:rFonts w:cs="FrankRuehl" w:hint="cs"/>
          <w:b/>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eastAsia"/>
          <w:sz w:val="18"/>
          <w:szCs w:val="22"/>
          <w:rtl/>
          <w:lang w:eastAsia="he-IL"/>
        </w:rPr>
        <w:t>בספטמבר</w:t>
      </w:r>
      <w:r w:rsidRPr="00F41E78">
        <w:rPr>
          <w:rFonts w:cs="FrankRuehl"/>
          <w:sz w:val="18"/>
          <w:szCs w:val="22"/>
          <w:rtl/>
          <w:lang w:eastAsia="he-IL"/>
        </w:rPr>
        <w:t xml:space="preserve"> 2011 המליצה ועדת טרכטנברג כי על רמ"י ועל משרד הבינוי להשלים את שיווקן של 5,000 יח"ד למכירה במסלול זה עד סוף 2012. </w:t>
      </w:r>
      <w:r w:rsidRPr="00F41E78">
        <w:rPr>
          <w:rFonts w:cs="FrankRuehl" w:hint="eastAsia"/>
          <w:sz w:val="18"/>
          <w:szCs w:val="22"/>
          <w:rtl/>
          <w:lang w:eastAsia="he-IL"/>
        </w:rPr>
        <w:t>באוקטובר</w:t>
      </w:r>
      <w:r w:rsidRPr="00F41E78">
        <w:rPr>
          <w:rFonts w:cs="FrankRuehl"/>
          <w:sz w:val="18"/>
          <w:szCs w:val="22"/>
          <w:rtl/>
          <w:lang w:eastAsia="he-IL"/>
        </w:rPr>
        <w:t xml:space="preserve"> 2011 </w:t>
      </w:r>
      <w:r w:rsidRPr="00F41E78">
        <w:rPr>
          <w:rFonts w:cs="FrankRuehl" w:hint="eastAsia"/>
          <w:sz w:val="18"/>
          <w:szCs w:val="22"/>
          <w:rtl/>
          <w:lang w:eastAsia="he-IL"/>
        </w:rPr>
        <w:t>אימצה</w:t>
      </w:r>
      <w:r w:rsidRPr="00F41E78">
        <w:rPr>
          <w:rFonts w:cs="FrankRuehl"/>
          <w:sz w:val="18"/>
          <w:szCs w:val="22"/>
          <w:rtl/>
          <w:lang w:eastAsia="he-IL"/>
        </w:rPr>
        <w:t xml:space="preserve"> </w:t>
      </w:r>
      <w:r w:rsidRPr="00F41E78">
        <w:rPr>
          <w:rFonts w:cs="FrankRuehl" w:hint="eastAsia"/>
          <w:sz w:val="18"/>
          <w:szCs w:val="22"/>
          <w:rtl/>
          <w:lang w:eastAsia="he-IL"/>
        </w:rPr>
        <w:t>הממשלה</w:t>
      </w:r>
      <w:r w:rsidRPr="00F41E78">
        <w:rPr>
          <w:rFonts w:cs="FrankRuehl"/>
          <w:sz w:val="18"/>
          <w:szCs w:val="22"/>
          <w:rtl/>
          <w:lang w:eastAsia="he-IL"/>
        </w:rPr>
        <w:t xml:space="preserve"> </w:t>
      </w:r>
      <w:r w:rsidRPr="00F41E78">
        <w:rPr>
          <w:rFonts w:cs="FrankRuehl" w:hint="eastAsia"/>
          <w:sz w:val="18"/>
          <w:szCs w:val="22"/>
          <w:rtl/>
          <w:lang w:eastAsia="he-IL"/>
        </w:rPr>
        <w:t>את</w:t>
      </w:r>
      <w:r w:rsidRPr="00F41E78">
        <w:rPr>
          <w:rFonts w:cs="FrankRuehl"/>
          <w:sz w:val="18"/>
          <w:szCs w:val="22"/>
          <w:rtl/>
          <w:lang w:eastAsia="he-IL"/>
        </w:rPr>
        <w:t xml:space="preserve"> </w:t>
      </w:r>
      <w:r w:rsidRPr="00F41E78">
        <w:rPr>
          <w:rFonts w:cs="FrankRuehl" w:hint="eastAsia"/>
          <w:sz w:val="18"/>
          <w:szCs w:val="22"/>
          <w:rtl/>
          <w:lang w:eastAsia="he-IL"/>
        </w:rPr>
        <w:t>המלצות</w:t>
      </w:r>
      <w:r w:rsidRPr="00F41E78">
        <w:rPr>
          <w:rFonts w:cs="FrankRuehl"/>
          <w:sz w:val="18"/>
          <w:szCs w:val="22"/>
          <w:rtl/>
          <w:lang w:eastAsia="he-IL"/>
        </w:rPr>
        <w:t xml:space="preserve"> </w:t>
      </w:r>
      <w:r w:rsidRPr="00F41E78">
        <w:rPr>
          <w:rFonts w:cs="FrankRuehl" w:hint="eastAsia"/>
          <w:sz w:val="18"/>
          <w:szCs w:val="22"/>
          <w:rtl/>
          <w:lang w:eastAsia="he-IL"/>
        </w:rPr>
        <w:t>ועדת</w:t>
      </w:r>
      <w:r w:rsidRPr="00F41E78">
        <w:rPr>
          <w:rFonts w:cs="FrankRuehl"/>
          <w:sz w:val="18"/>
          <w:szCs w:val="22"/>
          <w:rtl/>
          <w:lang w:eastAsia="he-IL"/>
        </w:rPr>
        <w:t xml:space="preserve"> </w:t>
      </w:r>
      <w:r w:rsidRPr="00F41E78">
        <w:rPr>
          <w:rFonts w:cs="FrankRuehl" w:hint="eastAsia"/>
          <w:sz w:val="18"/>
          <w:szCs w:val="22"/>
          <w:rtl/>
          <w:lang w:eastAsia="he-IL"/>
        </w:rPr>
        <w:t>טרכטנברג</w:t>
      </w:r>
      <w:r w:rsidRPr="00F41E78">
        <w:rPr>
          <w:rFonts w:cs="FrankRuehl"/>
          <w:sz w:val="18"/>
          <w:szCs w:val="22"/>
          <w:rtl/>
          <w:lang w:eastAsia="he-IL"/>
        </w:rPr>
        <w:t>.</w:t>
      </w:r>
      <w:r w:rsidRPr="00F41E78">
        <w:rPr>
          <w:rFonts w:cs="FrankRuehl" w:hint="cs"/>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hint="eastAsia"/>
          <w:sz w:val="18"/>
          <w:szCs w:val="22"/>
          <w:rtl/>
          <w:lang w:eastAsia="he-IL"/>
        </w:rPr>
        <w:t>במרץ</w:t>
      </w:r>
      <w:r w:rsidRPr="00F41E78">
        <w:rPr>
          <w:rFonts w:cs="FrankRuehl"/>
          <w:sz w:val="18"/>
          <w:szCs w:val="22"/>
          <w:rtl/>
          <w:lang w:eastAsia="he-IL"/>
        </w:rPr>
        <w:t xml:space="preserve"> 2012 החליטה הממשלה (החלטה מס' 4429) על האצת פעולות השיווק והפיתוח של דירות </w:t>
      </w:r>
      <w:r w:rsidRPr="00F41E78">
        <w:rPr>
          <w:rFonts w:cs="FrankRuehl" w:hint="eastAsia"/>
          <w:sz w:val="18"/>
          <w:szCs w:val="22"/>
          <w:rtl/>
          <w:lang w:eastAsia="he-IL"/>
        </w:rPr>
        <w:t>מגורים</w:t>
      </w:r>
      <w:r w:rsidRPr="00F41E78">
        <w:rPr>
          <w:rFonts w:cs="FrankRuehl"/>
          <w:sz w:val="18"/>
          <w:szCs w:val="22"/>
          <w:rtl/>
          <w:lang w:eastAsia="he-IL"/>
        </w:rPr>
        <w:t xml:space="preserve"> </w:t>
      </w:r>
      <w:r w:rsidRPr="00F41E78">
        <w:rPr>
          <w:rFonts w:cs="FrankRuehl" w:hint="eastAsia"/>
          <w:sz w:val="18"/>
          <w:szCs w:val="22"/>
          <w:rtl/>
          <w:lang w:eastAsia="he-IL"/>
        </w:rPr>
        <w:t>במסגרת</w:t>
      </w:r>
      <w:r w:rsidRPr="00F41E78">
        <w:rPr>
          <w:rFonts w:cs="FrankRuehl"/>
          <w:sz w:val="18"/>
          <w:szCs w:val="22"/>
          <w:rtl/>
          <w:lang w:eastAsia="he-IL"/>
        </w:rPr>
        <w:t xml:space="preserve"> </w:t>
      </w:r>
      <w:r w:rsidRPr="00F41E78">
        <w:rPr>
          <w:rFonts w:cs="FrankRuehl" w:hint="eastAsia"/>
          <w:sz w:val="18"/>
          <w:szCs w:val="22"/>
          <w:rtl/>
          <w:lang w:eastAsia="he-IL"/>
        </w:rPr>
        <w:t>יישום</w:t>
      </w:r>
      <w:r w:rsidRPr="00F41E78">
        <w:rPr>
          <w:rFonts w:cs="FrankRuehl"/>
          <w:sz w:val="18"/>
          <w:szCs w:val="22"/>
          <w:rtl/>
          <w:lang w:eastAsia="he-IL"/>
        </w:rPr>
        <w:t xml:space="preserve"> </w:t>
      </w:r>
      <w:r w:rsidRPr="00F41E78">
        <w:rPr>
          <w:rFonts w:cs="FrankRuehl" w:hint="eastAsia"/>
          <w:sz w:val="18"/>
          <w:szCs w:val="22"/>
          <w:rtl/>
          <w:lang w:eastAsia="he-IL"/>
        </w:rPr>
        <w:t>המלצות</w:t>
      </w:r>
      <w:r w:rsidRPr="00F41E78">
        <w:rPr>
          <w:rFonts w:cs="FrankRuehl"/>
          <w:sz w:val="18"/>
          <w:szCs w:val="22"/>
          <w:rtl/>
          <w:lang w:eastAsia="he-IL"/>
        </w:rPr>
        <w:t xml:space="preserve"> </w:t>
      </w:r>
      <w:r w:rsidRPr="00F41E78">
        <w:rPr>
          <w:rFonts w:cs="FrankRuehl" w:hint="eastAsia"/>
          <w:sz w:val="18"/>
          <w:szCs w:val="22"/>
          <w:rtl/>
          <w:lang w:eastAsia="he-IL"/>
        </w:rPr>
        <w:t>ועדת</w:t>
      </w:r>
      <w:r w:rsidRPr="00F41E78">
        <w:rPr>
          <w:rFonts w:cs="FrankRuehl"/>
          <w:sz w:val="18"/>
          <w:szCs w:val="22"/>
          <w:rtl/>
          <w:lang w:eastAsia="he-IL"/>
        </w:rPr>
        <w:t xml:space="preserve"> </w:t>
      </w:r>
      <w:r w:rsidRPr="00F41E78">
        <w:rPr>
          <w:rFonts w:cs="FrankRuehl" w:hint="eastAsia"/>
          <w:sz w:val="18"/>
          <w:szCs w:val="22"/>
          <w:rtl/>
          <w:lang w:eastAsia="he-IL"/>
        </w:rPr>
        <w:t>טרכטנברג</w:t>
      </w:r>
      <w:r w:rsidRPr="00F41E78">
        <w:rPr>
          <w:rFonts w:cs="FrankRuehl"/>
          <w:sz w:val="18"/>
          <w:szCs w:val="22"/>
          <w:rtl/>
          <w:lang w:eastAsia="he-IL"/>
        </w:rPr>
        <w:t>, ובכלל זה תכנון ושיווק של קרקעות לבניית 200,000 יח"ד במשך החומש הקרוב, מהן 40,000 יח"ד לדיור בר השגה.</w:t>
      </w:r>
      <w:r w:rsidRPr="00F41E78">
        <w:rPr>
          <w:rFonts w:cs="FrankRuehl" w:hint="cs"/>
          <w:sz w:val="18"/>
          <w:szCs w:val="22"/>
          <w:rtl/>
          <w:lang w:eastAsia="he-IL"/>
        </w:rPr>
        <w:t xml:space="preserve"> </w:t>
      </w:r>
    </w:p>
    <w:p w:rsidR="00E97EDA" w:rsidRPr="00F41E78" w:rsidP="00A7557B">
      <w:pPr>
        <w:spacing w:after="120" w:line="230" w:lineRule="exact"/>
        <w:jc w:val="both"/>
        <w:rPr>
          <w:rFonts w:cs="FrankRuehl"/>
          <w:sz w:val="18"/>
          <w:szCs w:val="22"/>
          <w:rtl/>
          <w:lang w:eastAsia="he-IL"/>
        </w:rPr>
      </w:pPr>
      <w:r w:rsidRPr="00F41E78">
        <w:rPr>
          <w:rFonts w:cs="FrankRuehl"/>
          <w:bCs/>
          <w:spacing w:val="40"/>
          <w:sz w:val="18"/>
          <w:szCs w:val="22"/>
          <w:rtl/>
        </w:rPr>
        <w:t>תכנית העבודה של משרד הבינוי לשיווק קרקעות:</w:t>
      </w:r>
      <w:r w:rsidRPr="00F41E78">
        <w:rPr>
          <w:rFonts w:cs="FrankRuehl"/>
          <w:sz w:val="18"/>
          <w:szCs w:val="22"/>
          <w:rtl/>
          <w:lang w:eastAsia="he-IL"/>
        </w:rPr>
        <w:t xml:space="preserve"> </w:t>
      </w:r>
      <w:r w:rsidRPr="00F41E78">
        <w:rPr>
          <w:rFonts w:cs="FrankRuehl" w:hint="cs"/>
          <w:sz w:val="18"/>
          <w:szCs w:val="22"/>
          <w:rtl/>
          <w:lang w:eastAsia="he-IL"/>
        </w:rPr>
        <w:t>נושא שיווק הקרקעות לצורך בנייה למגורים נכלל בתכנית העבודה השנתית של משרד הבינוי.</w:t>
      </w:r>
    </w:p>
    <w:p w:rsidR="00E97EDA" w:rsidP="00D57FF2">
      <w:pPr>
        <w:spacing w:after="240" w:line="230" w:lineRule="exact"/>
        <w:jc w:val="both"/>
        <w:rPr>
          <w:rFonts w:cs="FrankRuehl"/>
          <w:sz w:val="18"/>
          <w:szCs w:val="22"/>
          <w:rtl/>
          <w:lang w:eastAsia="he-IL"/>
        </w:rPr>
      </w:pPr>
      <w:r w:rsidRPr="00F41E78">
        <w:rPr>
          <w:rFonts w:cs="FrankRuehl" w:hint="eastAsia"/>
          <w:sz w:val="18"/>
          <w:szCs w:val="22"/>
          <w:rtl/>
          <w:lang w:eastAsia="he-IL"/>
        </w:rPr>
        <w:t>תקנון</w:t>
      </w:r>
      <w:r w:rsidRPr="00F41E78">
        <w:rPr>
          <w:rFonts w:cs="FrankRuehl"/>
          <w:sz w:val="18"/>
          <w:szCs w:val="22"/>
          <w:rtl/>
          <w:lang w:eastAsia="he-IL"/>
        </w:rPr>
        <w:t xml:space="preserve"> </w:t>
      </w:r>
      <w:r w:rsidRPr="00F41E78">
        <w:rPr>
          <w:rFonts w:cs="FrankRuehl" w:hint="eastAsia"/>
          <w:sz w:val="18"/>
          <w:szCs w:val="22"/>
          <w:rtl/>
          <w:lang w:eastAsia="he-IL"/>
        </w:rPr>
        <w:t>עבודת</w:t>
      </w:r>
      <w:r w:rsidRPr="00F41E78">
        <w:rPr>
          <w:rFonts w:cs="FrankRuehl"/>
          <w:sz w:val="18"/>
          <w:szCs w:val="22"/>
          <w:rtl/>
          <w:lang w:eastAsia="he-IL"/>
        </w:rPr>
        <w:t xml:space="preserve"> </w:t>
      </w:r>
      <w:r w:rsidRPr="00F41E78">
        <w:rPr>
          <w:rFonts w:cs="FrankRuehl" w:hint="eastAsia"/>
          <w:sz w:val="18"/>
          <w:szCs w:val="22"/>
          <w:rtl/>
          <w:lang w:eastAsia="he-IL"/>
        </w:rPr>
        <w:t>הממשלה</w:t>
      </w:r>
      <w:r w:rsidRPr="00F41E78">
        <w:rPr>
          <w:rFonts w:cs="FrankRuehl"/>
          <w:sz w:val="18"/>
          <w:szCs w:val="22"/>
          <w:rtl/>
          <w:lang w:eastAsia="he-IL"/>
        </w:rPr>
        <w:t xml:space="preserve"> </w:t>
      </w:r>
      <w:r w:rsidRPr="00F41E78">
        <w:rPr>
          <w:rFonts w:cs="FrankRuehl" w:hint="eastAsia"/>
          <w:sz w:val="18"/>
          <w:szCs w:val="22"/>
          <w:rtl/>
          <w:lang w:eastAsia="he-IL"/>
        </w:rPr>
        <w:t>שפרסמה</w:t>
      </w:r>
      <w:r w:rsidRPr="00F41E78">
        <w:rPr>
          <w:rFonts w:cs="FrankRuehl"/>
          <w:sz w:val="18"/>
          <w:szCs w:val="22"/>
          <w:rtl/>
          <w:lang w:eastAsia="he-IL"/>
        </w:rPr>
        <w:t xml:space="preserve"> </w:t>
      </w:r>
      <w:r w:rsidRPr="00F41E78">
        <w:rPr>
          <w:rFonts w:cs="FrankRuehl" w:hint="eastAsia"/>
          <w:sz w:val="18"/>
          <w:szCs w:val="22"/>
          <w:rtl/>
          <w:lang w:eastAsia="he-IL"/>
        </w:rPr>
        <w:t>מזכירות</w:t>
      </w:r>
      <w:r w:rsidRPr="00F41E78">
        <w:rPr>
          <w:rFonts w:cs="FrankRuehl"/>
          <w:sz w:val="18"/>
          <w:szCs w:val="22"/>
          <w:rtl/>
          <w:lang w:eastAsia="he-IL"/>
        </w:rPr>
        <w:t xml:space="preserve"> </w:t>
      </w:r>
      <w:r w:rsidRPr="00F41E78">
        <w:rPr>
          <w:rFonts w:cs="FrankRuehl" w:hint="eastAsia"/>
          <w:sz w:val="18"/>
          <w:szCs w:val="22"/>
          <w:rtl/>
          <w:lang w:eastAsia="he-IL"/>
        </w:rPr>
        <w:t>הממשלה</w:t>
      </w:r>
      <w:r>
        <w:rPr>
          <w:rFonts w:cs="FrankRuehl"/>
          <w:sz w:val="18"/>
          <w:szCs w:val="22"/>
          <w:vertAlign w:val="superscript"/>
          <w:rtl/>
          <w:lang w:eastAsia="he-IL"/>
        </w:rPr>
        <w:footnoteReference w:id="281"/>
      </w:r>
      <w:r w:rsidRPr="00F41E78">
        <w:rPr>
          <w:rFonts w:cs="FrankRuehl" w:hint="cs"/>
          <w:sz w:val="18"/>
          <w:szCs w:val="22"/>
          <w:rtl/>
          <w:lang w:eastAsia="he-IL"/>
        </w:rPr>
        <w:t xml:space="preserve"> נוגע בין היתר לצורך בהטמעת החלטות הממשלה בתכניות העבודה של משרדי הממשלה. בעניין זה נקבע כי "שר האחראי על ביצוע החלטת ממשלה המסווגת כהחלטה ביצועית או החלטה על הנעת תהליך עבודה יעדכן בתוך 3 חודשים מיום קבלת ההחלטה את תכנית העבודה המשרדית 'בספר תכניות העבודה של משרדי הממשלה'". </w:t>
      </w:r>
    </w:p>
    <w:p w:rsidR="00FF1578" w:rsidP="00D57FF2">
      <w:pPr>
        <w:spacing w:after="240" w:line="230" w:lineRule="exact"/>
        <w:jc w:val="both"/>
        <w:rPr>
          <w:rFonts w:cs="FrankRuehl"/>
          <w:sz w:val="18"/>
          <w:szCs w:val="22"/>
          <w:rtl/>
          <w:lang w:eastAsia="he-IL"/>
        </w:rPr>
      </w:pPr>
    </w:p>
    <w:p w:rsidR="00FF1578" w:rsidRPr="00F41E78" w:rsidP="00D57FF2">
      <w:pPr>
        <w:spacing w:after="240" w:line="230" w:lineRule="exact"/>
        <w:jc w:val="both"/>
        <w:rPr>
          <w:rFonts w:cs="FrankRuehl"/>
          <w:sz w:val="18"/>
          <w:szCs w:val="22"/>
          <w:rtl/>
          <w:lang w:eastAsia="he-IL"/>
        </w:rPr>
      </w:pPr>
    </w:p>
    <w:p w:rsidR="00D22B16" w:rsidRPr="00F41E78" w:rsidP="00D22B16">
      <w:pPr>
        <w:pStyle w:val="RESHET"/>
        <w:keepLines/>
        <w:rPr>
          <w:rtl/>
        </w:rPr>
      </w:pPr>
      <w:r w:rsidRPr="00F41E78">
        <w:rPr>
          <w:rFonts w:hint="cs"/>
          <w:rtl/>
        </w:rPr>
        <w:t xml:space="preserve">על אף האמור בתקנון עבודת הממשלה העלתה הביקורת כי משרד הבינוי לא עדכן את תכניותיו על פי החלטות הממשלה. בתכנית העבודה השנתית של המשרד לשנת 2012 אמנם צוינו משימותיו המרכזיות בנוגע לשיווק קרקעות לצורך בנייה למגורים במגזר העירוני, לרבות שיווק קרקעות לבניית 26,600 יח"ד, אך נעדרה מהם כל נגיעה לצורך בשיווק דירות בהישג יד ובכלל זה במסלול מחיר למשתכן. יוצא אפוא שבתכנית העבודה של משרד הבינוי לא ניתן כל ביטוי להחלטת ממשלה מס' 4429 שעניינה האצת פעולות השיווק והפיתוח של קרקעות לבניית 200,000 יח"ד ובהן 40,000 המיועדות לדיור בר השגה. </w:t>
      </w:r>
    </w:p>
    <w:p w:rsidR="00E97EDA" w:rsidRPr="00F41E78" w:rsidP="00D57FF2">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בתשובתו ציין משרד הבינוי כי במסגרת תכנית העבודה שלו לשנת 2013 הוא הגדיר את מטרותיו לשנת העבודה ובראשן "הגדלת זמינות ונגישות דירות לכלל אזרחי המדינה... ייזום דיור בר השגה בהיקפים גדולים ממקורות החיסכון הפנסיוני במשק, בהובלה ממשלתית", שכלל פרסום של 20 מכרזים לשיווקן של 3,000 יח"ד במסלול מחיר למשתכן. </w:t>
      </w:r>
    </w:p>
    <w:p w:rsidR="00D22B16" w:rsidRPr="00F41E78" w:rsidP="00D22B16">
      <w:pPr>
        <w:pStyle w:val="RESHET"/>
        <w:keepLines/>
        <w:rPr>
          <w:rtl/>
        </w:rPr>
      </w:pPr>
      <w:r w:rsidRPr="00F41E78">
        <w:rPr>
          <w:rFonts w:hint="cs"/>
          <w:rtl/>
        </w:rPr>
        <w:t xml:space="preserve">הביקורת העלתה כי בשנת 2013 לא שיווק כלל משרד הבינוי יח"ד, וממילא לא עמד במשימתו לספק דיור בר השגה לזכאים. יצוין כי בדצמבר 2013, לאחר סיום הביקורת, הודיע המשרד כי הוא יפסיק לשווק קרקעות במסלול מחיר למשתכן. בעניין זה ציין המשרד בתשובתו כי המסלול מחיר למשתכן הופעל "תוך קשיים מרובים, בעיקר על רקע התנגדות משרד האוצר למסלול זה, אשר אף החריפה... והביאה לעצירתו המלאה". </w:t>
      </w:r>
    </w:p>
    <w:p w:rsidR="00E97EDA" w:rsidRPr="00F41E78" w:rsidP="00D57FF2">
      <w:pPr>
        <w:spacing w:before="180" w:after="240" w:line="230" w:lineRule="exact"/>
        <w:jc w:val="both"/>
        <w:rPr>
          <w:rFonts w:cs="FrankRuehl"/>
          <w:sz w:val="18"/>
          <w:szCs w:val="22"/>
          <w:rtl/>
          <w:lang w:eastAsia="he-IL"/>
        </w:rPr>
      </w:pPr>
      <w:r w:rsidRPr="00F41E78">
        <w:rPr>
          <w:rFonts w:cs="FrankRuehl" w:hint="eastAsia"/>
          <w:bCs/>
          <w:spacing w:val="40"/>
          <w:sz w:val="18"/>
          <w:szCs w:val="22"/>
          <w:rtl/>
        </w:rPr>
        <w:t>השיווק</w:t>
      </w:r>
      <w:r w:rsidRPr="00F41E78">
        <w:rPr>
          <w:rFonts w:cs="FrankRuehl"/>
          <w:bCs/>
          <w:spacing w:val="40"/>
          <w:sz w:val="18"/>
          <w:szCs w:val="22"/>
          <w:rtl/>
        </w:rPr>
        <w:t xml:space="preserve"> </w:t>
      </w:r>
      <w:r w:rsidRPr="00F41E78">
        <w:rPr>
          <w:rFonts w:cs="FrankRuehl" w:hint="eastAsia"/>
          <w:bCs/>
          <w:spacing w:val="40"/>
          <w:sz w:val="18"/>
          <w:szCs w:val="22"/>
          <w:rtl/>
        </w:rPr>
        <w:t>בפועל</w:t>
      </w:r>
      <w:r w:rsidRPr="00F41E78">
        <w:rPr>
          <w:rFonts w:cs="FrankRuehl"/>
          <w:bCs/>
          <w:spacing w:val="40"/>
          <w:sz w:val="18"/>
          <w:szCs w:val="22"/>
          <w:rtl/>
        </w:rPr>
        <w:t xml:space="preserve">: </w:t>
      </w:r>
      <w:r w:rsidRPr="00F41E78">
        <w:rPr>
          <w:rFonts w:cs="FrankRuehl" w:hint="cs"/>
          <w:sz w:val="18"/>
          <w:szCs w:val="22"/>
          <w:rtl/>
          <w:lang w:eastAsia="he-IL"/>
        </w:rPr>
        <w:t>התרשים שלהלן מציג את מספר יחידות הדיור ששווקו במסלול מחיר למשתכן, שהסתכם מיום הפעלת המסלול עד סוף 2012 ב-27,234 יח"ד.</w:t>
      </w:r>
    </w:p>
    <w:p w:rsidR="00143E57" w:rsidRPr="00EC0156" w:rsidP="003E789E">
      <w:pPr>
        <w:spacing w:after="240" w:line="240" w:lineRule="atLeast"/>
        <w:jc w:val="center"/>
        <w:rPr>
          <w:rFonts w:ascii="Arial" w:hAnsi="Arial" w:cs="Arial"/>
          <w:b/>
          <w:bCs/>
          <w:sz w:val="26"/>
          <w:szCs w:val="26"/>
          <w:lang w:eastAsia="he-IL"/>
        </w:rPr>
      </w:pPr>
      <w:r>
        <w:rPr>
          <w:rFonts w:ascii="Arial" w:hAnsi="Arial" w:cs="Arial"/>
          <w:b/>
          <w:bCs/>
          <w:sz w:val="26"/>
          <w:szCs w:val="26"/>
          <w:lang w:eastAsia="he-IL"/>
        </w:rPr>
        <w:pict>
          <v:shape id="_x0000_i1049" type="#_x0000_t75" style="width:340pt;height:209pt">
            <v:imagedata r:id="rId37" o:title="D1-Cx"/>
          </v:shape>
        </w:pict>
      </w:r>
    </w:p>
    <w:p w:rsidR="00D22B16" w:rsidRPr="00F41E78" w:rsidP="00D22B16">
      <w:pPr>
        <w:pStyle w:val="RESHET"/>
        <w:keepLines/>
        <w:rPr>
          <w:rtl/>
        </w:rPr>
      </w:pPr>
      <w:r w:rsidRPr="00F41E78">
        <w:rPr>
          <w:rFonts w:hint="cs"/>
          <w:rtl/>
        </w:rPr>
        <w:t xml:space="preserve">מספרן הכולל של יח"ד שנקבעו בהחלטות הממשלה כיעדי השיווק במסלול מחיר למשתכן לשנים 1994, 1996 ו-1997 הוא 20,500 יח"ד. אף על פי כן, מהתרשים עולה כי עד 2003, כעשר שנים לאחר הפעלת המסלול, לא הושג יעד זה ובפועל שווקו כ-19,000 יח"ד בלבד. בשנים 2011-2004 שווקו כ-5,900 יח"ד נוספות (בממוצע כ-740 יח"ד בשנה). בשנת 2012, דהיינו לאחר שהממשלה אימצה את המלצות ועדת טרכטנברג ולאחר שנקבע יעד לשיווק של 5,000 יח"ד במסלול מחיר למשתכן עד סוף 2012, עלה אמנם קצב השיווק ונמכרו 2,611 יח"ד אך היעד שנקבע, 5,000 יח"ד, לא הושג. </w:t>
      </w:r>
    </w:p>
    <w:p w:rsidR="00D22B16" w:rsidRPr="00F41E78" w:rsidP="00D22B16">
      <w:pPr>
        <w:pStyle w:val="RESHET"/>
        <w:keepLines/>
        <w:rPr>
          <w:strike/>
          <w:rtl/>
        </w:rPr>
      </w:pPr>
      <w:r w:rsidRPr="00F41E78">
        <w:rPr>
          <w:rFonts w:hint="cs"/>
          <w:rtl/>
        </w:rPr>
        <w:t xml:space="preserve">מהנתונים עולה כי הפעלת המסלול מחיר למשתכן הניבה תפוקות דלות יחסית להיקף אוכלוסיית היעד שלו, כלומר מאות אלפי משקי בית של זכאי </w:t>
      </w:r>
      <w:r>
        <w:rPr>
          <w:rFonts w:hint="cs"/>
          <w:rtl/>
        </w:rPr>
        <w:t>משרד הבינוי</w:t>
      </w:r>
      <w:r w:rsidRPr="00F41E78">
        <w:rPr>
          <w:rFonts w:hint="cs"/>
          <w:rtl/>
        </w:rPr>
        <w:t xml:space="preserve"> שנזקקו לדיור בר השגה. עוד עולה כי לא היה בכך די כדי לחולל תפנית בכל הקשור להיצע הדיור ולמתן מענה לצורכי הזכאים. למעשה, ניתנו פתרונות דיור למתי מעט מהזכאים, וכפי שיתואר בהמשך הם נהנו מהטבות כלכליות מרחיקות לכת שהסתכמו לעתים במאות אלפי שקלים. יוצא אפוא שבשני העשורים האחרונים לא הצליחו משרד</w:t>
      </w:r>
      <w:r w:rsidRPr="00F41E78">
        <w:rPr>
          <w:rtl/>
        </w:rPr>
        <w:t xml:space="preserve"> הבינוי ורמ"י </w:t>
      </w:r>
      <w:r w:rsidRPr="00F41E78">
        <w:rPr>
          <w:rFonts w:hint="cs"/>
          <w:rtl/>
        </w:rPr>
        <w:t>לספק</w:t>
      </w:r>
      <w:r w:rsidRPr="00F41E78">
        <w:rPr>
          <w:rtl/>
        </w:rPr>
        <w:t xml:space="preserve"> </w:t>
      </w:r>
      <w:r w:rsidRPr="00F41E78">
        <w:rPr>
          <w:rFonts w:hint="cs"/>
          <w:rtl/>
        </w:rPr>
        <w:t>יחידות</w:t>
      </w:r>
      <w:r w:rsidRPr="00F41E78">
        <w:rPr>
          <w:rtl/>
        </w:rPr>
        <w:t xml:space="preserve"> דיור </w:t>
      </w:r>
      <w:r w:rsidRPr="00F41E78">
        <w:rPr>
          <w:rFonts w:hint="cs"/>
          <w:rtl/>
        </w:rPr>
        <w:t>במסלול</w:t>
      </w:r>
      <w:r w:rsidRPr="00F41E78">
        <w:rPr>
          <w:rtl/>
        </w:rPr>
        <w:t xml:space="preserve"> </w:t>
      </w:r>
      <w:r w:rsidRPr="00F41E78">
        <w:rPr>
          <w:rFonts w:hint="cs"/>
          <w:rtl/>
        </w:rPr>
        <w:t>מחיר</w:t>
      </w:r>
      <w:r w:rsidRPr="00F41E78">
        <w:rPr>
          <w:rtl/>
        </w:rPr>
        <w:t xml:space="preserve"> </w:t>
      </w:r>
      <w:r w:rsidRPr="00F41E78">
        <w:rPr>
          <w:rFonts w:hint="cs"/>
          <w:rtl/>
        </w:rPr>
        <w:t>למשתכן</w:t>
      </w:r>
      <w:r w:rsidRPr="00F41E78">
        <w:rPr>
          <w:rtl/>
        </w:rPr>
        <w:t xml:space="preserve">, </w:t>
      </w:r>
      <w:r w:rsidRPr="00F41E78">
        <w:rPr>
          <w:rFonts w:hint="cs"/>
          <w:rtl/>
        </w:rPr>
        <w:t xml:space="preserve">בהיקף שעשוי להביא לידי שיפור מהותי בהיצע הדיור לאוכלוסייה הנזקקת לו. </w:t>
      </w:r>
    </w:p>
    <w:p w:rsidR="00FA6646" w:rsidRPr="00FA6646" w:rsidP="003E789E">
      <w:pPr>
        <w:spacing w:before="180" w:after="240" w:line="230" w:lineRule="exact"/>
        <w:ind w:left="-1"/>
        <w:jc w:val="both"/>
        <w:rPr>
          <w:rFonts w:cs="FrankRuehl"/>
          <w:sz w:val="20"/>
          <w:szCs w:val="22"/>
          <w:rtl/>
          <w:lang w:eastAsia="he-IL"/>
        </w:rPr>
      </w:pPr>
      <w:r w:rsidRPr="00F41E78">
        <w:rPr>
          <w:rFonts w:cs="FrankRuehl"/>
          <w:bCs/>
          <w:spacing w:val="40"/>
          <w:sz w:val="18"/>
          <w:szCs w:val="22"/>
          <w:rtl/>
        </w:rPr>
        <w:tab/>
      </w:r>
      <w:r w:rsidRPr="00F41E78">
        <w:rPr>
          <w:rFonts w:cs="FrankRuehl" w:hint="eastAsia"/>
          <w:bCs/>
          <w:spacing w:val="40"/>
          <w:sz w:val="18"/>
          <w:szCs w:val="22"/>
          <w:rtl/>
        </w:rPr>
        <w:t>התפלגות</w:t>
      </w:r>
      <w:r w:rsidRPr="00F41E78">
        <w:rPr>
          <w:rFonts w:cs="FrankRuehl"/>
          <w:bCs/>
          <w:spacing w:val="40"/>
          <w:sz w:val="18"/>
          <w:szCs w:val="22"/>
          <w:rtl/>
        </w:rPr>
        <w:t xml:space="preserve"> </w:t>
      </w:r>
      <w:r w:rsidRPr="00F41E78">
        <w:rPr>
          <w:rFonts w:cs="FrankRuehl" w:hint="eastAsia"/>
          <w:bCs/>
          <w:spacing w:val="40"/>
          <w:sz w:val="18"/>
          <w:szCs w:val="22"/>
          <w:rtl/>
        </w:rPr>
        <w:t>גאוגרפית</w:t>
      </w:r>
      <w:r w:rsidRPr="00F41E78">
        <w:rPr>
          <w:rFonts w:cs="FrankRuehl"/>
          <w:bCs/>
          <w:spacing w:val="40"/>
          <w:sz w:val="18"/>
          <w:szCs w:val="22"/>
          <w:rtl/>
        </w:rPr>
        <w:t xml:space="preserve">: </w:t>
      </w:r>
      <w:r w:rsidRPr="00F41E78">
        <w:rPr>
          <w:rFonts w:cs="FrankRuehl" w:hint="cs"/>
          <w:sz w:val="18"/>
          <w:szCs w:val="22"/>
          <w:rtl/>
          <w:lang w:eastAsia="he-IL"/>
        </w:rPr>
        <w:t>נתו</w:t>
      </w:r>
      <w:r w:rsidRPr="00FA1F2C">
        <w:rPr>
          <w:rFonts w:hint="eastAsia"/>
          <w:sz w:val="22"/>
          <w:szCs w:val="22"/>
          <w:rtl/>
          <w:lang w:eastAsia="he-IL"/>
        </w:rPr>
        <w:t>נ</w:t>
      </w:r>
      <w:r w:rsidRPr="00FA6646">
        <w:rPr>
          <w:rFonts w:cs="FrankRuehl" w:hint="cs"/>
          <w:sz w:val="20"/>
          <w:szCs w:val="22"/>
          <w:rtl/>
          <w:lang w:eastAsia="he-IL"/>
        </w:rPr>
        <w:t xml:space="preserve">י ההתפלגות הגאוגרפית של התחלות הבנייה מלמדים שבאזורי הביקוש (מחוזות המרכז וירושלים) שבהם מחירי הקרקע גבוהים יחסית לשאר </w:t>
      </w:r>
      <w:r w:rsidRPr="00FA6646">
        <w:rPr>
          <w:rFonts w:cs="FrankRuehl"/>
          <w:sz w:val="20"/>
          <w:szCs w:val="22"/>
          <w:rtl/>
          <w:lang w:eastAsia="he-IL"/>
        </w:rPr>
        <w:t>המחוזות</w:t>
      </w:r>
      <w:r w:rsidRPr="00FA6646">
        <w:rPr>
          <w:rFonts w:cs="FrankRuehl" w:hint="cs"/>
          <w:sz w:val="20"/>
          <w:szCs w:val="22"/>
          <w:rtl/>
          <w:lang w:eastAsia="he-IL"/>
        </w:rPr>
        <w:t xml:space="preserve"> בארץ, היקף התחלות הבנייה של דירות במסלול מחיר למשתכן היה גדול במידה ניכרת מאשר בפריפריה. למשל, בשנים 2012-1994 נבנו עיקר התחלות הבנייה במחוז ירושלים במסגרת מסלול מחיר למשתכן (44%) ובמחוז המרכז - 31%. </w:t>
      </w:r>
      <w:r w:rsidRPr="00FA6646">
        <w:rPr>
          <w:rFonts w:cs="FrankRuehl" w:hint="eastAsia"/>
          <w:sz w:val="20"/>
          <w:szCs w:val="22"/>
          <w:rtl/>
          <w:lang w:eastAsia="he-IL"/>
        </w:rPr>
        <w:t>ראו</w:t>
      </w:r>
      <w:r w:rsidRPr="00FA6646">
        <w:rPr>
          <w:rFonts w:cs="FrankRuehl"/>
          <w:sz w:val="20"/>
          <w:szCs w:val="22"/>
          <w:rtl/>
          <w:lang w:eastAsia="he-IL"/>
        </w:rPr>
        <w:t xml:space="preserve"> </w:t>
      </w:r>
      <w:r w:rsidRPr="00FA6646">
        <w:rPr>
          <w:rFonts w:cs="FrankRuehl" w:hint="eastAsia"/>
          <w:sz w:val="20"/>
          <w:szCs w:val="22"/>
          <w:rtl/>
          <w:lang w:eastAsia="he-IL"/>
        </w:rPr>
        <w:t>לה</w:t>
      </w:r>
      <w:r w:rsidRPr="00FA6646">
        <w:rPr>
          <w:rFonts w:cs="FrankRuehl" w:hint="cs"/>
          <w:sz w:val="20"/>
          <w:szCs w:val="22"/>
          <w:rtl/>
          <w:lang w:eastAsia="he-IL"/>
        </w:rPr>
        <w:t>ל</w:t>
      </w:r>
      <w:r w:rsidRPr="00FA6646">
        <w:rPr>
          <w:rFonts w:cs="FrankRuehl" w:hint="eastAsia"/>
          <w:sz w:val="20"/>
          <w:szCs w:val="22"/>
          <w:rtl/>
          <w:lang w:eastAsia="he-IL"/>
        </w:rPr>
        <w:t>ן</w:t>
      </w:r>
      <w:r w:rsidRPr="00FA6646">
        <w:rPr>
          <w:rFonts w:cs="FrankRuehl"/>
          <w:sz w:val="20"/>
          <w:szCs w:val="22"/>
          <w:rtl/>
          <w:lang w:eastAsia="he-IL"/>
        </w:rPr>
        <w:t xml:space="preserve"> </w:t>
      </w:r>
      <w:r w:rsidRPr="00FA6646">
        <w:rPr>
          <w:rFonts w:cs="FrankRuehl" w:hint="eastAsia"/>
          <w:sz w:val="20"/>
          <w:szCs w:val="22"/>
          <w:rtl/>
          <w:lang w:eastAsia="he-IL"/>
        </w:rPr>
        <w:t>בתרשים</w:t>
      </w:r>
      <w:r w:rsidRPr="00FA6646">
        <w:rPr>
          <w:rFonts w:cs="FrankRuehl"/>
          <w:sz w:val="20"/>
          <w:szCs w:val="22"/>
          <w:rtl/>
          <w:lang w:eastAsia="he-IL"/>
        </w:rPr>
        <w:t>:</w:t>
      </w:r>
      <w:r w:rsidRPr="00FA6646">
        <w:rPr>
          <w:rFonts w:cs="FrankRuehl" w:hint="cs"/>
          <w:sz w:val="20"/>
          <w:szCs w:val="22"/>
          <w:rtl/>
          <w:lang w:eastAsia="he-IL"/>
        </w:rPr>
        <w:t xml:space="preserve"> </w:t>
      </w:r>
    </w:p>
    <w:p w:rsidR="00E97EDA" w:rsidRPr="00FA1F2C" w:rsidP="003E789E">
      <w:pPr>
        <w:pStyle w:val="tab-name"/>
        <w:rPr>
          <w:rtl/>
          <w:lang w:eastAsia="he-IL"/>
        </w:rPr>
      </w:pPr>
      <w:r w:rsidRPr="003E789E">
        <w:rPr>
          <w:rFonts w:hint="cs"/>
          <w:b w:val="0"/>
          <w:bCs w:val="0"/>
          <w:sz w:val="20"/>
          <w:szCs w:val="20"/>
          <w:rtl/>
          <w:lang w:eastAsia="he-IL"/>
        </w:rPr>
        <w:t>מפה 1</w:t>
      </w:r>
      <w:r w:rsidRPr="003E789E" w:rsidR="003E789E">
        <w:rPr>
          <w:rFonts w:hint="cs"/>
          <w:b w:val="0"/>
          <w:bCs w:val="0"/>
          <w:sz w:val="20"/>
          <w:szCs w:val="20"/>
          <w:rtl/>
          <w:lang w:eastAsia="he-IL"/>
        </w:rPr>
        <w:br/>
      </w:r>
      <w:r w:rsidRPr="00FA1F2C">
        <w:rPr>
          <w:rFonts w:hint="cs"/>
          <w:rtl/>
          <w:lang w:eastAsia="he-IL"/>
        </w:rPr>
        <w:t>פריסה</w:t>
      </w:r>
      <w:r w:rsidRPr="00FA1F2C">
        <w:rPr>
          <w:rtl/>
          <w:lang w:eastAsia="he-IL"/>
        </w:rPr>
        <w:t xml:space="preserve"> </w:t>
      </w:r>
      <w:r w:rsidRPr="00FA1F2C">
        <w:rPr>
          <w:rFonts w:hint="cs"/>
          <w:rtl/>
          <w:lang w:eastAsia="he-IL"/>
        </w:rPr>
        <w:t>גאוגרפית</w:t>
      </w:r>
      <w:r w:rsidRPr="00FA1F2C">
        <w:rPr>
          <w:rtl/>
          <w:lang w:eastAsia="he-IL"/>
        </w:rPr>
        <w:t xml:space="preserve"> </w:t>
      </w:r>
      <w:r w:rsidRPr="00FA1F2C">
        <w:rPr>
          <w:rFonts w:hint="cs"/>
          <w:rtl/>
          <w:lang w:eastAsia="he-IL"/>
        </w:rPr>
        <w:t>לשיווקי</w:t>
      </w:r>
      <w:r w:rsidRPr="00FA1F2C">
        <w:rPr>
          <w:rtl/>
          <w:lang w:eastAsia="he-IL"/>
        </w:rPr>
        <w:t xml:space="preserve"> </w:t>
      </w:r>
      <w:r w:rsidRPr="00FA1F2C">
        <w:rPr>
          <w:rFonts w:hint="cs"/>
          <w:rtl/>
          <w:lang w:eastAsia="he-IL"/>
        </w:rPr>
        <w:t>מחיר</w:t>
      </w:r>
      <w:r w:rsidRPr="00FA1F2C">
        <w:rPr>
          <w:rtl/>
          <w:lang w:eastAsia="he-IL"/>
        </w:rPr>
        <w:t xml:space="preserve"> </w:t>
      </w:r>
      <w:r w:rsidRPr="00FA1F2C">
        <w:rPr>
          <w:rFonts w:hint="cs"/>
          <w:rtl/>
          <w:lang w:eastAsia="he-IL"/>
        </w:rPr>
        <w:t>למשתכן</w:t>
      </w:r>
      <w:r w:rsidRPr="00FA1F2C">
        <w:rPr>
          <w:rtl/>
          <w:lang w:eastAsia="he-IL"/>
        </w:rPr>
        <w:t xml:space="preserve"> </w:t>
      </w:r>
      <w:r w:rsidRPr="00FA1F2C">
        <w:rPr>
          <w:rFonts w:hint="cs"/>
          <w:rtl/>
          <w:lang w:eastAsia="he-IL"/>
        </w:rPr>
        <w:t>בשנים</w:t>
      </w:r>
      <w:r w:rsidRPr="00FA1F2C">
        <w:rPr>
          <w:rtl/>
          <w:lang w:eastAsia="he-IL"/>
        </w:rPr>
        <w:t xml:space="preserve"> 2012-2008</w:t>
      </w:r>
    </w:p>
    <w:p w:rsidR="00E97EDA" w:rsidRPr="00EC0156" w:rsidP="00A7557B">
      <w:pPr>
        <w:keepNext/>
        <w:keepLines/>
        <w:spacing w:before="240" w:line="240" w:lineRule="atLeast"/>
        <w:jc w:val="center"/>
        <w:outlineLvl w:val="3"/>
        <w:rPr>
          <w:rFonts w:ascii="Arial" w:hAnsi="Arial" w:cs="Arial"/>
          <w:bCs/>
          <w:szCs w:val="26"/>
          <w:rtl/>
          <w:lang w:eastAsia="he-IL"/>
        </w:rPr>
      </w:pPr>
      <w:r>
        <w:rPr>
          <w:rFonts w:ascii="Arial" w:hAnsi="Arial" w:cs="Arial"/>
          <w:bCs/>
          <w:noProof/>
          <w:szCs w:val="26"/>
        </w:rPr>
        <w:pict>
          <v:shape id="תמונה 52" o:spid="_x0000_i1050" type="#_x0000_t75" style="width:263.5pt;height:329pt;visibility:visible">
            <v:imagedata r:id="rId38" o:title="- תמונה - מפה של קובי (2)"/>
          </v:shape>
        </w:pict>
      </w:r>
    </w:p>
    <w:p w:rsidR="005001B1" w:rsidRPr="003E789E" w:rsidP="003E789E">
      <w:pPr>
        <w:spacing w:after="120" w:line="230" w:lineRule="exact"/>
        <w:jc w:val="both"/>
        <w:rPr>
          <w:rFonts w:cs="FrankRuehl"/>
          <w:sz w:val="18"/>
          <w:szCs w:val="22"/>
          <w:lang w:eastAsia="he-IL"/>
        </w:rPr>
      </w:pPr>
    </w:p>
    <w:p w:rsidR="00E97EDA" w:rsidRPr="00E97EDA" w:rsidP="00A7557B">
      <w:pPr>
        <w:pStyle w:val="KOT5"/>
        <w:rPr>
          <w:rtl/>
          <w:lang w:eastAsia="he-IL"/>
        </w:rPr>
      </w:pPr>
      <w:r w:rsidRPr="00E97EDA">
        <w:rPr>
          <w:rFonts w:hint="eastAsia"/>
          <w:rtl/>
          <w:lang w:eastAsia="he-IL"/>
        </w:rPr>
        <w:t>בקרה</w:t>
      </w:r>
      <w:r w:rsidRPr="00E97EDA">
        <w:rPr>
          <w:rtl/>
          <w:lang w:eastAsia="he-IL"/>
        </w:rPr>
        <w:t xml:space="preserve"> </w:t>
      </w:r>
      <w:r w:rsidRPr="00E97EDA">
        <w:rPr>
          <w:rFonts w:hint="cs"/>
          <w:rtl/>
          <w:lang w:eastAsia="he-IL"/>
        </w:rPr>
        <w:t>על השפעת השיווק במסלול מחיר למשתכן על מחירי הדיור</w:t>
      </w:r>
      <w:r w:rsidRPr="00E97EDA">
        <w:rPr>
          <w:rFonts w:hint="eastAsia"/>
          <w:rtl/>
          <w:lang w:eastAsia="he-IL"/>
        </w:rPr>
        <w:t xml:space="preserve"> </w:t>
      </w:r>
      <w:r w:rsidRPr="00E97EDA">
        <w:rPr>
          <w:rFonts w:hint="cs"/>
          <w:rtl/>
          <w:lang w:eastAsia="he-IL"/>
        </w:rPr>
        <w:t>ו</w:t>
      </w:r>
      <w:r w:rsidRPr="00E97EDA">
        <w:rPr>
          <w:rFonts w:hint="eastAsia"/>
          <w:rtl/>
          <w:lang w:eastAsia="he-IL"/>
        </w:rPr>
        <w:t>מעקב</w:t>
      </w:r>
      <w:r w:rsidRPr="00E97EDA">
        <w:rPr>
          <w:rFonts w:hint="cs"/>
          <w:rtl/>
          <w:lang w:eastAsia="he-IL"/>
        </w:rPr>
        <w:t xml:space="preserve"> אחריה</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ארגונים נדרשים להעריך תכניות לצורך </w:t>
      </w:r>
      <w:r w:rsidRPr="00F41E78">
        <w:rPr>
          <w:rFonts w:cs="FrankRuehl" w:hint="eastAsia"/>
          <w:sz w:val="18"/>
          <w:szCs w:val="22"/>
          <w:rtl/>
          <w:lang w:eastAsia="he-IL"/>
        </w:rPr>
        <w:t>בקרה</w:t>
      </w:r>
      <w:r w:rsidRPr="00F41E78">
        <w:rPr>
          <w:rFonts w:cs="FrankRuehl"/>
          <w:sz w:val="18"/>
          <w:szCs w:val="22"/>
          <w:rtl/>
          <w:lang w:eastAsia="he-IL"/>
        </w:rPr>
        <w:t xml:space="preserve"> </w:t>
      </w:r>
      <w:r w:rsidRPr="00F41E78">
        <w:rPr>
          <w:rFonts w:cs="FrankRuehl" w:hint="cs"/>
          <w:sz w:val="18"/>
          <w:szCs w:val="22"/>
          <w:rtl/>
          <w:lang w:eastAsia="he-IL"/>
        </w:rPr>
        <w:t>על ביצועי הארגון ועל עמידה ביעדים שהציבו לעצמם</w:t>
      </w:r>
      <w:r w:rsidRPr="00F41E78">
        <w:rPr>
          <w:rFonts w:cs="FrankRuehl" w:hint="eastAsia"/>
          <w:sz w:val="18"/>
          <w:szCs w:val="22"/>
          <w:rtl/>
          <w:lang w:eastAsia="he-IL"/>
        </w:rPr>
        <w:t xml:space="preserve"> ומעקב</w:t>
      </w:r>
      <w:r w:rsidRPr="00F41E78">
        <w:rPr>
          <w:rFonts w:cs="FrankRuehl" w:hint="cs"/>
          <w:sz w:val="18"/>
          <w:szCs w:val="22"/>
          <w:rtl/>
          <w:lang w:eastAsia="he-IL"/>
        </w:rPr>
        <w:t xml:space="preserve"> אחריהם. גם ועדת קוברסקי</w:t>
      </w:r>
      <w:r>
        <w:rPr>
          <w:rFonts w:cs="FrankRuehl"/>
          <w:sz w:val="18"/>
          <w:szCs w:val="22"/>
          <w:vertAlign w:val="superscript"/>
          <w:rtl/>
          <w:lang w:eastAsia="he-IL"/>
        </w:rPr>
        <w:footnoteReference w:id="282"/>
      </w:r>
      <w:r w:rsidRPr="00F41E78">
        <w:rPr>
          <w:rFonts w:cs="FrankRuehl" w:hint="cs"/>
          <w:sz w:val="18"/>
          <w:szCs w:val="22"/>
          <w:rtl/>
          <w:lang w:eastAsia="he-IL"/>
        </w:rPr>
        <w:t xml:space="preserve"> עמדה על חשיבותה של הערכת תכניות</w:t>
      </w:r>
      <w:r w:rsidRPr="00F41E78">
        <w:rPr>
          <w:rFonts w:cs="FrankRuehl"/>
          <w:sz w:val="18"/>
          <w:szCs w:val="22"/>
          <w:rtl/>
          <w:lang w:eastAsia="he-IL"/>
        </w:rPr>
        <w:t xml:space="preserve"> </w:t>
      </w:r>
      <w:r w:rsidRPr="00F41E78">
        <w:rPr>
          <w:rFonts w:cs="FrankRuehl" w:hint="cs"/>
          <w:sz w:val="18"/>
          <w:szCs w:val="22"/>
          <w:rtl/>
          <w:lang w:eastAsia="he-IL"/>
        </w:rPr>
        <w:t>ו</w:t>
      </w:r>
      <w:r w:rsidRPr="00F41E78">
        <w:rPr>
          <w:rFonts w:cs="FrankRuehl"/>
          <w:sz w:val="18"/>
          <w:szCs w:val="22"/>
          <w:rtl/>
          <w:lang w:eastAsia="he-IL"/>
        </w:rPr>
        <w:t>ציינה כי "</w:t>
      </w:r>
      <w:r w:rsidRPr="00F41E78">
        <w:rPr>
          <w:rFonts w:cs="FrankRuehl" w:hint="eastAsia"/>
          <w:sz w:val="18"/>
          <w:szCs w:val="22"/>
          <w:rtl/>
          <w:lang w:eastAsia="he-IL"/>
        </w:rPr>
        <w:t>ההערכה</w:t>
      </w:r>
      <w:r w:rsidRPr="00F41E78">
        <w:rPr>
          <w:rFonts w:cs="FrankRuehl"/>
          <w:sz w:val="18"/>
          <w:szCs w:val="22"/>
          <w:rtl/>
          <w:lang w:eastAsia="he-IL"/>
        </w:rPr>
        <w:t xml:space="preserve"> </w:t>
      </w:r>
      <w:r w:rsidRPr="00F41E78">
        <w:rPr>
          <w:rFonts w:cs="FrankRuehl" w:hint="eastAsia"/>
          <w:sz w:val="18"/>
          <w:szCs w:val="22"/>
          <w:rtl/>
          <w:lang w:eastAsia="he-IL"/>
        </w:rPr>
        <w:t>מכוונת</w:t>
      </w:r>
      <w:r w:rsidRPr="00F41E78">
        <w:rPr>
          <w:rFonts w:cs="FrankRuehl"/>
          <w:sz w:val="18"/>
          <w:szCs w:val="22"/>
          <w:rtl/>
          <w:lang w:eastAsia="he-IL"/>
        </w:rPr>
        <w:t xml:space="preserve"> </w:t>
      </w:r>
      <w:r w:rsidRPr="00F41E78">
        <w:rPr>
          <w:rFonts w:cs="FrankRuehl" w:hint="eastAsia"/>
          <w:sz w:val="18"/>
          <w:szCs w:val="22"/>
          <w:rtl/>
          <w:lang w:eastAsia="he-IL"/>
        </w:rPr>
        <w:t>לאפשר</w:t>
      </w:r>
      <w:r w:rsidRPr="00F41E78">
        <w:rPr>
          <w:rFonts w:cs="FrankRuehl"/>
          <w:sz w:val="18"/>
          <w:szCs w:val="22"/>
          <w:rtl/>
          <w:lang w:eastAsia="he-IL"/>
        </w:rPr>
        <w:t xml:space="preserve"> </w:t>
      </w:r>
      <w:r w:rsidRPr="00F41E78">
        <w:rPr>
          <w:rFonts w:cs="FrankRuehl" w:hint="eastAsia"/>
          <w:sz w:val="18"/>
          <w:szCs w:val="22"/>
          <w:rtl/>
          <w:lang w:eastAsia="he-IL"/>
        </w:rPr>
        <w:t>השוואה</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המתוכנן</w:t>
      </w:r>
      <w:r w:rsidRPr="00F41E78">
        <w:rPr>
          <w:rFonts w:cs="FrankRuehl"/>
          <w:sz w:val="18"/>
          <w:szCs w:val="22"/>
          <w:rtl/>
          <w:lang w:eastAsia="he-IL"/>
        </w:rPr>
        <w:t xml:space="preserve"> (מטרות, </w:t>
      </w:r>
      <w:r w:rsidRPr="00F41E78">
        <w:rPr>
          <w:rFonts w:cs="FrankRuehl" w:hint="eastAsia"/>
          <w:sz w:val="18"/>
          <w:szCs w:val="22"/>
          <w:rtl/>
          <w:lang w:eastAsia="he-IL"/>
        </w:rPr>
        <w:t>צרכים</w:t>
      </w:r>
      <w:r w:rsidRPr="00F41E78">
        <w:rPr>
          <w:rFonts w:cs="FrankRuehl"/>
          <w:sz w:val="18"/>
          <w:szCs w:val="22"/>
          <w:rtl/>
          <w:lang w:eastAsia="he-IL"/>
        </w:rPr>
        <w:t xml:space="preserve"> </w:t>
      </w:r>
      <w:r w:rsidRPr="00F41E78">
        <w:rPr>
          <w:rFonts w:cs="FrankRuehl" w:hint="eastAsia"/>
          <w:sz w:val="18"/>
          <w:szCs w:val="22"/>
          <w:rtl/>
          <w:lang w:eastAsia="he-IL"/>
        </w:rPr>
        <w:t>וציפיות</w:t>
      </w:r>
      <w:r w:rsidRPr="00F41E78">
        <w:rPr>
          <w:rFonts w:cs="FrankRuehl"/>
          <w:sz w:val="18"/>
          <w:szCs w:val="22"/>
          <w:rtl/>
          <w:lang w:eastAsia="he-IL"/>
        </w:rPr>
        <w:t xml:space="preserve">) </w:t>
      </w:r>
      <w:r w:rsidRPr="00F41E78">
        <w:rPr>
          <w:rFonts w:cs="FrankRuehl" w:hint="eastAsia"/>
          <w:sz w:val="18"/>
          <w:szCs w:val="22"/>
          <w:rtl/>
          <w:lang w:eastAsia="he-IL"/>
        </w:rPr>
        <w:t>עם</w:t>
      </w:r>
      <w:r w:rsidRPr="00F41E78">
        <w:rPr>
          <w:rFonts w:cs="FrankRuehl"/>
          <w:sz w:val="18"/>
          <w:szCs w:val="22"/>
          <w:rtl/>
          <w:lang w:eastAsia="he-IL"/>
        </w:rPr>
        <w:t xml:space="preserve"> </w:t>
      </w:r>
      <w:r w:rsidRPr="00F41E78">
        <w:rPr>
          <w:rFonts w:cs="FrankRuehl" w:hint="eastAsia"/>
          <w:sz w:val="18"/>
          <w:szCs w:val="22"/>
          <w:rtl/>
          <w:lang w:eastAsia="he-IL"/>
        </w:rPr>
        <w:t>הישגים</w:t>
      </w:r>
      <w:r w:rsidRPr="00F41E78">
        <w:rPr>
          <w:rFonts w:cs="FrankRuehl"/>
          <w:sz w:val="18"/>
          <w:szCs w:val="22"/>
          <w:rtl/>
          <w:lang w:eastAsia="he-IL"/>
        </w:rPr>
        <w:t xml:space="preserve"> </w:t>
      </w:r>
      <w:r w:rsidRPr="00F41E78">
        <w:rPr>
          <w:rFonts w:cs="FrankRuehl" w:hint="eastAsia"/>
          <w:sz w:val="18"/>
          <w:szCs w:val="22"/>
          <w:rtl/>
          <w:lang w:eastAsia="he-IL"/>
        </w:rPr>
        <w:t>בפועל</w:t>
      </w:r>
      <w:r w:rsidRPr="00F41E78">
        <w:rPr>
          <w:rFonts w:cs="FrankRuehl"/>
          <w:sz w:val="18"/>
          <w:szCs w:val="22"/>
          <w:rtl/>
          <w:lang w:eastAsia="he-IL"/>
        </w:rPr>
        <w:t xml:space="preserve"> </w:t>
      </w:r>
      <w:r w:rsidRPr="00F41E78">
        <w:rPr>
          <w:rFonts w:cs="FrankRuehl" w:hint="eastAsia"/>
          <w:sz w:val="18"/>
          <w:szCs w:val="22"/>
          <w:rtl/>
          <w:lang w:eastAsia="he-IL"/>
        </w:rPr>
        <w:t>או</w:t>
      </w:r>
      <w:r w:rsidRPr="00F41E78">
        <w:rPr>
          <w:rFonts w:cs="FrankRuehl"/>
          <w:sz w:val="18"/>
          <w:szCs w:val="22"/>
          <w:rtl/>
          <w:lang w:eastAsia="he-IL"/>
        </w:rPr>
        <w:t xml:space="preserve"> </w:t>
      </w:r>
      <w:r w:rsidRPr="00F41E78">
        <w:rPr>
          <w:rFonts w:cs="FrankRuehl" w:hint="eastAsia"/>
          <w:sz w:val="18"/>
          <w:szCs w:val="22"/>
          <w:rtl/>
          <w:lang w:eastAsia="he-IL"/>
        </w:rPr>
        <w:t>מה</w:t>
      </w:r>
      <w:r w:rsidRPr="00F41E78">
        <w:rPr>
          <w:rFonts w:cs="FrankRuehl"/>
          <w:sz w:val="18"/>
          <w:szCs w:val="22"/>
          <w:rtl/>
          <w:lang w:eastAsia="he-IL"/>
        </w:rPr>
        <w:t xml:space="preserve"> </w:t>
      </w:r>
      <w:r w:rsidRPr="00F41E78">
        <w:rPr>
          <w:rFonts w:cs="FrankRuehl" w:hint="eastAsia"/>
          <w:sz w:val="18"/>
          <w:szCs w:val="22"/>
          <w:rtl/>
          <w:lang w:eastAsia="he-IL"/>
        </w:rPr>
        <w:t>שמוערך</w:t>
      </w:r>
      <w:r w:rsidRPr="00F41E78">
        <w:rPr>
          <w:rFonts w:cs="FrankRuehl"/>
          <w:sz w:val="18"/>
          <w:szCs w:val="22"/>
          <w:rtl/>
          <w:lang w:eastAsia="he-IL"/>
        </w:rPr>
        <w:t xml:space="preserve"> </w:t>
      </w:r>
      <w:r w:rsidRPr="00F41E78">
        <w:rPr>
          <w:rFonts w:cs="FrankRuehl" w:hint="eastAsia"/>
          <w:sz w:val="18"/>
          <w:szCs w:val="22"/>
          <w:rtl/>
          <w:lang w:eastAsia="he-IL"/>
        </w:rPr>
        <w:t>כניתן</w:t>
      </w:r>
      <w:r w:rsidRPr="00F41E78">
        <w:rPr>
          <w:rFonts w:cs="FrankRuehl"/>
          <w:sz w:val="18"/>
          <w:szCs w:val="22"/>
          <w:rtl/>
          <w:lang w:eastAsia="he-IL"/>
        </w:rPr>
        <w:t xml:space="preserve"> </w:t>
      </w:r>
      <w:r w:rsidRPr="00F41E78">
        <w:rPr>
          <w:rFonts w:cs="FrankRuehl" w:hint="eastAsia"/>
          <w:sz w:val="18"/>
          <w:szCs w:val="22"/>
          <w:rtl/>
          <w:lang w:eastAsia="he-IL"/>
        </w:rPr>
        <w:t>להשגה</w:t>
      </w:r>
      <w:r w:rsidRPr="00F41E78">
        <w:rPr>
          <w:rFonts w:cs="FrankRuehl"/>
          <w:sz w:val="18"/>
          <w:szCs w:val="22"/>
          <w:rtl/>
          <w:lang w:eastAsia="he-IL"/>
        </w:rPr>
        <w:t xml:space="preserve"> </w:t>
      </w:r>
      <w:r w:rsidRPr="00F41E78">
        <w:rPr>
          <w:rFonts w:cs="FrankRuehl" w:hint="eastAsia"/>
          <w:sz w:val="18"/>
          <w:szCs w:val="22"/>
          <w:rtl/>
          <w:lang w:eastAsia="he-IL"/>
        </w:rPr>
        <w:t>עם</w:t>
      </w:r>
      <w:r w:rsidRPr="00F41E78">
        <w:rPr>
          <w:rFonts w:cs="FrankRuehl"/>
          <w:sz w:val="18"/>
          <w:szCs w:val="22"/>
          <w:rtl/>
          <w:lang w:eastAsia="he-IL"/>
        </w:rPr>
        <w:t xml:space="preserve"> </w:t>
      </w:r>
      <w:r w:rsidRPr="00F41E78">
        <w:rPr>
          <w:rFonts w:cs="FrankRuehl" w:hint="eastAsia"/>
          <w:sz w:val="18"/>
          <w:szCs w:val="22"/>
          <w:rtl/>
          <w:lang w:eastAsia="he-IL"/>
        </w:rPr>
        <w:t>מה</w:t>
      </w:r>
      <w:r w:rsidRPr="00F41E78">
        <w:rPr>
          <w:rFonts w:cs="FrankRuehl"/>
          <w:sz w:val="18"/>
          <w:szCs w:val="22"/>
          <w:rtl/>
          <w:lang w:eastAsia="he-IL"/>
        </w:rPr>
        <w:t xml:space="preserve"> </w:t>
      </w:r>
      <w:r w:rsidRPr="00F41E78">
        <w:rPr>
          <w:rFonts w:cs="FrankRuehl" w:hint="eastAsia"/>
          <w:sz w:val="18"/>
          <w:szCs w:val="22"/>
          <w:rtl/>
          <w:lang w:eastAsia="he-IL"/>
        </w:rPr>
        <w:t>שהושג</w:t>
      </w:r>
      <w:r w:rsidRPr="00F41E78">
        <w:rPr>
          <w:rFonts w:cs="FrankRuehl"/>
          <w:sz w:val="18"/>
          <w:szCs w:val="22"/>
          <w:rtl/>
          <w:lang w:eastAsia="he-IL"/>
        </w:rPr>
        <w:t xml:space="preserve"> </w:t>
      </w:r>
      <w:r w:rsidRPr="00F41E78">
        <w:rPr>
          <w:rFonts w:cs="FrankRuehl" w:hint="eastAsia"/>
          <w:sz w:val="18"/>
          <w:szCs w:val="22"/>
          <w:rtl/>
          <w:lang w:eastAsia="he-IL"/>
        </w:rPr>
        <w:t>למעשה</w:t>
      </w:r>
      <w:r w:rsidRPr="00F41E78">
        <w:rPr>
          <w:rFonts w:cs="FrankRuehl"/>
          <w:sz w:val="18"/>
          <w:szCs w:val="22"/>
          <w:rtl/>
          <w:lang w:eastAsia="he-IL"/>
        </w:rPr>
        <w:t xml:space="preserve">, </w:t>
      </w:r>
      <w:r w:rsidRPr="00F41E78">
        <w:rPr>
          <w:rFonts w:cs="FrankRuehl" w:hint="eastAsia"/>
          <w:sz w:val="18"/>
          <w:szCs w:val="22"/>
          <w:rtl/>
          <w:lang w:eastAsia="he-IL"/>
        </w:rPr>
        <w:t>כבסיס</w:t>
      </w:r>
      <w:r w:rsidRPr="00F41E78">
        <w:rPr>
          <w:rFonts w:cs="FrankRuehl"/>
          <w:sz w:val="18"/>
          <w:szCs w:val="22"/>
          <w:rtl/>
          <w:lang w:eastAsia="he-IL"/>
        </w:rPr>
        <w:t xml:space="preserve"> </w:t>
      </w:r>
      <w:r w:rsidRPr="00F41E78">
        <w:rPr>
          <w:rFonts w:cs="FrankRuehl" w:hint="eastAsia"/>
          <w:sz w:val="18"/>
          <w:szCs w:val="22"/>
          <w:rtl/>
          <w:lang w:eastAsia="he-IL"/>
        </w:rPr>
        <w:t>להפקת</w:t>
      </w:r>
      <w:r w:rsidRPr="00F41E78">
        <w:rPr>
          <w:rFonts w:cs="FrankRuehl"/>
          <w:sz w:val="18"/>
          <w:szCs w:val="22"/>
          <w:rtl/>
          <w:lang w:eastAsia="he-IL"/>
        </w:rPr>
        <w:t xml:space="preserve"> </w:t>
      </w:r>
      <w:r w:rsidRPr="00F41E78">
        <w:rPr>
          <w:rFonts w:cs="FrankRuehl" w:hint="eastAsia"/>
          <w:sz w:val="18"/>
          <w:szCs w:val="22"/>
          <w:rtl/>
          <w:lang w:eastAsia="he-IL"/>
        </w:rPr>
        <w:t>לקחים</w:t>
      </w:r>
      <w:r w:rsidRPr="00F41E78">
        <w:rPr>
          <w:rFonts w:cs="FrankRuehl"/>
          <w:sz w:val="18"/>
          <w:szCs w:val="22"/>
          <w:rtl/>
          <w:lang w:eastAsia="he-IL"/>
        </w:rPr>
        <w:t xml:space="preserve"> </w:t>
      </w:r>
      <w:r w:rsidRPr="00F41E78">
        <w:rPr>
          <w:rFonts w:cs="FrankRuehl" w:hint="eastAsia"/>
          <w:sz w:val="18"/>
          <w:szCs w:val="22"/>
          <w:rtl/>
          <w:lang w:eastAsia="he-IL"/>
        </w:rPr>
        <w:t>ולתיקון</w:t>
      </w:r>
      <w:r w:rsidRPr="00F41E78">
        <w:rPr>
          <w:rFonts w:cs="FrankRuehl"/>
          <w:sz w:val="18"/>
          <w:szCs w:val="22"/>
          <w:rtl/>
          <w:lang w:eastAsia="he-IL"/>
        </w:rPr>
        <w:t>".</w:t>
      </w:r>
      <w:r w:rsidRPr="00F41E78">
        <w:rPr>
          <w:rFonts w:cs="FrankRuehl" w:hint="cs"/>
          <w:sz w:val="18"/>
          <w:szCs w:val="22"/>
          <w:rtl/>
          <w:lang w:eastAsia="he-IL"/>
        </w:rPr>
        <w:t xml:space="preserve"> </w:t>
      </w:r>
    </w:p>
    <w:p w:rsidR="00E97EDA" w:rsidRPr="00F41E78" w:rsidP="00A7557B">
      <w:pPr>
        <w:spacing w:after="120" w:line="230" w:lineRule="exact"/>
        <w:jc w:val="both"/>
        <w:rPr>
          <w:rFonts w:cs="FrankRuehl"/>
          <w:b/>
          <w:bCs/>
          <w:sz w:val="18"/>
          <w:szCs w:val="22"/>
          <w:rtl/>
          <w:lang w:eastAsia="he-IL"/>
        </w:rPr>
      </w:pPr>
      <w:r w:rsidRPr="00F41E78">
        <w:rPr>
          <w:rFonts w:cs="FrankRuehl" w:hint="eastAsia"/>
          <w:bCs/>
          <w:spacing w:val="40"/>
          <w:sz w:val="18"/>
          <w:szCs w:val="22"/>
          <w:rtl/>
        </w:rPr>
        <w:t>הערכת</w:t>
      </w:r>
      <w:r w:rsidRPr="00F41E78">
        <w:rPr>
          <w:rFonts w:cs="FrankRuehl" w:hint="cs"/>
          <w:bCs/>
          <w:spacing w:val="40"/>
          <w:sz w:val="18"/>
          <w:szCs w:val="22"/>
          <w:rtl/>
        </w:rPr>
        <w:t>ו של</w:t>
      </w:r>
      <w:r w:rsidRPr="00F41E78">
        <w:rPr>
          <w:rFonts w:cs="FrankRuehl"/>
          <w:bCs/>
          <w:spacing w:val="40"/>
          <w:sz w:val="18"/>
          <w:szCs w:val="22"/>
          <w:rtl/>
        </w:rPr>
        <w:t xml:space="preserve"> </w:t>
      </w:r>
      <w:r w:rsidRPr="00F41E78">
        <w:rPr>
          <w:rFonts w:cs="FrankRuehl" w:hint="cs"/>
          <w:bCs/>
          <w:spacing w:val="40"/>
          <w:sz w:val="18"/>
          <w:szCs w:val="22"/>
          <w:rtl/>
        </w:rPr>
        <w:t>משרד הבינוי</w:t>
      </w:r>
      <w:r w:rsidRPr="00F41E78">
        <w:rPr>
          <w:rFonts w:cs="FrankRuehl"/>
          <w:bCs/>
          <w:spacing w:val="40"/>
          <w:sz w:val="18"/>
          <w:szCs w:val="22"/>
          <w:rtl/>
        </w:rPr>
        <w:t xml:space="preserve"> </w:t>
      </w:r>
      <w:r w:rsidRPr="00F41E78">
        <w:rPr>
          <w:rFonts w:cs="FrankRuehl" w:hint="cs"/>
          <w:bCs/>
          <w:spacing w:val="40"/>
          <w:sz w:val="18"/>
          <w:szCs w:val="22"/>
          <w:rtl/>
        </w:rPr>
        <w:t>בדבר ה</w:t>
      </w:r>
      <w:r w:rsidRPr="00F41E78">
        <w:rPr>
          <w:rFonts w:cs="FrankRuehl" w:hint="eastAsia"/>
          <w:bCs/>
          <w:spacing w:val="40"/>
          <w:sz w:val="18"/>
          <w:szCs w:val="22"/>
          <w:rtl/>
        </w:rPr>
        <w:t>אפקטיביות</w:t>
      </w:r>
      <w:r w:rsidRPr="00F41E78">
        <w:rPr>
          <w:rFonts w:cs="FrankRuehl"/>
          <w:bCs/>
          <w:spacing w:val="40"/>
          <w:sz w:val="18"/>
          <w:szCs w:val="22"/>
          <w:rtl/>
        </w:rPr>
        <w:t xml:space="preserve"> של </w:t>
      </w:r>
      <w:r w:rsidRPr="00F41E78">
        <w:rPr>
          <w:rFonts w:cs="FrankRuehl" w:hint="cs"/>
          <w:bCs/>
          <w:spacing w:val="40"/>
          <w:sz w:val="18"/>
          <w:szCs w:val="22"/>
          <w:rtl/>
        </w:rPr>
        <w:t>ה</w:t>
      </w:r>
      <w:r w:rsidRPr="00F41E78">
        <w:rPr>
          <w:rFonts w:cs="FrankRuehl" w:hint="eastAsia"/>
          <w:bCs/>
          <w:spacing w:val="40"/>
          <w:sz w:val="18"/>
          <w:szCs w:val="22"/>
          <w:rtl/>
        </w:rPr>
        <w:t>מסלול</w:t>
      </w:r>
      <w:r w:rsidRPr="00F41E78">
        <w:rPr>
          <w:rFonts w:cs="FrankRuehl"/>
          <w:bCs/>
          <w:spacing w:val="40"/>
          <w:sz w:val="18"/>
          <w:szCs w:val="22"/>
          <w:rtl/>
        </w:rPr>
        <w:t xml:space="preserve"> </w:t>
      </w:r>
      <w:r w:rsidRPr="00F41E78">
        <w:rPr>
          <w:rFonts w:cs="FrankRuehl" w:hint="eastAsia"/>
          <w:bCs/>
          <w:spacing w:val="40"/>
          <w:sz w:val="18"/>
          <w:szCs w:val="22"/>
          <w:rtl/>
        </w:rPr>
        <w:t>מחיר</w:t>
      </w:r>
      <w:r w:rsidRPr="00F41E78">
        <w:rPr>
          <w:rFonts w:cs="FrankRuehl"/>
          <w:bCs/>
          <w:spacing w:val="40"/>
          <w:sz w:val="18"/>
          <w:szCs w:val="22"/>
          <w:rtl/>
        </w:rPr>
        <w:t xml:space="preserve"> </w:t>
      </w:r>
      <w:r w:rsidRPr="00F41E78">
        <w:rPr>
          <w:rFonts w:cs="FrankRuehl" w:hint="eastAsia"/>
          <w:bCs/>
          <w:spacing w:val="40"/>
          <w:sz w:val="18"/>
          <w:szCs w:val="22"/>
          <w:rtl/>
        </w:rPr>
        <w:t>למשתכן</w:t>
      </w:r>
      <w:r w:rsidRPr="00F41E78">
        <w:rPr>
          <w:rFonts w:cs="FrankRuehl"/>
          <w:bCs/>
          <w:spacing w:val="40"/>
          <w:sz w:val="18"/>
          <w:szCs w:val="22"/>
          <w:rtl/>
        </w:rPr>
        <w:t xml:space="preserve">: </w:t>
      </w:r>
      <w:r w:rsidRPr="00F41E78">
        <w:rPr>
          <w:rFonts w:cs="FrankRuehl" w:hint="cs"/>
          <w:sz w:val="18"/>
          <w:szCs w:val="22"/>
          <w:rtl/>
          <w:lang w:eastAsia="he-IL"/>
        </w:rPr>
        <w:t xml:space="preserve">בהחלטת הממשלה מיוני 1997 נקבע כי "משרד הבינוי והשיכון ידווח כל שישה </w:t>
      </w:r>
      <w:r w:rsidRPr="00F41E78">
        <w:rPr>
          <w:rFonts w:cs="FrankRuehl" w:hint="cs"/>
          <w:sz w:val="18"/>
          <w:szCs w:val="22"/>
          <w:rtl/>
          <w:lang w:eastAsia="he-IL"/>
        </w:rPr>
        <w:t>חודשים לוועדת השרים לענייני כלכלה על התקדמות הניסוי ויציג את התוצאות ואת השפעתן על כלל מחירי הדירות באתרים שבו הופעל". בשנת 2002 הזמין המשרד מחקר שיבחן את השפעותיה של שיטת הפעלת המסלול מהבחינה הכלכלית, הפיזית והחברתית (להלן - המחקר משנת 2002).</w:t>
      </w:r>
      <w:r w:rsidRPr="00F41E78">
        <w:rPr>
          <w:rFonts w:cs="FrankRuehl" w:hint="cs"/>
          <w:b/>
          <w:bCs/>
          <w:sz w:val="18"/>
          <w:szCs w:val="22"/>
          <w:rtl/>
          <w:lang w:eastAsia="he-IL"/>
        </w:rPr>
        <w:t xml:space="preserve"> </w:t>
      </w:r>
    </w:p>
    <w:p w:rsidR="00E97EDA" w:rsidRPr="00F41E78" w:rsidP="003E789E">
      <w:pPr>
        <w:spacing w:after="240" w:line="230" w:lineRule="exact"/>
        <w:jc w:val="both"/>
        <w:rPr>
          <w:rFonts w:cs="FrankRuehl"/>
          <w:sz w:val="18"/>
          <w:szCs w:val="22"/>
          <w:rtl/>
          <w:lang w:eastAsia="he-IL"/>
        </w:rPr>
      </w:pPr>
      <w:r w:rsidRPr="00F41E78">
        <w:rPr>
          <w:rFonts w:cs="FrankRuehl" w:hint="cs"/>
          <w:sz w:val="18"/>
          <w:szCs w:val="22"/>
          <w:rtl/>
          <w:lang w:eastAsia="he-IL"/>
        </w:rPr>
        <w:t>מסקנות המחקר משנת 2002 היו כי בשנים 2002-1995, השנים שבהן הופעל המסלול, מחירי הדירות במסגרת המסלול היו נמוכים ב-20%-5% בממוצע ממחירי הדירות בשוק החופשי. עם זאת, מסלול השיווק לא השפיע על השוק אלא להיפך, הוא הושפע ממנו. ככל שהביקוש לנדל"ן באזור האמור היה גבוה יותר, כך גדלו הפערים בין מחירי הדירות שנמכרו לזכאים ובין מחירי דירות דומות בשוק החופשי, והאפקטיביות של מסלול מחיר למשתכן גדלה.</w:t>
      </w:r>
    </w:p>
    <w:p w:rsidR="00D22B16" w:rsidRPr="00F41E78" w:rsidP="00D22B16">
      <w:pPr>
        <w:pStyle w:val="RESHET"/>
        <w:keepLines/>
        <w:rPr>
          <w:rtl/>
        </w:rPr>
      </w:pPr>
      <w:r w:rsidRPr="00F41E78">
        <w:rPr>
          <w:rFonts w:hint="cs"/>
          <w:rtl/>
        </w:rPr>
        <w:t xml:space="preserve">הביקורת העלתה כי משנת 2002 לא בחן משרד הבינוי את האפקטיביות של שיווק יח"ד במסלול מחיר למשתכן על היבטיו הכלכליים, הפיזיים והחברתיים. לא זו אף זו, אגף נכסים ודיור במשרד, האחראי להפעלת המסלול, לא ריכז נתונים על מחירי הדירות בשוק החופשי באזורים סמוכים לאזורים שנבנו בהם פרויקטים של מחיר למשתכן. כמו כן, האגף לא בדק את מידת ההשפעה של שיטת שיווק זו על רמת המחירים בשוק הדיור החופשי באותם אזורים. </w:t>
      </w:r>
      <w:r w:rsidRPr="00F41E78">
        <w:rPr>
          <w:rFonts w:hint="eastAsia"/>
          <w:rtl/>
        </w:rPr>
        <w:t>עקב</w:t>
      </w:r>
      <w:r w:rsidRPr="00F41E78">
        <w:rPr>
          <w:rtl/>
        </w:rPr>
        <w:t xml:space="preserve"> </w:t>
      </w:r>
      <w:r w:rsidRPr="00F41E78">
        <w:rPr>
          <w:rFonts w:hint="eastAsia"/>
          <w:rtl/>
        </w:rPr>
        <w:t>כך</w:t>
      </w:r>
      <w:r w:rsidRPr="00F41E78">
        <w:rPr>
          <w:rFonts w:hint="cs"/>
          <w:rtl/>
        </w:rPr>
        <w:t>,</w:t>
      </w:r>
      <w:r w:rsidRPr="00F41E78">
        <w:rPr>
          <w:rtl/>
        </w:rPr>
        <w:t xml:space="preserve"> </w:t>
      </w:r>
      <w:r w:rsidRPr="00F41E78">
        <w:rPr>
          <w:rFonts w:hint="eastAsia"/>
          <w:rtl/>
        </w:rPr>
        <w:t>לא</w:t>
      </w:r>
      <w:r w:rsidRPr="00F41E78">
        <w:rPr>
          <w:rtl/>
        </w:rPr>
        <w:t xml:space="preserve"> </w:t>
      </w:r>
      <w:r w:rsidRPr="00F41E78">
        <w:rPr>
          <w:rFonts w:hint="cs"/>
          <w:rtl/>
        </w:rPr>
        <w:t>עמדו לרשות</w:t>
      </w:r>
      <w:r w:rsidRPr="00F41E78">
        <w:rPr>
          <w:rtl/>
        </w:rPr>
        <w:t xml:space="preserve"> </w:t>
      </w:r>
      <w:r w:rsidRPr="00F41E78">
        <w:rPr>
          <w:rFonts w:hint="eastAsia"/>
          <w:rtl/>
        </w:rPr>
        <w:t>המשרד</w:t>
      </w:r>
      <w:r w:rsidRPr="00F41E78">
        <w:rPr>
          <w:rtl/>
        </w:rPr>
        <w:t xml:space="preserve"> </w:t>
      </w:r>
      <w:r w:rsidRPr="00F41E78">
        <w:rPr>
          <w:rFonts w:hint="eastAsia"/>
          <w:rtl/>
        </w:rPr>
        <w:t>כלים</w:t>
      </w:r>
      <w:r w:rsidRPr="00F41E78">
        <w:rPr>
          <w:rtl/>
        </w:rPr>
        <w:t xml:space="preserve"> </w:t>
      </w:r>
      <w:r w:rsidRPr="00F41E78">
        <w:rPr>
          <w:rFonts w:hint="eastAsia"/>
          <w:rtl/>
        </w:rPr>
        <w:t>לשיפור</w:t>
      </w:r>
      <w:r w:rsidRPr="00F41E78">
        <w:rPr>
          <w:rtl/>
        </w:rPr>
        <w:t xml:space="preserve"> </w:t>
      </w:r>
      <w:r w:rsidRPr="00F41E78">
        <w:rPr>
          <w:rFonts w:hint="eastAsia"/>
          <w:rtl/>
        </w:rPr>
        <w:t>תכניותיו</w:t>
      </w:r>
      <w:r w:rsidRPr="00F41E78">
        <w:rPr>
          <w:rtl/>
        </w:rPr>
        <w:t xml:space="preserve"> </w:t>
      </w:r>
      <w:r w:rsidRPr="00F41E78">
        <w:rPr>
          <w:rFonts w:hint="eastAsia"/>
          <w:rtl/>
        </w:rPr>
        <w:t>ולייעול</w:t>
      </w:r>
      <w:r w:rsidRPr="00F41E78">
        <w:rPr>
          <w:rtl/>
        </w:rPr>
        <w:t xml:space="preserve"> </w:t>
      </w:r>
      <w:r w:rsidRPr="00F41E78">
        <w:rPr>
          <w:rFonts w:hint="eastAsia"/>
          <w:rtl/>
        </w:rPr>
        <w:t>ביצוען</w:t>
      </w:r>
      <w:r w:rsidRPr="00F41E78">
        <w:rPr>
          <w:rtl/>
        </w:rPr>
        <w:t>.</w:t>
      </w:r>
      <w:r w:rsidRPr="00F41E78">
        <w:rPr>
          <w:rFonts w:hint="cs"/>
          <w:rtl/>
        </w:rPr>
        <w:t xml:space="preserve"> </w:t>
      </w:r>
    </w:p>
    <w:p w:rsidR="00D22B16" w:rsidRPr="00F41E78" w:rsidP="00D22B16">
      <w:pPr>
        <w:pStyle w:val="RESHET"/>
        <w:keepLines/>
        <w:rPr>
          <w:rtl/>
        </w:rPr>
      </w:pPr>
      <w:r w:rsidRPr="00F41E78">
        <w:rPr>
          <w:rFonts w:hint="eastAsia"/>
          <w:spacing w:val="40"/>
          <w:rtl/>
        </w:rPr>
        <w:t>מחיר</w:t>
      </w:r>
      <w:r w:rsidRPr="00F41E78">
        <w:rPr>
          <w:spacing w:val="40"/>
          <w:rtl/>
        </w:rPr>
        <w:t xml:space="preserve"> </w:t>
      </w:r>
      <w:r w:rsidRPr="00F41E78">
        <w:rPr>
          <w:rFonts w:hint="eastAsia"/>
          <w:spacing w:val="40"/>
          <w:rtl/>
        </w:rPr>
        <w:t>דירה</w:t>
      </w:r>
      <w:r w:rsidRPr="00F41E78">
        <w:rPr>
          <w:spacing w:val="40"/>
          <w:rtl/>
        </w:rPr>
        <w:t xml:space="preserve"> </w:t>
      </w:r>
      <w:r w:rsidRPr="00F41E78">
        <w:rPr>
          <w:rFonts w:hint="eastAsia"/>
          <w:spacing w:val="40"/>
          <w:rtl/>
        </w:rPr>
        <w:t>במסלול</w:t>
      </w:r>
      <w:r w:rsidRPr="00F41E78">
        <w:rPr>
          <w:spacing w:val="40"/>
          <w:rtl/>
        </w:rPr>
        <w:t xml:space="preserve"> </w:t>
      </w:r>
      <w:r w:rsidRPr="00F41E78">
        <w:rPr>
          <w:rFonts w:hint="eastAsia"/>
          <w:spacing w:val="40"/>
          <w:rtl/>
        </w:rPr>
        <w:t>מחיר</w:t>
      </w:r>
      <w:r w:rsidRPr="00F41E78">
        <w:rPr>
          <w:spacing w:val="40"/>
          <w:rtl/>
        </w:rPr>
        <w:t xml:space="preserve"> </w:t>
      </w:r>
      <w:r w:rsidRPr="00F41E78">
        <w:rPr>
          <w:rFonts w:hint="eastAsia"/>
          <w:spacing w:val="40"/>
          <w:rtl/>
        </w:rPr>
        <w:t>למשתכן</w:t>
      </w:r>
      <w:r w:rsidRPr="00F41E78">
        <w:rPr>
          <w:spacing w:val="40"/>
          <w:rtl/>
        </w:rPr>
        <w:t xml:space="preserve"> </w:t>
      </w:r>
      <w:r w:rsidRPr="00F41E78">
        <w:rPr>
          <w:rFonts w:hint="eastAsia"/>
          <w:spacing w:val="40"/>
          <w:rtl/>
        </w:rPr>
        <w:t>יחסית</w:t>
      </w:r>
      <w:r w:rsidRPr="00F41E78">
        <w:rPr>
          <w:spacing w:val="40"/>
          <w:rtl/>
        </w:rPr>
        <w:t xml:space="preserve"> </w:t>
      </w:r>
      <w:r w:rsidRPr="00F41E78">
        <w:rPr>
          <w:rFonts w:hint="eastAsia"/>
          <w:spacing w:val="40"/>
          <w:rtl/>
        </w:rPr>
        <w:t>למחיר</w:t>
      </w:r>
      <w:r w:rsidRPr="00F41E78">
        <w:rPr>
          <w:spacing w:val="40"/>
          <w:rtl/>
        </w:rPr>
        <w:t xml:space="preserve"> </w:t>
      </w:r>
      <w:r w:rsidRPr="00F41E78">
        <w:rPr>
          <w:rFonts w:hint="eastAsia"/>
          <w:spacing w:val="40"/>
          <w:rtl/>
        </w:rPr>
        <w:t>דירה</w:t>
      </w:r>
      <w:r w:rsidRPr="00F41E78">
        <w:rPr>
          <w:spacing w:val="40"/>
          <w:rtl/>
        </w:rPr>
        <w:t xml:space="preserve"> </w:t>
      </w:r>
      <w:r w:rsidRPr="00F41E78">
        <w:rPr>
          <w:rFonts w:hint="eastAsia"/>
          <w:spacing w:val="40"/>
          <w:rtl/>
        </w:rPr>
        <w:t>דומה</w:t>
      </w:r>
      <w:r w:rsidRPr="00F41E78">
        <w:rPr>
          <w:spacing w:val="40"/>
          <w:rtl/>
        </w:rPr>
        <w:t xml:space="preserve"> </w:t>
      </w:r>
      <w:r w:rsidRPr="00F41E78">
        <w:rPr>
          <w:rFonts w:hint="eastAsia"/>
          <w:spacing w:val="40"/>
          <w:rtl/>
        </w:rPr>
        <w:t>בשוק</w:t>
      </w:r>
      <w:r w:rsidRPr="00F41E78">
        <w:rPr>
          <w:spacing w:val="40"/>
          <w:rtl/>
        </w:rPr>
        <w:t xml:space="preserve"> </w:t>
      </w:r>
      <w:r w:rsidRPr="00F41E78">
        <w:rPr>
          <w:rFonts w:hint="eastAsia"/>
          <w:spacing w:val="40"/>
          <w:rtl/>
        </w:rPr>
        <w:t>החופשי</w:t>
      </w:r>
      <w:r w:rsidRPr="00F41E78">
        <w:rPr>
          <w:spacing w:val="40"/>
          <w:rtl/>
        </w:rPr>
        <w:t>:</w:t>
      </w:r>
      <w:r w:rsidRPr="00F41E78">
        <w:rPr>
          <w:rtl/>
        </w:rPr>
        <w:t xml:space="preserve"> </w:t>
      </w:r>
      <w:r w:rsidRPr="00F41E78">
        <w:rPr>
          <w:rFonts w:hint="cs"/>
          <w:rtl/>
        </w:rPr>
        <w:t xml:space="preserve">בביקורת שנערכה לשנים 2012-2007 נמצאה שונות ניכרת בהבדלים שבין המחירים שהושגו במכרזי מסלול מחיר למשתכן ובין מחירי דירות דומות בשוק החופשי באותו אזור. בדרך כלל מחיר דירה במסלול מחיר למשתכן היה נמוך, ולעתים אף נמוך בהרבה, ממחיר דירה דומה בשוק החופשי. עם זאת, נמצא כי בפרויקטים אחרים ששווקו במסגרת מסלול זה כמעט שלא היה פער במחירים; לעתים אף נמצא כי מחיר הדירה במסלול מחיר למשתכן היה גבוה ממחיר דירה דומה בשוק החופשי. </w:t>
      </w:r>
    </w:p>
    <w:p w:rsidR="00E97EDA" w:rsidRPr="00F41E78" w:rsidP="003E789E">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באוגוסט 2011 החליטה כאמור מועצת מקרקעי ישראל להגדיל את שיעור ההנחה במחיר קרקע המשווקת במסלול מחיר למשתכן ל-50% מהשומה שקבע השמאי הממשלתי ליח"ד לזכאים ולהגבילה עד 150,000 ש"ח ליח"ד. משרד מבקר המדינה בחן באיזו מידה השפיעה ההחלטה האמורה על מחירי יחידות הדיור המשווקות במסלול מחיר למשתכן </w:t>
      </w:r>
      <w:r w:rsidR="00FF1578">
        <w:rPr>
          <w:rFonts w:cs="FrankRuehl" w:hint="cs"/>
          <w:sz w:val="18"/>
          <w:szCs w:val="22"/>
          <w:rtl/>
          <w:lang w:eastAsia="he-IL"/>
        </w:rPr>
        <w:t>לעומת יח"ד המשווקות בשוק החופשי, להלן הפרטים:</w:t>
      </w:r>
    </w:p>
    <w:p w:rsidR="00E97EDA" w:rsidRPr="00F41E78" w:rsidP="00A7557B">
      <w:pPr>
        <w:spacing w:after="120" w:line="230" w:lineRule="exact"/>
        <w:jc w:val="both"/>
        <w:rPr>
          <w:rFonts w:cs="FrankRuehl"/>
          <w:sz w:val="18"/>
          <w:szCs w:val="22"/>
          <w:rtl/>
          <w:lang w:eastAsia="he-IL"/>
        </w:rPr>
      </w:pPr>
      <w:r w:rsidRPr="00F41E78">
        <w:rPr>
          <w:rFonts w:cs="FrankRuehl"/>
          <w:spacing w:val="40"/>
          <w:sz w:val="18"/>
          <w:szCs w:val="22"/>
          <w:rtl/>
        </w:rPr>
        <w:t xml:space="preserve">מחירי </w:t>
      </w:r>
      <w:r w:rsidRPr="00F41E78">
        <w:rPr>
          <w:rFonts w:cs="FrankRuehl" w:hint="cs"/>
          <w:spacing w:val="40"/>
          <w:sz w:val="18"/>
          <w:szCs w:val="22"/>
          <w:rtl/>
        </w:rPr>
        <w:t>יח"ד</w:t>
      </w:r>
      <w:r w:rsidRPr="00F41E78">
        <w:rPr>
          <w:rFonts w:cs="FrankRuehl"/>
          <w:spacing w:val="40"/>
          <w:sz w:val="18"/>
          <w:szCs w:val="22"/>
          <w:rtl/>
        </w:rPr>
        <w:t xml:space="preserve"> ב</w:t>
      </w:r>
      <w:r w:rsidRPr="00F41E78">
        <w:rPr>
          <w:rFonts w:cs="FrankRuehl" w:hint="eastAsia"/>
          <w:spacing w:val="40"/>
          <w:sz w:val="18"/>
          <w:szCs w:val="22"/>
          <w:rtl/>
        </w:rPr>
        <w:t>מסלול</w:t>
      </w:r>
      <w:r w:rsidRPr="00F41E78">
        <w:rPr>
          <w:rFonts w:cs="FrankRuehl"/>
          <w:spacing w:val="40"/>
          <w:sz w:val="18"/>
          <w:szCs w:val="22"/>
          <w:rtl/>
        </w:rPr>
        <w:t xml:space="preserve"> מחיר למשתכן שהיו נמוכים ממחירי </w:t>
      </w:r>
      <w:r w:rsidRPr="00F41E78">
        <w:rPr>
          <w:rFonts w:cs="FrankRuehl" w:hint="eastAsia"/>
          <w:spacing w:val="40"/>
          <w:sz w:val="18"/>
          <w:szCs w:val="22"/>
          <w:rtl/>
        </w:rPr>
        <w:t>ה</w:t>
      </w:r>
      <w:r w:rsidRPr="00F41E78">
        <w:rPr>
          <w:rFonts w:cs="FrankRuehl"/>
          <w:spacing w:val="40"/>
          <w:sz w:val="18"/>
          <w:szCs w:val="22"/>
          <w:rtl/>
        </w:rPr>
        <w:t>שוק:</w:t>
      </w:r>
      <w:r w:rsidRPr="00F41E78">
        <w:rPr>
          <w:rFonts w:cs="FrankRuehl"/>
          <w:sz w:val="18"/>
          <w:szCs w:val="22"/>
          <w:rtl/>
          <w:lang w:eastAsia="he-IL"/>
        </w:rPr>
        <w:t xml:space="preserve"> </w:t>
      </w:r>
      <w:r w:rsidRPr="00F41E78">
        <w:rPr>
          <w:rFonts w:cs="FrankRuehl" w:hint="cs"/>
          <w:sz w:val="18"/>
          <w:szCs w:val="22"/>
          <w:rtl/>
          <w:lang w:eastAsia="he-IL"/>
        </w:rPr>
        <w:t>על פי חישובים של משרד מבקר המדינה</w:t>
      </w:r>
      <w:r>
        <w:rPr>
          <w:rFonts w:cs="FrankRuehl"/>
          <w:sz w:val="18"/>
          <w:szCs w:val="22"/>
          <w:vertAlign w:val="superscript"/>
          <w:rtl/>
          <w:lang w:eastAsia="he-IL"/>
        </w:rPr>
        <w:footnoteReference w:id="283"/>
      </w:r>
      <w:r w:rsidRPr="00F41E78">
        <w:rPr>
          <w:rFonts w:cs="FrankRuehl" w:hint="cs"/>
          <w:sz w:val="18"/>
          <w:szCs w:val="22"/>
          <w:rtl/>
          <w:lang w:eastAsia="he-IL"/>
        </w:rPr>
        <w:t>, היה המחיר הממוצע של דירה לזכאים במסלול מחיר למשתכן נמוך ממחיר דירה דומה בשוק החופשי; בשנת 2010 היה המחיר נמוך ב-24%, בשנת 2011 - ב-20% ובשנת 2012 - ב-32%.</w:t>
      </w:r>
      <w:r w:rsidRPr="00F41E78">
        <w:rPr>
          <w:rFonts w:cs="FrankRuehl" w:hint="cs"/>
          <w:i/>
          <w:iCs/>
          <w:sz w:val="18"/>
          <w:szCs w:val="22"/>
          <w:rtl/>
          <w:lang w:eastAsia="he-IL"/>
        </w:rPr>
        <w:t xml:space="preserve"> </w:t>
      </w:r>
      <w:r w:rsidRPr="00F41E78">
        <w:rPr>
          <w:rFonts w:cs="FrankRuehl" w:hint="cs"/>
          <w:sz w:val="18"/>
          <w:szCs w:val="22"/>
          <w:rtl/>
          <w:lang w:eastAsia="he-IL"/>
        </w:rPr>
        <w:t>ככלל, פער המחירים בין דירה במסלול מחיר למשתכן ובין דירה דומה בשוק החופשי</w:t>
      </w:r>
      <w:r w:rsidRPr="00F41E78">
        <w:rPr>
          <w:rFonts w:cs="FrankRuehl" w:hint="cs"/>
          <w:spacing w:val="40"/>
          <w:sz w:val="18"/>
          <w:szCs w:val="22"/>
          <w:rtl/>
          <w:lang w:eastAsia="he-IL"/>
        </w:rPr>
        <w:t xml:space="preserve"> </w:t>
      </w:r>
      <w:r w:rsidRPr="00F41E78">
        <w:rPr>
          <w:rFonts w:cs="FrankRuehl" w:hint="cs"/>
          <w:sz w:val="18"/>
          <w:szCs w:val="22"/>
          <w:rtl/>
          <w:lang w:eastAsia="he-IL"/>
        </w:rPr>
        <w:t xml:space="preserve">היה גדול יותר באזורי הביקוש מאשר באזורי פריפריה. למשל, בשנת 2012 פער המחירים הגדול ביותר היה בירושלים ובביתר עילית (48% ו-55%, בהתאמה) לעומת ערי פריפריה שם הפער היה נמוך הרבה יותר - 4% בנשר, 11% בטירת הכרמל ו-16% בדימונה. להלן דוגמאות: </w:t>
      </w:r>
    </w:p>
    <w:p w:rsidR="00E97EDA" w:rsidRPr="00F41E78" w:rsidP="00A7557B">
      <w:pPr>
        <w:spacing w:after="120" w:line="230" w:lineRule="exact"/>
        <w:jc w:val="both"/>
        <w:rPr>
          <w:rFonts w:cs="FrankRuehl"/>
          <w:b/>
          <w:bCs/>
          <w:sz w:val="18"/>
          <w:szCs w:val="22"/>
          <w:rtl/>
          <w:lang w:eastAsia="he-IL"/>
        </w:rPr>
      </w:pPr>
      <w:r w:rsidRPr="00F41E78">
        <w:rPr>
          <w:rFonts w:cs="FrankRuehl" w:hint="cs"/>
          <w:sz w:val="18"/>
          <w:szCs w:val="22"/>
          <w:rtl/>
          <w:lang w:eastAsia="he-IL"/>
        </w:rPr>
        <w:t>בשנת 2012</w:t>
      </w:r>
      <w:r>
        <w:rPr>
          <w:rFonts w:cs="FrankRuehl"/>
          <w:sz w:val="18"/>
          <w:szCs w:val="22"/>
          <w:vertAlign w:val="superscript"/>
          <w:rtl/>
          <w:lang w:eastAsia="he-IL"/>
        </w:rPr>
        <w:footnoteReference w:id="284"/>
      </w:r>
      <w:r w:rsidRPr="00F41E78">
        <w:rPr>
          <w:rFonts w:cs="FrankRuehl" w:hint="cs"/>
          <w:sz w:val="18"/>
          <w:szCs w:val="22"/>
          <w:rtl/>
          <w:lang w:eastAsia="he-IL"/>
        </w:rPr>
        <w:t xml:space="preserve"> שיווק משרד הבינוי בעיר יבנה (דרום) 117 יח"ד ומהן 17 יועדו לזכאים. מחירה של דירה לזכאי המשרד היה כ-525,000 ש"ח בממוצע, מחיר הנמוך בכ-600,000 ש"ח</w:t>
      </w:r>
      <w:r w:rsidRPr="00F41E78">
        <w:rPr>
          <w:rFonts w:cs="FrankRuehl" w:hint="cs"/>
          <w:b/>
          <w:bCs/>
          <w:sz w:val="18"/>
          <w:szCs w:val="22"/>
          <w:rtl/>
          <w:lang w:eastAsia="he-IL"/>
        </w:rPr>
        <w:t xml:space="preserve"> </w:t>
      </w:r>
      <w:r w:rsidRPr="00F41E78">
        <w:rPr>
          <w:rFonts w:cs="FrankRuehl" w:hint="cs"/>
          <w:sz w:val="18"/>
          <w:szCs w:val="22"/>
          <w:rtl/>
          <w:lang w:eastAsia="he-IL"/>
        </w:rPr>
        <w:t>(כ-47%) ממחיר דירה דומה בשוק החופשי.</w:t>
      </w:r>
      <w:r w:rsidRPr="00F41E78">
        <w:rPr>
          <w:rFonts w:cs="FrankRuehl" w:hint="cs"/>
          <w:b/>
          <w:bCs/>
          <w:sz w:val="18"/>
          <w:szCs w:val="22"/>
          <w:rtl/>
          <w:lang w:eastAsia="he-IL"/>
        </w:rPr>
        <w:t xml:space="preserve"> </w:t>
      </w:r>
      <w:r w:rsidRPr="00F41E78">
        <w:rPr>
          <w:rFonts w:cs="FrankRuehl" w:hint="cs"/>
          <w:sz w:val="18"/>
          <w:szCs w:val="22"/>
          <w:rtl/>
          <w:lang w:eastAsia="he-IL"/>
        </w:rPr>
        <w:t xml:space="preserve">בשל המחיר הנמוך שהציע היזם הזוכה עבור יחידות הדיור </w:t>
      </w:r>
      <w:r w:rsidRPr="00F41E78">
        <w:rPr>
          <w:rFonts w:cs="FrankRuehl" w:hint="cs"/>
          <w:sz w:val="18"/>
          <w:szCs w:val="22"/>
          <w:rtl/>
          <w:lang w:eastAsia="he-IL"/>
        </w:rPr>
        <w:t>לזכאים הוא זומן לבירור במשרד הבינוי. היזם אמר בבירור כי יחידות הדיור שהוא ימכור בשוק החופשי באותו מתחם "יסבסדו את ההפרש במחירי הדירות המוזלות [בסך הכול 17 דירות שנועדו לזכאים]".</w:t>
      </w:r>
    </w:p>
    <w:p w:rsidR="00E97EDA" w:rsidRPr="00F41E78" w:rsidP="003E789E">
      <w:pPr>
        <w:spacing w:after="240" w:line="230" w:lineRule="exact"/>
        <w:jc w:val="both"/>
        <w:rPr>
          <w:rFonts w:cs="FrankRuehl"/>
          <w:sz w:val="18"/>
          <w:szCs w:val="22"/>
          <w:rtl/>
          <w:lang w:eastAsia="he-IL"/>
        </w:rPr>
      </w:pPr>
      <w:r w:rsidRPr="00F41E78">
        <w:rPr>
          <w:rFonts w:cs="FrankRuehl" w:hint="cs"/>
          <w:sz w:val="18"/>
          <w:szCs w:val="22"/>
          <w:rtl/>
          <w:lang w:eastAsia="he-IL"/>
        </w:rPr>
        <w:t>בשנת 2012</w:t>
      </w:r>
      <w:r>
        <w:rPr>
          <w:rFonts w:cs="FrankRuehl"/>
          <w:sz w:val="18"/>
          <w:szCs w:val="22"/>
          <w:vertAlign w:val="superscript"/>
          <w:rtl/>
          <w:lang w:eastAsia="he-IL"/>
        </w:rPr>
        <w:footnoteReference w:id="285"/>
      </w:r>
      <w:r w:rsidRPr="00F41E78">
        <w:rPr>
          <w:rFonts w:cs="FrankRuehl" w:hint="cs"/>
          <w:sz w:val="18"/>
          <w:szCs w:val="22"/>
          <w:rtl/>
          <w:lang w:eastAsia="he-IL"/>
        </w:rPr>
        <w:t xml:space="preserve"> שיווק משרד הבינוי בביתר עילית 211 יח"ד ומהן 106 יח"ד לזכאי המשרד. מחיר דירה לזכאי היה כ-440,000 ש"ח בממוצע, מחיר הנמוך בכ-370,000 ש"ח עד כ-560,000 ש"ח (56%-46%) מ</w:t>
      </w:r>
      <w:r w:rsidRPr="00F41E78">
        <w:rPr>
          <w:rFonts w:cs="FrankRuehl"/>
          <w:sz w:val="18"/>
          <w:szCs w:val="22"/>
          <w:rtl/>
          <w:lang w:eastAsia="he-IL"/>
        </w:rPr>
        <w:t>מחיר דירה דומה בשוק החופשי.</w:t>
      </w:r>
      <w:r w:rsidRPr="00F41E78">
        <w:rPr>
          <w:rFonts w:cs="FrankRuehl" w:hint="cs"/>
          <w:sz w:val="18"/>
          <w:szCs w:val="22"/>
          <w:rtl/>
          <w:lang w:eastAsia="he-IL"/>
        </w:rPr>
        <w:t xml:space="preserve"> בבירור שעשה המשרד על אופן תמחור ההצעות הזולות אמרו המציעים כי על אף המחיר הנמוך שהציעו עבור יחידות הדיור שנועדו לזכאים, לאחר שיימכרו יתר יחידות הדיור במתחם במחירי שוק עדיין יישאר להם רווח התואם את רמת הסיכון של הפרויקט.</w:t>
      </w:r>
    </w:p>
    <w:p w:rsidR="00D22B16" w:rsidRPr="00F41E78" w:rsidP="00D22B16">
      <w:pPr>
        <w:pStyle w:val="RESHET"/>
        <w:keepLines/>
        <w:rPr>
          <w:rtl/>
        </w:rPr>
      </w:pPr>
      <w:r w:rsidRPr="00F41E78">
        <w:rPr>
          <w:rFonts w:hint="cs"/>
          <w:rtl/>
        </w:rPr>
        <w:t xml:space="preserve">משרד מבקר המדינה העיר למשרד הבינוי כי מתכונת הפעלת המכרז, שלפיה הזוכה במכרז לשיווק קרקע במסלול מחיר למשתכן הוא היזם שהציע את המחיר הנמוך ביותר למ"ר בנוי במסגרת המסלול, עשויה לעודד יזמים להציע מחיר נמוך מאוד ליח"ד שיימכרו לזכאים במסלול זה, מתוך הנחה שיחידות הדיור שיימכרו במחיר מוזל יהיו מעטות. לעומת זאת, יתר יחידות הדיור בפרויקט יימכרו במחירים גבוהים יותר שישלימו את הפער בין מחירן המוזל של יחידות הדיור ובין מחירן בשוק החופשי. לנוכח זאת, היה מקום שמשרד הבינוי יבחן קביעת מנגנון שיבטיח גבול עליון וגבול תחתון למחיר יח"ד בהצעות הזוכות במכרזים לשיווק הקרקע במסלול מחיר למשתכן, באופן שמחירה לא יחרוג במידה בלתי סבירה ממחיר יח"ד דומה בשוק החופשי באותה עיר. על המנגנון גם להבטיח שהיקף ההפחתה הכוללת במחירים יתחלק בין יתר יחידות הדיור בפרויקט כדי להרחיב את מעגל הנהנים מהטבה כלכלית זו ולמנוע אי-שוויון בחלוקת משאבי המדינה. </w:t>
      </w:r>
    </w:p>
    <w:p w:rsidR="00E97EDA" w:rsidRPr="00F41E78" w:rsidP="003E789E">
      <w:pPr>
        <w:spacing w:before="180" w:after="120" w:line="230" w:lineRule="exact"/>
        <w:ind w:left="-2"/>
        <w:jc w:val="both"/>
        <w:rPr>
          <w:rFonts w:cs="FrankRuehl"/>
          <w:sz w:val="18"/>
          <w:szCs w:val="22"/>
          <w:rtl/>
          <w:lang w:eastAsia="he-IL"/>
        </w:rPr>
      </w:pPr>
      <w:r w:rsidRPr="00F41E78">
        <w:rPr>
          <w:rFonts w:cs="FrankRuehl"/>
          <w:spacing w:val="40"/>
          <w:sz w:val="18"/>
          <w:szCs w:val="22"/>
          <w:rtl/>
        </w:rPr>
        <w:tab/>
      </w:r>
      <w:r w:rsidRPr="00F41E78">
        <w:rPr>
          <w:rFonts w:cs="FrankRuehl" w:hint="eastAsia"/>
          <w:spacing w:val="40"/>
          <w:sz w:val="18"/>
          <w:szCs w:val="22"/>
          <w:rtl/>
        </w:rPr>
        <w:t>מ</w:t>
      </w:r>
      <w:r w:rsidRPr="00F41E78">
        <w:rPr>
          <w:rFonts w:cs="FrankRuehl"/>
          <w:spacing w:val="40"/>
          <w:sz w:val="18"/>
          <w:szCs w:val="22"/>
          <w:rtl/>
        </w:rPr>
        <w:t xml:space="preserve">חירי </w:t>
      </w:r>
      <w:r w:rsidRPr="00F41E78">
        <w:rPr>
          <w:rFonts w:cs="FrankRuehl" w:hint="cs"/>
          <w:spacing w:val="40"/>
          <w:sz w:val="18"/>
          <w:szCs w:val="22"/>
          <w:rtl/>
        </w:rPr>
        <w:t>יח"ד</w:t>
      </w:r>
      <w:r w:rsidRPr="00F41E78">
        <w:rPr>
          <w:rFonts w:cs="FrankRuehl"/>
          <w:spacing w:val="40"/>
          <w:sz w:val="18"/>
          <w:szCs w:val="22"/>
          <w:rtl/>
        </w:rPr>
        <w:t xml:space="preserve"> ב</w:t>
      </w:r>
      <w:r w:rsidRPr="00F41E78">
        <w:rPr>
          <w:rFonts w:cs="FrankRuehl" w:hint="eastAsia"/>
          <w:spacing w:val="40"/>
          <w:sz w:val="18"/>
          <w:szCs w:val="22"/>
          <w:rtl/>
        </w:rPr>
        <w:t>מסלול</w:t>
      </w:r>
      <w:r w:rsidRPr="00F41E78">
        <w:rPr>
          <w:rFonts w:cs="FrankRuehl"/>
          <w:spacing w:val="40"/>
          <w:sz w:val="18"/>
          <w:szCs w:val="22"/>
          <w:rtl/>
        </w:rPr>
        <w:t xml:space="preserve"> מחיר למשתכן שהיו גבוהים ממחירי </w:t>
      </w:r>
      <w:r w:rsidRPr="00F41E78">
        <w:rPr>
          <w:rFonts w:cs="FrankRuehl" w:hint="cs"/>
          <w:spacing w:val="40"/>
          <w:sz w:val="18"/>
          <w:szCs w:val="22"/>
          <w:rtl/>
        </w:rPr>
        <w:t>ה</w:t>
      </w:r>
      <w:r w:rsidRPr="00F41E78">
        <w:rPr>
          <w:rFonts w:cs="FrankRuehl"/>
          <w:spacing w:val="40"/>
          <w:sz w:val="18"/>
          <w:szCs w:val="22"/>
          <w:rtl/>
        </w:rPr>
        <w:t>שוק:</w:t>
      </w:r>
      <w:r w:rsidRPr="00F41E78">
        <w:rPr>
          <w:rFonts w:cs="FrankRuehl"/>
          <w:sz w:val="18"/>
          <w:szCs w:val="22"/>
          <w:rtl/>
          <w:lang w:eastAsia="he-IL"/>
        </w:rPr>
        <w:t xml:space="preserve"> </w:t>
      </w:r>
      <w:r w:rsidRPr="00F41E78">
        <w:rPr>
          <w:rFonts w:cs="FrankRuehl" w:hint="cs"/>
          <w:sz w:val="18"/>
          <w:szCs w:val="22"/>
          <w:rtl/>
          <w:lang w:eastAsia="he-IL"/>
        </w:rPr>
        <w:t xml:space="preserve">הביקורת העלתה כי במקרים מסוימים נמכרו יח"ד לזכאים במסלול מחיר למשתכן במחיר גבוה יותר ממחיר יח"ד דומה באותו אזור בשוק החופשי. להלן דוגמה: </w:t>
      </w:r>
    </w:p>
    <w:p w:rsidR="00E97EDA" w:rsidRPr="00F41E78" w:rsidP="003E789E">
      <w:pPr>
        <w:spacing w:after="240" w:line="230" w:lineRule="exact"/>
        <w:ind w:left="12"/>
        <w:jc w:val="both"/>
        <w:rPr>
          <w:rFonts w:cs="FrankRuehl"/>
          <w:sz w:val="18"/>
          <w:szCs w:val="22"/>
          <w:rtl/>
          <w:lang w:eastAsia="he-IL"/>
        </w:rPr>
      </w:pPr>
      <w:r w:rsidRPr="00F41E78">
        <w:rPr>
          <w:rFonts w:cs="FrankRuehl" w:hint="cs"/>
          <w:sz w:val="18"/>
          <w:szCs w:val="22"/>
          <w:rtl/>
          <w:lang w:eastAsia="he-IL"/>
        </w:rPr>
        <w:t>באפריל 2011 שיווק משרד הבינוי בטירת הכרמל 46 יח"ד. 23 יח"ד מהן יועדו לזכאים ומחיר כל אחת היה כ-920,000 ש"ח. מנתונים שבאתר האינטרנט של רשות המיסים</w:t>
      </w:r>
      <w:r>
        <w:rPr>
          <w:rFonts w:cs="FrankRuehl"/>
          <w:sz w:val="18"/>
          <w:szCs w:val="22"/>
          <w:vertAlign w:val="superscript"/>
          <w:rtl/>
          <w:lang w:eastAsia="he-IL"/>
        </w:rPr>
        <w:footnoteReference w:id="286"/>
      </w:r>
      <w:r w:rsidRPr="00F41E78">
        <w:rPr>
          <w:rFonts w:cs="FrankRuehl" w:hint="cs"/>
          <w:sz w:val="18"/>
          <w:szCs w:val="22"/>
          <w:rtl/>
          <w:lang w:eastAsia="he-IL"/>
        </w:rPr>
        <w:t xml:space="preserve"> עלה כי מחיר יח"ד לזכאי בפרויקט היה גבוה יותר ממחיר דירה דומה בשוק החופשי באתרים סמוכים</w:t>
      </w:r>
      <w:r>
        <w:rPr>
          <w:rFonts w:cs="FrankRuehl"/>
          <w:sz w:val="18"/>
          <w:szCs w:val="22"/>
          <w:vertAlign w:val="superscript"/>
          <w:rtl/>
          <w:lang w:eastAsia="he-IL"/>
        </w:rPr>
        <w:footnoteReference w:id="287"/>
      </w:r>
      <w:r w:rsidRPr="00F41E78">
        <w:rPr>
          <w:rFonts w:cs="FrankRuehl" w:hint="cs"/>
          <w:sz w:val="18"/>
          <w:szCs w:val="22"/>
          <w:rtl/>
          <w:lang w:eastAsia="he-IL"/>
        </w:rPr>
        <w:t>. הביקורת העלתה שהמחיר המקורי שבו נקב המציע עמד על 1.07 מיליון ש"ח. בעקבות זאת פנה משרד הבינוי למציע והוא הסכים לתקן את הצעתו ולהפחיתה לכ-920,000 ש"ח. עם זאת, המחיר הסופי שנקבע היה גבוה ממחירי השוק.</w:t>
      </w:r>
    </w:p>
    <w:p w:rsidR="00D22B16" w:rsidRPr="00F41E78" w:rsidP="00D22B16">
      <w:pPr>
        <w:pStyle w:val="RESHET"/>
        <w:keepLines/>
        <w:rPr>
          <w:rtl/>
        </w:rPr>
      </w:pPr>
      <w:r w:rsidRPr="00F41E78">
        <w:rPr>
          <w:rFonts w:hint="eastAsia"/>
          <w:spacing w:val="40"/>
          <w:rtl/>
        </w:rPr>
        <w:t>השפעת</w:t>
      </w:r>
      <w:r w:rsidRPr="00F41E78">
        <w:rPr>
          <w:spacing w:val="40"/>
          <w:rtl/>
        </w:rPr>
        <w:t xml:space="preserve"> </w:t>
      </w:r>
      <w:r w:rsidRPr="00F41E78">
        <w:rPr>
          <w:rFonts w:hint="eastAsia"/>
          <w:spacing w:val="40"/>
          <w:rtl/>
        </w:rPr>
        <w:t>הפעלתו</w:t>
      </w:r>
      <w:r w:rsidRPr="00F41E78">
        <w:rPr>
          <w:spacing w:val="40"/>
          <w:rtl/>
        </w:rPr>
        <w:t xml:space="preserve"> </w:t>
      </w:r>
      <w:r w:rsidRPr="00F41E78">
        <w:rPr>
          <w:rFonts w:hint="eastAsia"/>
          <w:spacing w:val="40"/>
          <w:rtl/>
        </w:rPr>
        <w:t>של</w:t>
      </w:r>
      <w:r w:rsidRPr="00F41E78">
        <w:rPr>
          <w:spacing w:val="40"/>
          <w:rtl/>
        </w:rPr>
        <w:t xml:space="preserve"> </w:t>
      </w:r>
      <w:r w:rsidRPr="00F41E78">
        <w:rPr>
          <w:rFonts w:hint="eastAsia"/>
          <w:spacing w:val="40"/>
          <w:rtl/>
        </w:rPr>
        <w:t>מסלול</w:t>
      </w:r>
      <w:r w:rsidRPr="00F41E78">
        <w:rPr>
          <w:spacing w:val="40"/>
          <w:rtl/>
        </w:rPr>
        <w:t xml:space="preserve"> </w:t>
      </w:r>
      <w:r w:rsidRPr="00F41E78">
        <w:rPr>
          <w:rFonts w:hint="eastAsia"/>
          <w:spacing w:val="40"/>
          <w:rtl/>
        </w:rPr>
        <w:t>מחיר</w:t>
      </w:r>
      <w:r w:rsidRPr="00F41E78">
        <w:rPr>
          <w:spacing w:val="40"/>
          <w:rtl/>
        </w:rPr>
        <w:t xml:space="preserve"> </w:t>
      </w:r>
      <w:r w:rsidRPr="00F41E78">
        <w:rPr>
          <w:rFonts w:hint="eastAsia"/>
          <w:spacing w:val="40"/>
          <w:rtl/>
        </w:rPr>
        <w:t>למשתכן</w:t>
      </w:r>
      <w:r w:rsidRPr="00F41E78">
        <w:rPr>
          <w:spacing w:val="40"/>
          <w:rtl/>
        </w:rPr>
        <w:t xml:space="preserve"> </w:t>
      </w:r>
      <w:r w:rsidRPr="00F41E78">
        <w:rPr>
          <w:rFonts w:hint="eastAsia"/>
          <w:spacing w:val="40"/>
          <w:rtl/>
        </w:rPr>
        <w:t>על</w:t>
      </w:r>
      <w:r w:rsidRPr="00F41E78">
        <w:rPr>
          <w:spacing w:val="40"/>
          <w:rtl/>
        </w:rPr>
        <w:t xml:space="preserve"> </w:t>
      </w:r>
      <w:r w:rsidRPr="00F41E78">
        <w:rPr>
          <w:rFonts w:hint="eastAsia"/>
          <w:spacing w:val="40"/>
          <w:rtl/>
        </w:rPr>
        <w:t>מחירי</w:t>
      </w:r>
      <w:r w:rsidRPr="00F41E78">
        <w:rPr>
          <w:spacing w:val="40"/>
          <w:rtl/>
        </w:rPr>
        <w:t xml:space="preserve"> </w:t>
      </w:r>
      <w:r w:rsidRPr="00F41E78">
        <w:rPr>
          <w:rFonts w:hint="eastAsia"/>
          <w:spacing w:val="40"/>
          <w:rtl/>
        </w:rPr>
        <w:t>שוק</w:t>
      </w:r>
      <w:r w:rsidRPr="00F41E78">
        <w:rPr>
          <w:spacing w:val="40"/>
          <w:rtl/>
        </w:rPr>
        <w:t xml:space="preserve"> </w:t>
      </w:r>
      <w:r w:rsidRPr="00F41E78">
        <w:rPr>
          <w:rFonts w:hint="eastAsia"/>
          <w:spacing w:val="40"/>
          <w:rtl/>
        </w:rPr>
        <w:t>הדיור</w:t>
      </w:r>
      <w:r w:rsidRPr="00F41E78">
        <w:rPr>
          <w:spacing w:val="40"/>
          <w:rtl/>
        </w:rPr>
        <w:t xml:space="preserve">: </w:t>
      </w:r>
      <w:r w:rsidRPr="00F41E78">
        <w:rPr>
          <w:rFonts w:hint="cs"/>
          <w:spacing w:val="40"/>
          <w:rtl/>
        </w:rPr>
        <w:t>ב</w:t>
      </w:r>
      <w:r w:rsidRPr="00F41E78">
        <w:rPr>
          <w:rFonts w:hint="cs"/>
          <w:rtl/>
        </w:rPr>
        <w:t>ביקורת עלה כי אין משרד הבינוי מחזיק במידע מלא וכולל על פערי המחירים בין יחידות הדיור שנמכרו במסלול מחיר למשתכן ובין יח"ד דומות בשוק החופשי באותם אזורים. עם זאת, הועלה כי הפעלת המסלול לא הביאה לידי ירידה במחירי שוק הדיור לא במישור האזורי ולא במישור הארצי. הסיבה לכך היא שמספר יחידות הדיור ששווקו במסלול מחיר למשתכן, מתוך כל יחידות הדיור ששווקו באותה תקופה, היה קטן מדי מכדי להשפיע על מחירי שוק הדיור כולו.</w:t>
      </w:r>
    </w:p>
    <w:p w:rsidR="00E97EDA" w:rsidRPr="00F41E78" w:rsidP="003E789E">
      <w:pPr>
        <w:spacing w:before="180" w:after="120" w:line="230" w:lineRule="exact"/>
        <w:jc w:val="both"/>
        <w:rPr>
          <w:rFonts w:cs="FrankRuehl"/>
          <w:sz w:val="18"/>
          <w:szCs w:val="22"/>
          <w:rtl/>
          <w:lang w:eastAsia="he-IL"/>
        </w:rPr>
      </w:pPr>
      <w:r w:rsidRPr="00F41E78">
        <w:rPr>
          <w:rFonts w:cs="FrankRuehl" w:hint="cs"/>
          <w:sz w:val="18"/>
          <w:szCs w:val="22"/>
          <w:rtl/>
          <w:lang w:eastAsia="he-IL"/>
        </w:rPr>
        <w:t>בתשובתו ציין משרד הבינוי כי "מטרתו העיקרית של פרויקט 'מחיר למשתכן' הייתה לאפשר לזכאי משרד הבינוי והשיכון להגיע לקורת גג בבעלותם. המשרד היה ער לאורך כל השנים לכך שבהיקפי השיווק שהונהגו לאורך השנים, אשר היוו שברי אחוז מכלל השוק, לא ניתן היה להביא להשפעה על מחירי הדיור". לכן, הוא בוחן, בשיתוף עם משרד האוצר, את האפשרות לשווק קרקעות בהיקף נרחב בתכנית חדשה - "מחיר מטרה" - הועדה "להשפיע בצורה משמעותית על מחיר הדיור ולא להיטיב עם מספר מצומצם של זכאים 'שזכו בפיס'". על פי תפיסה זו, "בשנתיים הקרובות תשווק רמ"י קרקעות בהיקף נרחב במסגרת התכנית החדשה, שייקבע בה מחיר יחידת הדיור הסופי במכרז, שיהיה נמוך בכ-15% ממחיר השוק. שיווקים בהיקף נרחב שכזה צפויים להשפיע לא רק על מחירי הדירות האלה, אלא על כלל הדירות בשוק - יד ראשונה ושנייה כאחד</w:t>
      </w:r>
      <w:r w:rsidRPr="00F41E78">
        <w:rPr>
          <w:rFonts w:cs="FrankRuehl"/>
          <w:sz w:val="18"/>
          <w:szCs w:val="22"/>
          <w:rtl/>
          <w:lang w:eastAsia="he-IL"/>
        </w:rPr>
        <w:t>"</w:t>
      </w:r>
      <w:r w:rsidRPr="00F41E78">
        <w:rPr>
          <w:rFonts w:cs="FrankRuehl" w:hint="cs"/>
          <w:sz w:val="18"/>
          <w:szCs w:val="22"/>
          <w:rtl/>
          <w:lang w:eastAsia="he-IL"/>
        </w:rPr>
        <w:t>. המשרד הוסיף כי הדרך היחידה להשפיע על מחירי השוק היא באמצעות הגדלה ניכרת של ההיצע בשוק הדיור במטרה להתגבר על המחסור הקיים במשק, ולא באמצעות מסלול שיווק זה או אחר. המשרד הדגיש כי המעבר הצפוי לשיווק במסגרת תכנית מחיר מטרה אמור לסייע בפתרון בעיה שהועלתה במסגרת הביקורת בכך שגובה ההנחה במסלול מחיר למשתכן "מוגבל ונקבע מראש בנתוני המכרז".</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בתשובתה מינואר 2014 ציינה רמ"י כי "על מנת שמחיר המטרה יהיה אפקטיבי יש ליצור מאסות גדולות של שיווקים במחיר מטרה באזורי הביקוש, כך שישפיעו על כל שוק הדיור וניסיון לצמצם את מחיר המטרה למקום מוגבל ונסיוני דינו להיכשל!" </w:t>
      </w:r>
    </w:p>
    <w:p w:rsidR="00E97EDA" w:rsidRPr="00F41E78" w:rsidP="00A7557B">
      <w:pPr>
        <w:spacing w:after="120" w:line="230" w:lineRule="exact"/>
        <w:jc w:val="both"/>
        <w:rPr>
          <w:rFonts w:cs="FrankRuehl"/>
          <w:sz w:val="18"/>
          <w:szCs w:val="22"/>
        </w:rPr>
      </w:pPr>
      <w:r w:rsidRPr="00F41E78">
        <w:rPr>
          <w:rFonts w:cs="FrankRuehl" w:hint="cs"/>
          <w:sz w:val="18"/>
          <w:szCs w:val="22"/>
          <w:rtl/>
        </w:rPr>
        <w:t>ביולי 2014 קבעה הממשלה (החלטה מס' 1809) עקרונות לשיווק יח"ד בתכנית מחיר מטרה. במסגרת תכנית זו, בשנים 2019-2015 ישווק משרד הבינוי 66,000 יח"ד באמצעות רמ"י. התכנית תחול על יח"ד שמחירן עד 2 מיליון ש"ח, כאשר 80%-60% מיחידות הדיור בכל פרויקט יימכרו במחיר הנמוך ב-20% מהמחיר הממוצע באזור, שקבע השמאי הממשלתי. עוד קבעה הממשלה כי בשל הצורך בתיאום בין התכנית ובין "הטבת מע"מ אפס" בשנת 2014, שיווק יח"ד על פי תכנית מחיר מטרה יחל מיד לאחר חקיקת חוק מס ערך מוסף</w:t>
      </w:r>
      <w:r w:rsidRPr="00F41E78">
        <w:rPr>
          <w:rFonts w:cs="FrankRuehl" w:hint="cs"/>
          <w:sz w:val="18"/>
          <w:szCs w:val="22"/>
          <w:rtl/>
        </w:rPr>
        <w:t xml:space="preserve"> </w:t>
      </w:r>
      <w:r w:rsidRPr="00F41E78">
        <w:rPr>
          <w:rFonts w:cs="FrankRuehl" w:hint="cs"/>
          <w:sz w:val="18"/>
          <w:szCs w:val="22"/>
          <w:rtl/>
        </w:rPr>
        <w:t xml:space="preserve">(הטבה במס עסקה לרכישת דירת מגורים מוטבת), התשע"ד-2014. נכון לאוגוסט 2014 הכנסת טרם אישרה את החוק וממילא טרם הוחל בשיווק קרקעות על פי התכנית האמורה. </w:t>
      </w:r>
    </w:p>
    <w:p w:rsidR="005001B1" w:rsidRPr="00F41E78" w:rsidP="00A7557B">
      <w:pPr>
        <w:spacing w:after="120" w:line="230" w:lineRule="exact"/>
        <w:jc w:val="both"/>
        <w:rPr>
          <w:rFonts w:cs="FrankRuehl"/>
          <w:sz w:val="18"/>
          <w:szCs w:val="22"/>
          <w:rtl/>
        </w:rPr>
      </w:pPr>
    </w:p>
    <w:p w:rsidR="00E97EDA" w:rsidRPr="00E97EDA" w:rsidP="00A7557B">
      <w:pPr>
        <w:pStyle w:val="KOT5"/>
        <w:rPr>
          <w:rtl/>
          <w:lang w:eastAsia="he-IL"/>
        </w:rPr>
      </w:pPr>
      <w:r w:rsidRPr="00E97EDA">
        <w:rPr>
          <w:rFonts w:hint="cs"/>
          <w:rtl/>
          <w:lang w:eastAsia="he-IL"/>
        </w:rPr>
        <w:t>שמירה על מאגר דיור בר השגה במסלול מחיר למשתכן</w:t>
      </w:r>
    </w:p>
    <w:p w:rsidR="00E97EDA" w:rsidRPr="00F41E78" w:rsidP="003E789E">
      <w:pPr>
        <w:spacing w:after="240" w:line="230" w:lineRule="exact"/>
        <w:jc w:val="both"/>
        <w:rPr>
          <w:rFonts w:cs="FrankRuehl"/>
          <w:b/>
          <w:bCs/>
          <w:sz w:val="18"/>
          <w:szCs w:val="22"/>
          <w:rtl/>
          <w:lang w:eastAsia="he-IL"/>
        </w:rPr>
      </w:pPr>
      <w:r w:rsidRPr="00F41E78">
        <w:rPr>
          <w:rFonts w:cs="FrankRuehl" w:hint="cs"/>
          <w:sz w:val="18"/>
          <w:szCs w:val="22"/>
          <w:rtl/>
          <w:lang w:eastAsia="he-IL"/>
        </w:rPr>
        <w:t xml:space="preserve">ייצור יחידות דיור בר השגה המשווקות לזכאי המשרד במחיר נמוך ממחירן בשוק החופשי מצריך מימון מתקציב המדינה. לכן, חשוב מאוד לשמור על מאגר יח"ד אלו ולוודא שהן ישמשו לייעודן, דהיינו סיוע לזכאי דיור בר השגה, כדי למנוע בזבוז של כספי ציבור. </w:t>
      </w:r>
    </w:p>
    <w:p w:rsidR="00D22B16" w:rsidRPr="00F41E78" w:rsidP="00D22B16">
      <w:pPr>
        <w:pStyle w:val="RESHET"/>
        <w:keepLines/>
        <w:rPr>
          <w:rtl/>
        </w:rPr>
      </w:pPr>
      <w:r w:rsidRPr="00F41E78">
        <w:rPr>
          <w:rFonts w:hint="cs"/>
          <w:rtl/>
        </w:rPr>
        <w:t xml:space="preserve">בביקורת נבדקו פעולות הממשלה לשמירת מאגר הדיור בר ההשגה. נמצא כי עד מאי 2010 לא קבעו משרד הבינוי ורמ"י כללים שימנעו מזכאים שרכשו יח"ד במסלול מחיר למשתכן למכור או להשכיר את דירותיהם בשוק החופשי במקום לגור בהן בעצמם; למעט רק מגבלה אחת שנקבעה בשנת 2004 ולפיה אסור לזכאי שרכש יח"ד במסלול זה למכור את הדירה לפני מועד האכלוס. </w:t>
      </w:r>
    </w:p>
    <w:p w:rsidR="00E97EDA" w:rsidRPr="00F41E78" w:rsidP="003E789E">
      <w:pPr>
        <w:spacing w:before="180" w:after="240" w:line="230" w:lineRule="exact"/>
        <w:jc w:val="both"/>
        <w:rPr>
          <w:rFonts w:cs="FrankRuehl"/>
          <w:sz w:val="18"/>
          <w:szCs w:val="22"/>
          <w:rtl/>
          <w:lang w:eastAsia="he-IL"/>
        </w:rPr>
      </w:pPr>
      <w:r w:rsidRPr="00F41E78">
        <w:rPr>
          <w:rFonts w:cs="FrankRuehl" w:hint="cs"/>
          <w:sz w:val="18"/>
          <w:szCs w:val="22"/>
          <w:rtl/>
          <w:lang w:eastAsia="he-IL"/>
        </w:rPr>
        <w:t>רק במאי 2010 שינה משרד הבינוי את הכללים להחזקת יח"ד שנרכשה במסלול מחיר למשתכן. המשרד קבע</w:t>
      </w:r>
      <w:r>
        <w:rPr>
          <w:rFonts w:cs="FrankRuehl"/>
          <w:sz w:val="18"/>
          <w:szCs w:val="22"/>
          <w:vertAlign w:val="superscript"/>
          <w:rtl/>
          <w:lang w:eastAsia="he-IL"/>
        </w:rPr>
        <w:footnoteReference w:id="288"/>
      </w:r>
      <w:r w:rsidRPr="00F41E78">
        <w:rPr>
          <w:rFonts w:cs="FrankRuehl" w:hint="cs"/>
          <w:sz w:val="18"/>
          <w:szCs w:val="22"/>
          <w:rtl/>
          <w:lang w:eastAsia="he-IL"/>
        </w:rPr>
        <w:t xml:space="preserve"> כי רוכש דירה במסלול מחיר למשתכן לא יהיה רשאי למכור את דירתו במשך חמש שנים מיום קבלת החזקה בה. באוגוסט 2011 עדכנה מועצת מקרקעי ישראל</w:t>
      </w:r>
      <w:r>
        <w:rPr>
          <w:rFonts w:cs="FrankRuehl"/>
          <w:sz w:val="18"/>
          <w:szCs w:val="22"/>
          <w:vertAlign w:val="superscript"/>
          <w:rtl/>
          <w:lang w:eastAsia="he-IL"/>
        </w:rPr>
        <w:footnoteReference w:id="289"/>
      </w:r>
      <w:r w:rsidRPr="00F41E78">
        <w:rPr>
          <w:rFonts w:cs="FrankRuehl" w:hint="cs"/>
          <w:sz w:val="18"/>
          <w:szCs w:val="22"/>
          <w:rtl/>
          <w:lang w:eastAsia="he-IL"/>
        </w:rPr>
        <w:t xml:space="preserve"> את הכללים וקבעה כי זכאי שרכש דירה במסלול זה לא יהיה רשאי למכור אותה במשך עשר שנים ממועד האכלוס או </w:t>
      </w:r>
      <w:r w:rsidRPr="00F41E78">
        <w:rPr>
          <w:rFonts w:cs="FrankRuehl" w:hint="cs"/>
          <w:sz w:val="18"/>
          <w:szCs w:val="22"/>
          <w:rtl/>
          <w:lang w:eastAsia="he-IL"/>
        </w:rPr>
        <w:t xml:space="preserve">להשכירה במשך חמש שנים ממועד זה. בעקבות כך עדכן משרד הבינוי בינואר 2013 את נוהל "רכישת דירה במסלול מחיר דירה למשתכן" וקבע כי </w:t>
      </w:r>
      <w:r w:rsidRPr="00F41E78">
        <w:rPr>
          <w:rFonts w:cs="FrankRuehl" w:hint="eastAsia"/>
          <w:sz w:val="18"/>
          <w:szCs w:val="22"/>
          <w:rtl/>
          <w:lang w:eastAsia="he-IL"/>
        </w:rPr>
        <w:t>במסגרת</w:t>
      </w:r>
      <w:r w:rsidRPr="00F41E78">
        <w:rPr>
          <w:rFonts w:cs="FrankRuehl"/>
          <w:sz w:val="18"/>
          <w:szCs w:val="22"/>
          <w:rtl/>
          <w:lang w:eastAsia="he-IL"/>
        </w:rPr>
        <w:t xml:space="preserve"> </w:t>
      </w:r>
      <w:r w:rsidRPr="00F41E78">
        <w:rPr>
          <w:rFonts w:cs="FrankRuehl" w:hint="eastAsia"/>
          <w:sz w:val="18"/>
          <w:szCs w:val="22"/>
          <w:rtl/>
          <w:lang w:eastAsia="he-IL"/>
        </w:rPr>
        <w:t>הפיקוח</w:t>
      </w:r>
      <w:r w:rsidRPr="00F41E78">
        <w:rPr>
          <w:rFonts w:cs="FrankRuehl" w:hint="cs"/>
          <w:sz w:val="18"/>
          <w:szCs w:val="22"/>
          <w:rtl/>
          <w:lang w:eastAsia="he-IL"/>
        </w:rPr>
        <w:t xml:space="preserve"> בנושא קיום ההוראות תירשם הערת אזהרה אצל רשם המקרקעין או בספרי החברה האחראית לביצוע תהליכי הרישום ותהליכי העברת הזכויות עד לרישום במרשם המקרקעין. רוכש שיפר את ההוראה ישלם למשרד הבינוי פיצוי מוסכם וקבוע מראש בסך 100,000 ש"ח בתוספת הפרשי הצמדה וריבית (להלן - פיצוי מוסכם). </w:t>
      </w:r>
    </w:p>
    <w:p w:rsidR="00D22B16" w:rsidRPr="00F41E78" w:rsidP="00D22B16">
      <w:pPr>
        <w:pStyle w:val="RESHET"/>
        <w:keepLines/>
        <w:rPr>
          <w:rtl/>
        </w:rPr>
      </w:pPr>
      <w:r w:rsidRPr="00F41E78">
        <w:rPr>
          <w:rFonts w:hint="cs"/>
          <w:rtl/>
        </w:rPr>
        <w:t>לדעת משרד מבקר המדינה, יש לראות בחיוב את הפעולות שעשו משרד הבינוי ומועצת מקרקעי ישראל לתיקון הכללים שהיו נהוגים עד מאי 2010, שאפשרו פגיעה במאגר יחידות הדיור שיועד לזכאים ומומן מתקציב המדינה. אולם למרות ההגבלות שהוטלו על הרוכשים עולה ספק בעניין יעילות ההחלטה לרשום הערת אזהרה אצל רשם המקרקעין, מכיוון שתהליכי חלוקת הקרקע למגרשים ולחלקות והרישום של בית משותף בלשכת רישום המקרקעין במשרד המשפטים ארוכים ומורכבים</w:t>
      </w:r>
      <w:r>
        <w:rPr>
          <w:vertAlign w:val="superscript"/>
          <w:rtl/>
        </w:rPr>
        <w:footnoteReference w:id="290"/>
      </w:r>
      <w:r w:rsidRPr="00F41E78">
        <w:rPr>
          <w:rFonts w:hint="cs"/>
          <w:rtl/>
        </w:rPr>
        <w:t xml:space="preserve">. </w:t>
      </w:r>
    </w:p>
    <w:p w:rsidR="00D22B16" w:rsidRPr="00F41E78" w:rsidP="00D22B16">
      <w:pPr>
        <w:pStyle w:val="RESHET"/>
        <w:keepLines/>
        <w:rPr>
          <w:rtl/>
        </w:rPr>
      </w:pPr>
      <w:r w:rsidRPr="00F41E78">
        <w:rPr>
          <w:rFonts w:hint="cs"/>
          <w:rtl/>
        </w:rPr>
        <w:t>זאת ועוד, לעתים גם הפיצוי המוסכם שקבע משרד הבינוי אינו מונע את מכירת יחידות הדיור המוזלת לפני המועד המותר. למשל, ממסמכי משרד הבינוי עלה כי ביוני 2012 פנה למשרד רוכש מיבנה שקנה את דירתו במסלול מחיר למשתכן. הרוכש ביקש מהמשרד להסדיר את תשלום הפיצוי המוסכם, מכיוון שהתכוון למכור את הדירה לפני חלוף פרק הזמן הנדרש לכך. בכספי המכירה הוא ביקש לרכוש דירה אחרת שתתאים לצרכיו. יוזכר כאמור כי יחידות הדיור ביבנה שנמכרו לזכאים במסגרת מסלול מחיר למשתכן נמכרו בהנחות גדולות שהגיעו עד כדי 600,000 ש"ח.</w:t>
      </w:r>
    </w:p>
    <w:p w:rsidR="00D22B16" w:rsidRPr="00F41E78" w:rsidP="00D22B16">
      <w:pPr>
        <w:pStyle w:val="RESHET"/>
        <w:keepLines/>
      </w:pPr>
      <w:r w:rsidRPr="00F41E78">
        <w:rPr>
          <w:rFonts w:hint="cs"/>
          <w:rtl/>
        </w:rPr>
        <w:t>לדעת משרד מבקר המדינה, מאחר שרכישת יח"ד במסלול מחיר למשתכן יכולה לשמש עבור רוכש הדירה</w:t>
      </w:r>
      <w:r w:rsidRPr="00F41E78">
        <w:rPr>
          <w:rFonts w:hint="cs"/>
          <w:rtl/>
        </w:rPr>
        <w:t xml:space="preserve"> </w:t>
      </w:r>
      <w:r w:rsidRPr="00F41E78">
        <w:rPr>
          <w:rFonts w:hint="cs"/>
          <w:rtl/>
        </w:rPr>
        <w:t>אמצעי להפקת רווחים, שלא לפי הכוונה המקורית שהדירה תירכש לצורך מגורי הזכאי, ראוי ש</w:t>
      </w:r>
      <w:r>
        <w:rPr>
          <w:rFonts w:hint="cs"/>
          <w:rtl/>
        </w:rPr>
        <w:t>משרדי הבינוי</w:t>
      </w:r>
      <w:r w:rsidRPr="00F41E78">
        <w:rPr>
          <w:rFonts w:hint="cs"/>
          <w:rtl/>
        </w:rPr>
        <w:t xml:space="preserve"> והאוצר ורמ"י יהיו ערים לאפשרות זו. עליהם לפתח מנגנונים שיסייעו להם לשמור על מאגר הדירות שנמכרו לזכאים, תוך כדי מתן הטבות כלכליות, באופן שישמשו למטרה שלשמה ניתנו. באופן הזה ניתן יהיה למנוע מצב שבו השקעות המדינה יירדו לטמיון. </w:t>
      </w:r>
    </w:p>
    <w:p w:rsidR="00901FE0" w:rsidRPr="00F41E78" w:rsidP="00A7557B">
      <w:pPr>
        <w:spacing w:after="120" w:line="230" w:lineRule="exact"/>
        <w:jc w:val="both"/>
        <w:rPr>
          <w:rFonts w:cs="FrankRuehl"/>
          <w:sz w:val="18"/>
          <w:szCs w:val="22"/>
          <w:rtl/>
          <w:lang w:eastAsia="he-IL"/>
        </w:rPr>
      </w:pPr>
    </w:p>
    <w:p w:rsidR="00E97EDA" w:rsidRPr="00E97EDA" w:rsidP="00A7557B">
      <w:pPr>
        <w:pStyle w:val="KOT5"/>
        <w:rPr>
          <w:rtl/>
          <w:lang w:eastAsia="he-IL"/>
        </w:rPr>
      </w:pPr>
      <w:r w:rsidRPr="00E97EDA">
        <w:rPr>
          <w:rFonts w:hint="eastAsia"/>
          <w:rtl/>
          <w:lang w:eastAsia="he-IL"/>
        </w:rPr>
        <w:t>היקף</w:t>
      </w:r>
      <w:r w:rsidRPr="00E97EDA">
        <w:rPr>
          <w:rtl/>
          <w:lang w:eastAsia="he-IL"/>
        </w:rPr>
        <w:t xml:space="preserve"> </w:t>
      </w:r>
      <w:r w:rsidRPr="00E97EDA">
        <w:rPr>
          <w:rFonts w:hint="eastAsia"/>
          <w:rtl/>
          <w:lang w:eastAsia="he-IL"/>
        </w:rPr>
        <w:t>ההשקעה</w:t>
      </w:r>
      <w:r w:rsidRPr="00E97EDA">
        <w:rPr>
          <w:rtl/>
          <w:lang w:eastAsia="he-IL"/>
        </w:rPr>
        <w:t xml:space="preserve"> </w:t>
      </w:r>
      <w:r w:rsidRPr="00E97EDA">
        <w:rPr>
          <w:rFonts w:hint="eastAsia"/>
          <w:rtl/>
          <w:lang w:eastAsia="he-IL"/>
        </w:rPr>
        <w:t>הממשלתית</w:t>
      </w:r>
      <w:r w:rsidRPr="00E97EDA">
        <w:rPr>
          <w:rtl/>
          <w:lang w:eastAsia="he-IL"/>
        </w:rPr>
        <w:t xml:space="preserve"> </w:t>
      </w:r>
      <w:r w:rsidRPr="00E97EDA">
        <w:rPr>
          <w:rFonts w:hint="eastAsia"/>
          <w:rtl/>
          <w:lang w:eastAsia="he-IL"/>
        </w:rPr>
        <w:t>בהפעלת</w:t>
      </w:r>
      <w:r w:rsidRPr="00E97EDA">
        <w:rPr>
          <w:rtl/>
          <w:lang w:eastAsia="he-IL"/>
        </w:rPr>
        <w:t xml:space="preserve"> </w:t>
      </w:r>
      <w:r w:rsidRPr="00E97EDA">
        <w:rPr>
          <w:rFonts w:hint="eastAsia"/>
          <w:rtl/>
          <w:lang w:eastAsia="he-IL"/>
        </w:rPr>
        <w:t>מסלול</w:t>
      </w:r>
      <w:r w:rsidRPr="00E97EDA">
        <w:rPr>
          <w:rtl/>
          <w:lang w:eastAsia="he-IL"/>
        </w:rPr>
        <w:t xml:space="preserve"> </w:t>
      </w:r>
      <w:r w:rsidRPr="00E97EDA">
        <w:rPr>
          <w:rFonts w:hint="eastAsia"/>
          <w:rtl/>
          <w:lang w:eastAsia="he-IL"/>
        </w:rPr>
        <w:t>מחיר</w:t>
      </w:r>
      <w:r w:rsidRPr="00E97EDA">
        <w:rPr>
          <w:rtl/>
          <w:lang w:eastAsia="he-IL"/>
        </w:rPr>
        <w:t xml:space="preserve"> </w:t>
      </w:r>
      <w:r w:rsidRPr="00E97EDA">
        <w:rPr>
          <w:rFonts w:hint="eastAsia"/>
          <w:rtl/>
          <w:lang w:eastAsia="he-IL"/>
        </w:rPr>
        <w:t>למשתכן</w:t>
      </w:r>
    </w:p>
    <w:p w:rsidR="00E97EDA" w:rsidRPr="00F41E78" w:rsidP="003E789E">
      <w:pPr>
        <w:spacing w:after="120" w:line="230" w:lineRule="exact"/>
        <w:jc w:val="both"/>
        <w:rPr>
          <w:rFonts w:cs="FrankRuehl"/>
          <w:sz w:val="18"/>
          <w:szCs w:val="22"/>
          <w:rtl/>
          <w:lang w:eastAsia="he-IL"/>
        </w:rPr>
      </w:pPr>
      <w:r w:rsidRPr="00F41E78">
        <w:rPr>
          <w:rFonts w:cs="FrankRuehl" w:hint="cs"/>
          <w:sz w:val="18"/>
          <w:szCs w:val="22"/>
          <w:rtl/>
          <w:lang w:eastAsia="he-IL"/>
        </w:rPr>
        <w:t xml:space="preserve">מתוקף תפקידה של מועצת מקרקעי ישראל ולפי חוק מינהל מקרקעי ישראל, התש"ך-1960, המועצה קובעת את המדיניות שלפיה ינוהלו מקרקעי ישראל. הכנסות רמ"י ממכירת קרקע או מהחכרתה שקולות למכירת נכסי המדינה, והן משמשות מקור הכנסה למדינה. </w:t>
      </w:r>
      <w:r w:rsidRPr="00F41E78">
        <w:rPr>
          <w:rFonts w:cs="FrankRuehl" w:hint="eastAsia"/>
          <w:sz w:val="18"/>
          <w:szCs w:val="22"/>
          <w:rtl/>
          <w:lang w:eastAsia="he-IL"/>
        </w:rPr>
        <w:t>מועצת</w:t>
      </w:r>
      <w:r w:rsidRPr="00F41E78">
        <w:rPr>
          <w:rFonts w:cs="FrankRuehl"/>
          <w:sz w:val="18"/>
          <w:szCs w:val="22"/>
          <w:rtl/>
          <w:lang w:eastAsia="he-IL"/>
        </w:rPr>
        <w:t xml:space="preserve"> </w:t>
      </w:r>
      <w:r w:rsidRPr="00F41E78">
        <w:rPr>
          <w:rFonts w:cs="FrankRuehl" w:hint="eastAsia"/>
          <w:sz w:val="18"/>
          <w:szCs w:val="22"/>
          <w:rtl/>
          <w:lang w:eastAsia="he-IL"/>
        </w:rPr>
        <w:t>מקרקעי</w:t>
      </w:r>
      <w:r w:rsidRPr="00F41E78">
        <w:rPr>
          <w:rFonts w:cs="FrankRuehl"/>
          <w:sz w:val="18"/>
          <w:szCs w:val="22"/>
          <w:rtl/>
          <w:lang w:eastAsia="he-IL"/>
        </w:rPr>
        <w:t xml:space="preserve"> </w:t>
      </w:r>
      <w:r w:rsidRPr="00F41E78">
        <w:rPr>
          <w:rFonts w:cs="FrankRuehl" w:hint="eastAsia"/>
          <w:sz w:val="18"/>
          <w:szCs w:val="22"/>
          <w:rtl/>
          <w:lang w:eastAsia="he-IL"/>
        </w:rPr>
        <w:t>ישראל</w:t>
      </w:r>
      <w:r w:rsidRPr="00F41E78">
        <w:rPr>
          <w:rFonts w:cs="FrankRuehl"/>
          <w:sz w:val="18"/>
          <w:szCs w:val="22"/>
          <w:rtl/>
          <w:lang w:eastAsia="he-IL"/>
        </w:rPr>
        <w:t xml:space="preserve"> </w:t>
      </w:r>
      <w:r w:rsidRPr="00F41E78">
        <w:rPr>
          <w:rFonts w:cs="FrankRuehl" w:hint="eastAsia"/>
          <w:sz w:val="18"/>
          <w:szCs w:val="22"/>
          <w:rtl/>
          <w:lang w:eastAsia="he-IL"/>
        </w:rPr>
        <w:t>מוסמכת</w:t>
      </w:r>
      <w:r w:rsidRPr="00F41E78">
        <w:rPr>
          <w:rFonts w:cs="FrankRuehl"/>
          <w:sz w:val="18"/>
          <w:szCs w:val="22"/>
          <w:rtl/>
          <w:lang w:eastAsia="he-IL"/>
        </w:rPr>
        <w:t xml:space="preserve"> </w:t>
      </w:r>
      <w:r w:rsidRPr="00F41E78">
        <w:rPr>
          <w:rFonts w:cs="FrankRuehl" w:hint="eastAsia"/>
          <w:sz w:val="18"/>
          <w:szCs w:val="22"/>
          <w:rtl/>
          <w:lang w:eastAsia="he-IL"/>
        </w:rPr>
        <w:t>להחליט</w:t>
      </w:r>
      <w:r w:rsidRPr="00F41E78">
        <w:rPr>
          <w:rFonts w:cs="FrankRuehl"/>
          <w:sz w:val="18"/>
          <w:szCs w:val="22"/>
          <w:rtl/>
          <w:lang w:eastAsia="he-IL"/>
        </w:rPr>
        <w:t xml:space="preserve"> </w:t>
      </w:r>
      <w:r w:rsidRPr="00F41E78">
        <w:rPr>
          <w:rFonts w:cs="FrankRuehl" w:hint="eastAsia"/>
          <w:sz w:val="18"/>
          <w:szCs w:val="22"/>
          <w:rtl/>
          <w:lang w:eastAsia="he-IL"/>
        </w:rPr>
        <w:t>אם</w:t>
      </w:r>
      <w:r w:rsidRPr="00F41E78">
        <w:rPr>
          <w:rFonts w:cs="FrankRuehl"/>
          <w:sz w:val="18"/>
          <w:szCs w:val="22"/>
          <w:rtl/>
          <w:lang w:eastAsia="he-IL"/>
        </w:rPr>
        <w:t xml:space="preserve"> </w:t>
      </w:r>
      <w:r w:rsidRPr="00F41E78">
        <w:rPr>
          <w:rFonts w:cs="FrankRuehl" w:hint="eastAsia"/>
          <w:sz w:val="18"/>
          <w:szCs w:val="22"/>
          <w:rtl/>
          <w:lang w:eastAsia="he-IL"/>
        </w:rPr>
        <w:t>לתת</w:t>
      </w:r>
      <w:r w:rsidRPr="00F41E78">
        <w:rPr>
          <w:rFonts w:cs="FrankRuehl"/>
          <w:sz w:val="18"/>
          <w:szCs w:val="22"/>
          <w:rtl/>
          <w:lang w:eastAsia="he-IL"/>
        </w:rPr>
        <w:t xml:space="preserve"> </w:t>
      </w:r>
      <w:r w:rsidRPr="00F41E78">
        <w:rPr>
          <w:rFonts w:cs="FrankRuehl" w:hint="eastAsia"/>
          <w:sz w:val="18"/>
          <w:szCs w:val="22"/>
          <w:rtl/>
          <w:lang w:eastAsia="he-IL"/>
        </w:rPr>
        <w:t>הנחה</w:t>
      </w:r>
      <w:r w:rsidRPr="00F41E78">
        <w:rPr>
          <w:rFonts w:cs="FrankRuehl"/>
          <w:sz w:val="18"/>
          <w:szCs w:val="22"/>
          <w:rtl/>
          <w:lang w:eastAsia="he-IL"/>
        </w:rPr>
        <w:t xml:space="preserve"> </w:t>
      </w:r>
      <w:r w:rsidRPr="00F41E78">
        <w:rPr>
          <w:rFonts w:cs="FrankRuehl" w:hint="eastAsia"/>
          <w:sz w:val="18"/>
          <w:szCs w:val="22"/>
          <w:rtl/>
          <w:lang w:eastAsia="he-IL"/>
        </w:rPr>
        <w:t>במחיר</w:t>
      </w:r>
      <w:r w:rsidRPr="00F41E78">
        <w:rPr>
          <w:rFonts w:cs="FrankRuehl"/>
          <w:sz w:val="18"/>
          <w:szCs w:val="22"/>
          <w:rtl/>
          <w:lang w:eastAsia="he-IL"/>
        </w:rPr>
        <w:t xml:space="preserve"> </w:t>
      </w:r>
      <w:r w:rsidRPr="00F41E78">
        <w:rPr>
          <w:rFonts w:cs="FrankRuehl" w:hint="eastAsia"/>
          <w:sz w:val="18"/>
          <w:szCs w:val="22"/>
          <w:rtl/>
          <w:lang w:eastAsia="he-IL"/>
        </w:rPr>
        <w:t>הקרקע</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eastAsia"/>
          <w:sz w:val="18"/>
          <w:szCs w:val="22"/>
          <w:rtl/>
          <w:lang w:eastAsia="he-IL"/>
        </w:rPr>
        <w:t>ש</w:t>
      </w:r>
      <w:r w:rsidRPr="00F41E78">
        <w:rPr>
          <w:rFonts w:cs="FrankRuehl" w:hint="cs"/>
          <w:sz w:val="18"/>
          <w:szCs w:val="22"/>
          <w:rtl/>
          <w:lang w:eastAsia="he-IL"/>
        </w:rPr>
        <w:t xml:space="preserve">אותו </w:t>
      </w:r>
      <w:r w:rsidRPr="00F41E78">
        <w:rPr>
          <w:rFonts w:cs="FrankRuehl" w:hint="eastAsia"/>
          <w:sz w:val="18"/>
          <w:szCs w:val="22"/>
          <w:rtl/>
          <w:lang w:eastAsia="he-IL"/>
        </w:rPr>
        <w:t>קבע</w:t>
      </w:r>
      <w:r w:rsidRPr="00F41E78">
        <w:rPr>
          <w:rFonts w:cs="FrankRuehl"/>
          <w:sz w:val="18"/>
          <w:szCs w:val="22"/>
          <w:rtl/>
          <w:lang w:eastAsia="he-IL"/>
        </w:rPr>
        <w:t xml:space="preserve"> </w:t>
      </w:r>
      <w:r w:rsidRPr="00F41E78">
        <w:rPr>
          <w:rFonts w:cs="FrankRuehl" w:hint="eastAsia"/>
          <w:sz w:val="18"/>
          <w:szCs w:val="22"/>
          <w:rtl/>
          <w:lang w:eastAsia="he-IL"/>
        </w:rPr>
        <w:t>השמאי</w:t>
      </w:r>
      <w:r w:rsidRPr="00F41E78">
        <w:rPr>
          <w:rFonts w:cs="FrankRuehl"/>
          <w:sz w:val="18"/>
          <w:szCs w:val="22"/>
          <w:rtl/>
          <w:lang w:eastAsia="he-IL"/>
        </w:rPr>
        <w:t xml:space="preserve"> </w:t>
      </w:r>
      <w:r w:rsidRPr="00F41E78">
        <w:rPr>
          <w:rFonts w:cs="FrankRuehl" w:hint="eastAsia"/>
          <w:sz w:val="18"/>
          <w:szCs w:val="22"/>
          <w:rtl/>
          <w:lang w:eastAsia="he-IL"/>
        </w:rPr>
        <w:t>הממשלתי</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המשווקת באמצעות רמ"י</w:t>
      </w:r>
      <w:r w:rsidRPr="00F41E78">
        <w:rPr>
          <w:rFonts w:cs="FrankRuehl"/>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סעיף 40(ב) לחוק יסודות התקציב, התשמ"ה-1985 (להלן - חוק יסודות התקציב), קובע כי "תקנות או הוראות מינהל שבביצוען כרוכה הפחתה של הכנסות המדינה לעומת התחזית שצורפה... לא יותקנו אלא אם כן הופעלה במקביל דרך מימון, בסכום האומדן של הפחתת הכנסות המדינה כאמור". בסעיף 40(ג) נקבע כי "החלטות של מועצת מקרקעי ישראל בדבר הדרך והשיטה לקביעת דמי חכירה או בדבר מועדי תשלום דמי חכירה, שבביצוען כרוכות הפחתה של דמי החכירה או </w:t>
      </w:r>
      <w:r w:rsidRPr="00F41E78">
        <w:rPr>
          <w:rFonts w:cs="FrankRuehl" w:hint="cs"/>
          <w:sz w:val="18"/>
          <w:szCs w:val="22"/>
          <w:rtl/>
          <w:lang w:eastAsia="he-IL"/>
        </w:rPr>
        <w:t>דחיית מועדי תשלומם, וכתוצאה מכך הפחתה של הכנסות המדינה לכל תקופה שהיא, טעונות אישור שר האוצר".</w:t>
      </w:r>
    </w:p>
    <w:p w:rsidR="00E97EDA" w:rsidRPr="00F41E78" w:rsidP="003E789E">
      <w:pPr>
        <w:spacing w:after="240" w:line="230" w:lineRule="exact"/>
        <w:jc w:val="both"/>
        <w:rPr>
          <w:rFonts w:cs="FrankRuehl"/>
          <w:sz w:val="18"/>
          <w:szCs w:val="22"/>
          <w:rtl/>
          <w:lang w:eastAsia="he-IL"/>
        </w:rPr>
      </w:pPr>
      <w:r w:rsidRPr="00F41E78">
        <w:rPr>
          <w:rFonts w:cs="FrankRuehl" w:hint="cs"/>
          <w:sz w:val="18"/>
          <w:szCs w:val="22"/>
          <w:rtl/>
          <w:lang w:eastAsia="he-IL"/>
        </w:rPr>
        <w:t xml:space="preserve">לפי ההנחיות שבחוק יסודות התקציב אשרר שר האוצר באוקטובר 2011, על פי המלצת אג"ת, את החלטה מס' 1239 של מועצת מקרקעי ישראל מאוגוסט 2011, ולפיה שיעור ההנחה במחיר הקרקע של הדירות במסלול מחיר למשתכן יעלה ל-50% מהשומה שקבע השמאי הממשלתי. </w:t>
      </w:r>
    </w:p>
    <w:p w:rsidR="00D22B16" w:rsidRPr="00F41E78" w:rsidP="00D22B16">
      <w:pPr>
        <w:pStyle w:val="RESHET"/>
        <w:keepLines/>
        <w:rPr>
          <w:rtl/>
        </w:rPr>
      </w:pPr>
      <w:r w:rsidRPr="00F41E78">
        <w:rPr>
          <w:rFonts w:hint="cs"/>
          <w:rtl/>
        </w:rPr>
        <w:t>הביקורת העלתה כי רמ"י לא הכינה אומדן תקציבי שישקף את היקף ההנחות במחיר הקרקע שהיא תשווק במסלול מחיר למשתכן. בעקבות כך, המלצתו של אג"ת לשר האוצר, בדבר אישור ההפחתה הצפויה בהכנסות המדינה, התקבלה שלא על בסיס נתונים מחושבים ואמינים.</w:t>
      </w:r>
      <w:r w:rsidRPr="00F41E78">
        <w:rPr>
          <w:rtl/>
        </w:rPr>
        <w:t xml:space="preserve"> </w:t>
      </w:r>
      <w:r w:rsidRPr="00F41E78">
        <w:rPr>
          <w:rFonts w:hint="cs"/>
          <w:rtl/>
        </w:rPr>
        <w:t xml:space="preserve">בהמשך לכך </w:t>
      </w:r>
      <w:r w:rsidRPr="00F41E78">
        <w:rPr>
          <w:rtl/>
        </w:rPr>
        <w:t xml:space="preserve">תקצב </w:t>
      </w:r>
      <w:r w:rsidRPr="00F41E78">
        <w:rPr>
          <w:rFonts w:hint="cs"/>
          <w:rtl/>
        </w:rPr>
        <w:t>אג"ת</w:t>
      </w:r>
      <w:r w:rsidRPr="00F41E78">
        <w:rPr>
          <w:rtl/>
        </w:rPr>
        <w:t xml:space="preserve"> את התקנה למימון ההנחות </w:t>
      </w:r>
      <w:r w:rsidRPr="00F41E78">
        <w:rPr>
          <w:rFonts w:hint="cs"/>
          <w:rtl/>
        </w:rPr>
        <w:t xml:space="preserve">בתקציבה של רמ"י </w:t>
      </w:r>
      <w:r w:rsidRPr="00F41E78">
        <w:rPr>
          <w:rtl/>
        </w:rPr>
        <w:t>בדיעבד, על בסיס הביצוע בפועל</w:t>
      </w:r>
      <w:r w:rsidRPr="00F41E78">
        <w:rPr>
          <w:rFonts w:hint="cs"/>
          <w:rtl/>
        </w:rPr>
        <w:t xml:space="preserve">. </w:t>
      </w:r>
    </w:p>
    <w:p w:rsidR="00E97EDA" w:rsidRPr="00F41E78" w:rsidP="003E789E">
      <w:pPr>
        <w:spacing w:before="180" w:after="240" w:line="230" w:lineRule="exact"/>
        <w:jc w:val="both"/>
        <w:rPr>
          <w:rFonts w:cs="FrankRuehl"/>
          <w:sz w:val="18"/>
          <w:szCs w:val="22"/>
          <w:rtl/>
          <w:lang w:eastAsia="he-IL"/>
        </w:rPr>
      </w:pPr>
      <w:r w:rsidRPr="00F41E78">
        <w:rPr>
          <w:rFonts w:cs="FrankRuehl" w:hint="cs"/>
          <w:sz w:val="18"/>
          <w:szCs w:val="22"/>
          <w:rtl/>
          <w:lang w:eastAsia="he-IL"/>
        </w:rPr>
        <w:t xml:space="preserve">בתשובת משרד האוצר מינואר 2014 הסביר אג"ת כי בישיבות של מועצת מקרקעי ישראל הוא מעלה את הצורך "בהצגת אומדן העלות, הן בצד ההוצאה והן בצד ההכנסה, של ההצעות המובאות להחלטת המועצה. על פי רוב, עובדי רשות מקרקעי ישראל אשר מציגים את ההחלטות, אינם מציגים אומדנים לעלות ההצעות. לעתים, האומדן נמסר בדיעבד, לאחר קבלת החלטת המועצה, טרם החתמת שר האוצר". </w:t>
      </w:r>
    </w:p>
    <w:p w:rsidR="00D22B16" w:rsidRPr="00F41E78" w:rsidP="00D22B16">
      <w:pPr>
        <w:pStyle w:val="RESHET"/>
        <w:keepLines/>
      </w:pPr>
      <w:r w:rsidRPr="00F41E78">
        <w:rPr>
          <w:rFonts w:hint="cs"/>
          <w:rtl/>
        </w:rPr>
        <w:t xml:space="preserve">משרד מבקר המדינה מעיר למועצת מקרקעי ישראל כי מאחר שהיא הגוף המתווה את מדיניות המקרקעין של מדינת ישראל, החלטותיה שקולות לקביעת תכניות לאומיות ולהן השפעה על תקציב המדינה. לפיכך, על המועצה לקבל את ההחלטות על בסיס אומדן העלות המוערכת של ההחלטות שבהן היא דנה ועל הערכת הסבירות בהוצאתן לפועל; דבר שלא נעשה. על אג"ת לעמוד על כך שרמ"י תמציא אומדן להשלכות התקציביות הטמונות בהחלטות המועצה, שלפיו יהיה ניתן לעדכן את הוראות תקציב המדינה בהתאם. </w:t>
      </w:r>
    </w:p>
    <w:p w:rsidR="00901FE0" w:rsidRPr="003E789E" w:rsidP="003E789E">
      <w:pPr>
        <w:spacing w:after="120" w:line="230" w:lineRule="exact"/>
        <w:jc w:val="both"/>
        <w:rPr>
          <w:rFonts w:cs="FrankRuehl"/>
          <w:sz w:val="18"/>
          <w:szCs w:val="22"/>
          <w:rtl/>
          <w:lang w:eastAsia="he-IL"/>
        </w:rPr>
      </w:pPr>
    </w:p>
    <w:p w:rsidR="00E97EDA" w:rsidRPr="00E97EDA" w:rsidP="00A7557B">
      <w:pPr>
        <w:pStyle w:val="KOT5"/>
        <w:rPr>
          <w:rtl/>
          <w:lang w:eastAsia="he-IL"/>
        </w:rPr>
      </w:pPr>
      <w:r w:rsidRPr="00E97EDA">
        <w:rPr>
          <w:rFonts w:hint="cs"/>
          <w:rtl/>
          <w:lang w:eastAsia="he-IL"/>
        </w:rPr>
        <w:t>הזכאים לרכישת דירה במסלול מחיר למשתכן</w:t>
      </w:r>
    </w:p>
    <w:p w:rsidR="00D22B16" w:rsidRPr="00F41E78" w:rsidP="00D22B16">
      <w:pPr>
        <w:pStyle w:val="RESHET"/>
        <w:keepLines/>
        <w:rPr>
          <w:rtl/>
        </w:rPr>
      </w:pPr>
      <w:r w:rsidRPr="00F41E78">
        <w:rPr>
          <w:rFonts w:hint="cs"/>
          <w:rtl/>
        </w:rPr>
        <w:t xml:space="preserve">הביקורת העלתה כי משרד הבינוי ורמ"י לא ביצעו עבודת מטה מסודרת כדי לעמוד על היקף האוכלוסייה הפוטנציאלית להיכלל בקבוצת הזכאים לדיור בר השגה, וגם לא אפיינו את צרכיה של אוכלוסיית היעד. </w:t>
      </w:r>
    </w:p>
    <w:p w:rsidR="00E97EDA" w:rsidRPr="00F41E78" w:rsidP="003E789E">
      <w:pPr>
        <w:spacing w:before="180" w:after="120" w:line="230" w:lineRule="exact"/>
        <w:jc w:val="both"/>
        <w:rPr>
          <w:rFonts w:cs="FrankRuehl"/>
          <w:b/>
          <w:bCs/>
          <w:sz w:val="18"/>
          <w:szCs w:val="22"/>
          <w:rtl/>
          <w:lang w:eastAsia="he-IL"/>
        </w:rPr>
      </w:pPr>
      <w:r w:rsidRPr="00F41E78">
        <w:rPr>
          <w:rFonts w:cs="FrankRuehl" w:hint="cs"/>
          <w:sz w:val="18"/>
          <w:szCs w:val="22"/>
          <w:rtl/>
          <w:lang w:eastAsia="he-IL"/>
        </w:rPr>
        <w:t>בתשובתו אמר משרד הבינוי כי "</w:t>
      </w:r>
      <w:r w:rsidRPr="00F41E78">
        <w:rPr>
          <w:rFonts w:cs="FrankRuehl" w:hint="cs"/>
          <w:b/>
          <w:bCs/>
          <w:sz w:val="18"/>
          <w:szCs w:val="22"/>
          <w:rtl/>
          <w:lang w:eastAsia="he-IL"/>
        </w:rPr>
        <w:t>כל אוכלוסיית חסרי הדירות בישראל נכללת בהגדרת הזכאים לדיור בר השגה</w:t>
      </w:r>
      <w:r w:rsidRPr="00F41E78">
        <w:rPr>
          <w:rFonts w:cs="FrankRuehl" w:hint="cs"/>
          <w:sz w:val="18"/>
          <w:szCs w:val="22"/>
          <w:rtl/>
          <w:lang w:eastAsia="he-IL"/>
        </w:rPr>
        <w:t xml:space="preserve">" (ההדגשה במקור), למעט האוכלוסייה המשתייכת לעשירון העליון וכמחצית מזו המשתייכת לעשירון התשיעי. לכן "על רקע הפער הגדול בין היקף השיווקים הכללי הנדרש לבין היקף התכניות הזמינות לשיווק בכלל ומצאי התכניות הזמינות המתאימות למסלול זה בפרט, לא היה טעם בקיום בדיקות נוספות לגבי היקף האוכלוסייה הפוטנציאלית".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 xml:space="preserve">יודגש כי נוהל משרד הבינוי ממאי 2002 (נוהל מס' 07/01) קובע את תהליך הכנתה של תכנית שיווק קרקע לבנייה למגורים ואת הפעלתה בבנייה העירונית. על פי הנוהל, בתכנית האמורה ייקבעו מספר יחידות הדיור שישווקו בכל שנת תקציב לפי מחוזות, יישובים, שכונות ואתרים, וכן מועדי השיווק ומסלולי השיווק המתוכננים. </w:t>
      </w:r>
    </w:p>
    <w:p w:rsidR="00E97EDA" w:rsidRPr="00F41E78" w:rsidP="00A7557B">
      <w:pPr>
        <w:spacing w:after="120" w:line="230" w:lineRule="exact"/>
        <w:jc w:val="both"/>
        <w:rPr>
          <w:rFonts w:cs="FrankRuehl"/>
          <w:b/>
          <w:bCs/>
          <w:sz w:val="18"/>
          <w:szCs w:val="22"/>
          <w:rtl/>
          <w:lang w:eastAsia="he-IL"/>
        </w:rPr>
      </w:pPr>
      <w:r w:rsidRPr="00F41E78">
        <w:rPr>
          <w:rFonts w:cs="FrankRuehl" w:hint="cs"/>
          <w:sz w:val="18"/>
          <w:szCs w:val="22"/>
          <w:rtl/>
          <w:lang w:eastAsia="he-IL"/>
        </w:rPr>
        <w:t xml:space="preserve">עוד נקבע בנוהל כי התכנית תתבסס בין השאר על היעדים שקבעה הממשלה, על נתונים בנוגע להיצע ולביקוש בשוק הדיור בכל יישוב, ובכלל זה מלאי הדירות הציבוריות והפרטיות (תוך כדי </w:t>
      </w:r>
      <w:r w:rsidRPr="00F41E78">
        <w:rPr>
          <w:rFonts w:cs="FrankRuehl" w:hint="cs"/>
          <w:sz w:val="18"/>
          <w:szCs w:val="22"/>
          <w:rtl/>
          <w:lang w:eastAsia="he-IL"/>
        </w:rPr>
        <w:t>הבחנה בין דירות בבנייה ובין מלאי דירות שטרם נמכרו), ולהיקפי מכירות ונתוני אכלוס (מספר הנישׂאים החדשים, העולים החדשים והאוכלוסייה שנוספה ליישוב) מעודכנים לשנים האחרונות.</w:t>
      </w:r>
      <w:r w:rsidRPr="00F41E78">
        <w:rPr>
          <w:rFonts w:cs="FrankRuehl" w:hint="cs"/>
          <w:b/>
          <w:bCs/>
          <w:sz w:val="18"/>
          <w:szCs w:val="22"/>
          <w:rtl/>
          <w:lang w:eastAsia="he-IL"/>
        </w:rPr>
        <w:t xml:space="preserve"> </w:t>
      </w:r>
    </w:p>
    <w:p w:rsidR="00E97EDA" w:rsidRPr="00F41E78" w:rsidP="003E789E">
      <w:pPr>
        <w:spacing w:after="240" w:line="230" w:lineRule="exact"/>
        <w:jc w:val="both"/>
        <w:rPr>
          <w:rFonts w:cs="FrankRuehl"/>
          <w:sz w:val="18"/>
          <w:szCs w:val="22"/>
          <w:rtl/>
          <w:lang w:eastAsia="he-IL"/>
        </w:rPr>
      </w:pPr>
      <w:r w:rsidRPr="00F41E78">
        <w:rPr>
          <w:rFonts w:cs="FrankRuehl" w:hint="cs"/>
          <w:sz w:val="18"/>
          <w:szCs w:val="22"/>
          <w:rtl/>
          <w:lang w:eastAsia="he-IL"/>
        </w:rPr>
        <w:t>בעניין זה כבר נקבע בדוח מבקר המדינה בנושא "תכנון ושיווק של קרקע לבנייה למגורים", שפורסם במאי 2005</w:t>
      </w:r>
      <w:r>
        <w:rPr>
          <w:rFonts w:cs="FrankRuehl"/>
          <w:sz w:val="18"/>
          <w:szCs w:val="22"/>
          <w:vertAlign w:val="superscript"/>
          <w:rtl/>
          <w:lang w:eastAsia="he-IL"/>
        </w:rPr>
        <w:footnoteReference w:id="291"/>
      </w:r>
      <w:r w:rsidRPr="00F41E78">
        <w:rPr>
          <w:rFonts w:cs="FrankRuehl" w:hint="cs"/>
          <w:sz w:val="18"/>
          <w:szCs w:val="22"/>
          <w:rtl/>
          <w:lang w:eastAsia="he-IL"/>
        </w:rPr>
        <w:t xml:space="preserve">, כי תכניות השיווק של משרד הבינוי מתבססות אמנם על הצעות מחוזותיו בדבר קביעת תכנית עבודה, </w:t>
      </w:r>
      <w:r w:rsidRPr="00F41E78">
        <w:rPr>
          <w:rFonts w:cs="FrankRuehl" w:hint="eastAsia"/>
          <w:sz w:val="18"/>
          <w:szCs w:val="22"/>
          <w:rtl/>
          <w:lang w:eastAsia="he-IL"/>
        </w:rPr>
        <w:t>אך</w:t>
      </w:r>
      <w:r w:rsidRPr="00F41E78">
        <w:rPr>
          <w:rFonts w:cs="FrankRuehl"/>
          <w:sz w:val="18"/>
          <w:szCs w:val="22"/>
          <w:rtl/>
          <w:lang w:eastAsia="he-IL"/>
        </w:rPr>
        <w:t xml:space="preserve"> </w:t>
      </w:r>
      <w:r w:rsidRPr="00F41E78">
        <w:rPr>
          <w:rFonts w:cs="FrankRuehl" w:hint="cs"/>
          <w:sz w:val="18"/>
          <w:szCs w:val="22"/>
          <w:rtl/>
          <w:lang w:eastAsia="he-IL"/>
        </w:rPr>
        <w:t>אין</w:t>
      </w:r>
      <w:r w:rsidRPr="00F41E78">
        <w:rPr>
          <w:rFonts w:cs="FrankRuehl" w:hint="eastAsia"/>
          <w:sz w:val="18"/>
          <w:szCs w:val="22"/>
          <w:rtl/>
          <w:lang w:eastAsia="he-IL"/>
        </w:rPr>
        <w:t xml:space="preserve"> הצעות</w:t>
      </w:r>
      <w:r w:rsidRPr="00F41E78">
        <w:rPr>
          <w:rFonts w:cs="FrankRuehl"/>
          <w:sz w:val="18"/>
          <w:szCs w:val="22"/>
          <w:rtl/>
          <w:lang w:eastAsia="he-IL"/>
        </w:rPr>
        <w:t xml:space="preserve"> </w:t>
      </w:r>
      <w:r w:rsidRPr="00F41E78">
        <w:rPr>
          <w:rFonts w:cs="FrankRuehl" w:hint="eastAsia"/>
          <w:sz w:val="18"/>
          <w:szCs w:val="22"/>
          <w:rtl/>
          <w:lang w:eastAsia="he-IL"/>
        </w:rPr>
        <w:t>אל</w:t>
      </w:r>
      <w:r w:rsidRPr="00F41E78">
        <w:rPr>
          <w:rFonts w:cs="FrankRuehl" w:hint="cs"/>
          <w:sz w:val="18"/>
          <w:szCs w:val="22"/>
          <w:rtl/>
          <w:lang w:eastAsia="he-IL"/>
        </w:rPr>
        <w:t xml:space="preserve">ו מפרטות את נתוני ההיצע והביקוש של שוק הדיור ושל מלאי הדירות הקיים, אלא רק את המלאי התכנוני של משרד הבינוי בכל יישוב, ולעתים גם את המלאי התכנוני של </w:t>
      </w:r>
      <w:r w:rsidRPr="00F41E78">
        <w:rPr>
          <w:rFonts w:cs="FrankRuehl" w:hint="eastAsia"/>
          <w:sz w:val="18"/>
          <w:szCs w:val="22"/>
          <w:rtl/>
          <w:lang w:eastAsia="he-IL"/>
        </w:rPr>
        <w:t>מינהל</w:t>
      </w:r>
      <w:r w:rsidRPr="00F41E78">
        <w:rPr>
          <w:rFonts w:cs="FrankRuehl" w:hint="cs"/>
          <w:sz w:val="18"/>
          <w:szCs w:val="22"/>
          <w:rtl/>
          <w:lang w:eastAsia="he-IL"/>
        </w:rPr>
        <w:t xml:space="preserve"> מקרקעי ישראל באותו מחוז. עקב כך נפגעת יכולתו של משרד הבינוי </w:t>
      </w:r>
      <w:r w:rsidRPr="00F41E78">
        <w:rPr>
          <w:rFonts w:cs="FrankRuehl"/>
          <w:sz w:val="18"/>
          <w:szCs w:val="22"/>
          <w:rtl/>
          <w:lang w:eastAsia="he-IL"/>
        </w:rPr>
        <w:t xml:space="preserve">לתת </w:t>
      </w:r>
      <w:r w:rsidRPr="00F41E78">
        <w:rPr>
          <w:rFonts w:cs="FrankRuehl" w:hint="eastAsia"/>
          <w:sz w:val="18"/>
          <w:szCs w:val="22"/>
          <w:rtl/>
          <w:lang w:eastAsia="he-IL"/>
        </w:rPr>
        <w:t>מענה</w:t>
      </w:r>
      <w:r w:rsidRPr="00F41E78">
        <w:rPr>
          <w:rFonts w:cs="FrankRuehl"/>
          <w:sz w:val="18"/>
          <w:szCs w:val="22"/>
          <w:rtl/>
          <w:lang w:eastAsia="he-IL"/>
        </w:rPr>
        <w:t xml:space="preserve"> </w:t>
      </w:r>
      <w:r w:rsidRPr="00F41E78">
        <w:rPr>
          <w:rFonts w:cs="FrankRuehl" w:hint="eastAsia"/>
          <w:sz w:val="18"/>
          <w:szCs w:val="22"/>
          <w:rtl/>
          <w:lang w:eastAsia="he-IL"/>
        </w:rPr>
        <w:t>לצורכי</w:t>
      </w:r>
      <w:r w:rsidRPr="00F41E78">
        <w:rPr>
          <w:rFonts w:cs="FrankRuehl"/>
          <w:sz w:val="18"/>
          <w:szCs w:val="22"/>
          <w:rtl/>
          <w:lang w:eastAsia="he-IL"/>
        </w:rPr>
        <w:t xml:space="preserve"> </w:t>
      </w:r>
      <w:r w:rsidRPr="00F41E78">
        <w:rPr>
          <w:rFonts w:cs="FrankRuehl" w:hint="eastAsia"/>
          <w:sz w:val="18"/>
          <w:szCs w:val="22"/>
          <w:rtl/>
          <w:lang w:eastAsia="he-IL"/>
        </w:rPr>
        <w:t>שוק</w:t>
      </w:r>
      <w:r w:rsidRPr="00F41E78">
        <w:rPr>
          <w:rFonts w:cs="FrankRuehl"/>
          <w:sz w:val="18"/>
          <w:szCs w:val="22"/>
          <w:rtl/>
          <w:lang w:eastAsia="he-IL"/>
        </w:rPr>
        <w:t xml:space="preserve"> </w:t>
      </w:r>
      <w:r w:rsidRPr="00F41E78">
        <w:rPr>
          <w:rFonts w:cs="FrankRuehl" w:hint="eastAsia"/>
          <w:sz w:val="18"/>
          <w:szCs w:val="22"/>
          <w:rtl/>
          <w:lang w:eastAsia="he-IL"/>
        </w:rPr>
        <w:t>דיור</w:t>
      </w:r>
      <w:r w:rsidRPr="00F41E78">
        <w:rPr>
          <w:rFonts w:cs="FrankRuehl" w:hint="cs"/>
          <w:sz w:val="18"/>
          <w:szCs w:val="22"/>
          <w:rtl/>
          <w:lang w:eastAsia="he-IL"/>
        </w:rPr>
        <w:t>.</w:t>
      </w:r>
    </w:p>
    <w:p w:rsidR="00D22B16" w:rsidRPr="00F41E78" w:rsidP="00D22B16">
      <w:pPr>
        <w:pStyle w:val="RESHET"/>
        <w:keepLines/>
      </w:pPr>
      <w:r w:rsidRPr="00F41E78">
        <w:rPr>
          <w:rFonts w:hint="cs"/>
          <w:rtl/>
        </w:rPr>
        <w:t>משרד מבקר המדינה העיר למשרד הבינוי כי לנוכח היקפה הגדול של האוכלוסייה הזכאית לדיור בר השגה, ראוי שהמשרד יבצע עבודת מטה לגיבוש תכנית אסטרטגית להפעלת תכניות לדיור בר השגה. במסגרת התכנית האסטרטגית, על המשרד לעמוד על המאפיינים של אוכלוסייה זו ועל היקפה, לקבוע את היקף התקציב שיוקצה לכך, את סדרי העדיפויות להקצאתו ואת תכנית העבודה הרב-שנתית להפעלת התכניות. ללא עבודת מטה שבמסגרתה יובאו בחשבון נתונים על ההיצע והביקוש בשוק הדיור ועל מלאי הדירות בכל יישוב ויישוב, עלול המשרד לנקוט אמצעים שאינם יעילים ואינם מתאימים לצורכי הזכאים; ודבר זה אכן כבר אירע בעבר (ראו להלן).</w:t>
      </w:r>
    </w:p>
    <w:p w:rsidR="00901FE0" w:rsidRPr="003E789E" w:rsidP="003E789E">
      <w:pPr>
        <w:spacing w:after="120" w:line="230" w:lineRule="exact"/>
        <w:jc w:val="both"/>
        <w:rPr>
          <w:rFonts w:cs="FrankRuehl"/>
          <w:sz w:val="18"/>
          <w:szCs w:val="22"/>
          <w:rtl/>
          <w:lang w:eastAsia="he-IL"/>
        </w:rPr>
      </w:pPr>
    </w:p>
    <w:p w:rsidR="00E97EDA" w:rsidRPr="00E97EDA" w:rsidP="00A7557B">
      <w:pPr>
        <w:pStyle w:val="KOT5"/>
        <w:rPr>
          <w:rtl/>
          <w:lang w:eastAsia="he-IL"/>
        </w:rPr>
      </w:pPr>
      <w:r w:rsidRPr="00E97EDA">
        <w:rPr>
          <w:rFonts w:hint="cs"/>
          <w:rtl/>
          <w:lang w:eastAsia="he-IL"/>
        </w:rPr>
        <w:t>הקצאת דירה לפי מספר נפשות</w:t>
      </w:r>
    </w:p>
    <w:p w:rsidR="00E97EDA" w:rsidRPr="00FA1F2C" w:rsidP="003E789E">
      <w:pPr>
        <w:spacing w:after="240" w:line="230" w:lineRule="exact"/>
        <w:jc w:val="both"/>
        <w:rPr>
          <w:szCs w:val="20"/>
          <w:rtl/>
          <w:lang w:eastAsia="he-IL"/>
        </w:rPr>
      </w:pPr>
      <w:r w:rsidRPr="00F41E78">
        <w:rPr>
          <w:rFonts w:cs="FrankRuehl" w:hint="cs"/>
          <w:sz w:val="18"/>
          <w:szCs w:val="22"/>
          <w:rtl/>
          <w:lang w:eastAsia="he-IL"/>
        </w:rPr>
        <w:t xml:space="preserve">דיור בר השגה נועד לספק פתרונות דיור שיהלמו את צורכי הזכאים. צרכים אלו נקבעים בין השאר על פי היחס שבין מספר הנפשות ובין שטחה של הדירה המוצעת. כאמור, יחידות הדיור המוקצות לזכאים במסלול מחיר למשתכן הן "דירות קטנות" ששטחן 100-75 מ"ר (4-3 חדרים). </w:t>
      </w:r>
    </w:p>
    <w:p w:rsidR="00D22B16" w:rsidRPr="00F41E78" w:rsidP="00D22B16">
      <w:pPr>
        <w:pStyle w:val="RESHET"/>
        <w:keepLines/>
        <w:rPr>
          <w:rtl/>
        </w:rPr>
      </w:pPr>
      <w:r w:rsidRPr="00F41E78">
        <w:rPr>
          <w:rFonts w:hint="cs"/>
          <w:rtl/>
        </w:rPr>
        <w:t xml:space="preserve">הביקורת העלתה כי בעת תכנון פרויקטים במסלול מחיר למשתכן משרד הבינוי לא הביא בחשבון את האפשרות כי חלק מרוכשי אותן "דירות קטנות" עשויים להיות </w:t>
      </w:r>
      <w:r w:rsidRPr="00F41E78">
        <w:rPr>
          <w:rFonts w:hint="eastAsia"/>
          <w:rtl/>
        </w:rPr>
        <w:t>משפחות</w:t>
      </w:r>
      <w:r w:rsidRPr="00F41E78">
        <w:rPr>
          <w:rtl/>
        </w:rPr>
        <w:t xml:space="preserve"> </w:t>
      </w:r>
      <w:r w:rsidRPr="00F41E78">
        <w:rPr>
          <w:rFonts w:hint="eastAsia"/>
          <w:rtl/>
        </w:rPr>
        <w:t>מרובות</w:t>
      </w:r>
      <w:r w:rsidRPr="00F41E78">
        <w:rPr>
          <w:rtl/>
        </w:rPr>
        <w:t xml:space="preserve"> </w:t>
      </w:r>
      <w:r w:rsidRPr="00F41E78">
        <w:rPr>
          <w:rFonts w:hint="eastAsia"/>
          <w:rtl/>
        </w:rPr>
        <w:t>ילדים</w:t>
      </w:r>
      <w:r w:rsidRPr="00F41E78">
        <w:rPr>
          <w:rtl/>
        </w:rPr>
        <w:t xml:space="preserve">, </w:t>
      </w:r>
      <w:r w:rsidRPr="00F41E78">
        <w:rPr>
          <w:rFonts w:hint="eastAsia"/>
          <w:rtl/>
        </w:rPr>
        <w:t>ועל</w:t>
      </w:r>
      <w:r w:rsidRPr="00F41E78">
        <w:rPr>
          <w:rtl/>
        </w:rPr>
        <w:t xml:space="preserve"> </w:t>
      </w:r>
      <w:r w:rsidRPr="00F41E78">
        <w:rPr>
          <w:rFonts w:hint="eastAsia"/>
          <w:rtl/>
        </w:rPr>
        <w:t>כן</w:t>
      </w:r>
      <w:r w:rsidRPr="00F41E78">
        <w:rPr>
          <w:rtl/>
        </w:rPr>
        <w:t xml:space="preserve"> </w:t>
      </w:r>
      <w:r w:rsidRPr="00F41E78">
        <w:rPr>
          <w:rFonts w:hint="eastAsia"/>
          <w:rtl/>
        </w:rPr>
        <w:t>עלולה</w:t>
      </w:r>
      <w:r w:rsidRPr="00F41E78">
        <w:rPr>
          <w:rtl/>
        </w:rPr>
        <w:t xml:space="preserve"> </w:t>
      </w:r>
      <w:r w:rsidRPr="00F41E78">
        <w:rPr>
          <w:rFonts w:hint="eastAsia"/>
          <w:rtl/>
        </w:rPr>
        <w:t>להיווצר</w:t>
      </w:r>
      <w:r w:rsidRPr="00F41E78">
        <w:rPr>
          <w:rtl/>
        </w:rPr>
        <w:t xml:space="preserve"> </w:t>
      </w:r>
      <w:r w:rsidRPr="00F41E78">
        <w:rPr>
          <w:rFonts w:hint="eastAsia"/>
          <w:rtl/>
        </w:rPr>
        <w:t>בדירות</w:t>
      </w:r>
      <w:r w:rsidRPr="00F41E78">
        <w:rPr>
          <w:rtl/>
        </w:rPr>
        <w:t xml:space="preserve"> </w:t>
      </w:r>
      <w:r w:rsidRPr="00F41E78">
        <w:rPr>
          <w:rFonts w:hint="eastAsia"/>
          <w:rtl/>
        </w:rPr>
        <w:t>צפיפות</w:t>
      </w:r>
      <w:r w:rsidRPr="00F41E78">
        <w:rPr>
          <w:rtl/>
        </w:rPr>
        <w:t xml:space="preserve"> </w:t>
      </w:r>
      <w:r w:rsidRPr="00F41E78">
        <w:rPr>
          <w:rFonts w:hint="eastAsia"/>
          <w:rtl/>
        </w:rPr>
        <w:t>שתביא</w:t>
      </w:r>
      <w:r w:rsidRPr="00F41E78">
        <w:rPr>
          <w:rtl/>
        </w:rPr>
        <w:t xml:space="preserve"> </w:t>
      </w:r>
      <w:r w:rsidRPr="00F41E78">
        <w:rPr>
          <w:rFonts w:hint="eastAsia"/>
          <w:rtl/>
        </w:rPr>
        <w:t>למצוקת</w:t>
      </w:r>
      <w:r w:rsidRPr="00F41E78">
        <w:rPr>
          <w:rtl/>
        </w:rPr>
        <w:t xml:space="preserve"> </w:t>
      </w:r>
      <w:r w:rsidRPr="00F41E78">
        <w:rPr>
          <w:rFonts w:hint="eastAsia"/>
          <w:rtl/>
        </w:rPr>
        <w:t>דיור</w:t>
      </w:r>
      <w:r w:rsidRPr="00F41E78">
        <w:rPr>
          <w:rtl/>
        </w:rPr>
        <w:t xml:space="preserve"> </w:t>
      </w:r>
      <w:r w:rsidRPr="00F41E78">
        <w:rPr>
          <w:rFonts w:hint="eastAsia"/>
          <w:rtl/>
        </w:rPr>
        <w:t>ואף</w:t>
      </w:r>
      <w:r w:rsidRPr="00F41E78">
        <w:rPr>
          <w:rtl/>
        </w:rPr>
        <w:t xml:space="preserve"> </w:t>
      </w:r>
      <w:r w:rsidRPr="00F41E78">
        <w:rPr>
          <w:rFonts w:hint="eastAsia"/>
          <w:rtl/>
        </w:rPr>
        <w:t>ליצירת</w:t>
      </w:r>
      <w:r w:rsidRPr="00F41E78">
        <w:rPr>
          <w:rtl/>
        </w:rPr>
        <w:t xml:space="preserve"> </w:t>
      </w:r>
      <w:r w:rsidRPr="00F41E78">
        <w:rPr>
          <w:rFonts w:hint="eastAsia"/>
          <w:rtl/>
        </w:rPr>
        <w:t>משכנות</w:t>
      </w:r>
      <w:r w:rsidRPr="00F41E78">
        <w:rPr>
          <w:rtl/>
        </w:rPr>
        <w:t xml:space="preserve"> </w:t>
      </w:r>
      <w:r w:rsidRPr="00F41E78">
        <w:rPr>
          <w:rFonts w:hint="eastAsia"/>
          <w:rtl/>
        </w:rPr>
        <w:t>עוני</w:t>
      </w:r>
      <w:r w:rsidRPr="00F41E78">
        <w:rPr>
          <w:rtl/>
        </w:rPr>
        <w:t xml:space="preserve"> </w:t>
      </w:r>
      <w:r w:rsidRPr="00F41E78">
        <w:rPr>
          <w:rFonts w:hint="eastAsia"/>
          <w:rtl/>
        </w:rPr>
        <w:t>בעתיד</w:t>
      </w:r>
      <w:r w:rsidRPr="00F41E78">
        <w:rPr>
          <w:rtl/>
        </w:rPr>
        <w:t>.</w:t>
      </w:r>
      <w:r w:rsidRPr="00F41E78">
        <w:rPr>
          <w:rFonts w:hint="cs"/>
          <w:rtl/>
        </w:rPr>
        <w:t xml:space="preserve"> </w:t>
      </w:r>
    </w:p>
    <w:p w:rsidR="00E97EDA" w:rsidRPr="00F41E78" w:rsidP="003E789E">
      <w:pPr>
        <w:spacing w:before="180" w:after="240" w:line="230" w:lineRule="exact"/>
        <w:jc w:val="both"/>
        <w:rPr>
          <w:rFonts w:cs="FrankRuehl"/>
          <w:sz w:val="18"/>
          <w:szCs w:val="22"/>
          <w:rtl/>
          <w:lang w:eastAsia="he-IL"/>
        </w:rPr>
      </w:pPr>
      <w:r w:rsidRPr="00F41E78">
        <w:rPr>
          <w:rFonts w:cs="FrankRuehl" w:hint="cs"/>
          <w:sz w:val="18"/>
          <w:szCs w:val="22"/>
          <w:rtl/>
          <w:lang w:eastAsia="he-IL"/>
        </w:rPr>
        <w:t>יצוין שכבר במאי 2010, בעת שמשרד הבינוי עדכן את התבחינים להקצאת יח"ד במסלול מחיר למשתכן, הוא הדגיש שמטרת השינוי היא ליצור תמהיל מתאכלסים שימנע "אכלוס בעל אופי סוציו-כלכלי נמוך". לשם השוואה יצוין כי עיריית תל אביב-יפו שיווקה בשנת 2013 כמה פרויקטים לדיור בר השגה בעיר</w:t>
      </w:r>
      <w:r>
        <w:rPr>
          <w:rFonts w:cs="FrankRuehl"/>
          <w:sz w:val="18"/>
          <w:szCs w:val="22"/>
          <w:vertAlign w:val="superscript"/>
          <w:rtl/>
          <w:lang w:eastAsia="he-IL"/>
        </w:rPr>
        <w:footnoteReference w:id="292"/>
      </w:r>
      <w:r w:rsidRPr="00F41E78">
        <w:rPr>
          <w:rFonts w:cs="FrankRuehl" w:hint="cs"/>
          <w:sz w:val="18"/>
          <w:szCs w:val="22"/>
          <w:rtl/>
          <w:lang w:eastAsia="he-IL"/>
        </w:rPr>
        <w:t xml:space="preserve">, בשכירות ארוכת טווח, שכללו דירות קטנות יחסית. העירייה קבעה במסגרת התבחינים לזכאות הגבלות בנוגע למספר הנפשות במשפחתו של הזכאי המבקש לרכוש דירה כזאת. למשל, נקבע כי דירה ששטחה כ-25 מ"ר תיועד רק ליחידים ודירה ששטחה 55-38 מ"ר תיועד ליחידים או לזוגות ללא ילדים. בנוגע לפרויקט אחר בעיר נקבע כי דירה ששטחה 73 מ"ר תיועד ליחידים הגרים בשותפות ולזוגות שאינם נשואים או נשואים ללא ילדים. </w:t>
      </w:r>
    </w:p>
    <w:p w:rsidR="00D22B16" w:rsidRPr="00F41E78" w:rsidP="00D22B16">
      <w:pPr>
        <w:pStyle w:val="RESHET"/>
        <w:keepLines/>
        <w:rPr>
          <w:rtl/>
        </w:rPr>
      </w:pPr>
      <w:r w:rsidRPr="00F41E78">
        <w:rPr>
          <w:rFonts w:hint="cs"/>
          <w:rtl/>
        </w:rPr>
        <w:t xml:space="preserve">לדעת משרד מבקר המדינה, במסגרת התבחינים לקביעת זכאות לדירה במחיר למשתכן, יש מקום שמשרד הבינוי ייתן דעתו גם על הצורך להתאים את שטח הדירה המוצעת למספר הנפשות במשפחתו של הזכאי כדי למנוע צפיפות דיור. </w:t>
      </w:r>
    </w:p>
    <w:p w:rsidR="00E97EDA" w:rsidRPr="00F41E78" w:rsidP="003E789E">
      <w:pPr>
        <w:spacing w:before="180" w:after="240" w:line="230" w:lineRule="exact"/>
        <w:jc w:val="both"/>
        <w:rPr>
          <w:rFonts w:cs="FrankRuehl"/>
          <w:sz w:val="18"/>
          <w:szCs w:val="22"/>
          <w:rtl/>
          <w:lang w:eastAsia="he-IL"/>
        </w:rPr>
      </w:pPr>
      <w:r w:rsidRPr="00F41E78">
        <w:rPr>
          <w:rFonts w:cs="FrankRuehl" w:hint="cs"/>
          <w:sz w:val="18"/>
          <w:szCs w:val="22"/>
          <w:rtl/>
          <w:lang w:eastAsia="he-IL"/>
        </w:rPr>
        <w:t>בתשובתו אמר משרד הבינוי כי רכישת דירה היא בגדר קידום כלכלי עבור הרוכש, גם אם מדובר בדירה קטנה למשפחה ברוכת ילדים. רכישת דירה, אפילו קטנה, מאפשרת עם הזמן רכישה של דירה גדולה יותר המתאימה לצורכי הרוכש.</w:t>
      </w:r>
    </w:p>
    <w:p w:rsidR="00D22B16" w:rsidRPr="00582A43" w:rsidP="0069733D">
      <w:pPr>
        <w:pStyle w:val="RESHET"/>
        <w:keepLines/>
        <w:rPr>
          <w:rtl/>
        </w:rPr>
      </w:pPr>
      <w:r w:rsidRPr="00582A43">
        <w:rPr>
          <w:rFonts w:hint="cs"/>
          <w:rtl/>
        </w:rPr>
        <w:t xml:space="preserve">משרד מבקר המדינה מעיר למשרד הבינוי כי לפי הכללים שהוא קבע בעצמו, רוכש הדירה מנוע מלמכור את דירתו במשך עשר שנים. לכן, צפיפות הדיור </w:t>
      </w:r>
      <w:r w:rsidRPr="00582A43" w:rsidR="0069733D">
        <w:rPr>
          <w:rFonts w:hint="cs"/>
          <w:rtl/>
        </w:rPr>
        <w:t>עלולה</w:t>
      </w:r>
      <w:r w:rsidRPr="00582A43">
        <w:rPr>
          <w:rFonts w:hint="cs"/>
          <w:rtl/>
        </w:rPr>
        <w:t xml:space="preserve"> להיות ארוכ</w:t>
      </w:r>
      <w:r w:rsidRPr="00582A43" w:rsidR="0069733D">
        <w:rPr>
          <w:rFonts w:hint="cs"/>
          <w:rtl/>
        </w:rPr>
        <w:t>ת שנים</w:t>
      </w:r>
      <w:r w:rsidRPr="00582A43">
        <w:rPr>
          <w:rFonts w:hint="cs"/>
          <w:rtl/>
        </w:rPr>
        <w:t xml:space="preserve"> ותגרום ליצירת שכונות מוחלשות. </w:t>
      </w:r>
    </w:p>
    <w:p w:rsidR="00E97EDA" w:rsidRPr="00F41E78" w:rsidP="00A7557B">
      <w:pPr>
        <w:spacing w:after="120" w:line="230" w:lineRule="exact"/>
        <w:jc w:val="both"/>
        <w:rPr>
          <w:rFonts w:cs="FrankRuehl"/>
          <w:sz w:val="18"/>
          <w:szCs w:val="22"/>
          <w:lang w:eastAsia="he-IL"/>
        </w:rPr>
      </w:pPr>
    </w:p>
    <w:p w:rsidR="00901FE0" w:rsidRPr="00F41E78" w:rsidP="00A7557B">
      <w:pPr>
        <w:spacing w:after="120" w:line="230" w:lineRule="exact"/>
        <w:jc w:val="both"/>
        <w:rPr>
          <w:rFonts w:cs="FrankRuehl"/>
          <w:sz w:val="18"/>
          <w:szCs w:val="22"/>
          <w:rtl/>
          <w:lang w:eastAsia="he-IL"/>
        </w:rPr>
      </w:pPr>
    </w:p>
    <w:p w:rsidR="00E97EDA" w:rsidRPr="00FA1F2C" w:rsidP="00A7557B">
      <w:pPr>
        <w:pStyle w:val="KOT4"/>
        <w:rPr>
          <w:rtl/>
          <w:lang w:eastAsia="he-IL"/>
        </w:rPr>
      </w:pPr>
      <w:r w:rsidRPr="00E97EDA">
        <w:rPr>
          <w:rFonts w:hint="eastAsia"/>
          <w:rtl/>
          <w:lang w:eastAsia="he-IL"/>
        </w:rPr>
        <w:t>סדרי</w:t>
      </w:r>
      <w:r w:rsidRPr="00E97EDA">
        <w:rPr>
          <w:rtl/>
          <w:lang w:eastAsia="he-IL"/>
        </w:rPr>
        <w:t xml:space="preserve"> </w:t>
      </w:r>
      <w:r w:rsidRPr="00E97EDA">
        <w:rPr>
          <w:rFonts w:hint="eastAsia"/>
          <w:rtl/>
          <w:lang w:eastAsia="he-IL"/>
        </w:rPr>
        <w:t>הפעלת</w:t>
      </w:r>
      <w:r w:rsidRPr="00E97EDA">
        <w:rPr>
          <w:rtl/>
          <w:lang w:eastAsia="he-IL"/>
        </w:rPr>
        <w:t xml:space="preserve"> </w:t>
      </w:r>
      <w:r w:rsidRPr="00E97EDA">
        <w:rPr>
          <w:rFonts w:hint="eastAsia"/>
          <w:rtl/>
          <w:lang w:eastAsia="he-IL"/>
        </w:rPr>
        <w:t>מכרזים</w:t>
      </w:r>
      <w:r w:rsidRPr="00E97EDA">
        <w:rPr>
          <w:rtl/>
          <w:lang w:eastAsia="he-IL"/>
        </w:rPr>
        <w:t xml:space="preserve"> </w:t>
      </w:r>
      <w:r w:rsidRPr="00E97EDA">
        <w:rPr>
          <w:rFonts w:hint="eastAsia"/>
          <w:rtl/>
          <w:lang w:eastAsia="he-IL"/>
        </w:rPr>
        <w:t>לשיווק</w:t>
      </w:r>
      <w:r w:rsidRPr="00E97EDA">
        <w:rPr>
          <w:rtl/>
          <w:lang w:eastAsia="he-IL"/>
        </w:rPr>
        <w:t xml:space="preserve"> </w:t>
      </w:r>
      <w:r w:rsidRPr="00E97EDA">
        <w:rPr>
          <w:rFonts w:hint="eastAsia"/>
          <w:rtl/>
          <w:lang w:eastAsia="he-IL"/>
        </w:rPr>
        <w:t>קרקע</w:t>
      </w:r>
      <w:r w:rsidRPr="00E97EDA">
        <w:rPr>
          <w:rtl/>
          <w:lang w:eastAsia="he-IL"/>
        </w:rPr>
        <w:t xml:space="preserve"> </w:t>
      </w:r>
      <w:r w:rsidRPr="00E97EDA">
        <w:rPr>
          <w:rFonts w:hint="eastAsia"/>
          <w:rtl/>
          <w:lang w:eastAsia="he-IL"/>
        </w:rPr>
        <w:t>במסלול</w:t>
      </w:r>
      <w:r w:rsidRPr="00E97EDA">
        <w:rPr>
          <w:rtl/>
          <w:lang w:eastAsia="he-IL"/>
        </w:rPr>
        <w:t xml:space="preserve"> מחיר </w:t>
      </w:r>
      <w:r w:rsidRPr="00E97EDA">
        <w:rPr>
          <w:rFonts w:hint="eastAsia"/>
          <w:rtl/>
          <w:lang w:eastAsia="he-IL"/>
        </w:rPr>
        <w:t>למשתכן</w:t>
      </w:r>
      <w:r w:rsidRPr="00E97EDA">
        <w:rPr>
          <w:rFonts w:hint="cs"/>
          <w:rtl/>
          <w:lang w:eastAsia="he-IL"/>
        </w:rPr>
        <w:t xml:space="preserve"> </w:t>
      </w:r>
    </w:p>
    <w:p w:rsidR="00E97EDA" w:rsidRPr="00E97EDA" w:rsidP="00A7557B">
      <w:pPr>
        <w:pStyle w:val="KOT5"/>
        <w:rPr>
          <w:rtl/>
          <w:lang w:eastAsia="he-IL"/>
        </w:rPr>
      </w:pPr>
      <w:r w:rsidRPr="00E97EDA">
        <w:rPr>
          <w:rFonts w:hint="cs"/>
          <w:rtl/>
          <w:lang w:eastAsia="he-IL"/>
        </w:rPr>
        <w:t>סדרי ייזום מכרזים</w:t>
      </w:r>
    </w:p>
    <w:p w:rsidR="00E97EDA" w:rsidRPr="00F41E78" w:rsidP="003E789E">
      <w:pPr>
        <w:spacing w:after="240" w:line="230" w:lineRule="exact"/>
        <w:jc w:val="both"/>
        <w:rPr>
          <w:rFonts w:cs="FrankRuehl"/>
          <w:sz w:val="18"/>
          <w:szCs w:val="22"/>
          <w:rtl/>
          <w:lang w:eastAsia="he-IL"/>
        </w:rPr>
      </w:pPr>
      <w:r w:rsidRPr="00F41E78">
        <w:rPr>
          <w:rFonts w:cs="FrankRuehl" w:hint="cs"/>
          <w:sz w:val="18"/>
          <w:szCs w:val="22"/>
          <w:rtl/>
          <w:lang w:eastAsia="he-IL"/>
        </w:rPr>
        <w:t>את המכרזים במסלול מחיר למשתכן יזמו משרד הבינוי או רמ"י או הרשויות המקומיות. על פי הנוהל "מחיר דירה למשתכן" יהיה מנהל אגף בכיר (נכסים ודיור) אחראי להפעיל את המסלול, ובכלל זה להמליץ לוועדת המכרזים בכל הנוגע לשיטת השיווק, לשטח מתחמי השיווק, לתמהיל יחידות הדיור המיועדות ל</w:t>
      </w:r>
      <w:r w:rsidRPr="00F41E78">
        <w:rPr>
          <w:rFonts w:cs="FrankRuehl"/>
          <w:sz w:val="18"/>
          <w:szCs w:val="22"/>
          <w:rtl/>
          <w:lang w:eastAsia="he-IL"/>
        </w:rPr>
        <w:t>זכאים</w:t>
      </w:r>
      <w:r w:rsidRPr="00F41E78">
        <w:rPr>
          <w:rFonts w:cs="FrankRuehl" w:hint="cs"/>
          <w:sz w:val="18"/>
          <w:szCs w:val="22"/>
          <w:rtl/>
          <w:lang w:eastAsia="he-IL"/>
        </w:rPr>
        <w:t xml:space="preserve"> ולחלקן במכלול יחידות הדיור בפרויקט המשווק. </w:t>
      </w:r>
    </w:p>
    <w:p w:rsidR="00D22B16" w:rsidRPr="00F41E78" w:rsidP="00D22B16">
      <w:pPr>
        <w:pStyle w:val="RESHET"/>
        <w:keepLines/>
        <w:rPr>
          <w:rtl/>
        </w:rPr>
      </w:pPr>
      <w:r w:rsidRPr="00F41E78">
        <w:rPr>
          <w:rFonts w:hint="cs"/>
          <w:rtl/>
        </w:rPr>
        <w:t xml:space="preserve">בביקורת עלה כי לפני פרסום מכרזי השיווק לא עשה משרד הבינוי עבודת מטה מסודרת שתאפשר בחינה של מכלול הפרמטרים שיש בכוחם ללמד על סיכויי ההצלחה של המכרזים; פרמטרים כמו תמהיל הדירות ומספרן, מידת הביקוש לדירות באזור המתוכנן, כדאיות הפרויקט ליזם ולמשק המדינה, בקרת סיכונים כמו חסמים סטטוטוריים (התאמת הפרויקט לדרישות </w:t>
      </w:r>
      <w:r>
        <w:rPr>
          <w:rFonts w:hint="cs"/>
          <w:rtl/>
        </w:rPr>
        <w:t>התכניות המפורטות</w:t>
      </w:r>
      <w:r w:rsidRPr="00F41E78">
        <w:rPr>
          <w:rFonts w:hint="cs"/>
          <w:rtl/>
        </w:rPr>
        <w:t>), זמינות התשתיות הפיזיות ומצבן וכן נכונות עקרונית של הרשות המקומית להקים את הפרויקט.</w:t>
      </w:r>
    </w:p>
    <w:p w:rsidR="00D22B16" w:rsidRPr="00F41E78" w:rsidP="00D22B16">
      <w:pPr>
        <w:pStyle w:val="RESHET"/>
        <w:keepLines/>
      </w:pPr>
      <w:r w:rsidRPr="00F41E78">
        <w:rPr>
          <w:rFonts w:hint="eastAsia"/>
          <w:rtl/>
        </w:rPr>
        <w:t>בביקורת</w:t>
      </w:r>
      <w:r w:rsidRPr="00F41E78">
        <w:rPr>
          <w:rtl/>
        </w:rPr>
        <w:t xml:space="preserve"> </w:t>
      </w:r>
      <w:r w:rsidRPr="00F41E78">
        <w:rPr>
          <w:rFonts w:hint="eastAsia"/>
          <w:rtl/>
        </w:rPr>
        <w:t>נבחנה</w:t>
      </w:r>
      <w:r w:rsidRPr="00F41E78">
        <w:rPr>
          <w:rtl/>
        </w:rPr>
        <w:t xml:space="preserve"> </w:t>
      </w:r>
      <w:r w:rsidRPr="00F41E78">
        <w:rPr>
          <w:rFonts w:hint="eastAsia"/>
          <w:rtl/>
        </w:rPr>
        <w:t>מידת</w:t>
      </w:r>
      <w:r w:rsidRPr="00F41E78">
        <w:rPr>
          <w:rtl/>
        </w:rPr>
        <w:t xml:space="preserve"> </w:t>
      </w:r>
      <w:r w:rsidRPr="00F41E78">
        <w:rPr>
          <w:rFonts w:hint="eastAsia"/>
          <w:rtl/>
        </w:rPr>
        <w:t>ההצלחה</w:t>
      </w:r>
      <w:r w:rsidRPr="00F41E78">
        <w:rPr>
          <w:rtl/>
        </w:rPr>
        <w:t xml:space="preserve"> </w:t>
      </w:r>
      <w:r w:rsidRPr="00F41E78">
        <w:rPr>
          <w:rFonts w:hint="eastAsia"/>
          <w:rtl/>
        </w:rPr>
        <w:t>של</w:t>
      </w:r>
      <w:r w:rsidRPr="00F41E78">
        <w:rPr>
          <w:rtl/>
        </w:rPr>
        <w:t xml:space="preserve"> </w:t>
      </w:r>
      <w:r w:rsidRPr="00F41E78">
        <w:rPr>
          <w:rFonts w:hint="eastAsia"/>
          <w:rtl/>
        </w:rPr>
        <w:t>מכרזי</w:t>
      </w:r>
      <w:r w:rsidRPr="00F41E78">
        <w:rPr>
          <w:rtl/>
        </w:rPr>
        <w:t xml:space="preserve"> </w:t>
      </w:r>
      <w:r w:rsidRPr="00F41E78">
        <w:rPr>
          <w:rFonts w:hint="eastAsia"/>
          <w:rtl/>
        </w:rPr>
        <w:t>השיווק</w:t>
      </w:r>
      <w:r w:rsidRPr="00F41E78">
        <w:rPr>
          <w:rtl/>
        </w:rPr>
        <w:t xml:space="preserve"> </w:t>
      </w:r>
      <w:r w:rsidRPr="00F41E78">
        <w:rPr>
          <w:rFonts w:hint="eastAsia"/>
          <w:rtl/>
        </w:rPr>
        <w:t>שפרסם</w:t>
      </w:r>
      <w:r w:rsidRPr="00F41E78">
        <w:rPr>
          <w:rtl/>
        </w:rPr>
        <w:t xml:space="preserve"> </w:t>
      </w:r>
      <w:r w:rsidRPr="00F41E78">
        <w:rPr>
          <w:rFonts w:hint="eastAsia"/>
          <w:rtl/>
        </w:rPr>
        <w:t>משרד הבינוי</w:t>
      </w:r>
      <w:r w:rsidRPr="00F41E78">
        <w:rPr>
          <w:rtl/>
        </w:rPr>
        <w:t xml:space="preserve"> </w:t>
      </w:r>
      <w:r w:rsidRPr="00F41E78">
        <w:rPr>
          <w:rFonts w:hint="eastAsia"/>
          <w:rtl/>
        </w:rPr>
        <w:t>בשנים</w:t>
      </w:r>
      <w:r w:rsidRPr="00F41E78">
        <w:rPr>
          <w:rtl/>
        </w:rPr>
        <w:t xml:space="preserve"> </w:t>
      </w:r>
      <w:r>
        <w:rPr>
          <w:rFonts w:hint="cs"/>
          <w:rtl/>
        </w:rPr>
        <w:br/>
      </w:r>
      <w:r w:rsidRPr="00F41E78">
        <w:rPr>
          <w:rtl/>
        </w:rPr>
        <w:t xml:space="preserve">2012-2008 </w:t>
      </w:r>
      <w:r w:rsidRPr="00F41E78">
        <w:rPr>
          <w:rFonts w:hint="eastAsia"/>
          <w:rtl/>
        </w:rPr>
        <w:t>והועלה</w:t>
      </w:r>
      <w:r w:rsidRPr="00F41E78">
        <w:rPr>
          <w:rtl/>
        </w:rPr>
        <w:t xml:space="preserve"> </w:t>
      </w:r>
      <w:r w:rsidRPr="00F41E78">
        <w:rPr>
          <w:rFonts w:hint="eastAsia"/>
          <w:rtl/>
        </w:rPr>
        <w:t>כי</w:t>
      </w:r>
      <w:r w:rsidRPr="00F41E78">
        <w:rPr>
          <w:rtl/>
        </w:rPr>
        <w:t xml:space="preserve"> </w:t>
      </w:r>
      <w:r w:rsidRPr="00F41E78">
        <w:rPr>
          <w:rFonts w:hint="eastAsia"/>
          <w:rtl/>
        </w:rPr>
        <w:t>רק</w:t>
      </w:r>
      <w:r w:rsidRPr="00F41E78">
        <w:rPr>
          <w:rtl/>
        </w:rPr>
        <w:t xml:space="preserve"> </w:t>
      </w:r>
      <w:r w:rsidRPr="00F41E78">
        <w:rPr>
          <w:rFonts w:hint="eastAsia"/>
          <w:rtl/>
        </w:rPr>
        <w:t>כחצי</w:t>
      </w:r>
      <w:r w:rsidRPr="00F41E78">
        <w:rPr>
          <w:rtl/>
        </w:rPr>
        <w:t xml:space="preserve"> </w:t>
      </w:r>
      <w:r w:rsidRPr="00F41E78">
        <w:rPr>
          <w:rFonts w:hint="eastAsia"/>
          <w:rtl/>
        </w:rPr>
        <w:t>מהם</w:t>
      </w:r>
      <w:r w:rsidRPr="00F41E78">
        <w:rPr>
          <w:rtl/>
        </w:rPr>
        <w:t xml:space="preserve"> </w:t>
      </w:r>
      <w:r w:rsidRPr="00F41E78">
        <w:rPr>
          <w:rFonts w:hint="eastAsia"/>
          <w:rtl/>
        </w:rPr>
        <w:t>הצליחו</w:t>
      </w:r>
      <w:r w:rsidRPr="00F41E78">
        <w:rPr>
          <w:rFonts w:hint="cs"/>
          <w:rtl/>
        </w:rPr>
        <w:t xml:space="preserve">. </w:t>
      </w:r>
      <w:r w:rsidRPr="00F41E78">
        <w:rPr>
          <w:rFonts w:hint="eastAsia"/>
          <w:rtl/>
        </w:rPr>
        <w:t>מ</w:t>
      </w:r>
      <w:r w:rsidRPr="00F41E78">
        <w:rPr>
          <w:rFonts w:hint="cs"/>
          <w:rtl/>
        </w:rPr>
        <w:t xml:space="preserve">תוך </w:t>
      </w:r>
      <w:r w:rsidRPr="00F41E78">
        <w:rPr>
          <w:rtl/>
        </w:rPr>
        <w:t xml:space="preserve">11,761 </w:t>
      </w:r>
      <w:r w:rsidRPr="00F41E78">
        <w:rPr>
          <w:rFonts w:hint="cs"/>
          <w:rtl/>
        </w:rPr>
        <w:t>יח"ד</w:t>
      </w:r>
      <w:r w:rsidRPr="00F41E78">
        <w:rPr>
          <w:rtl/>
        </w:rPr>
        <w:t xml:space="preserve"> ששווקו נכשל שיווקן של 5,844. בשנת 2010</w:t>
      </w:r>
      <w:r w:rsidRPr="00F41E78">
        <w:rPr>
          <w:rFonts w:hint="cs"/>
          <w:rtl/>
        </w:rPr>
        <w:t xml:space="preserve"> היה</w:t>
      </w:r>
      <w:r w:rsidRPr="00F41E78">
        <w:rPr>
          <w:rtl/>
        </w:rPr>
        <w:t xml:space="preserve"> </w:t>
      </w:r>
      <w:r w:rsidRPr="00F41E78">
        <w:rPr>
          <w:rFonts w:hint="cs"/>
          <w:rtl/>
        </w:rPr>
        <w:t>מספר</w:t>
      </w:r>
      <w:r w:rsidRPr="00F41E78">
        <w:rPr>
          <w:rtl/>
        </w:rPr>
        <w:t xml:space="preserve"> המכרזים שנכשלו הגדול ביותר </w:t>
      </w:r>
      <w:r w:rsidRPr="00F41E78">
        <w:rPr>
          <w:rFonts w:hint="cs"/>
          <w:rtl/>
        </w:rPr>
        <w:t>-</w:t>
      </w:r>
      <w:r w:rsidRPr="00F41E78">
        <w:rPr>
          <w:rtl/>
        </w:rPr>
        <w:t xml:space="preserve"> </w:t>
      </w:r>
      <w:r w:rsidRPr="00F41E78">
        <w:rPr>
          <w:rFonts w:hint="cs"/>
          <w:rtl/>
        </w:rPr>
        <w:t>מ-</w:t>
      </w:r>
      <w:r w:rsidRPr="00F41E78">
        <w:rPr>
          <w:rtl/>
        </w:rPr>
        <w:t xml:space="preserve">2,730 </w:t>
      </w:r>
      <w:r w:rsidRPr="00F41E78">
        <w:rPr>
          <w:rFonts w:hint="cs"/>
          <w:rtl/>
        </w:rPr>
        <w:t>יח"ד</w:t>
      </w:r>
      <w:r w:rsidRPr="00F41E78">
        <w:rPr>
          <w:rtl/>
        </w:rPr>
        <w:t xml:space="preserve"> </w:t>
      </w:r>
      <w:r w:rsidRPr="00F41E78">
        <w:rPr>
          <w:rFonts w:hint="eastAsia"/>
          <w:rtl/>
        </w:rPr>
        <w:t>ששווק</w:t>
      </w:r>
      <w:r w:rsidRPr="00F41E78">
        <w:rPr>
          <w:rFonts w:hint="cs"/>
          <w:rtl/>
        </w:rPr>
        <w:t>ו</w:t>
      </w:r>
      <w:r w:rsidRPr="00F41E78">
        <w:rPr>
          <w:rtl/>
        </w:rPr>
        <w:t xml:space="preserve"> נכשל שיווקן של 1,924 (כ-70%). </w:t>
      </w:r>
    </w:p>
    <w:p w:rsidR="00901FE0" w:rsidRPr="003E789E" w:rsidP="00A7557B">
      <w:pPr>
        <w:spacing w:after="120" w:line="230" w:lineRule="exact"/>
        <w:jc w:val="both"/>
        <w:rPr>
          <w:rFonts w:cs="FrankRuehl"/>
          <w:sz w:val="18"/>
          <w:szCs w:val="22"/>
          <w:rtl/>
          <w:lang w:eastAsia="he-IL"/>
        </w:rPr>
      </w:pPr>
    </w:p>
    <w:p w:rsidR="00E97EDA" w:rsidRPr="00E97EDA" w:rsidP="00A7557B">
      <w:pPr>
        <w:pStyle w:val="KOT5"/>
        <w:rPr>
          <w:rtl/>
          <w:lang w:eastAsia="he-IL"/>
        </w:rPr>
      </w:pPr>
      <w:r w:rsidRPr="00E97EDA">
        <w:rPr>
          <w:rFonts w:hint="cs"/>
          <w:rtl/>
          <w:lang w:eastAsia="he-IL"/>
        </w:rPr>
        <w:t xml:space="preserve">ניתוח תוצאות מכרזי השיווק בידי משרד הבינוי </w:t>
      </w:r>
    </w:p>
    <w:p w:rsidR="00E97EDA" w:rsidRPr="00F41E78" w:rsidP="003E789E">
      <w:pPr>
        <w:spacing w:after="240" w:line="230" w:lineRule="exact"/>
        <w:ind w:left="340" w:hanging="340"/>
        <w:jc w:val="both"/>
        <w:rPr>
          <w:rFonts w:cs="FrankRuehl"/>
          <w:sz w:val="18"/>
          <w:szCs w:val="22"/>
          <w:rtl/>
          <w:lang w:eastAsia="he-IL"/>
        </w:rPr>
      </w:pPr>
      <w:r w:rsidRPr="00F41E78">
        <w:rPr>
          <w:rFonts w:cs="FrankRuehl" w:hint="cs"/>
          <w:sz w:val="18"/>
          <w:szCs w:val="22"/>
          <w:rtl/>
          <w:lang w:eastAsia="he-IL"/>
        </w:rPr>
        <w:t>1.</w:t>
      </w:r>
      <w:r w:rsidRPr="00F41E78">
        <w:rPr>
          <w:rFonts w:cs="FrankRuehl" w:hint="cs"/>
          <w:sz w:val="18"/>
          <w:szCs w:val="22"/>
          <w:rtl/>
          <w:lang w:eastAsia="he-IL"/>
        </w:rPr>
        <w:tab/>
        <w:t xml:space="preserve">ניתוח תוצאות המכרזים הוא תהליך ארגוני חשוב ואחד הנדבכים של מינהל ציבורי תקין. כפי שצוין בדוח ועדת קוברסקי, "הערכה היא אחד ממכשירי המינהל החשובים. היא כלי עזר בידי מנהלים ומדינאים להערכה של ארגונים, פעולות ותכניות ואמורה לסייע בידם בהכרעות על סדרי עדיפויות, והקצאה של משאבים על מנת להבטיח כי מטרות רצויות תושגנה". ההערכה מכוונת לאפשר השוואה </w:t>
      </w:r>
      <w:r w:rsidRPr="00F41E78">
        <w:rPr>
          <w:rFonts w:cs="FrankRuehl" w:hint="eastAsia"/>
          <w:sz w:val="18"/>
          <w:szCs w:val="22"/>
          <w:rtl/>
          <w:lang w:eastAsia="he-IL"/>
        </w:rPr>
        <w:t>בין</w:t>
      </w:r>
      <w:r w:rsidRPr="00F41E78">
        <w:rPr>
          <w:rFonts w:cs="FrankRuehl"/>
          <w:sz w:val="18"/>
          <w:szCs w:val="22"/>
          <w:rtl/>
          <w:lang w:eastAsia="he-IL"/>
        </w:rPr>
        <w:t xml:space="preserve"> התכנון </w:t>
      </w:r>
      <w:r w:rsidRPr="00F41E78">
        <w:rPr>
          <w:rFonts w:cs="FrankRuehl" w:hint="eastAsia"/>
          <w:sz w:val="18"/>
          <w:szCs w:val="22"/>
          <w:rtl/>
          <w:lang w:eastAsia="he-IL"/>
        </w:rPr>
        <w:t>ובין</w:t>
      </w:r>
      <w:r w:rsidRPr="00F41E78">
        <w:rPr>
          <w:rFonts w:cs="FrankRuehl"/>
          <w:sz w:val="18"/>
          <w:szCs w:val="22"/>
          <w:rtl/>
          <w:lang w:eastAsia="he-IL"/>
        </w:rPr>
        <w:t xml:space="preserve"> </w:t>
      </w:r>
      <w:r w:rsidRPr="00F41E78">
        <w:rPr>
          <w:rFonts w:cs="FrankRuehl" w:hint="eastAsia"/>
          <w:sz w:val="18"/>
          <w:szCs w:val="22"/>
          <w:rtl/>
          <w:lang w:eastAsia="he-IL"/>
        </w:rPr>
        <w:t>מה</w:t>
      </w:r>
      <w:r w:rsidRPr="00F41E78">
        <w:rPr>
          <w:rFonts w:cs="FrankRuehl"/>
          <w:sz w:val="18"/>
          <w:szCs w:val="22"/>
          <w:rtl/>
          <w:lang w:eastAsia="he-IL"/>
        </w:rPr>
        <w:t xml:space="preserve"> </w:t>
      </w:r>
      <w:r w:rsidRPr="00F41E78">
        <w:rPr>
          <w:rFonts w:cs="FrankRuehl" w:hint="eastAsia"/>
          <w:sz w:val="18"/>
          <w:szCs w:val="22"/>
          <w:rtl/>
          <w:lang w:eastAsia="he-IL"/>
        </w:rPr>
        <w:t>שהושג</w:t>
      </w:r>
      <w:r w:rsidRPr="00F41E78">
        <w:rPr>
          <w:rFonts w:cs="FrankRuehl" w:hint="cs"/>
          <w:sz w:val="18"/>
          <w:szCs w:val="22"/>
          <w:rtl/>
          <w:lang w:eastAsia="he-IL"/>
        </w:rPr>
        <w:t xml:space="preserve"> כדי להפיק לקחים ולתקן את הדרוש. </w:t>
      </w:r>
    </w:p>
    <w:p w:rsidR="00D22B16" w:rsidRPr="00F41E78" w:rsidP="00D22B16">
      <w:pPr>
        <w:pStyle w:val="RESHET"/>
        <w:keepLines/>
        <w:ind w:left="567"/>
        <w:rPr>
          <w:rtl/>
        </w:rPr>
      </w:pPr>
      <w:r w:rsidRPr="00F41E78">
        <w:rPr>
          <w:rFonts w:hint="cs"/>
          <w:rtl/>
        </w:rPr>
        <w:t>בביקורת עלה כי עד 2010 לא ניתח משרד הבינוי את תוצאות המכרזים שפרסם. המשרד המשיך לפרסם מכרזים בלי שהיו בידיו מסקנות ממיזמי שיווק קודמים שלו, בלי שהפיק לקחים מתוצאותיהם ובלי שבדק את היתכנותם וכדאיותם של הפרויקטים החדשים.</w:t>
      </w:r>
    </w:p>
    <w:p w:rsidR="00E97EDA" w:rsidRPr="00F41E78" w:rsidP="003E789E">
      <w:pPr>
        <w:spacing w:before="180" w:after="240" w:line="230" w:lineRule="exact"/>
        <w:ind w:left="340" w:hanging="340"/>
        <w:jc w:val="both"/>
        <w:rPr>
          <w:rFonts w:cs="FrankRuehl"/>
          <w:sz w:val="18"/>
          <w:szCs w:val="22"/>
          <w:rtl/>
          <w:lang w:eastAsia="he-IL"/>
        </w:rPr>
      </w:pPr>
      <w:r w:rsidRPr="00F41E78">
        <w:rPr>
          <w:rFonts w:cs="FrankRuehl" w:hint="cs"/>
          <w:sz w:val="18"/>
          <w:szCs w:val="22"/>
          <w:rtl/>
          <w:lang w:eastAsia="he-IL"/>
        </w:rPr>
        <w:t>2.</w:t>
      </w:r>
      <w:r w:rsidRPr="00F41E78">
        <w:rPr>
          <w:rFonts w:cs="FrankRuehl" w:hint="cs"/>
          <w:sz w:val="18"/>
          <w:szCs w:val="22"/>
          <w:rtl/>
          <w:lang w:eastAsia="he-IL"/>
        </w:rPr>
        <w:tab/>
        <w:t>משנת 2010 אגף נכסים ודיור שבמשרד הבינוי מנתח את תוצאות המכרזים שהוא מפרסם. במסגרת זו הוא בוחן בין היתר את השפעותיהם של פרמטרים שונים על תוצאות המכרז, כמו האזור שהמתחם שוכן בו, התשתיות ומבני הציבור והחינוך הקיימים או המתוכננים במתחם, היקף יחידות הדיור המתוכנן לשיווק במכרז וחלקן של אלו מתוך כלל יחידות הדיור המאושרות בתכנית המפורטת. עוד נבדקים תנאי המכרז, היקף השתתפות של יזמים וקבלנים במכרז, מחיר הקרקע ליח"ד שנקבע במכרז והמחיר הסופי של יחידות הדיור בהצעה שזכתה במכרז. בסופו של דבר האגף אמור להסיק מסקנות מתוצאות המכרז; אם מכרז נכשל, האגף מעריך מה היו הסיבות לכישלונו.</w:t>
      </w:r>
    </w:p>
    <w:p w:rsidR="00D22B16" w:rsidRPr="00F41E78" w:rsidP="00D22B16">
      <w:pPr>
        <w:pStyle w:val="RESHET"/>
        <w:keepLines/>
        <w:rPr>
          <w:rtl/>
        </w:rPr>
      </w:pPr>
      <w:r w:rsidRPr="00F41E78">
        <w:rPr>
          <w:rFonts w:hint="cs"/>
          <w:rtl/>
        </w:rPr>
        <w:t xml:space="preserve">הביקורת העלתה כי משרד הבינוי לא הקפיד לבחון באופן קבוע את תוצאות מכרזי השיווק במסלול מחיר למשתכן. למשל, הוא לא בחן את תוצאותיו של מכרז שפרסם בספטמבר 2011 לשיווק 68 יח"ד במסלול זה בשכונת רמות בבאר שבע; בפועל לא הוגשה אף לא הצעה אחת למכרז זה. המשרד גם לא בחן את תוצאותיו של מכרז שפרסם בנובמבר 2011 לשיווק קרקע לבניית 188 יח"ד במסלול זה בשכונת רמות יצחק בנשר; במכרז זה הצליח שיווקן של 144 יח"ד בלבד. </w:t>
      </w:r>
    </w:p>
    <w:p w:rsidR="00E97EDA" w:rsidRPr="00F41E78" w:rsidP="003E789E">
      <w:pPr>
        <w:spacing w:before="180" w:after="240" w:line="230" w:lineRule="exact"/>
        <w:ind w:firstLine="3"/>
        <w:jc w:val="both"/>
        <w:rPr>
          <w:rFonts w:cs="FrankRuehl"/>
          <w:sz w:val="18"/>
          <w:szCs w:val="22"/>
          <w:rtl/>
          <w:lang w:eastAsia="he-IL"/>
        </w:rPr>
      </w:pPr>
      <w:r w:rsidRPr="00F41E78">
        <w:rPr>
          <w:rFonts w:cs="FrankRuehl" w:hint="cs"/>
          <w:sz w:val="18"/>
          <w:szCs w:val="22"/>
          <w:rtl/>
          <w:lang w:eastAsia="he-IL"/>
        </w:rPr>
        <w:t>בתשובתו אמר משרד הבינוי כי הוא מפרסם מאות מכרזי שיווק מדי שנה ולא ניתן לבדוק את תוצאותיו של כל פרויקט. הוא הוסיף כי</w:t>
      </w:r>
      <w:r w:rsidRPr="00F41E78">
        <w:rPr>
          <w:rFonts w:cs="FrankRuehl"/>
          <w:sz w:val="18"/>
          <w:szCs w:val="22"/>
          <w:rtl/>
          <w:lang w:eastAsia="he-IL"/>
        </w:rPr>
        <w:t xml:space="preserve"> </w:t>
      </w:r>
      <w:r w:rsidRPr="00F41E78">
        <w:rPr>
          <w:rFonts w:cs="FrankRuehl" w:hint="cs"/>
          <w:sz w:val="18"/>
          <w:szCs w:val="22"/>
          <w:rtl/>
          <w:lang w:eastAsia="he-IL"/>
        </w:rPr>
        <w:t>"ניסיון</w:t>
      </w:r>
      <w:r w:rsidRPr="00F41E78">
        <w:rPr>
          <w:rFonts w:cs="FrankRuehl"/>
          <w:sz w:val="18"/>
          <w:szCs w:val="22"/>
          <w:rtl/>
          <w:lang w:eastAsia="he-IL"/>
        </w:rPr>
        <w:t xml:space="preserve"> </w:t>
      </w:r>
      <w:r w:rsidRPr="00F41E78">
        <w:rPr>
          <w:rFonts w:cs="FrankRuehl" w:hint="cs"/>
          <w:sz w:val="18"/>
          <w:szCs w:val="22"/>
          <w:rtl/>
          <w:lang w:eastAsia="he-IL"/>
        </w:rPr>
        <w:t>העבר</w:t>
      </w:r>
      <w:r w:rsidRPr="00F41E78">
        <w:rPr>
          <w:rFonts w:cs="FrankRuehl"/>
          <w:sz w:val="18"/>
          <w:szCs w:val="22"/>
          <w:rtl/>
          <w:lang w:eastAsia="he-IL"/>
        </w:rPr>
        <w:t xml:space="preserve"> </w:t>
      </w:r>
      <w:r w:rsidRPr="00F41E78">
        <w:rPr>
          <w:rFonts w:cs="FrankRuehl" w:hint="cs"/>
          <w:sz w:val="18"/>
          <w:szCs w:val="22"/>
          <w:rtl/>
          <w:lang w:eastAsia="he-IL"/>
        </w:rPr>
        <w:t>מלמד</w:t>
      </w:r>
      <w:r w:rsidRPr="00F41E78">
        <w:rPr>
          <w:rFonts w:cs="FrankRuehl"/>
          <w:sz w:val="18"/>
          <w:szCs w:val="22"/>
          <w:rtl/>
          <w:lang w:eastAsia="he-IL"/>
        </w:rPr>
        <w:t xml:space="preserve"> </w:t>
      </w:r>
      <w:r w:rsidRPr="00F41E78">
        <w:rPr>
          <w:rFonts w:cs="FrankRuehl" w:hint="cs"/>
          <w:sz w:val="18"/>
          <w:szCs w:val="22"/>
          <w:rtl/>
          <w:lang w:eastAsia="he-IL"/>
        </w:rPr>
        <w:t>כי</w:t>
      </w:r>
      <w:r w:rsidRPr="00F41E78">
        <w:rPr>
          <w:rFonts w:cs="FrankRuehl"/>
          <w:sz w:val="18"/>
          <w:szCs w:val="22"/>
          <w:rtl/>
          <w:lang w:eastAsia="he-IL"/>
        </w:rPr>
        <w:t xml:space="preserve"> </w:t>
      </w:r>
      <w:r w:rsidRPr="00F41E78">
        <w:rPr>
          <w:rFonts w:cs="FrankRuehl" w:hint="cs"/>
          <w:sz w:val="18"/>
          <w:szCs w:val="22"/>
          <w:rtl/>
          <w:lang w:eastAsia="he-IL"/>
        </w:rPr>
        <w:t>מסקנות</w:t>
      </w:r>
      <w:r w:rsidRPr="00F41E78">
        <w:rPr>
          <w:rFonts w:cs="FrankRuehl"/>
          <w:sz w:val="18"/>
          <w:szCs w:val="22"/>
          <w:rtl/>
          <w:lang w:eastAsia="he-IL"/>
        </w:rPr>
        <w:t xml:space="preserve"> </w:t>
      </w:r>
      <w:r w:rsidRPr="00F41E78">
        <w:rPr>
          <w:rFonts w:cs="FrankRuehl" w:hint="cs"/>
          <w:sz w:val="18"/>
          <w:szCs w:val="22"/>
          <w:rtl/>
          <w:lang w:eastAsia="he-IL"/>
        </w:rPr>
        <w:t>מחקריות</w:t>
      </w:r>
      <w:r w:rsidRPr="00F41E78">
        <w:rPr>
          <w:rFonts w:cs="FrankRuehl"/>
          <w:sz w:val="18"/>
          <w:szCs w:val="22"/>
          <w:rtl/>
          <w:lang w:eastAsia="he-IL"/>
        </w:rPr>
        <w:t xml:space="preserve"> </w:t>
      </w:r>
      <w:r w:rsidRPr="00F41E78">
        <w:rPr>
          <w:rFonts w:cs="FrankRuehl" w:hint="cs"/>
          <w:sz w:val="18"/>
          <w:szCs w:val="22"/>
          <w:rtl/>
          <w:lang w:eastAsia="he-IL"/>
        </w:rPr>
        <w:t>שנלמדו</w:t>
      </w:r>
      <w:r w:rsidRPr="00F41E78">
        <w:rPr>
          <w:rFonts w:cs="FrankRuehl"/>
          <w:sz w:val="18"/>
          <w:szCs w:val="22"/>
          <w:rtl/>
          <w:lang w:eastAsia="he-IL"/>
        </w:rPr>
        <w:t xml:space="preserve"> </w:t>
      </w:r>
      <w:r w:rsidRPr="00F41E78">
        <w:rPr>
          <w:rFonts w:cs="FrankRuehl" w:hint="cs"/>
          <w:sz w:val="18"/>
          <w:szCs w:val="22"/>
          <w:rtl/>
          <w:lang w:eastAsia="he-IL"/>
        </w:rPr>
        <w:t>מלקחי</w:t>
      </w:r>
      <w:r w:rsidRPr="00F41E78">
        <w:rPr>
          <w:rFonts w:cs="FrankRuehl"/>
          <w:sz w:val="18"/>
          <w:szCs w:val="22"/>
          <w:rtl/>
          <w:lang w:eastAsia="he-IL"/>
        </w:rPr>
        <w:t xml:space="preserve"> </w:t>
      </w:r>
      <w:r w:rsidRPr="00F41E78">
        <w:rPr>
          <w:rFonts w:cs="FrankRuehl" w:hint="cs"/>
          <w:sz w:val="18"/>
          <w:szCs w:val="22"/>
          <w:rtl/>
          <w:lang w:eastAsia="he-IL"/>
        </w:rPr>
        <w:t>העבר</w:t>
      </w:r>
      <w:r w:rsidRPr="00F41E78">
        <w:rPr>
          <w:rFonts w:cs="FrankRuehl"/>
          <w:sz w:val="18"/>
          <w:szCs w:val="22"/>
          <w:rtl/>
          <w:lang w:eastAsia="he-IL"/>
        </w:rPr>
        <w:t xml:space="preserve"> </w:t>
      </w:r>
      <w:r w:rsidRPr="00F41E78">
        <w:rPr>
          <w:rFonts w:cs="FrankRuehl" w:hint="cs"/>
          <w:sz w:val="18"/>
          <w:szCs w:val="22"/>
          <w:rtl/>
          <w:lang w:eastAsia="he-IL"/>
        </w:rPr>
        <w:t>כלל</w:t>
      </w:r>
      <w:r w:rsidRPr="00F41E78">
        <w:rPr>
          <w:rFonts w:cs="FrankRuehl"/>
          <w:sz w:val="18"/>
          <w:szCs w:val="22"/>
          <w:rtl/>
          <w:lang w:eastAsia="he-IL"/>
        </w:rPr>
        <w:t xml:space="preserve"> </w:t>
      </w:r>
      <w:r w:rsidRPr="00F41E78">
        <w:rPr>
          <w:rFonts w:cs="FrankRuehl" w:hint="cs"/>
          <w:sz w:val="18"/>
          <w:szCs w:val="22"/>
          <w:rtl/>
          <w:lang w:eastAsia="he-IL"/>
        </w:rPr>
        <w:t>לא</w:t>
      </w:r>
      <w:r w:rsidRPr="00F41E78">
        <w:rPr>
          <w:rFonts w:cs="FrankRuehl"/>
          <w:sz w:val="18"/>
          <w:szCs w:val="22"/>
          <w:rtl/>
          <w:lang w:eastAsia="he-IL"/>
        </w:rPr>
        <w:t xml:space="preserve"> </w:t>
      </w:r>
      <w:r w:rsidRPr="00F41E78">
        <w:rPr>
          <w:rFonts w:cs="FrankRuehl" w:hint="cs"/>
          <w:sz w:val="18"/>
          <w:szCs w:val="22"/>
          <w:rtl/>
          <w:lang w:eastAsia="he-IL"/>
        </w:rPr>
        <w:t>עמדו</w:t>
      </w:r>
      <w:r w:rsidRPr="00F41E78">
        <w:rPr>
          <w:rFonts w:cs="FrankRuehl"/>
          <w:sz w:val="18"/>
          <w:szCs w:val="22"/>
          <w:rtl/>
          <w:lang w:eastAsia="he-IL"/>
        </w:rPr>
        <w:t xml:space="preserve"> </w:t>
      </w:r>
      <w:r w:rsidRPr="00F41E78">
        <w:rPr>
          <w:rFonts w:cs="FrankRuehl" w:hint="cs"/>
          <w:sz w:val="18"/>
          <w:szCs w:val="22"/>
          <w:rtl/>
          <w:lang w:eastAsia="he-IL"/>
        </w:rPr>
        <w:t>במבחן</w:t>
      </w:r>
      <w:r w:rsidRPr="00F41E78">
        <w:rPr>
          <w:rFonts w:cs="FrankRuehl"/>
          <w:sz w:val="18"/>
          <w:szCs w:val="22"/>
          <w:rtl/>
          <w:lang w:eastAsia="he-IL"/>
        </w:rPr>
        <w:t xml:space="preserve"> </w:t>
      </w:r>
      <w:r w:rsidRPr="00F41E78">
        <w:rPr>
          <w:rFonts w:cs="FrankRuehl" w:hint="cs"/>
          <w:sz w:val="18"/>
          <w:szCs w:val="22"/>
          <w:rtl/>
          <w:lang w:eastAsia="he-IL"/>
        </w:rPr>
        <w:t>המציאות</w:t>
      </w:r>
      <w:r w:rsidRPr="00F41E78">
        <w:rPr>
          <w:rFonts w:cs="FrankRuehl"/>
          <w:sz w:val="18"/>
          <w:szCs w:val="22"/>
          <w:rtl/>
          <w:lang w:eastAsia="he-IL"/>
        </w:rPr>
        <w:t xml:space="preserve"> </w:t>
      </w:r>
      <w:r w:rsidRPr="00F41E78">
        <w:rPr>
          <w:rFonts w:cs="FrankRuehl" w:hint="cs"/>
          <w:sz w:val="18"/>
          <w:szCs w:val="22"/>
          <w:rtl/>
          <w:lang w:eastAsia="he-IL"/>
        </w:rPr>
        <w:t>במקרים</w:t>
      </w:r>
      <w:r w:rsidRPr="00F41E78">
        <w:rPr>
          <w:rFonts w:cs="FrankRuehl"/>
          <w:sz w:val="18"/>
          <w:szCs w:val="22"/>
          <w:rtl/>
          <w:lang w:eastAsia="he-IL"/>
        </w:rPr>
        <w:t xml:space="preserve"> </w:t>
      </w:r>
      <w:r w:rsidRPr="00F41E78">
        <w:rPr>
          <w:rFonts w:cs="FrankRuehl" w:hint="cs"/>
          <w:sz w:val="18"/>
          <w:szCs w:val="22"/>
          <w:rtl/>
          <w:lang w:eastAsia="he-IL"/>
        </w:rPr>
        <w:t>עתידיים"</w:t>
      </w:r>
      <w:r w:rsidRPr="00F41E78">
        <w:rPr>
          <w:rFonts w:cs="FrankRuehl"/>
          <w:sz w:val="18"/>
          <w:szCs w:val="22"/>
          <w:rtl/>
          <w:lang w:eastAsia="he-IL"/>
        </w:rPr>
        <w:t>.</w:t>
      </w:r>
      <w:r w:rsidRPr="00F41E78">
        <w:rPr>
          <w:rFonts w:cs="FrankRuehl" w:hint="cs"/>
          <w:sz w:val="18"/>
          <w:szCs w:val="22"/>
          <w:rtl/>
          <w:lang w:eastAsia="he-IL"/>
        </w:rPr>
        <w:t xml:space="preserve"> </w:t>
      </w:r>
    </w:p>
    <w:p w:rsidR="00D22B16" w:rsidRPr="00F41E78" w:rsidP="00D22B16">
      <w:pPr>
        <w:pStyle w:val="RESHET"/>
        <w:keepLines/>
      </w:pPr>
      <w:r w:rsidRPr="00F41E78">
        <w:rPr>
          <w:rFonts w:hint="cs"/>
          <w:rtl/>
        </w:rPr>
        <w:t xml:space="preserve">משרד מבקר המדינה מעיר למשרד הבינוי כי הערכה של תכניות אמורה לאפשר לארגון לקדם תהליכי למידה, שיפור והתייעלות תוך כדי קיום תהליך הפקת לקחים לעתיד. לכן, ראוי שהמשרד יגבש מתכונת יעילה לניתוח תוצאות מכרזים ולהפקת לקחים מהם, שתסייע למקבלי ההחלטות לקבל את ההחלטה המיטבית בנסיבות הקיימות. </w:t>
      </w:r>
    </w:p>
    <w:p w:rsidR="00901FE0" w:rsidRPr="003E789E" w:rsidP="003E789E">
      <w:pPr>
        <w:spacing w:after="120" w:line="230" w:lineRule="exact"/>
        <w:jc w:val="both"/>
        <w:rPr>
          <w:rFonts w:cs="FrankRuehl"/>
          <w:sz w:val="18"/>
          <w:szCs w:val="22"/>
          <w:rtl/>
          <w:lang w:eastAsia="he-IL"/>
        </w:rPr>
      </w:pPr>
    </w:p>
    <w:p w:rsidR="00E97EDA" w:rsidRPr="00E97EDA" w:rsidP="00A7557B">
      <w:pPr>
        <w:pStyle w:val="KOT5"/>
        <w:rPr>
          <w:rtl/>
          <w:lang w:eastAsia="he-IL"/>
        </w:rPr>
      </w:pPr>
      <w:r w:rsidRPr="00E97EDA">
        <w:rPr>
          <w:rFonts w:hint="cs"/>
          <w:rtl/>
          <w:lang w:eastAsia="he-IL"/>
        </w:rPr>
        <w:t xml:space="preserve">הסיבות העיקריות לכשל מכרזים </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הביקורת בחנה את הסיבות לכישלונם של מכרזי שיווק במסלול מחיר למשתכן, שעלו מניתוח תוצאותיהם שעשה משרד הבינוי. להלן כמה מהסיבות שמשרד הבינוי כדאי שילמד מהן כיצד עליו להתנהל בהפעלת תכניות ייעודיו</w:t>
      </w:r>
      <w:r w:rsidRPr="00F41E78">
        <w:rPr>
          <w:rFonts w:cs="FrankRuehl" w:hint="eastAsia"/>
          <w:sz w:val="18"/>
          <w:szCs w:val="22"/>
          <w:rtl/>
          <w:lang w:eastAsia="he-IL"/>
        </w:rPr>
        <w:t>ת</w:t>
      </w:r>
      <w:r w:rsidR="00FF1578">
        <w:rPr>
          <w:rFonts w:cs="FrankRuehl" w:hint="cs"/>
          <w:sz w:val="18"/>
          <w:szCs w:val="22"/>
          <w:rtl/>
          <w:lang w:eastAsia="he-IL"/>
        </w:rPr>
        <w:t xml:space="preserve"> בעתיד:</w:t>
      </w:r>
    </w:p>
    <w:p w:rsidR="00E97EDA" w:rsidRPr="00F41E78" w:rsidP="00A7557B">
      <w:pPr>
        <w:spacing w:after="120" w:line="230" w:lineRule="exact"/>
        <w:jc w:val="both"/>
        <w:rPr>
          <w:rFonts w:cs="FrankRuehl"/>
          <w:sz w:val="18"/>
          <w:szCs w:val="22"/>
          <w:rtl/>
          <w:lang w:eastAsia="he-IL"/>
        </w:rPr>
      </w:pPr>
      <w:r w:rsidRPr="00F41E78">
        <w:rPr>
          <w:rFonts w:cs="FrankRuehl" w:hint="eastAsia"/>
          <w:bCs/>
          <w:spacing w:val="40"/>
          <w:sz w:val="18"/>
          <w:szCs w:val="22"/>
          <w:rtl/>
        </w:rPr>
        <w:t>היצע</w:t>
      </w:r>
      <w:r w:rsidRPr="00F41E78">
        <w:rPr>
          <w:rFonts w:cs="FrankRuehl"/>
          <w:bCs/>
          <w:spacing w:val="40"/>
          <w:sz w:val="18"/>
          <w:szCs w:val="22"/>
          <w:rtl/>
        </w:rPr>
        <w:t xml:space="preserve"> </w:t>
      </w:r>
      <w:r w:rsidRPr="00F41E78">
        <w:rPr>
          <w:rFonts w:cs="FrankRuehl" w:hint="cs"/>
          <w:bCs/>
          <w:spacing w:val="40"/>
          <w:sz w:val="18"/>
          <w:szCs w:val="22"/>
          <w:rtl/>
        </w:rPr>
        <w:t>גדול מה</w:t>
      </w:r>
      <w:r w:rsidRPr="00F41E78">
        <w:rPr>
          <w:rFonts w:cs="FrankRuehl" w:hint="eastAsia"/>
          <w:bCs/>
          <w:spacing w:val="40"/>
          <w:sz w:val="18"/>
          <w:szCs w:val="22"/>
          <w:rtl/>
        </w:rPr>
        <w:t>ביקוש</w:t>
      </w:r>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נמצא שבמקרים מסוימים פרסם משרד הבינוי מכרז לשיווק יח"ד כאשר באותו יישוב לא היה די ביקוש לתוספת יח"ד.</w:t>
      </w:r>
    </w:p>
    <w:p w:rsidR="00E97EDA" w:rsidRPr="00F41E78" w:rsidP="00A7557B">
      <w:pPr>
        <w:spacing w:after="120" w:line="230" w:lineRule="exact"/>
        <w:jc w:val="both"/>
        <w:rPr>
          <w:rFonts w:cs="FrankRuehl"/>
          <w:b/>
          <w:bCs/>
          <w:sz w:val="18"/>
          <w:szCs w:val="22"/>
          <w:rtl/>
          <w:lang w:eastAsia="he-IL"/>
        </w:rPr>
      </w:pPr>
      <w:r w:rsidRPr="00F41E78">
        <w:rPr>
          <w:rFonts w:cs="FrankRuehl" w:hint="eastAsia"/>
          <w:bCs/>
          <w:spacing w:val="40"/>
          <w:sz w:val="18"/>
          <w:szCs w:val="22"/>
          <w:rtl/>
        </w:rPr>
        <w:t>חסמים</w:t>
      </w:r>
      <w:r w:rsidRPr="00F41E78">
        <w:rPr>
          <w:rFonts w:cs="FrankRuehl"/>
          <w:bCs/>
          <w:spacing w:val="40"/>
          <w:sz w:val="18"/>
          <w:szCs w:val="22"/>
          <w:rtl/>
        </w:rPr>
        <w:t xml:space="preserve"> </w:t>
      </w:r>
      <w:r w:rsidRPr="00F41E78">
        <w:rPr>
          <w:rFonts w:cs="FrankRuehl" w:hint="eastAsia"/>
          <w:bCs/>
          <w:spacing w:val="40"/>
          <w:sz w:val="18"/>
          <w:szCs w:val="22"/>
          <w:rtl/>
        </w:rPr>
        <w:t>בתחום</w:t>
      </w:r>
      <w:r w:rsidRPr="00F41E78">
        <w:rPr>
          <w:rFonts w:cs="FrankRuehl"/>
          <w:bCs/>
          <w:spacing w:val="40"/>
          <w:sz w:val="18"/>
          <w:szCs w:val="22"/>
          <w:rtl/>
        </w:rPr>
        <w:t xml:space="preserve"> </w:t>
      </w:r>
      <w:r w:rsidRPr="00F41E78">
        <w:rPr>
          <w:rFonts w:cs="FrankRuehl" w:hint="eastAsia"/>
          <w:bCs/>
          <w:spacing w:val="40"/>
          <w:sz w:val="18"/>
          <w:szCs w:val="22"/>
          <w:rtl/>
        </w:rPr>
        <w:t>התשתיות</w:t>
      </w:r>
      <w:r w:rsidRPr="00F41E78">
        <w:rPr>
          <w:rFonts w:cs="FrankRuehl"/>
          <w:bCs/>
          <w:spacing w:val="40"/>
          <w:sz w:val="18"/>
          <w:szCs w:val="22"/>
          <w:rtl/>
        </w:rPr>
        <w:t>:</w:t>
      </w:r>
      <w:r w:rsidRPr="00F41E78">
        <w:rPr>
          <w:rFonts w:cs="FrankRuehl"/>
          <w:sz w:val="18"/>
          <w:szCs w:val="22"/>
          <w:rtl/>
          <w:lang w:eastAsia="he-IL"/>
        </w:rPr>
        <w:t xml:space="preserve"> </w:t>
      </w:r>
      <w:r w:rsidRPr="00F41E78">
        <w:rPr>
          <w:rFonts w:cs="FrankRuehl" w:hint="cs"/>
          <w:sz w:val="18"/>
          <w:szCs w:val="22"/>
          <w:rtl/>
          <w:lang w:eastAsia="he-IL"/>
        </w:rPr>
        <w:t xml:space="preserve">נמצאו פרויקטים ששיווקם נכשל בשל חסמים שנגעו בין היתר לפיתוח תשתיות תחבורה, ביוב וקווי מתח גבוה. </w:t>
      </w:r>
    </w:p>
    <w:p w:rsidR="00E97EDA" w:rsidRPr="00F41E78" w:rsidP="00A7557B">
      <w:pPr>
        <w:spacing w:after="120" w:line="230" w:lineRule="exact"/>
        <w:jc w:val="both"/>
        <w:rPr>
          <w:rFonts w:cs="FrankRuehl"/>
          <w:sz w:val="18"/>
          <w:szCs w:val="22"/>
          <w:rtl/>
          <w:lang w:eastAsia="he-IL"/>
        </w:rPr>
      </w:pPr>
      <w:r w:rsidRPr="00F41E78">
        <w:rPr>
          <w:rFonts w:cs="FrankRuehl"/>
          <w:bCs/>
          <w:spacing w:val="40"/>
          <w:sz w:val="18"/>
          <w:szCs w:val="22"/>
          <w:rtl/>
        </w:rPr>
        <w:t>קביעת שומת ערך הקרקע על ידי השמאי הממשלתי:</w:t>
      </w:r>
      <w:r w:rsidRPr="00F41E78">
        <w:rPr>
          <w:rFonts w:cs="FrankRuehl"/>
          <w:sz w:val="18"/>
          <w:szCs w:val="22"/>
          <w:rtl/>
          <w:lang w:eastAsia="he-IL"/>
        </w:rPr>
        <w:t xml:space="preserve"> </w:t>
      </w:r>
      <w:r w:rsidRPr="00F41E78">
        <w:rPr>
          <w:rFonts w:cs="FrankRuehl" w:hint="cs"/>
          <w:sz w:val="18"/>
          <w:szCs w:val="22"/>
          <w:rtl/>
          <w:lang w:eastAsia="he-IL"/>
        </w:rPr>
        <w:t>נמצא</w:t>
      </w:r>
      <w:r w:rsidRPr="00F41E78">
        <w:rPr>
          <w:rFonts w:cs="FrankRuehl"/>
          <w:sz w:val="18"/>
          <w:szCs w:val="22"/>
          <w:rtl/>
          <w:lang w:eastAsia="he-IL"/>
        </w:rPr>
        <w:t xml:space="preserve"> </w:t>
      </w:r>
      <w:r w:rsidRPr="00F41E78">
        <w:rPr>
          <w:rFonts w:cs="FrankRuehl" w:hint="cs"/>
          <w:sz w:val="18"/>
          <w:szCs w:val="22"/>
          <w:rtl/>
          <w:lang w:eastAsia="he-IL"/>
        </w:rPr>
        <w:t>ש</w:t>
      </w:r>
      <w:r w:rsidRPr="00F41E78">
        <w:rPr>
          <w:rFonts w:cs="FrankRuehl" w:hint="eastAsia"/>
          <w:sz w:val="18"/>
          <w:szCs w:val="22"/>
          <w:rtl/>
          <w:lang w:eastAsia="he-IL"/>
        </w:rPr>
        <w:t>לעתים</w:t>
      </w:r>
      <w:r w:rsidRPr="00F41E78">
        <w:rPr>
          <w:rFonts w:cs="FrankRuehl"/>
          <w:sz w:val="18"/>
          <w:szCs w:val="22"/>
          <w:rtl/>
          <w:lang w:eastAsia="he-IL"/>
        </w:rPr>
        <w:t xml:space="preserve"> </w:t>
      </w:r>
      <w:r w:rsidRPr="00F41E78">
        <w:rPr>
          <w:rFonts w:cs="FrankRuehl" w:hint="eastAsia"/>
          <w:sz w:val="18"/>
          <w:szCs w:val="22"/>
          <w:rtl/>
          <w:lang w:eastAsia="he-IL"/>
        </w:rPr>
        <w:t>הערכת</w:t>
      </w:r>
      <w:r w:rsidRPr="00F41E78">
        <w:rPr>
          <w:rFonts w:cs="FrankRuehl"/>
          <w:sz w:val="18"/>
          <w:szCs w:val="22"/>
          <w:rtl/>
          <w:lang w:eastAsia="he-IL"/>
        </w:rPr>
        <w:t xml:space="preserve"> </w:t>
      </w:r>
      <w:r w:rsidRPr="00F41E78">
        <w:rPr>
          <w:rFonts w:cs="FrankRuehl" w:hint="eastAsia"/>
          <w:sz w:val="18"/>
          <w:szCs w:val="22"/>
          <w:rtl/>
          <w:lang w:eastAsia="he-IL"/>
        </w:rPr>
        <w:t>השמאי</w:t>
      </w:r>
      <w:r w:rsidRPr="00F41E78">
        <w:rPr>
          <w:rFonts w:cs="FrankRuehl" w:hint="cs"/>
          <w:sz w:val="18"/>
          <w:szCs w:val="22"/>
          <w:rtl/>
          <w:lang w:eastAsia="he-IL"/>
        </w:rPr>
        <w:t xml:space="preserve"> הממשלתי</w:t>
      </w:r>
      <w:r w:rsidRPr="00F41E78">
        <w:rPr>
          <w:rFonts w:cs="FrankRuehl"/>
          <w:sz w:val="18"/>
          <w:szCs w:val="22"/>
          <w:rtl/>
          <w:lang w:eastAsia="he-IL"/>
        </w:rPr>
        <w:t xml:space="preserve"> </w:t>
      </w:r>
      <w:r w:rsidRPr="00F41E78">
        <w:rPr>
          <w:rFonts w:cs="FrankRuehl" w:hint="cs"/>
          <w:sz w:val="18"/>
          <w:szCs w:val="22"/>
          <w:rtl/>
          <w:lang w:eastAsia="he-IL"/>
        </w:rPr>
        <w:t xml:space="preserve">לערך הקרקע המשווקת </w:t>
      </w:r>
      <w:r w:rsidRPr="00F41E78">
        <w:rPr>
          <w:rFonts w:cs="FrankRuehl" w:hint="eastAsia"/>
          <w:sz w:val="18"/>
          <w:szCs w:val="22"/>
          <w:rtl/>
          <w:lang w:eastAsia="he-IL"/>
        </w:rPr>
        <w:t>הייתה</w:t>
      </w:r>
      <w:r w:rsidRPr="00F41E78">
        <w:rPr>
          <w:rFonts w:cs="FrankRuehl"/>
          <w:sz w:val="18"/>
          <w:szCs w:val="22"/>
          <w:rtl/>
          <w:lang w:eastAsia="he-IL"/>
        </w:rPr>
        <w:t xml:space="preserve"> </w:t>
      </w:r>
      <w:r w:rsidRPr="00F41E78">
        <w:rPr>
          <w:rFonts w:cs="FrankRuehl" w:hint="eastAsia"/>
          <w:sz w:val="18"/>
          <w:szCs w:val="22"/>
          <w:rtl/>
          <w:lang w:eastAsia="he-IL"/>
        </w:rPr>
        <w:t>גבוהה</w:t>
      </w:r>
      <w:r w:rsidRPr="00F41E78">
        <w:rPr>
          <w:rFonts w:cs="FrankRuehl"/>
          <w:sz w:val="18"/>
          <w:szCs w:val="22"/>
          <w:rtl/>
          <w:lang w:eastAsia="he-IL"/>
        </w:rPr>
        <w:t xml:space="preserve"> </w:t>
      </w:r>
      <w:r w:rsidRPr="00F41E78">
        <w:rPr>
          <w:rFonts w:cs="FrankRuehl" w:hint="eastAsia"/>
          <w:sz w:val="18"/>
          <w:szCs w:val="22"/>
          <w:rtl/>
          <w:lang w:eastAsia="he-IL"/>
        </w:rPr>
        <w:t>במידה</w:t>
      </w:r>
      <w:r w:rsidRPr="00F41E78">
        <w:rPr>
          <w:rFonts w:cs="FrankRuehl"/>
          <w:sz w:val="18"/>
          <w:szCs w:val="22"/>
          <w:rtl/>
          <w:lang w:eastAsia="he-IL"/>
        </w:rPr>
        <w:t xml:space="preserve"> </w:t>
      </w:r>
      <w:r w:rsidRPr="00F41E78">
        <w:rPr>
          <w:rFonts w:cs="FrankRuehl" w:hint="eastAsia"/>
          <w:sz w:val="18"/>
          <w:szCs w:val="22"/>
          <w:rtl/>
          <w:lang w:eastAsia="he-IL"/>
        </w:rPr>
        <w:t>ניכרת</w:t>
      </w:r>
      <w:r w:rsidRPr="00F41E78">
        <w:rPr>
          <w:rFonts w:cs="FrankRuehl"/>
          <w:sz w:val="18"/>
          <w:szCs w:val="22"/>
          <w:rtl/>
          <w:lang w:eastAsia="he-IL"/>
        </w:rPr>
        <w:t xml:space="preserve"> </w:t>
      </w:r>
      <w:r w:rsidRPr="00F41E78">
        <w:rPr>
          <w:rFonts w:cs="FrankRuehl" w:hint="eastAsia"/>
          <w:sz w:val="18"/>
          <w:szCs w:val="22"/>
          <w:rtl/>
          <w:lang w:eastAsia="he-IL"/>
        </w:rPr>
        <w:t>מהאומדן</w:t>
      </w:r>
      <w:r w:rsidRPr="00F41E78">
        <w:rPr>
          <w:rFonts w:cs="FrankRuehl"/>
          <w:sz w:val="18"/>
          <w:szCs w:val="22"/>
          <w:rtl/>
          <w:lang w:eastAsia="he-IL"/>
        </w:rPr>
        <w:t xml:space="preserve"> </w:t>
      </w:r>
      <w:r w:rsidRPr="00F41E78">
        <w:rPr>
          <w:rFonts w:cs="FrankRuehl" w:hint="eastAsia"/>
          <w:sz w:val="18"/>
          <w:szCs w:val="22"/>
          <w:rtl/>
          <w:lang w:eastAsia="he-IL"/>
        </w:rPr>
        <w:t>של</w:t>
      </w:r>
      <w:r w:rsidRPr="00F41E78">
        <w:rPr>
          <w:rFonts w:cs="FrankRuehl"/>
          <w:sz w:val="18"/>
          <w:szCs w:val="22"/>
          <w:rtl/>
          <w:lang w:eastAsia="he-IL"/>
        </w:rPr>
        <w:t xml:space="preserve"> </w:t>
      </w:r>
      <w:r w:rsidRPr="00F41E78">
        <w:rPr>
          <w:rFonts w:cs="FrankRuehl" w:hint="eastAsia"/>
          <w:sz w:val="18"/>
          <w:szCs w:val="22"/>
          <w:rtl/>
          <w:lang w:eastAsia="he-IL"/>
        </w:rPr>
        <w:t>משרד הבינוי</w:t>
      </w:r>
      <w:r w:rsidRPr="00F41E78">
        <w:rPr>
          <w:rFonts w:cs="FrankRuehl"/>
          <w:sz w:val="18"/>
          <w:szCs w:val="22"/>
          <w:rtl/>
          <w:lang w:eastAsia="he-IL"/>
        </w:rPr>
        <w:t xml:space="preserve"> </w:t>
      </w:r>
      <w:r w:rsidRPr="00F41E78">
        <w:rPr>
          <w:rFonts w:cs="FrankRuehl" w:hint="eastAsia"/>
          <w:sz w:val="18"/>
          <w:szCs w:val="22"/>
          <w:rtl/>
          <w:lang w:eastAsia="he-IL"/>
        </w:rPr>
        <w:t>למחיר</w:t>
      </w:r>
      <w:r w:rsidRPr="00F41E78">
        <w:rPr>
          <w:rFonts w:cs="FrankRuehl"/>
          <w:sz w:val="18"/>
          <w:szCs w:val="22"/>
          <w:rtl/>
          <w:lang w:eastAsia="he-IL"/>
        </w:rPr>
        <w:t xml:space="preserve"> </w:t>
      </w:r>
      <w:r w:rsidRPr="00F41E78">
        <w:rPr>
          <w:rFonts w:cs="FrankRuehl" w:hint="eastAsia"/>
          <w:sz w:val="18"/>
          <w:szCs w:val="22"/>
          <w:rtl/>
          <w:lang w:eastAsia="he-IL"/>
        </w:rPr>
        <w:t>הקרקע</w:t>
      </w:r>
      <w:r w:rsidRPr="00F41E78">
        <w:rPr>
          <w:rFonts w:cs="FrankRuehl"/>
          <w:sz w:val="18"/>
          <w:szCs w:val="22"/>
          <w:rtl/>
          <w:lang w:eastAsia="he-IL"/>
        </w:rPr>
        <w:t xml:space="preserve"> </w:t>
      </w:r>
      <w:r w:rsidRPr="00F41E78">
        <w:rPr>
          <w:rFonts w:cs="FrankRuehl" w:hint="eastAsia"/>
          <w:sz w:val="18"/>
          <w:szCs w:val="22"/>
          <w:rtl/>
          <w:lang w:eastAsia="he-IL"/>
        </w:rPr>
        <w:t>בשוק</w:t>
      </w:r>
      <w:r w:rsidRPr="00F41E78">
        <w:rPr>
          <w:rFonts w:cs="FrankRuehl"/>
          <w:sz w:val="18"/>
          <w:szCs w:val="22"/>
          <w:rtl/>
          <w:lang w:eastAsia="he-IL"/>
        </w:rPr>
        <w:t xml:space="preserve"> </w:t>
      </w:r>
      <w:r w:rsidRPr="00F41E78">
        <w:rPr>
          <w:rFonts w:cs="FrankRuehl" w:hint="eastAsia"/>
          <w:sz w:val="18"/>
          <w:szCs w:val="22"/>
          <w:rtl/>
          <w:lang w:eastAsia="he-IL"/>
        </w:rPr>
        <w:t>החופשי</w:t>
      </w:r>
      <w:r w:rsidRPr="00F41E78">
        <w:rPr>
          <w:rFonts w:cs="FrankRuehl" w:hint="cs"/>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hint="eastAsia"/>
          <w:bCs/>
          <w:spacing w:val="40"/>
          <w:sz w:val="18"/>
          <w:szCs w:val="22"/>
          <w:rtl/>
        </w:rPr>
        <w:t>אי</w:t>
      </w:r>
      <w:r w:rsidRPr="00F41E78">
        <w:rPr>
          <w:rFonts w:cs="FrankRuehl"/>
          <w:bCs/>
          <w:spacing w:val="40"/>
          <w:sz w:val="18"/>
          <w:szCs w:val="22"/>
          <w:rtl/>
        </w:rPr>
        <w:t xml:space="preserve">-התאמה בין שטח </w:t>
      </w:r>
      <w:r w:rsidRPr="00F41E78">
        <w:rPr>
          <w:rFonts w:cs="FrankRuehl" w:hint="eastAsia"/>
          <w:bCs/>
          <w:spacing w:val="40"/>
          <w:sz w:val="18"/>
          <w:szCs w:val="22"/>
          <w:rtl/>
        </w:rPr>
        <w:t>יח</w:t>
      </w:r>
      <w:r w:rsidRPr="00F41E78">
        <w:rPr>
          <w:rFonts w:cs="FrankRuehl"/>
          <w:bCs/>
          <w:spacing w:val="40"/>
          <w:sz w:val="18"/>
          <w:szCs w:val="22"/>
          <w:rtl/>
        </w:rPr>
        <w:t xml:space="preserve">"ד </w:t>
      </w:r>
      <w:r w:rsidRPr="00F41E78">
        <w:rPr>
          <w:rFonts w:cs="FrankRuehl" w:hint="eastAsia"/>
          <w:bCs/>
          <w:spacing w:val="40"/>
          <w:sz w:val="18"/>
          <w:szCs w:val="22"/>
          <w:rtl/>
        </w:rPr>
        <w:t>כפי</w:t>
      </w:r>
      <w:r w:rsidRPr="00F41E78">
        <w:rPr>
          <w:rFonts w:cs="FrankRuehl"/>
          <w:bCs/>
          <w:spacing w:val="40"/>
          <w:sz w:val="18"/>
          <w:szCs w:val="22"/>
          <w:rtl/>
        </w:rPr>
        <w:t xml:space="preserve"> שנקבע בהוראות התכנית </w:t>
      </w:r>
      <w:r w:rsidRPr="00F41E78">
        <w:rPr>
          <w:rFonts w:cs="FrankRuehl" w:hint="eastAsia"/>
          <w:bCs/>
          <w:spacing w:val="40"/>
          <w:sz w:val="18"/>
          <w:szCs w:val="22"/>
          <w:rtl/>
        </w:rPr>
        <w:t>המפורטת</w:t>
      </w:r>
      <w:r w:rsidRPr="00F41E78">
        <w:rPr>
          <w:rFonts w:cs="FrankRuehl"/>
          <w:bCs/>
          <w:spacing w:val="40"/>
          <w:sz w:val="18"/>
          <w:szCs w:val="22"/>
          <w:rtl/>
        </w:rPr>
        <w:t xml:space="preserve"> ובין שטח </w:t>
      </w:r>
      <w:r w:rsidRPr="00F41E78">
        <w:rPr>
          <w:rFonts w:cs="FrankRuehl" w:hint="eastAsia"/>
          <w:bCs/>
          <w:spacing w:val="40"/>
          <w:sz w:val="18"/>
          <w:szCs w:val="22"/>
          <w:rtl/>
        </w:rPr>
        <w:t>יחידות הדיור</w:t>
      </w:r>
      <w:r w:rsidRPr="00F41E78">
        <w:rPr>
          <w:rFonts w:cs="FrankRuehl"/>
          <w:bCs/>
          <w:spacing w:val="40"/>
          <w:sz w:val="18"/>
          <w:szCs w:val="22"/>
          <w:rtl/>
        </w:rPr>
        <w:t xml:space="preserve"> </w:t>
      </w:r>
      <w:r w:rsidRPr="00F41E78">
        <w:rPr>
          <w:rFonts w:cs="FrankRuehl" w:hint="eastAsia"/>
          <w:bCs/>
          <w:spacing w:val="40"/>
          <w:sz w:val="18"/>
          <w:szCs w:val="22"/>
          <w:rtl/>
        </w:rPr>
        <w:t>שנקבע</w:t>
      </w:r>
      <w:r w:rsidRPr="00F41E78">
        <w:rPr>
          <w:rFonts w:cs="FrankRuehl"/>
          <w:bCs/>
          <w:spacing w:val="40"/>
          <w:sz w:val="18"/>
          <w:szCs w:val="22"/>
          <w:rtl/>
        </w:rPr>
        <w:t xml:space="preserve"> במכרזים במסלול </w:t>
      </w:r>
      <w:r w:rsidRPr="00F41E78">
        <w:rPr>
          <w:rFonts w:cs="FrankRuehl" w:hint="eastAsia"/>
          <w:bCs/>
          <w:spacing w:val="40"/>
          <w:sz w:val="18"/>
          <w:szCs w:val="22"/>
          <w:rtl/>
        </w:rPr>
        <w:t>מחיר</w:t>
      </w:r>
      <w:r w:rsidRPr="00F41E78">
        <w:rPr>
          <w:rFonts w:cs="FrankRuehl"/>
          <w:bCs/>
          <w:spacing w:val="40"/>
          <w:sz w:val="18"/>
          <w:szCs w:val="22"/>
          <w:rtl/>
        </w:rPr>
        <w:t xml:space="preserve"> </w:t>
      </w:r>
      <w:r w:rsidRPr="00F41E78">
        <w:rPr>
          <w:rFonts w:cs="FrankRuehl" w:hint="eastAsia"/>
          <w:bCs/>
          <w:spacing w:val="40"/>
          <w:sz w:val="18"/>
          <w:szCs w:val="22"/>
          <w:rtl/>
        </w:rPr>
        <w:t>למשתכן</w:t>
      </w:r>
      <w:r w:rsidRPr="00F41E78">
        <w:rPr>
          <w:rFonts w:cs="FrankRuehl"/>
          <w:bCs/>
          <w:spacing w:val="40"/>
          <w:sz w:val="18"/>
          <w:szCs w:val="22"/>
          <w:rtl/>
        </w:rPr>
        <w:t>:</w:t>
      </w:r>
      <w:r w:rsidRPr="00F41E78">
        <w:rPr>
          <w:rFonts w:cs="FrankRuehl"/>
          <w:sz w:val="18"/>
          <w:szCs w:val="22"/>
          <w:rtl/>
          <w:lang w:eastAsia="he-IL"/>
        </w:rPr>
        <w:t xml:space="preserve"> נמצא כי משרד הבינוי פרסם לעתים מכרזי שיווק </w:t>
      </w:r>
      <w:r w:rsidRPr="00F41E78">
        <w:rPr>
          <w:rFonts w:cs="FrankRuehl" w:hint="cs"/>
          <w:sz w:val="18"/>
          <w:szCs w:val="22"/>
          <w:rtl/>
          <w:lang w:eastAsia="he-IL"/>
        </w:rPr>
        <w:t>יח"ד</w:t>
      </w:r>
      <w:r w:rsidRPr="00F41E78">
        <w:rPr>
          <w:rFonts w:cs="FrankRuehl"/>
          <w:sz w:val="18"/>
          <w:szCs w:val="22"/>
          <w:rtl/>
          <w:lang w:eastAsia="he-IL"/>
        </w:rPr>
        <w:t xml:space="preserve"> במסלול מחיר למשתכן במתחמים </w:t>
      </w:r>
      <w:r w:rsidRPr="00F41E78">
        <w:rPr>
          <w:rFonts w:cs="FrankRuehl" w:hint="cs"/>
          <w:sz w:val="18"/>
          <w:szCs w:val="22"/>
          <w:rtl/>
          <w:lang w:eastAsia="he-IL"/>
        </w:rPr>
        <w:t>שבתכנית המפורטת</w:t>
      </w:r>
      <w:r w:rsidRPr="00F41E78">
        <w:rPr>
          <w:rFonts w:cs="FrankRuehl"/>
          <w:sz w:val="18"/>
          <w:szCs w:val="22"/>
          <w:rtl/>
          <w:lang w:eastAsia="he-IL"/>
        </w:rPr>
        <w:t xml:space="preserve"> שלהם נקבע שטח </w:t>
      </w:r>
      <w:r w:rsidRPr="00F41E78">
        <w:rPr>
          <w:rFonts w:cs="FrankRuehl" w:hint="cs"/>
          <w:sz w:val="18"/>
          <w:szCs w:val="22"/>
          <w:rtl/>
          <w:lang w:eastAsia="he-IL"/>
        </w:rPr>
        <w:t>יח"ד</w:t>
      </w:r>
      <w:r w:rsidRPr="00F41E78">
        <w:rPr>
          <w:rFonts w:cs="FrankRuehl"/>
          <w:sz w:val="18"/>
          <w:szCs w:val="22"/>
          <w:rtl/>
          <w:lang w:eastAsia="he-IL"/>
        </w:rPr>
        <w:t xml:space="preserve"> ממוצע העולה על 100 מ"ר, שהוא שטחה המרבי של </w:t>
      </w:r>
      <w:r w:rsidRPr="00F41E78">
        <w:rPr>
          <w:rFonts w:cs="FrankRuehl" w:hint="cs"/>
          <w:sz w:val="18"/>
          <w:szCs w:val="22"/>
          <w:rtl/>
          <w:lang w:eastAsia="he-IL"/>
        </w:rPr>
        <w:t>יח"ד</w:t>
      </w:r>
      <w:r w:rsidRPr="00F41E78">
        <w:rPr>
          <w:rFonts w:cs="FrankRuehl"/>
          <w:sz w:val="18"/>
          <w:szCs w:val="22"/>
          <w:rtl/>
          <w:lang w:eastAsia="he-IL"/>
        </w:rPr>
        <w:t xml:space="preserve"> המיועדת לזכאים במסלול </w:t>
      </w:r>
      <w:r w:rsidRPr="00F41E78">
        <w:rPr>
          <w:rFonts w:cs="FrankRuehl" w:hint="cs"/>
          <w:sz w:val="18"/>
          <w:szCs w:val="22"/>
          <w:rtl/>
          <w:lang w:eastAsia="he-IL"/>
        </w:rPr>
        <w:t>זה</w:t>
      </w:r>
      <w:r w:rsidRPr="00F41E78">
        <w:rPr>
          <w:rFonts w:cs="FrankRuehl"/>
          <w:sz w:val="18"/>
          <w:szCs w:val="22"/>
          <w:rtl/>
          <w:lang w:eastAsia="he-IL"/>
        </w:rPr>
        <w:t>. עקב כך</w:t>
      </w:r>
      <w:r w:rsidRPr="00F41E78">
        <w:rPr>
          <w:rFonts w:cs="FrankRuehl" w:hint="cs"/>
          <w:sz w:val="18"/>
          <w:szCs w:val="22"/>
          <w:rtl/>
          <w:lang w:eastAsia="he-IL"/>
        </w:rPr>
        <w:t>,</w:t>
      </w:r>
      <w:r w:rsidRPr="00F41E78">
        <w:rPr>
          <w:rFonts w:cs="FrankRuehl"/>
          <w:sz w:val="18"/>
          <w:szCs w:val="22"/>
          <w:rtl/>
          <w:lang w:eastAsia="he-IL"/>
        </w:rPr>
        <w:t xml:space="preserve"> נדרש הקבלן להקטין את שטח יחידות הדיור </w:t>
      </w:r>
      <w:r w:rsidRPr="00F41E78">
        <w:rPr>
          <w:rFonts w:cs="FrankRuehl" w:hint="eastAsia"/>
          <w:sz w:val="18"/>
          <w:szCs w:val="22"/>
          <w:rtl/>
          <w:lang w:eastAsia="he-IL"/>
        </w:rPr>
        <w:t>המיועדות</w:t>
      </w:r>
      <w:r w:rsidRPr="00F41E78">
        <w:rPr>
          <w:rFonts w:cs="FrankRuehl"/>
          <w:sz w:val="18"/>
          <w:szCs w:val="22"/>
          <w:rtl/>
          <w:lang w:eastAsia="he-IL"/>
        </w:rPr>
        <w:t xml:space="preserve"> לזכאים, </w:t>
      </w:r>
      <w:r w:rsidRPr="00F41E78">
        <w:rPr>
          <w:rFonts w:cs="FrankRuehl" w:hint="cs"/>
          <w:sz w:val="18"/>
          <w:szCs w:val="22"/>
          <w:rtl/>
          <w:lang w:eastAsia="he-IL"/>
        </w:rPr>
        <w:t>ונוצר</w:t>
      </w:r>
      <w:r w:rsidRPr="00F41E78">
        <w:rPr>
          <w:rFonts w:cs="FrankRuehl"/>
          <w:sz w:val="18"/>
          <w:szCs w:val="22"/>
          <w:rtl/>
          <w:lang w:eastAsia="he-IL"/>
        </w:rPr>
        <w:t xml:space="preserve"> עודף </w:t>
      </w:r>
      <w:r w:rsidRPr="00F41E78">
        <w:rPr>
          <w:rFonts w:cs="FrankRuehl" w:hint="cs"/>
          <w:sz w:val="18"/>
          <w:szCs w:val="22"/>
          <w:rtl/>
          <w:lang w:eastAsia="he-IL"/>
        </w:rPr>
        <w:t>ב</w:t>
      </w:r>
      <w:r w:rsidRPr="00F41E78">
        <w:rPr>
          <w:rFonts w:cs="FrankRuehl"/>
          <w:sz w:val="18"/>
          <w:szCs w:val="22"/>
          <w:rtl/>
          <w:lang w:eastAsia="he-IL"/>
        </w:rPr>
        <w:t xml:space="preserve">זכויות בנייה שלא נוצלו. </w:t>
      </w:r>
      <w:r w:rsidRPr="00F41E78">
        <w:rPr>
          <w:rFonts w:cs="FrankRuehl" w:hint="cs"/>
          <w:sz w:val="18"/>
          <w:szCs w:val="22"/>
          <w:rtl/>
          <w:lang w:eastAsia="he-IL"/>
        </w:rPr>
        <w:t>כדי</w:t>
      </w:r>
      <w:r w:rsidRPr="00F41E78">
        <w:rPr>
          <w:rFonts w:cs="FrankRuehl"/>
          <w:sz w:val="18"/>
          <w:szCs w:val="22"/>
          <w:rtl/>
          <w:lang w:eastAsia="he-IL"/>
        </w:rPr>
        <w:t xml:space="preserve"> לנצל את </w:t>
      </w:r>
      <w:r w:rsidRPr="00F41E78">
        <w:rPr>
          <w:rFonts w:cs="FrankRuehl" w:hint="cs"/>
          <w:sz w:val="18"/>
          <w:szCs w:val="22"/>
          <w:rtl/>
          <w:lang w:eastAsia="he-IL"/>
        </w:rPr>
        <w:t>ה</w:t>
      </w:r>
      <w:r w:rsidRPr="00F41E78">
        <w:rPr>
          <w:rFonts w:cs="FrankRuehl"/>
          <w:sz w:val="18"/>
          <w:szCs w:val="22"/>
          <w:rtl/>
          <w:lang w:eastAsia="he-IL"/>
        </w:rPr>
        <w:t xml:space="preserve">עודף </w:t>
      </w:r>
      <w:r w:rsidRPr="00F41E78">
        <w:rPr>
          <w:rFonts w:cs="FrankRuehl" w:hint="cs"/>
          <w:sz w:val="18"/>
          <w:szCs w:val="22"/>
          <w:rtl/>
          <w:lang w:eastAsia="he-IL"/>
        </w:rPr>
        <w:t>הזה</w:t>
      </w:r>
      <w:r w:rsidRPr="00F41E78">
        <w:rPr>
          <w:rFonts w:cs="FrankRuehl"/>
          <w:sz w:val="18"/>
          <w:szCs w:val="22"/>
          <w:rtl/>
          <w:lang w:eastAsia="he-IL"/>
        </w:rPr>
        <w:t xml:space="preserve"> נדרש הקבלן להגדיל את שטחן של יתר יחידות הדיור במתחם, לעתים במידה ניכרת. במקרים כאל</w:t>
      </w:r>
      <w:r w:rsidRPr="00F41E78">
        <w:rPr>
          <w:rFonts w:cs="FrankRuehl" w:hint="cs"/>
          <w:sz w:val="18"/>
          <w:szCs w:val="22"/>
          <w:rtl/>
          <w:lang w:eastAsia="he-IL"/>
        </w:rPr>
        <w:t>ו</w:t>
      </w:r>
      <w:r w:rsidRPr="00F41E78">
        <w:rPr>
          <w:rFonts w:cs="FrankRuehl"/>
          <w:sz w:val="18"/>
          <w:szCs w:val="22"/>
          <w:rtl/>
          <w:lang w:eastAsia="he-IL"/>
        </w:rPr>
        <w:t xml:space="preserve"> העריכו הקבלנים המציעים שמחירן של יחידות הדיור המוגדלות יהיה גבוה מדי ויקשה על שיווקן</w:t>
      </w:r>
      <w:r w:rsidRPr="00F41E78">
        <w:rPr>
          <w:rFonts w:cs="FrankRuehl" w:hint="cs"/>
          <w:sz w:val="18"/>
          <w:szCs w:val="22"/>
          <w:rtl/>
          <w:lang w:eastAsia="he-IL"/>
        </w:rPr>
        <w:t>;</w:t>
      </w:r>
      <w:r w:rsidRPr="00F41E78">
        <w:rPr>
          <w:rFonts w:cs="FrankRuehl"/>
          <w:sz w:val="18"/>
          <w:szCs w:val="22"/>
          <w:rtl/>
          <w:lang w:eastAsia="he-IL"/>
        </w:rPr>
        <w:t xml:space="preserve"> לכן</w:t>
      </w:r>
      <w:r w:rsidRPr="00F41E78">
        <w:rPr>
          <w:rFonts w:cs="FrankRuehl" w:hint="cs"/>
          <w:sz w:val="18"/>
          <w:szCs w:val="22"/>
          <w:rtl/>
          <w:lang w:eastAsia="he-IL"/>
        </w:rPr>
        <w:t>,</w:t>
      </w:r>
      <w:r w:rsidRPr="00F41E78">
        <w:rPr>
          <w:rFonts w:cs="FrankRuehl"/>
          <w:sz w:val="18"/>
          <w:szCs w:val="22"/>
          <w:rtl/>
          <w:lang w:eastAsia="he-IL"/>
        </w:rPr>
        <w:t xml:space="preserve"> הם נמנעו מלהגיש הצעות למכרזים אלו. </w:t>
      </w:r>
    </w:p>
    <w:p w:rsidR="00E97EDA" w:rsidRPr="00F41E78" w:rsidP="003E789E">
      <w:pPr>
        <w:spacing w:after="120" w:line="230" w:lineRule="exact"/>
        <w:jc w:val="both"/>
        <w:rPr>
          <w:rFonts w:cs="FrankRuehl"/>
          <w:spacing w:val="40"/>
          <w:sz w:val="18"/>
          <w:szCs w:val="22"/>
          <w:rtl/>
        </w:rPr>
      </w:pPr>
      <w:r w:rsidRPr="00F41E78">
        <w:rPr>
          <w:rFonts w:cs="FrankRuehl" w:hint="eastAsia"/>
          <w:bCs/>
          <w:spacing w:val="40"/>
          <w:sz w:val="18"/>
          <w:szCs w:val="22"/>
          <w:rtl/>
        </w:rPr>
        <w:t>הבדלי</w:t>
      </w:r>
      <w:r w:rsidRPr="00F41E78">
        <w:rPr>
          <w:rFonts w:cs="FrankRuehl"/>
          <w:bCs/>
          <w:spacing w:val="40"/>
          <w:sz w:val="18"/>
          <w:szCs w:val="22"/>
          <w:rtl/>
        </w:rPr>
        <w:t xml:space="preserve"> </w:t>
      </w:r>
      <w:r w:rsidRPr="00F41E78">
        <w:rPr>
          <w:rFonts w:cs="FrankRuehl" w:hint="eastAsia"/>
          <w:bCs/>
          <w:spacing w:val="40"/>
          <w:sz w:val="18"/>
          <w:szCs w:val="22"/>
          <w:rtl/>
        </w:rPr>
        <w:t>אינטרסים</w:t>
      </w:r>
      <w:r w:rsidRPr="00F41E78">
        <w:rPr>
          <w:rFonts w:cs="FrankRuehl"/>
          <w:bCs/>
          <w:spacing w:val="40"/>
          <w:sz w:val="18"/>
          <w:szCs w:val="22"/>
          <w:rtl/>
        </w:rPr>
        <w:t xml:space="preserve"> </w:t>
      </w:r>
      <w:r w:rsidRPr="00F41E78">
        <w:rPr>
          <w:rFonts w:cs="FrankRuehl" w:hint="eastAsia"/>
          <w:bCs/>
          <w:spacing w:val="40"/>
          <w:sz w:val="18"/>
          <w:szCs w:val="22"/>
          <w:rtl/>
        </w:rPr>
        <w:t>בין</w:t>
      </w:r>
      <w:r w:rsidRPr="00F41E78">
        <w:rPr>
          <w:rFonts w:cs="FrankRuehl"/>
          <w:bCs/>
          <w:spacing w:val="40"/>
          <w:sz w:val="18"/>
          <w:szCs w:val="22"/>
          <w:rtl/>
        </w:rPr>
        <w:t xml:space="preserve"> </w:t>
      </w:r>
      <w:r w:rsidRPr="00F41E78">
        <w:rPr>
          <w:rFonts w:cs="FrankRuehl" w:hint="eastAsia"/>
          <w:bCs/>
          <w:spacing w:val="40"/>
          <w:sz w:val="18"/>
          <w:szCs w:val="22"/>
          <w:rtl/>
        </w:rPr>
        <w:t>ראשי</w:t>
      </w:r>
      <w:r w:rsidRPr="00F41E78">
        <w:rPr>
          <w:rFonts w:cs="FrankRuehl"/>
          <w:bCs/>
          <w:spacing w:val="40"/>
          <w:sz w:val="18"/>
          <w:szCs w:val="22"/>
          <w:rtl/>
        </w:rPr>
        <w:t xml:space="preserve"> </w:t>
      </w:r>
      <w:r w:rsidRPr="00F41E78">
        <w:rPr>
          <w:rFonts w:cs="FrankRuehl" w:hint="eastAsia"/>
          <w:bCs/>
          <w:spacing w:val="40"/>
          <w:sz w:val="18"/>
          <w:szCs w:val="22"/>
          <w:rtl/>
        </w:rPr>
        <w:t>רשויות</w:t>
      </w:r>
      <w:r w:rsidRPr="00F41E78">
        <w:rPr>
          <w:rFonts w:cs="FrankRuehl"/>
          <w:bCs/>
          <w:spacing w:val="40"/>
          <w:sz w:val="18"/>
          <w:szCs w:val="22"/>
          <w:rtl/>
        </w:rPr>
        <w:t xml:space="preserve"> </w:t>
      </w:r>
      <w:r w:rsidRPr="00F41E78">
        <w:rPr>
          <w:rFonts w:cs="FrankRuehl" w:hint="eastAsia"/>
          <w:bCs/>
          <w:spacing w:val="40"/>
          <w:sz w:val="18"/>
          <w:szCs w:val="22"/>
          <w:rtl/>
        </w:rPr>
        <w:t>מקומיות</w:t>
      </w:r>
      <w:r w:rsidRPr="00F41E78">
        <w:rPr>
          <w:rFonts w:cs="FrankRuehl"/>
          <w:bCs/>
          <w:spacing w:val="40"/>
          <w:sz w:val="18"/>
          <w:szCs w:val="22"/>
          <w:rtl/>
        </w:rPr>
        <w:t xml:space="preserve"> </w:t>
      </w:r>
      <w:r w:rsidRPr="00F41E78">
        <w:rPr>
          <w:rFonts w:cs="FrankRuehl" w:hint="eastAsia"/>
          <w:bCs/>
          <w:spacing w:val="40"/>
          <w:sz w:val="18"/>
          <w:szCs w:val="22"/>
          <w:rtl/>
        </w:rPr>
        <w:t>לרמ</w:t>
      </w:r>
      <w:r w:rsidRPr="00F41E78">
        <w:rPr>
          <w:rFonts w:cs="FrankRuehl"/>
          <w:bCs/>
          <w:spacing w:val="40"/>
          <w:sz w:val="18"/>
          <w:szCs w:val="22"/>
          <w:rtl/>
        </w:rPr>
        <w:t xml:space="preserve">"י </w:t>
      </w:r>
      <w:r w:rsidRPr="00F41E78">
        <w:rPr>
          <w:rFonts w:cs="FrankRuehl" w:hint="eastAsia"/>
          <w:bCs/>
          <w:spacing w:val="40"/>
          <w:sz w:val="18"/>
          <w:szCs w:val="22"/>
          <w:rtl/>
        </w:rPr>
        <w:t>ו</w:t>
      </w:r>
      <w:r w:rsidRPr="00F41E78">
        <w:rPr>
          <w:rFonts w:cs="FrankRuehl" w:hint="cs"/>
          <w:bCs/>
          <w:spacing w:val="40"/>
          <w:sz w:val="18"/>
          <w:szCs w:val="22"/>
          <w:rtl/>
        </w:rPr>
        <w:t>ל</w:t>
      </w:r>
      <w:r w:rsidRPr="00F41E78">
        <w:rPr>
          <w:rFonts w:cs="FrankRuehl" w:hint="eastAsia"/>
          <w:bCs/>
          <w:spacing w:val="40"/>
          <w:sz w:val="18"/>
          <w:szCs w:val="22"/>
          <w:rtl/>
        </w:rPr>
        <w:t>משרד הבינוי</w:t>
      </w:r>
      <w:r w:rsidRPr="00F41E78">
        <w:rPr>
          <w:rFonts w:cs="FrankRuehl"/>
          <w:bCs/>
          <w:spacing w:val="40"/>
          <w:sz w:val="18"/>
          <w:szCs w:val="22"/>
          <w:rtl/>
        </w:rPr>
        <w:t xml:space="preserve"> </w:t>
      </w:r>
      <w:r w:rsidRPr="00F41E78">
        <w:rPr>
          <w:rFonts w:cs="FrankRuehl" w:hint="eastAsia"/>
          <w:bCs/>
          <w:spacing w:val="40"/>
          <w:sz w:val="18"/>
          <w:szCs w:val="22"/>
          <w:rtl/>
        </w:rPr>
        <w:t>בנוגע</w:t>
      </w:r>
      <w:r w:rsidRPr="00F41E78">
        <w:rPr>
          <w:rFonts w:cs="FrankRuehl"/>
          <w:bCs/>
          <w:spacing w:val="40"/>
          <w:sz w:val="18"/>
          <w:szCs w:val="22"/>
          <w:rtl/>
        </w:rPr>
        <w:t xml:space="preserve"> </w:t>
      </w:r>
      <w:r w:rsidRPr="00F41E78">
        <w:rPr>
          <w:rFonts w:cs="FrankRuehl" w:hint="eastAsia"/>
          <w:bCs/>
          <w:spacing w:val="40"/>
          <w:sz w:val="18"/>
          <w:szCs w:val="22"/>
          <w:rtl/>
        </w:rPr>
        <w:t>לבנייה</w:t>
      </w:r>
      <w:r w:rsidRPr="00F41E78">
        <w:rPr>
          <w:rFonts w:cs="FrankRuehl"/>
          <w:bCs/>
          <w:spacing w:val="40"/>
          <w:sz w:val="18"/>
          <w:szCs w:val="22"/>
          <w:rtl/>
        </w:rPr>
        <w:t xml:space="preserve"> </w:t>
      </w:r>
      <w:r w:rsidRPr="00F41E78">
        <w:rPr>
          <w:rFonts w:cs="FrankRuehl" w:hint="eastAsia"/>
          <w:bCs/>
          <w:spacing w:val="40"/>
          <w:sz w:val="18"/>
          <w:szCs w:val="22"/>
          <w:rtl/>
        </w:rPr>
        <w:t>במסלול</w:t>
      </w:r>
      <w:r w:rsidRPr="00F41E78">
        <w:rPr>
          <w:rFonts w:cs="FrankRuehl"/>
          <w:bCs/>
          <w:spacing w:val="40"/>
          <w:sz w:val="18"/>
          <w:szCs w:val="22"/>
          <w:rtl/>
        </w:rPr>
        <w:t xml:space="preserve"> </w:t>
      </w:r>
      <w:r w:rsidRPr="00F41E78">
        <w:rPr>
          <w:rFonts w:cs="FrankRuehl" w:hint="eastAsia"/>
          <w:bCs/>
          <w:spacing w:val="40"/>
          <w:sz w:val="18"/>
          <w:szCs w:val="22"/>
          <w:rtl/>
        </w:rPr>
        <w:t>מחיר</w:t>
      </w:r>
      <w:r w:rsidRPr="00F41E78">
        <w:rPr>
          <w:rFonts w:cs="FrankRuehl"/>
          <w:bCs/>
          <w:spacing w:val="40"/>
          <w:sz w:val="18"/>
          <w:szCs w:val="22"/>
          <w:rtl/>
        </w:rPr>
        <w:t xml:space="preserve"> </w:t>
      </w:r>
      <w:r w:rsidRPr="00F41E78">
        <w:rPr>
          <w:rFonts w:cs="FrankRuehl" w:hint="eastAsia"/>
          <w:bCs/>
          <w:spacing w:val="40"/>
          <w:sz w:val="18"/>
          <w:szCs w:val="22"/>
          <w:rtl/>
        </w:rPr>
        <w:t>למשתכן</w:t>
      </w:r>
      <w:r w:rsidRPr="00F41E78">
        <w:rPr>
          <w:rFonts w:cs="FrankRuehl"/>
          <w:bCs/>
          <w:spacing w:val="40"/>
          <w:sz w:val="18"/>
          <w:szCs w:val="22"/>
          <w:rtl/>
        </w:rPr>
        <w:t xml:space="preserve">: </w:t>
      </w:r>
      <w:r w:rsidRPr="00F41E78">
        <w:rPr>
          <w:rFonts w:cs="FrankRuehl" w:hint="cs"/>
          <w:b/>
          <w:sz w:val="18"/>
          <w:szCs w:val="22"/>
          <w:rtl/>
          <w:lang w:eastAsia="he-IL"/>
        </w:rPr>
        <w:t>עלה כי יש פער בין המוטיבציה של משרד הבינוי לקדם תכניות של בנייה במסלול מחיר למשתכן כדי לספק פתרונות דיור לזכאים ובין שאיפתם של ראשי רשויות מקומיות להגיע לרמה סוציו-אקונומית גבוהה ביישוביהם; לדעתם, רמה סוציו-אקונומית גבוהה אינה עולה בקנה אחד עם יישום תכניות של בנייה במסלול מחיר למשתכן. עקב כך התעכב שיווקם של פרויקטים מסוימים או שלא יצא כלל לפועל.</w:t>
      </w:r>
      <w:r w:rsidRPr="00F41E78">
        <w:rPr>
          <w:rFonts w:cs="FrankRuehl" w:hint="cs"/>
          <w:spacing w:val="40"/>
          <w:sz w:val="18"/>
          <w:szCs w:val="22"/>
          <w:rtl/>
        </w:rPr>
        <w:t xml:space="preserve"> </w:t>
      </w:r>
    </w:p>
    <w:p w:rsidR="00E97EDA" w:rsidRPr="00F41E78" w:rsidP="00FF1578">
      <w:pPr>
        <w:spacing w:after="240" w:line="230" w:lineRule="exact"/>
        <w:jc w:val="both"/>
        <w:rPr>
          <w:rFonts w:cs="FrankRuehl"/>
          <w:sz w:val="18"/>
          <w:szCs w:val="22"/>
          <w:rtl/>
          <w:lang w:eastAsia="he-IL"/>
        </w:rPr>
      </w:pPr>
      <w:r w:rsidRPr="00F41E78">
        <w:rPr>
          <w:rFonts w:cs="FrankRuehl" w:hint="eastAsia"/>
          <w:bCs/>
          <w:spacing w:val="40"/>
          <w:sz w:val="18"/>
          <w:szCs w:val="22"/>
          <w:rtl/>
        </w:rPr>
        <w:t>תיאום</w:t>
      </w:r>
      <w:r w:rsidRPr="00F41E78">
        <w:rPr>
          <w:rFonts w:cs="FrankRuehl"/>
          <w:bCs/>
          <w:spacing w:val="40"/>
          <w:sz w:val="18"/>
          <w:szCs w:val="22"/>
          <w:rtl/>
        </w:rPr>
        <w:t xml:space="preserve"> </w:t>
      </w:r>
      <w:r w:rsidRPr="00F41E78">
        <w:rPr>
          <w:rFonts w:cs="FrankRuehl" w:hint="eastAsia"/>
          <w:bCs/>
          <w:spacing w:val="40"/>
          <w:sz w:val="18"/>
          <w:szCs w:val="22"/>
          <w:rtl/>
        </w:rPr>
        <w:t>בין</w:t>
      </w:r>
      <w:r w:rsidRPr="00F41E78">
        <w:rPr>
          <w:rFonts w:cs="FrankRuehl"/>
          <w:bCs/>
          <w:spacing w:val="40"/>
          <w:sz w:val="18"/>
          <w:szCs w:val="22"/>
          <w:rtl/>
        </w:rPr>
        <w:t xml:space="preserve"> </w:t>
      </w:r>
      <w:r w:rsidRPr="00F41E78">
        <w:rPr>
          <w:rFonts w:cs="FrankRuehl" w:hint="eastAsia"/>
          <w:bCs/>
          <w:spacing w:val="40"/>
          <w:sz w:val="18"/>
          <w:szCs w:val="22"/>
          <w:rtl/>
        </w:rPr>
        <w:t>משרד הבינוי</w:t>
      </w:r>
      <w:r w:rsidRPr="00F41E78">
        <w:rPr>
          <w:rFonts w:cs="FrankRuehl"/>
          <w:bCs/>
          <w:spacing w:val="40"/>
          <w:sz w:val="18"/>
          <w:szCs w:val="22"/>
          <w:rtl/>
        </w:rPr>
        <w:t xml:space="preserve"> </w:t>
      </w:r>
      <w:r w:rsidRPr="00F41E78">
        <w:rPr>
          <w:rFonts w:cs="FrankRuehl" w:hint="eastAsia"/>
          <w:bCs/>
          <w:spacing w:val="40"/>
          <w:sz w:val="18"/>
          <w:szCs w:val="22"/>
          <w:rtl/>
        </w:rPr>
        <w:t>לרמ</w:t>
      </w:r>
      <w:r w:rsidRPr="00F41E78">
        <w:rPr>
          <w:rFonts w:cs="FrankRuehl"/>
          <w:bCs/>
          <w:spacing w:val="40"/>
          <w:sz w:val="18"/>
          <w:szCs w:val="22"/>
          <w:rtl/>
        </w:rPr>
        <w:t>"י:</w:t>
      </w:r>
      <w:r w:rsidRPr="00F41E78">
        <w:rPr>
          <w:rFonts w:cs="FrankRuehl"/>
          <w:sz w:val="18"/>
          <w:szCs w:val="22"/>
          <w:rtl/>
          <w:lang w:eastAsia="he-IL"/>
        </w:rPr>
        <w:t xml:space="preserve"> </w:t>
      </w:r>
      <w:r w:rsidRPr="00F41E78">
        <w:rPr>
          <w:rFonts w:cs="FrankRuehl" w:hint="cs"/>
          <w:sz w:val="18"/>
          <w:szCs w:val="22"/>
          <w:rtl/>
          <w:lang w:eastAsia="he-IL"/>
        </w:rPr>
        <w:t>בתהליך שיווק הקרקע לבנייה מעורבים רמ"י ומשרד הבינוי, ולהצלחת התהליך נדרש תיאום בין שני הגופים. בין השאר עליהם לתאם את המקום שבו יוקם המתחם ואת לוח הזמנים לפרסום המכרז, לקבוע את מספר יחידות הדיור שישווקו, לרבות אלו שישווקו במסגרת מסלול מחיר למשתכן, ואת תמהיל יחידות הדיור על פי שטחן. כמו כן עליהם לשתף מידע בנוגע לשיווקים שנעשו בעבר באזור. עלה</w:t>
      </w:r>
      <w:r w:rsidRPr="00F41E78">
        <w:rPr>
          <w:rFonts w:cs="FrankRuehl"/>
          <w:sz w:val="18"/>
          <w:szCs w:val="22"/>
          <w:rtl/>
          <w:lang w:eastAsia="he-IL"/>
        </w:rPr>
        <w:t xml:space="preserve"> ששיתוף הפעולה בין משרד הבינוי </w:t>
      </w:r>
      <w:r w:rsidRPr="00F41E78">
        <w:rPr>
          <w:rFonts w:cs="FrankRuehl" w:hint="eastAsia"/>
          <w:sz w:val="18"/>
          <w:szCs w:val="22"/>
          <w:rtl/>
          <w:lang w:eastAsia="he-IL"/>
        </w:rPr>
        <w:t>לרמ</w:t>
      </w:r>
      <w:r w:rsidRPr="00F41E78">
        <w:rPr>
          <w:rFonts w:cs="FrankRuehl"/>
          <w:sz w:val="18"/>
          <w:szCs w:val="22"/>
          <w:rtl/>
          <w:lang w:eastAsia="he-IL"/>
        </w:rPr>
        <w:t xml:space="preserve">"י היה מוגבל, ובפועל כל גוף פעל בנפרד. </w:t>
      </w:r>
    </w:p>
    <w:p w:rsidR="00D22B16" w:rsidRPr="00F41E78" w:rsidP="00D22B16">
      <w:pPr>
        <w:pStyle w:val="RESHET"/>
        <w:keepLines/>
        <w:rPr>
          <w:rtl/>
        </w:rPr>
      </w:pPr>
      <w:r w:rsidRPr="00F41E78">
        <w:rPr>
          <w:rFonts w:hint="cs"/>
          <w:rtl/>
        </w:rPr>
        <w:t>לדעת משרד מבקר המדינה, בטרם משרד הבינוי מפרסם מכרזים לשיווק קרקע לבנייה למגורים, ובשאיפה שהשיווק יצליח, עליו לבחון גם את ההיתכנות ליישום הפרויקט. עליו לעשות זאת על בסיס בחינה של רמות הביקוש לשיווק יח"ד באזור המיועד ושל הוראות התכנית המפורטת התקפה למתחם המשווק וכן מיפוי החסמים הקיימים העלולים למנוע את קידום הפרויקטים.</w:t>
      </w:r>
      <w:r w:rsidRPr="00F41E78">
        <w:rPr>
          <w:rtl/>
        </w:rPr>
        <w:t xml:space="preserve"> </w:t>
      </w:r>
      <w:r w:rsidRPr="00F41E78">
        <w:rPr>
          <w:rFonts w:hint="cs"/>
          <w:rtl/>
        </w:rPr>
        <w:t>נוסף לכך, עליו לפעול לתיאום עמדות עם ראשי הרשויות המקומיות ועם רמ"י כבר בשלבי התכנון המקדים. בדיקה מקדמית כזאת היא חלק מבדיקת ההיתכנות הסדורה שיש לבצע, ועליה להיעשות מתוך התחשבות בעובדה שדיור בר השגה מיועד לאוכלוסייה רחבת היקף המונה מאות אלפי משקי בית. הבדיקה המקדמית לכשתיעשה תמנע עיכובים בהקמת הפרויקטים ותאפשר איתורם של חסמים ושל גורמים מעכבים צפויים הכרוכים בדרישותיהן של הרשויות המקומיות.</w:t>
      </w:r>
    </w:p>
    <w:p w:rsidR="003E789E" w:rsidP="00FF1578">
      <w:pPr>
        <w:spacing w:after="60" w:line="230" w:lineRule="exact"/>
        <w:jc w:val="both"/>
        <w:rPr>
          <w:rFonts w:cs="FrankRuehl"/>
          <w:sz w:val="22"/>
          <w:szCs w:val="22"/>
          <w:rtl/>
        </w:rPr>
      </w:pPr>
    </w:p>
    <w:p w:rsidR="003E789E" w:rsidP="003E789E">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3E789E" w:rsidP="00FF1578">
      <w:pPr>
        <w:spacing w:after="60" w:line="230" w:lineRule="exact"/>
        <w:jc w:val="both"/>
        <w:rPr>
          <w:rFonts w:cs="FrankRuehl"/>
          <w:sz w:val="22"/>
          <w:szCs w:val="22"/>
          <w:rtl/>
        </w:rPr>
      </w:pPr>
    </w:p>
    <w:p w:rsidR="00D22B16" w:rsidRPr="00F41E78" w:rsidP="00D22B16">
      <w:pPr>
        <w:pStyle w:val="RESHET"/>
        <w:keepLines/>
        <w:rPr>
          <w:rtl/>
        </w:rPr>
      </w:pPr>
      <w:r w:rsidRPr="00F41E78">
        <w:rPr>
          <w:rFonts w:hint="cs"/>
          <w:rtl/>
        </w:rPr>
        <w:t xml:space="preserve">משנת 1994 משרד הבינוי הפעיל את המסלול מחיר למשתכן. </w:t>
      </w:r>
      <w:r w:rsidRPr="00F41E78">
        <w:rPr>
          <w:rFonts w:hint="eastAsia"/>
          <w:rtl/>
        </w:rPr>
        <w:t>המשרד</w:t>
      </w:r>
      <w:r w:rsidRPr="00F41E78">
        <w:rPr>
          <w:rtl/>
        </w:rPr>
        <w:t xml:space="preserve"> </w:t>
      </w:r>
      <w:r w:rsidRPr="00F41E78">
        <w:rPr>
          <w:rFonts w:hint="eastAsia"/>
          <w:rtl/>
        </w:rPr>
        <w:t>קבע</w:t>
      </w:r>
      <w:r w:rsidRPr="00F41E78">
        <w:rPr>
          <w:rtl/>
        </w:rPr>
        <w:t xml:space="preserve"> </w:t>
      </w:r>
      <w:r w:rsidRPr="00F41E78">
        <w:rPr>
          <w:rFonts w:hint="eastAsia"/>
          <w:rtl/>
        </w:rPr>
        <w:t>את</w:t>
      </w:r>
      <w:r w:rsidRPr="00F41E78">
        <w:rPr>
          <w:rtl/>
        </w:rPr>
        <w:t xml:space="preserve"> </w:t>
      </w:r>
      <w:r w:rsidRPr="00F41E78">
        <w:rPr>
          <w:rFonts w:hint="eastAsia"/>
          <w:rtl/>
        </w:rPr>
        <w:t>יעדיו</w:t>
      </w:r>
      <w:r w:rsidRPr="00F41E78">
        <w:rPr>
          <w:rtl/>
        </w:rPr>
        <w:t xml:space="preserve"> </w:t>
      </w:r>
      <w:r w:rsidRPr="00F41E78">
        <w:rPr>
          <w:rFonts w:hint="eastAsia"/>
          <w:rtl/>
        </w:rPr>
        <w:t>של</w:t>
      </w:r>
      <w:r w:rsidRPr="00F41E78">
        <w:rPr>
          <w:rtl/>
        </w:rPr>
        <w:t xml:space="preserve"> </w:t>
      </w:r>
      <w:r w:rsidRPr="00F41E78">
        <w:rPr>
          <w:rFonts w:hint="eastAsia"/>
          <w:rtl/>
        </w:rPr>
        <w:t>מסלול</w:t>
      </w:r>
      <w:r w:rsidRPr="00F41E78">
        <w:rPr>
          <w:rtl/>
        </w:rPr>
        <w:t xml:space="preserve"> </w:t>
      </w:r>
      <w:r w:rsidRPr="00F41E78">
        <w:rPr>
          <w:rFonts w:hint="eastAsia"/>
          <w:rtl/>
        </w:rPr>
        <w:t>זה</w:t>
      </w:r>
      <w:r w:rsidRPr="00F41E78">
        <w:rPr>
          <w:rtl/>
        </w:rPr>
        <w:t xml:space="preserve">: </w:t>
      </w:r>
      <w:r w:rsidRPr="00F41E78">
        <w:rPr>
          <w:rFonts w:hint="eastAsia"/>
          <w:rtl/>
        </w:rPr>
        <w:t>הצעת</w:t>
      </w:r>
      <w:r w:rsidRPr="00F41E78">
        <w:rPr>
          <w:rtl/>
        </w:rPr>
        <w:t xml:space="preserve"> </w:t>
      </w:r>
      <w:r w:rsidRPr="00F41E78">
        <w:rPr>
          <w:rFonts w:hint="eastAsia"/>
          <w:rtl/>
        </w:rPr>
        <w:t>פתרונות</w:t>
      </w:r>
      <w:r w:rsidRPr="00F41E78">
        <w:rPr>
          <w:rtl/>
        </w:rPr>
        <w:t xml:space="preserve"> </w:t>
      </w:r>
      <w:r w:rsidRPr="00F41E78">
        <w:rPr>
          <w:rFonts w:hint="eastAsia"/>
          <w:rtl/>
        </w:rPr>
        <w:t>דיור</w:t>
      </w:r>
      <w:r w:rsidRPr="00F41E78">
        <w:rPr>
          <w:rtl/>
        </w:rPr>
        <w:t xml:space="preserve"> </w:t>
      </w:r>
      <w:r w:rsidRPr="00F41E78">
        <w:rPr>
          <w:rFonts w:hint="eastAsia"/>
          <w:rtl/>
        </w:rPr>
        <w:t>זולים</w:t>
      </w:r>
      <w:r w:rsidRPr="00F41E78">
        <w:rPr>
          <w:rtl/>
        </w:rPr>
        <w:t xml:space="preserve"> </w:t>
      </w:r>
      <w:r w:rsidRPr="00F41E78">
        <w:rPr>
          <w:rFonts w:hint="eastAsia"/>
          <w:rtl/>
        </w:rPr>
        <w:t>לזכאי</w:t>
      </w:r>
      <w:r w:rsidRPr="00F41E78">
        <w:rPr>
          <w:rtl/>
        </w:rPr>
        <w:t xml:space="preserve"> </w:t>
      </w:r>
      <w:r w:rsidRPr="00F41E78">
        <w:rPr>
          <w:rFonts w:hint="eastAsia"/>
          <w:rtl/>
        </w:rPr>
        <w:t>משרד הבינוי</w:t>
      </w:r>
      <w:r w:rsidRPr="00F41E78">
        <w:rPr>
          <w:rtl/>
        </w:rPr>
        <w:t xml:space="preserve">, </w:t>
      </w:r>
      <w:r w:rsidRPr="00F41E78">
        <w:rPr>
          <w:rFonts w:hint="eastAsia"/>
          <w:rtl/>
        </w:rPr>
        <w:t>והוזלת</w:t>
      </w:r>
      <w:r w:rsidRPr="00F41E78">
        <w:rPr>
          <w:rtl/>
        </w:rPr>
        <w:t xml:space="preserve"> </w:t>
      </w:r>
      <w:r w:rsidRPr="00F41E78">
        <w:rPr>
          <w:rFonts w:hint="eastAsia"/>
          <w:rtl/>
        </w:rPr>
        <w:t>מחירי</w:t>
      </w:r>
      <w:r w:rsidRPr="00F41E78">
        <w:rPr>
          <w:rtl/>
        </w:rPr>
        <w:t xml:space="preserve"> </w:t>
      </w:r>
      <w:r w:rsidRPr="00F41E78">
        <w:rPr>
          <w:rFonts w:hint="eastAsia"/>
          <w:rtl/>
        </w:rPr>
        <w:t>הדיור</w:t>
      </w:r>
      <w:r w:rsidRPr="00F41E78">
        <w:rPr>
          <w:rtl/>
        </w:rPr>
        <w:t xml:space="preserve"> </w:t>
      </w:r>
      <w:r w:rsidRPr="00F41E78">
        <w:rPr>
          <w:rFonts w:hint="eastAsia"/>
          <w:rtl/>
        </w:rPr>
        <w:t>בשוק</w:t>
      </w:r>
      <w:r w:rsidRPr="00F41E78">
        <w:rPr>
          <w:rtl/>
        </w:rPr>
        <w:t xml:space="preserve"> </w:t>
      </w:r>
      <w:r w:rsidRPr="00F41E78">
        <w:rPr>
          <w:rFonts w:hint="eastAsia"/>
          <w:rtl/>
        </w:rPr>
        <w:t>החופשי</w:t>
      </w:r>
      <w:r w:rsidRPr="00F41E78">
        <w:rPr>
          <w:rFonts w:hint="cs"/>
          <w:rtl/>
        </w:rPr>
        <w:t xml:space="preserve">. עם העלייה במחירי הדיור שהחלה בסוף 2007 הציג המשרד מסלול זה כפתרון לבעיית המחסור בדיור בר השגה. </w:t>
      </w:r>
    </w:p>
    <w:p w:rsidR="00D22B16" w:rsidRPr="00F41E78" w:rsidP="00D22B16">
      <w:pPr>
        <w:pStyle w:val="RESHET"/>
        <w:keepLines/>
        <w:rPr>
          <w:rtl/>
        </w:rPr>
      </w:pPr>
      <w:r w:rsidRPr="00F41E78">
        <w:rPr>
          <w:rFonts w:hint="cs"/>
          <w:rtl/>
        </w:rPr>
        <w:t xml:space="preserve">בהפעלת מסלול מחיר למשתכן בולט כשל אחד שתחילתו נעוצה בעובדה שבהחלטות הממשלה ובהחלטות מועצת מקרקעי ישראל לא תמיד נכללו יעדים כמותיים ולוחות זמנים להשגתם, והמשכו בכך שמשרד הבינוי, הגוף המרכזי האחראי לתחום הדיור, לא קבע תכנית עבודה אסטרטגית סדורה להפעלת המסלול ופעל בשיטת ניסוי וטעייה. בשנת 2007 נכשלו כחצי ממכרזי השיווק שפרסם המשרד ואלו שכבר הצליחו הניבו תפוקה דלה ביותר; מספר הזכאים שזכו לרכוש דירה במסלול זה במשך 18 שנות הפעלתו הוא </w:t>
      </w:r>
      <w:r>
        <w:rPr>
          <w:rtl/>
        </w:rPr>
        <w:br/>
      </w:r>
      <w:r w:rsidRPr="00F41E78">
        <w:rPr>
          <w:rFonts w:hint="cs"/>
          <w:rtl/>
        </w:rPr>
        <w:t>כ-20,000 בלבד, אף שמאות אלפי משקי בית נזקקים לדיור בר השגה.</w:t>
      </w:r>
      <w:r w:rsidRPr="00F41E78">
        <w:rPr>
          <w:rtl/>
        </w:rPr>
        <w:t xml:space="preserve"> </w:t>
      </w:r>
      <w:r w:rsidRPr="00F41E78">
        <w:rPr>
          <w:rFonts w:hint="cs"/>
          <w:rtl/>
        </w:rPr>
        <w:t>זאת ועוד, הפעלת המסלול הביאה, בדרך כלל מתן הטבה כלכלית ניכרת לקבוצה קטנה של זכאים, דבר שיצר עיוות בלתי סביר ואי-שוויוני.</w:t>
      </w:r>
    </w:p>
    <w:p w:rsidR="00D22B16" w:rsidRPr="00F41E78" w:rsidP="00D22B16">
      <w:pPr>
        <w:pStyle w:val="RESHET"/>
        <w:keepLines/>
        <w:rPr>
          <w:rtl/>
        </w:rPr>
      </w:pPr>
      <w:r w:rsidRPr="00F41E78">
        <w:rPr>
          <w:rFonts w:hint="cs"/>
          <w:rtl/>
        </w:rPr>
        <w:t>דוח זה מלמד על כשל של ממשלות ישראל בשני העשורים האחרונים</w:t>
      </w:r>
      <w:r>
        <w:rPr>
          <w:rFonts w:hint="cs"/>
          <w:rtl/>
        </w:rPr>
        <w:t xml:space="preserve"> </w:t>
      </w:r>
      <w:r w:rsidRPr="00F41E78">
        <w:rPr>
          <w:rFonts w:hint="cs"/>
          <w:rtl/>
        </w:rPr>
        <w:t xml:space="preserve">שלא הצליחו להביא הגדלה של ממש את ההיצע בדיור בר השגה לאוכלוסייה הנזקקת לו. במהלך הביקורת עמד על כך גם משרד הבינוי והחליט להפסיק לשווק קרקעות במסלול מחיר למשתכן. הדבר מחייב את המשרד, בשיתוף הגורמים האחרים העוסקים בתחום הבינוי והשיכון ובהם מועצת מקרקעי ישראל, רמ"י ואג"ת, להפיק לקחים מהפעלת המסלול ומהליקויים שעלו בדוח זה הנוגעים לו ולגבש תכנית אסטרטגית סדורה שתאפשר לספק את צורכי שוק הדיור בכלל ואת הצורך בדיור בר השגה בפרט. </w:t>
      </w:r>
    </w:p>
    <w:p w:rsidR="00E97EDA" w:rsidRPr="00F41E78" w:rsidP="00A7557B">
      <w:pPr>
        <w:spacing w:after="120" w:line="230" w:lineRule="exact"/>
        <w:jc w:val="both"/>
        <w:rPr>
          <w:rFonts w:cs="FrankRuehl"/>
          <w:sz w:val="18"/>
          <w:szCs w:val="22"/>
          <w:rtl/>
          <w:lang w:eastAsia="he-IL"/>
        </w:rPr>
      </w:pPr>
    </w:p>
    <w:p w:rsidR="00BE3B5C" w:rsidP="00A7557B">
      <w:pPr>
        <w:spacing w:after="120" w:line="230" w:lineRule="exact"/>
        <w:jc w:val="both"/>
        <w:rPr>
          <w:rFonts w:cs="FrankRuehl"/>
          <w:sz w:val="18"/>
          <w:szCs w:val="22"/>
          <w:rtl/>
          <w:lang w:eastAsia="he-IL"/>
        </w:rPr>
        <w:sectPr w:rsidSect="0076055F">
          <w:footnotePr>
            <w:numRestart w:val="eachSect"/>
          </w:footnotePr>
          <w:pgSz w:w="11906" w:h="16838" w:code="9"/>
          <w:pgMar w:top="1758" w:right="2552" w:bottom="4253" w:left="2552" w:header="1247" w:footer="1134" w:gutter="0"/>
          <w:cols w:space="720"/>
          <w:rtlGutter/>
        </w:sectPr>
      </w:pPr>
    </w:p>
    <w:p w:rsidR="00E97EDA" w:rsidRPr="00F41E78" w:rsidP="00A7557B">
      <w:pPr>
        <w:spacing w:after="120" w:line="230" w:lineRule="exact"/>
        <w:jc w:val="both"/>
        <w:rPr>
          <w:rFonts w:cs="FrankRuehl"/>
          <w:sz w:val="18"/>
          <w:szCs w:val="22"/>
          <w:rtl/>
          <w:lang w:eastAsia="he-IL"/>
        </w:rPr>
      </w:pPr>
    </w:p>
    <w:p w:rsidR="00BE3B5C" w:rsidP="00A331AC">
      <w:pPr>
        <w:pStyle w:val="KOT2"/>
        <w:outlineLvl w:val="0"/>
        <w:rPr>
          <w:rFonts w:eastAsia="Calibri"/>
          <w:b w:val="0"/>
          <w:bCs w:val="0"/>
          <w:sz w:val="28"/>
          <w:szCs w:val="28"/>
          <w:rtl/>
        </w:rPr>
        <w:sectPr w:rsidSect="00BE3B5C">
          <w:footnotePr>
            <w:numRestart w:val="eachSect"/>
          </w:footnotePr>
          <w:pgSz w:w="11906" w:h="16838" w:code="9"/>
          <w:pgMar w:top="1758" w:right="2552" w:bottom="4253" w:left="2552" w:header="1247" w:footer="1134" w:gutter="0"/>
          <w:cols w:space="720"/>
          <w:titlePg/>
          <w:rtlGutter/>
        </w:sectPr>
      </w:pPr>
    </w:p>
    <w:p w:rsidR="00E97EDA" w:rsidRPr="00FA1F2C" w:rsidP="00A331AC">
      <w:pPr>
        <w:pStyle w:val="KOT2"/>
        <w:outlineLvl w:val="0"/>
        <w:rPr>
          <w:rFonts w:eastAsia="Calibri"/>
          <w:rtl/>
        </w:rPr>
      </w:pPr>
      <w:r w:rsidRPr="00A331AC">
        <w:rPr>
          <w:rFonts w:eastAsia="Calibri" w:hint="cs"/>
          <w:b w:val="0"/>
          <w:bCs w:val="0"/>
          <w:sz w:val="28"/>
          <w:szCs w:val="28"/>
          <w:rtl/>
        </w:rPr>
        <w:t>פרק שלישי</w:t>
      </w:r>
      <w:r w:rsidRPr="00A331AC">
        <w:rPr>
          <w:rFonts w:eastAsia="Calibri"/>
          <w:b w:val="0"/>
          <w:bCs w:val="0"/>
          <w:sz w:val="28"/>
          <w:szCs w:val="28"/>
          <w:rtl/>
        </w:rPr>
        <w:br/>
      </w:r>
      <w:r w:rsidRPr="00FA1F2C">
        <w:rPr>
          <w:rFonts w:eastAsia="Calibri"/>
          <w:rtl/>
        </w:rPr>
        <w:t xml:space="preserve">מסלול "השכרה </w:t>
      </w:r>
      <w:r w:rsidRPr="00FA1F2C">
        <w:rPr>
          <w:rFonts w:eastAsia="Calibri" w:hint="cs"/>
          <w:rtl/>
        </w:rPr>
        <w:t>ל</w:t>
      </w:r>
      <w:r w:rsidRPr="00FA1F2C">
        <w:rPr>
          <w:rFonts w:eastAsia="Calibri"/>
          <w:rtl/>
        </w:rPr>
        <w:t>טווח</w:t>
      </w:r>
      <w:r w:rsidRPr="00FA1F2C">
        <w:rPr>
          <w:rFonts w:eastAsia="Calibri" w:hint="cs"/>
          <w:rtl/>
        </w:rPr>
        <w:t xml:space="preserve"> ארוך</w:t>
      </w:r>
      <w:r w:rsidRPr="00FA1F2C">
        <w:rPr>
          <w:rFonts w:eastAsia="Calibri"/>
          <w:rtl/>
        </w:rPr>
        <w:t>"</w:t>
      </w:r>
    </w:p>
    <w:p w:rsidR="00E97EDA" w:rsidRPr="00FA1F2C" w:rsidP="00A7557B">
      <w:pPr>
        <w:pStyle w:val="KOT4"/>
        <w:rPr>
          <w:rFonts w:eastAsia="Calibri"/>
          <w:rtl/>
          <w:lang w:eastAsia="he-IL"/>
        </w:rPr>
      </w:pPr>
      <w:bookmarkStart w:id="64" w:name="_Toc373938968"/>
      <w:r w:rsidRPr="00FA1F2C">
        <w:rPr>
          <w:rFonts w:eastAsia="Calibri" w:hint="cs"/>
          <w:rtl/>
          <w:lang w:eastAsia="he-IL"/>
        </w:rPr>
        <w:t>רקע</w:t>
      </w:r>
      <w:bookmarkEnd w:id="64"/>
    </w:p>
    <w:p w:rsidR="00E97EDA" w:rsidRPr="00F41E78" w:rsidP="003E789E">
      <w:pPr>
        <w:spacing w:after="12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1.</w:t>
      </w:r>
      <w:r w:rsidRPr="00F41E78">
        <w:rPr>
          <w:rFonts w:eastAsia="Calibri" w:cs="FrankRuehl" w:hint="cs"/>
          <w:sz w:val="18"/>
          <w:szCs w:val="22"/>
          <w:rtl/>
          <w:lang w:eastAsia="he-IL"/>
        </w:rPr>
        <w:tab/>
      </w:r>
      <w:r w:rsidRPr="00F41E78">
        <w:rPr>
          <w:rFonts w:eastAsia="Calibri" w:cs="FrankRuehl"/>
          <w:sz w:val="18"/>
          <w:szCs w:val="22"/>
          <w:rtl/>
          <w:lang w:eastAsia="he-IL"/>
        </w:rPr>
        <w:t xml:space="preserve">דיור </w:t>
      </w:r>
      <w:r w:rsidRPr="00F41E78">
        <w:rPr>
          <w:rFonts w:eastAsia="Calibri" w:cs="FrankRuehl" w:hint="cs"/>
          <w:sz w:val="18"/>
          <w:szCs w:val="22"/>
          <w:rtl/>
          <w:lang w:eastAsia="he-IL"/>
        </w:rPr>
        <w:t>בהשכרה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הוא אחד המודלים ליישום דיור בר</w:t>
      </w:r>
      <w:r w:rsidRPr="00F41E78">
        <w:rPr>
          <w:rFonts w:eastAsia="Calibri" w:cs="FrankRuehl" w:hint="cs"/>
          <w:sz w:val="18"/>
          <w:szCs w:val="22"/>
          <w:rtl/>
          <w:lang w:eastAsia="he-IL"/>
        </w:rPr>
        <w:t xml:space="preserve"> </w:t>
      </w:r>
      <w:r w:rsidRPr="00F41E78">
        <w:rPr>
          <w:rFonts w:eastAsia="Calibri" w:cs="FrankRuehl"/>
          <w:sz w:val="18"/>
          <w:szCs w:val="22"/>
          <w:rtl/>
          <w:lang w:eastAsia="he-IL"/>
        </w:rPr>
        <w:t xml:space="preserve">השגה. שוק השכירות </w:t>
      </w:r>
      <w:r w:rsidRPr="00F41E78">
        <w:rPr>
          <w:rFonts w:eastAsia="Calibri" w:cs="FrankRuehl" w:hint="cs"/>
          <w:sz w:val="18"/>
          <w:szCs w:val="22"/>
          <w:rtl/>
          <w:lang w:eastAsia="he-IL"/>
        </w:rPr>
        <w:t>הוא</w:t>
      </w:r>
      <w:r w:rsidRPr="00F41E78">
        <w:rPr>
          <w:rFonts w:eastAsia="Calibri" w:cs="FrankRuehl"/>
          <w:sz w:val="18"/>
          <w:szCs w:val="22"/>
          <w:rtl/>
          <w:lang w:eastAsia="he-IL"/>
        </w:rPr>
        <w:t xml:space="preserve"> חלופה למגורים למי שאינו מסוגל או מעוניין לרכוש דירה או להתגורר בדירה בבעלותו</w:t>
      </w:r>
      <w:r w:rsidRPr="00F41E78">
        <w:rPr>
          <w:rFonts w:eastAsia="Calibri" w:cs="FrankRuehl" w:hint="cs"/>
          <w:sz w:val="18"/>
          <w:szCs w:val="22"/>
          <w:rtl/>
          <w:lang w:eastAsia="he-IL"/>
        </w:rPr>
        <w:t>. שוק השכירות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הוא</w:t>
      </w:r>
      <w:r w:rsidRPr="00F41E78">
        <w:rPr>
          <w:rFonts w:eastAsia="Calibri" w:cs="FrankRuehl"/>
          <w:sz w:val="18"/>
          <w:szCs w:val="22"/>
          <w:rtl/>
          <w:lang w:eastAsia="he-IL"/>
        </w:rPr>
        <w:t xml:space="preserve"> גם אפיק השקעה חלופי לשוק ההון.</w:t>
      </w:r>
    </w:p>
    <w:p w:rsidR="00E97EDA" w:rsidRPr="00F41E78" w:rsidP="00A331AC">
      <w:pPr>
        <w:spacing w:after="120" w:line="230" w:lineRule="exact"/>
        <w:ind w:left="340" w:hanging="340"/>
        <w:jc w:val="both"/>
        <w:rPr>
          <w:rFonts w:eastAsia="Calibri" w:cs="FrankRuehl"/>
          <w:sz w:val="18"/>
          <w:szCs w:val="22"/>
          <w:rtl/>
          <w:lang w:eastAsia="he-IL"/>
        </w:rPr>
      </w:pPr>
      <w:r>
        <w:rPr>
          <w:rFonts w:cs="FrankRuehl"/>
          <w:sz w:val="18"/>
          <w:szCs w:val="22"/>
          <w:rtl/>
          <w:lang w:eastAsia="he-IL"/>
        </w:rPr>
        <w:tab/>
      </w:r>
      <w:r w:rsidRPr="00F41E78">
        <w:rPr>
          <w:rFonts w:cs="FrankRuehl" w:hint="cs"/>
          <w:sz w:val="18"/>
          <w:szCs w:val="22"/>
          <w:rtl/>
          <w:lang w:eastAsia="he-IL"/>
        </w:rPr>
        <w:t>על פי נתוני הלמ"ס לשנת 2012</w:t>
      </w:r>
      <w:r>
        <w:rPr>
          <w:rFonts w:cs="FrankRuehl"/>
          <w:sz w:val="18"/>
          <w:szCs w:val="22"/>
          <w:vertAlign w:val="superscript"/>
          <w:rtl/>
          <w:lang w:eastAsia="he-IL"/>
        </w:rPr>
        <w:footnoteReference w:id="293"/>
      </w:r>
      <w:r w:rsidRPr="00F41E78">
        <w:rPr>
          <w:rFonts w:cs="FrankRuehl" w:hint="cs"/>
          <w:sz w:val="18"/>
          <w:szCs w:val="22"/>
          <w:rtl/>
          <w:lang w:eastAsia="he-IL"/>
        </w:rPr>
        <w:t xml:space="preserve">, כ-610,000 (כ-27%) מכלל משקי הבית </w:t>
      </w:r>
      <w:r w:rsidRPr="00F41E78">
        <w:rPr>
          <w:rFonts w:cs="FrankRuehl"/>
          <w:sz w:val="18"/>
          <w:szCs w:val="22"/>
          <w:rtl/>
          <w:lang w:eastAsia="he-IL"/>
        </w:rPr>
        <w:t>גר</w:t>
      </w:r>
      <w:r w:rsidRPr="00F41E78">
        <w:rPr>
          <w:rFonts w:cs="FrankRuehl" w:hint="cs"/>
          <w:sz w:val="18"/>
          <w:szCs w:val="22"/>
          <w:rtl/>
          <w:lang w:eastAsia="he-IL"/>
        </w:rPr>
        <w:t>ו</w:t>
      </w:r>
      <w:r w:rsidRPr="00F41E78">
        <w:rPr>
          <w:rFonts w:cs="FrankRuehl"/>
          <w:sz w:val="18"/>
          <w:szCs w:val="22"/>
          <w:rtl/>
          <w:lang w:eastAsia="he-IL"/>
        </w:rPr>
        <w:t xml:space="preserve"> בדירות </w:t>
      </w:r>
      <w:r w:rsidRPr="00F41E78">
        <w:rPr>
          <w:rFonts w:cs="FrankRuehl" w:hint="cs"/>
          <w:sz w:val="18"/>
          <w:szCs w:val="22"/>
          <w:rtl/>
          <w:lang w:eastAsia="he-IL"/>
        </w:rPr>
        <w:t>שכורות.</w:t>
      </w:r>
      <w:r w:rsidRPr="00F41E78">
        <w:rPr>
          <w:rFonts w:cs="FrankRuehl"/>
          <w:sz w:val="18"/>
          <w:szCs w:val="22"/>
          <w:rtl/>
          <w:lang w:eastAsia="he-IL"/>
        </w:rPr>
        <w:t xml:space="preserve"> </w:t>
      </w:r>
      <w:r w:rsidRPr="00F41E78">
        <w:rPr>
          <w:rFonts w:cs="FrankRuehl" w:hint="cs"/>
          <w:sz w:val="18"/>
          <w:szCs w:val="22"/>
          <w:rtl/>
          <w:lang w:eastAsia="he-IL"/>
        </w:rPr>
        <w:t>רובם, כ-357,600</w:t>
      </w:r>
      <w:r w:rsidRPr="00F41E78">
        <w:rPr>
          <w:rFonts w:cs="FrankRuehl"/>
          <w:sz w:val="18"/>
          <w:szCs w:val="22"/>
          <w:rtl/>
          <w:lang w:eastAsia="he-IL"/>
        </w:rPr>
        <w:t xml:space="preserve"> </w:t>
      </w:r>
      <w:r w:rsidRPr="00F41E78">
        <w:rPr>
          <w:rFonts w:cs="FrankRuehl" w:hint="cs"/>
          <w:sz w:val="18"/>
          <w:szCs w:val="22"/>
          <w:rtl/>
          <w:lang w:eastAsia="he-IL"/>
        </w:rPr>
        <w:t xml:space="preserve">שהם </w:t>
      </w:r>
      <w:r w:rsidRPr="00F41E78">
        <w:rPr>
          <w:rFonts w:cs="FrankRuehl"/>
          <w:sz w:val="18"/>
          <w:szCs w:val="22"/>
          <w:rtl/>
          <w:lang w:eastAsia="he-IL"/>
        </w:rPr>
        <w:t>כ-</w:t>
      </w:r>
      <w:r w:rsidRPr="00F41E78">
        <w:rPr>
          <w:rFonts w:cs="FrankRuehl" w:hint="cs"/>
          <w:sz w:val="18"/>
          <w:szCs w:val="22"/>
          <w:rtl/>
          <w:lang w:eastAsia="he-IL"/>
        </w:rPr>
        <w:t>58</w:t>
      </w:r>
      <w:r w:rsidRPr="00F41E78">
        <w:rPr>
          <w:rFonts w:cs="FrankRuehl"/>
          <w:sz w:val="18"/>
          <w:szCs w:val="22"/>
          <w:rtl/>
          <w:lang w:eastAsia="he-IL"/>
        </w:rPr>
        <w:t>%</w:t>
      </w:r>
      <w:r w:rsidRPr="00F41E78">
        <w:rPr>
          <w:rFonts w:cs="FrankRuehl" w:hint="cs"/>
          <w:sz w:val="18"/>
          <w:szCs w:val="22"/>
          <w:rtl/>
          <w:lang w:eastAsia="he-IL"/>
        </w:rPr>
        <w:t xml:space="preserve"> מ</w:t>
      </w:r>
      <w:r w:rsidRPr="00F41E78">
        <w:rPr>
          <w:rFonts w:cs="FrankRuehl"/>
          <w:sz w:val="18"/>
          <w:szCs w:val="22"/>
          <w:rtl/>
          <w:lang w:eastAsia="he-IL"/>
        </w:rPr>
        <w:t xml:space="preserve">משקי </w:t>
      </w:r>
      <w:r w:rsidRPr="00F41E78">
        <w:rPr>
          <w:rFonts w:cs="FrankRuehl" w:hint="cs"/>
          <w:sz w:val="18"/>
          <w:szCs w:val="22"/>
          <w:rtl/>
          <w:lang w:eastAsia="he-IL"/>
        </w:rPr>
        <w:t>ה</w:t>
      </w:r>
      <w:r w:rsidRPr="00F41E78">
        <w:rPr>
          <w:rFonts w:cs="FrankRuehl"/>
          <w:sz w:val="18"/>
          <w:szCs w:val="22"/>
          <w:rtl/>
          <w:lang w:eastAsia="he-IL"/>
        </w:rPr>
        <w:t>בית</w:t>
      </w:r>
      <w:r w:rsidRPr="00F41E78">
        <w:rPr>
          <w:rFonts w:cs="FrankRuehl" w:hint="cs"/>
          <w:sz w:val="18"/>
          <w:szCs w:val="22"/>
          <w:rtl/>
          <w:lang w:eastAsia="he-IL"/>
        </w:rPr>
        <w:t>, השתייכו</w:t>
      </w:r>
      <w:r w:rsidRPr="00F41E78">
        <w:rPr>
          <w:rFonts w:cs="FrankRuehl"/>
          <w:sz w:val="18"/>
          <w:szCs w:val="22"/>
          <w:rtl/>
          <w:lang w:eastAsia="he-IL"/>
        </w:rPr>
        <w:t xml:space="preserve"> ל</w:t>
      </w:r>
      <w:r w:rsidRPr="00F41E78">
        <w:rPr>
          <w:rFonts w:cs="FrankRuehl" w:hint="cs"/>
          <w:sz w:val="18"/>
          <w:szCs w:val="22"/>
          <w:rtl/>
          <w:lang w:eastAsia="he-IL"/>
        </w:rPr>
        <w:t>ארבעת ה</w:t>
      </w:r>
      <w:r w:rsidRPr="00F41E78">
        <w:rPr>
          <w:rFonts w:cs="FrankRuehl"/>
          <w:sz w:val="18"/>
          <w:szCs w:val="22"/>
          <w:rtl/>
          <w:lang w:eastAsia="he-IL"/>
        </w:rPr>
        <w:t>עשירונים</w:t>
      </w:r>
      <w:r w:rsidRPr="00F41E78">
        <w:rPr>
          <w:rFonts w:cs="FrankRuehl" w:hint="cs"/>
          <w:sz w:val="18"/>
          <w:szCs w:val="22"/>
          <w:rtl/>
          <w:lang w:eastAsia="he-IL"/>
        </w:rPr>
        <w:t xml:space="preserve"> הנמוכים בדירוג גובה ההכנסה החודשית</w:t>
      </w:r>
      <w:r>
        <w:rPr>
          <w:rFonts w:cs="FrankRuehl"/>
          <w:sz w:val="18"/>
          <w:szCs w:val="22"/>
          <w:vertAlign w:val="superscript"/>
          <w:rtl/>
          <w:lang w:eastAsia="he-IL"/>
        </w:rPr>
        <w:footnoteReference w:id="294"/>
      </w:r>
      <w:r w:rsidRPr="00F41E78">
        <w:rPr>
          <w:rFonts w:eastAsia="Calibri" w:cs="FrankRuehl" w:hint="cs"/>
          <w:sz w:val="18"/>
          <w:szCs w:val="22"/>
          <w:rtl/>
          <w:lang w:eastAsia="he-IL"/>
        </w:rPr>
        <w:t xml:space="preserve">. עם אוכלוסייה זו נמנים </w:t>
      </w:r>
      <w:r w:rsidRPr="00F41E78">
        <w:rPr>
          <w:rFonts w:eastAsia="Calibri" w:cs="FrankRuehl"/>
          <w:sz w:val="18"/>
          <w:szCs w:val="22"/>
          <w:rtl/>
          <w:lang w:eastAsia="he-IL"/>
        </w:rPr>
        <w:t>עולים חדשים, זוגות צעירים, סטודנטים ומשפחות חד</w:t>
      </w:r>
      <w:r w:rsidRPr="00F41E78">
        <w:rPr>
          <w:rFonts w:eastAsia="Calibri" w:cs="FrankRuehl" w:hint="cs"/>
          <w:sz w:val="18"/>
          <w:szCs w:val="22"/>
          <w:rtl/>
          <w:lang w:eastAsia="he-IL"/>
        </w:rPr>
        <w:t>-</w:t>
      </w:r>
      <w:r w:rsidRPr="00F41E78">
        <w:rPr>
          <w:rFonts w:eastAsia="Calibri" w:cs="FrankRuehl"/>
          <w:sz w:val="18"/>
          <w:szCs w:val="22"/>
          <w:rtl/>
          <w:lang w:eastAsia="he-IL"/>
        </w:rPr>
        <w:t xml:space="preserve">הוריות. </w:t>
      </w:r>
      <w:r w:rsidRPr="00F41E78">
        <w:rPr>
          <w:rFonts w:eastAsia="Calibri" w:cs="FrankRuehl" w:hint="cs"/>
          <w:sz w:val="18"/>
          <w:szCs w:val="22"/>
          <w:rtl/>
          <w:lang w:eastAsia="he-IL"/>
        </w:rPr>
        <w:t>74,000 מ</w:t>
      </w:r>
      <w:r w:rsidRPr="00F41E78">
        <w:rPr>
          <w:rFonts w:eastAsia="Calibri" w:cs="FrankRuehl"/>
          <w:sz w:val="18"/>
          <w:szCs w:val="22"/>
          <w:rtl/>
          <w:lang w:eastAsia="he-IL"/>
        </w:rPr>
        <w:t xml:space="preserve">כלל הדירות בשכירות הן בבעלות המדינה ודייריהן משתייכים לשכבות אוכלוסייה חלשות </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זכאיות לדיור ציבורי (להלן </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זכאי </w:t>
      </w:r>
      <w:r w:rsidRPr="00F41E78">
        <w:rPr>
          <w:rFonts w:eastAsia="Calibri" w:cs="FrankRuehl"/>
          <w:sz w:val="18"/>
          <w:szCs w:val="22"/>
          <w:rtl/>
          <w:lang w:eastAsia="he-IL"/>
        </w:rPr>
        <w:t>דיור ציבורי)</w:t>
      </w:r>
      <w:r w:rsidRPr="00F41E78">
        <w:rPr>
          <w:rFonts w:eastAsia="Calibri" w:cs="FrankRuehl" w:hint="cs"/>
          <w:sz w:val="18"/>
          <w:szCs w:val="22"/>
          <w:rtl/>
          <w:lang w:eastAsia="he-IL"/>
        </w:rPr>
        <w:t>.</w:t>
      </w:r>
      <w:r w:rsidRPr="00F41E78">
        <w:rPr>
          <w:rFonts w:eastAsia="Calibri" w:cs="FrankRuehl"/>
          <w:sz w:val="18"/>
          <w:szCs w:val="22"/>
          <w:rtl/>
          <w:lang w:eastAsia="he-IL"/>
        </w:rPr>
        <w:t xml:space="preserve"> יתר הדירות, יותר מ-5</w:t>
      </w:r>
      <w:r w:rsidRPr="00F41E78">
        <w:rPr>
          <w:rFonts w:eastAsia="Calibri" w:cs="FrankRuehl" w:hint="cs"/>
          <w:sz w:val="18"/>
          <w:szCs w:val="22"/>
          <w:rtl/>
          <w:lang w:eastAsia="he-IL"/>
        </w:rPr>
        <w:t>3</w:t>
      </w:r>
      <w:r w:rsidRPr="00F41E78">
        <w:rPr>
          <w:rFonts w:eastAsia="Calibri" w:cs="FrankRuehl"/>
          <w:sz w:val="18"/>
          <w:szCs w:val="22"/>
          <w:rtl/>
          <w:lang w:eastAsia="he-IL"/>
        </w:rPr>
        <w:t>0,000</w:t>
      </w:r>
      <w:r w:rsidRPr="00F41E78">
        <w:rPr>
          <w:rFonts w:eastAsia="Calibri" w:cs="FrankRuehl" w:hint="cs"/>
          <w:sz w:val="18"/>
          <w:szCs w:val="22"/>
          <w:rtl/>
          <w:lang w:eastAsia="he-IL"/>
        </w:rPr>
        <w:t>,</w:t>
      </w:r>
      <w:r w:rsidRPr="00F41E78">
        <w:rPr>
          <w:rFonts w:eastAsia="Calibri" w:cs="FrankRuehl"/>
          <w:sz w:val="18"/>
          <w:szCs w:val="22"/>
          <w:rtl/>
          <w:lang w:eastAsia="he-IL"/>
        </w:rPr>
        <w:t xml:space="preserve"> הן בבעלות פרטית של משקיעים. על פי נתוני אג</w:t>
      </w:r>
      <w:r w:rsidRPr="00F41E78">
        <w:rPr>
          <w:rFonts w:eastAsia="Calibri" w:cs="FrankRuehl" w:hint="cs"/>
          <w:sz w:val="18"/>
          <w:szCs w:val="22"/>
          <w:rtl/>
          <w:lang w:eastAsia="he-IL"/>
        </w:rPr>
        <w:t xml:space="preserve">"ת, </w:t>
      </w:r>
      <w:r w:rsidRPr="00F41E78">
        <w:rPr>
          <w:rFonts w:eastAsia="Calibri" w:cs="FrankRuehl"/>
          <w:sz w:val="18"/>
          <w:szCs w:val="22"/>
          <w:rtl/>
          <w:lang w:eastAsia="he-IL"/>
        </w:rPr>
        <w:t>התשואה הממוצעת המתקבלת בשוק השכירות</w:t>
      </w:r>
      <w:r w:rsidRPr="00F41E78">
        <w:rPr>
          <w:rFonts w:eastAsia="Calibri" w:cs="FrankRuehl" w:hint="cs"/>
          <w:sz w:val="18"/>
          <w:szCs w:val="22"/>
          <w:rtl/>
          <w:lang w:eastAsia="he-IL"/>
        </w:rPr>
        <w:t xml:space="preserve"> הפרטית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היא</w:t>
      </w:r>
      <w:r w:rsidRPr="00F41E78">
        <w:rPr>
          <w:rFonts w:eastAsia="Calibri" w:cs="FrankRuehl"/>
          <w:sz w:val="18"/>
          <w:szCs w:val="22"/>
          <w:rtl/>
          <w:lang w:eastAsia="he-IL"/>
        </w:rPr>
        <w:t xml:space="preserve"> 5%-3% במרכז הארץ </w:t>
      </w:r>
      <w:r w:rsidRPr="00F41E78">
        <w:rPr>
          <w:rFonts w:eastAsia="Calibri" w:cs="FrankRuehl" w:hint="cs"/>
          <w:sz w:val="18"/>
          <w:szCs w:val="22"/>
          <w:rtl/>
          <w:lang w:eastAsia="he-IL"/>
        </w:rPr>
        <w:t>ו-</w:t>
      </w:r>
      <w:r w:rsidR="00A331AC">
        <w:rPr>
          <w:rFonts w:eastAsia="Calibri" w:cs="FrankRuehl" w:hint="cs"/>
          <w:sz w:val="18"/>
          <w:szCs w:val="22"/>
          <w:rtl/>
          <w:lang w:eastAsia="he-IL"/>
        </w:rPr>
        <w:t>7</w:t>
      </w:r>
      <w:r w:rsidRPr="00F41E78">
        <w:rPr>
          <w:rFonts w:eastAsia="Calibri" w:cs="FrankRuehl"/>
          <w:sz w:val="18"/>
          <w:szCs w:val="22"/>
          <w:rtl/>
          <w:lang w:eastAsia="he-IL"/>
        </w:rPr>
        <w:t>%-</w:t>
      </w:r>
      <w:r w:rsidR="00A331AC">
        <w:rPr>
          <w:rFonts w:eastAsia="Calibri" w:cs="FrankRuehl" w:hint="cs"/>
          <w:sz w:val="18"/>
          <w:szCs w:val="22"/>
          <w:rtl/>
          <w:lang w:eastAsia="he-IL"/>
        </w:rPr>
        <w:t>5</w:t>
      </w:r>
      <w:r w:rsidRPr="00F41E78">
        <w:rPr>
          <w:rFonts w:eastAsia="Calibri" w:cs="FrankRuehl" w:hint="cs"/>
          <w:sz w:val="18"/>
          <w:szCs w:val="22"/>
          <w:rtl/>
          <w:lang w:eastAsia="he-IL"/>
        </w:rPr>
        <w:t>% בפריפריה</w:t>
      </w:r>
      <w:r w:rsidRPr="00F41E78">
        <w:rPr>
          <w:rFonts w:eastAsia="Calibri" w:cs="FrankRuehl"/>
          <w:sz w:val="18"/>
          <w:szCs w:val="22"/>
          <w:rtl/>
          <w:lang w:eastAsia="he-IL"/>
        </w:rPr>
        <w:t>.</w:t>
      </w:r>
    </w:p>
    <w:p w:rsidR="00E97EDA" w:rsidP="003E789E">
      <w:pPr>
        <w:spacing w:after="240" w:line="230" w:lineRule="exact"/>
        <w:ind w:left="340" w:hanging="340"/>
        <w:jc w:val="both"/>
        <w:rPr>
          <w:rFonts w:eastAsia="Calibri" w:cs="FrankRuehl"/>
          <w:sz w:val="18"/>
          <w:szCs w:val="22"/>
          <w:rtl/>
          <w:lang w:eastAsia="he-IL"/>
        </w:rPr>
      </w:pPr>
      <w:r>
        <w:rPr>
          <w:rFonts w:eastAsia="Calibri" w:cs="FrankRuehl" w:hint="cs"/>
          <w:sz w:val="18"/>
          <w:szCs w:val="22"/>
          <w:rtl/>
          <w:lang w:eastAsia="he-IL"/>
        </w:rPr>
        <w:tab/>
      </w:r>
      <w:r w:rsidRPr="00F41E78">
        <w:rPr>
          <w:rFonts w:eastAsia="Calibri" w:cs="FrankRuehl"/>
          <w:sz w:val="18"/>
          <w:szCs w:val="22"/>
          <w:rtl/>
          <w:lang w:eastAsia="he-IL"/>
        </w:rPr>
        <w:t xml:space="preserve">נוסף </w:t>
      </w:r>
      <w:r w:rsidRPr="00F41E78">
        <w:rPr>
          <w:rFonts w:eastAsia="Calibri" w:cs="FrankRuehl" w:hint="cs"/>
          <w:sz w:val="18"/>
          <w:szCs w:val="22"/>
          <w:rtl/>
          <w:lang w:eastAsia="he-IL"/>
        </w:rPr>
        <w:t>ל</w:t>
      </w:r>
      <w:r w:rsidRPr="00F41E78">
        <w:rPr>
          <w:rFonts w:eastAsia="Calibri" w:cs="FrankRuehl"/>
          <w:sz w:val="18"/>
          <w:szCs w:val="22"/>
          <w:rtl/>
          <w:lang w:eastAsia="he-IL"/>
        </w:rPr>
        <w:t>דירות שהמדינה משכירה ל</w:t>
      </w:r>
      <w:r w:rsidRPr="00F41E78">
        <w:rPr>
          <w:rFonts w:eastAsia="Calibri" w:cs="FrankRuehl" w:hint="cs"/>
          <w:sz w:val="18"/>
          <w:szCs w:val="22"/>
          <w:rtl/>
          <w:lang w:eastAsia="he-IL"/>
        </w:rPr>
        <w:t>זכאי</w:t>
      </w:r>
      <w:r w:rsidRPr="00F41E78">
        <w:rPr>
          <w:rFonts w:eastAsia="Calibri" w:cs="FrankRuehl"/>
          <w:sz w:val="18"/>
          <w:szCs w:val="22"/>
          <w:rtl/>
          <w:lang w:eastAsia="he-IL"/>
        </w:rPr>
        <w:t xml:space="preserve"> הדיור הציבורי</w:t>
      </w:r>
      <w:r w:rsidRPr="00F41E78">
        <w:rPr>
          <w:rFonts w:eastAsia="Calibri" w:cs="FrankRuehl" w:hint="cs"/>
          <w:sz w:val="18"/>
          <w:szCs w:val="22"/>
          <w:rtl/>
          <w:lang w:eastAsia="he-IL"/>
        </w:rPr>
        <w:t>,</w:t>
      </w:r>
      <w:r w:rsidRPr="00F41E78">
        <w:rPr>
          <w:rFonts w:eastAsia="Calibri" w:cs="FrankRuehl"/>
          <w:sz w:val="18"/>
          <w:szCs w:val="22"/>
          <w:rtl/>
          <w:lang w:eastAsia="he-IL"/>
        </w:rPr>
        <w:t xml:space="preserve"> הממשלה </w:t>
      </w:r>
      <w:r w:rsidRPr="00F41E78">
        <w:rPr>
          <w:rFonts w:eastAsia="Calibri" w:cs="FrankRuehl" w:hint="cs"/>
          <w:sz w:val="18"/>
          <w:szCs w:val="22"/>
          <w:rtl/>
          <w:lang w:eastAsia="he-IL"/>
        </w:rPr>
        <w:t>מסייעת</w:t>
      </w:r>
      <w:r w:rsidRPr="00F41E78">
        <w:rPr>
          <w:rFonts w:eastAsia="Calibri" w:cs="FrankRuehl"/>
          <w:sz w:val="18"/>
          <w:szCs w:val="22"/>
          <w:rtl/>
          <w:lang w:eastAsia="he-IL"/>
        </w:rPr>
        <w:t xml:space="preserve"> לכ-139,000 משקי בית באמצעות משרד הבינוי </w:t>
      </w:r>
      <w:r w:rsidRPr="00F41E78">
        <w:rPr>
          <w:rFonts w:eastAsia="Calibri" w:cs="FrankRuehl" w:hint="cs"/>
          <w:sz w:val="18"/>
          <w:szCs w:val="22"/>
          <w:rtl/>
          <w:lang w:eastAsia="he-IL"/>
        </w:rPr>
        <w:t xml:space="preserve">ומממנת חלקית את שכר הדירה שלהם </w:t>
      </w:r>
      <w:r w:rsidRPr="00F41E78">
        <w:rPr>
          <w:rFonts w:eastAsia="Calibri" w:cs="FrankRuehl"/>
          <w:sz w:val="18"/>
          <w:szCs w:val="22"/>
          <w:rtl/>
          <w:lang w:eastAsia="he-IL"/>
        </w:rPr>
        <w:t>בהיקף</w:t>
      </w:r>
      <w:r w:rsidRPr="00F41E78">
        <w:rPr>
          <w:rFonts w:eastAsia="Calibri" w:cs="FrankRuehl" w:hint="cs"/>
          <w:sz w:val="18"/>
          <w:szCs w:val="22"/>
          <w:rtl/>
          <w:lang w:eastAsia="he-IL"/>
        </w:rPr>
        <w:t xml:space="preserve"> כולל</w:t>
      </w:r>
      <w:r w:rsidRPr="00F41E78">
        <w:rPr>
          <w:rFonts w:eastAsia="Calibri" w:cs="FrankRuehl"/>
          <w:sz w:val="18"/>
          <w:szCs w:val="22"/>
          <w:rtl/>
          <w:lang w:eastAsia="he-IL"/>
        </w:rPr>
        <w:t xml:space="preserve"> של</w:t>
      </w:r>
      <w:r w:rsidRPr="00F41E78">
        <w:rPr>
          <w:rFonts w:eastAsia="Calibri" w:cs="FrankRuehl" w:hint="cs"/>
          <w:sz w:val="18"/>
          <w:szCs w:val="22"/>
          <w:rtl/>
          <w:lang w:eastAsia="he-IL"/>
        </w:rPr>
        <w:t xml:space="preserve"> </w:t>
      </w:r>
      <w:r w:rsidRPr="00F41E78">
        <w:rPr>
          <w:rFonts w:eastAsia="Calibri" w:cs="FrankRuehl"/>
          <w:sz w:val="18"/>
          <w:szCs w:val="22"/>
          <w:rtl/>
          <w:lang w:eastAsia="he-IL"/>
        </w:rPr>
        <w:t>כ</w:t>
      </w:r>
      <w:r w:rsidRPr="00F41E78">
        <w:rPr>
          <w:rFonts w:eastAsia="Calibri" w:cs="FrankRuehl" w:hint="cs"/>
          <w:sz w:val="18"/>
          <w:szCs w:val="22"/>
          <w:rtl/>
          <w:lang w:eastAsia="he-IL"/>
        </w:rPr>
        <w:t>-</w:t>
      </w:r>
      <w:r w:rsidRPr="00F41E78">
        <w:rPr>
          <w:rFonts w:eastAsia="Calibri" w:cs="FrankRuehl"/>
          <w:sz w:val="18"/>
          <w:szCs w:val="22"/>
          <w:rtl/>
          <w:lang w:eastAsia="he-IL"/>
        </w:rPr>
        <w:t xml:space="preserve">1.5 מיליארד </w:t>
      </w:r>
      <w:r w:rsidRPr="00F41E78">
        <w:rPr>
          <w:rFonts w:eastAsia="Calibri" w:cs="FrankRuehl" w:hint="cs"/>
          <w:sz w:val="18"/>
          <w:szCs w:val="22"/>
          <w:rtl/>
          <w:lang w:eastAsia="he-IL"/>
        </w:rPr>
        <w:t>ש"ח.</w:t>
      </w:r>
      <w:r w:rsidRPr="00F41E78">
        <w:rPr>
          <w:rFonts w:eastAsia="Calibri" w:cs="FrankRuehl"/>
          <w:sz w:val="18"/>
          <w:szCs w:val="22"/>
          <w:rtl/>
          <w:lang w:eastAsia="he-IL"/>
        </w:rPr>
        <w:t xml:space="preserve"> לכן, הממשלה </w:t>
      </w:r>
      <w:r w:rsidRPr="00F41E78">
        <w:rPr>
          <w:rFonts w:eastAsia="Calibri" w:cs="FrankRuehl" w:hint="cs"/>
          <w:sz w:val="18"/>
          <w:szCs w:val="22"/>
          <w:rtl/>
          <w:lang w:eastAsia="he-IL"/>
        </w:rPr>
        <w:t>היא</w:t>
      </w:r>
      <w:r w:rsidRPr="00F41E78">
        <w:rPr>
          <w:rFonts w:eastAsia="Calibri" w:cs="FrankRuehl"/>
          <w:sz w:val="18"/>
          <w:szCs w:val="22"/>
          <w:rtl/>
          <w:lang w:eastAsia="he-IL"/>
        </w:rPr>
        <w:t xml:space="preserve"> אחד </w:t>
      </w:r>
      <w:r w:rsidRPr="00F41E78">
        <w:rPr>
          <w:rFonts w:eastAsia="Calibri" w:cs="FrankRuehl" w:hint="cs"/>
          <w:sz w:val="18"/>
          <w:szCs w:val="22"/>
          <w:rtl/>
          <w:lang w:eastAsia="he-IL"/>
        </w:rPr>
        <w:t xml:space="preserve">הגורמים </w:t>
      </w:r>
      <w:r w:rsidRPr="00F41E78">
        <w:rPr>
          <w:rFonts w:eastAsia="Calibri" w:cs="FrankRuehl"/>
          <w:sz w:val="18"/>
          <w:szCs w:val="22"/>
          <w:rtl/>
          <w:lang w:eastAsia="he-IL"/>
        </w:rPr>
        <w:t xml:space="preserve">המשפיעים על שוק הדיור בהיותה </w:t>
      </w:r>
      <w:r w:rsidRPr="00F41E78">
        <w:rPr>
          <w:rFonts w:eastAsia="Calibri" w:cs="FrankRuehl" w:hint="cs"/>
          <w:sz w:val="18"/>
          <w:szCs w:val="22"/>
          <w:rtl/>
          <w:lang w:eastAsia="he-IL"/>
        </w:rPr>
        <w:t>הגוף ה</w:t>
      </w:r>
      <w:r w:rsidRPr="00F41E78">
        <w:rPr>
          <w:rFonts w:eastAsia="Calibri" w:cs="FrankRuehl"/>
          <w:sz w:val="18"/>
          <w:szCs w:val="22"/>
          <w:rtl/>
          <w:lang w:eastAsia="he-IL"/>
        </w:rPr>
        <w:t>מסבסד שכר דירה בשוק השכירות הפרטי.</w:t>
      </w:r>
    </w:p>
    <w:tbl>
      <w:tblPr>
        <w:bidiVisual/>
        <w:tblW w:w="7031" w:type="dxa"/>
        <w:jc w:val="center"/>
        <w:tblLook w:val="04A0"/>
      </w:tblPr>
      <w:tblGrid>
        <w:gridCol w:w="356"/>
        <w:gridCol w:w="6675"/>
      </w:tblGrid>
      <w:tr w:rsidTr="003E789E">
        <w:tblPrEx>
          <w:tblW w:w="7031" w:type="dxa"/>
          <w:jc w:val="center"/>
          <w:tblLook w:val="04A0"/>
        </w:tblPrEx>
        <w:trPr>
          <w:jc w:val="center"/>
        </w:trPr>
        <w:tc>
          <w:tcPr>
            <w:tcW w:w="356" w:type="dxa"/>
            <w:shd w:val="clear" w:color="auto" w:fill="auto"/>
          </w:tcPr>
          <w:p w:rsidR="003E789E" w:rsidRPr="0001521E" w:rsidP="003E789E">
            <w:pPr>
              <w:keepNext/>
              <w:keepLines/>
              <w:spacing w:before="100" w:after="240" w:line="230" w:lineRule="exact"/>
              <w:rPr>
                <w:rFonts w:cs="FrankRuehl"/>
                <w:sz w:val="20"/>
                <w:szCs w:val="22"/>
                <w:rtl/>
              </w:rPr>
            </w:pPr>
            <w:r>
              <w:rPr>
                <w:rFonts w:cs="FrankRuehl" w:hint="cs"/>
                <w:sz w:val="20"/>
                <w:szCs w:val="22"/>
                <w:rtl/>
              </w:rPr>
              <w:t>2</w:t>
            </w:r>
            <w:r w:rsidRPr="0001521E">
              <w:rPr>
                <w:rFonts w:cs="FrankRuehl" w:hint="cs"/>
                <w:sz w:val="20"/>
                <w:szCs w:val="22"/>
                <w:rtl/>
              </w:rPr>
              <w:t>.</w:t>
            </w:r>
          </w:p>
        </w:tc>
        <w:tc>
          <w:tcPr>
            <w:tcW w:w="0" w:type="auto"/>
            <w:shd w:val="clear" w:color="auto" w:fill="auto"/>
          </w:tcPr>
          <w:p w:rsidR="003E789E" w:rsidP="00BE3B5C">
            <w:pPr>
              <w:pStyle w:val="RESHET"/>
              <w:keepNext/>
              <w:keepLines/>
              <w:rPr>
                <w:rtl/>
              </w:rPr>
            </w:pPr>
            <w:r w:rsidRPr="003E789E">
              <w:rPr>
                <w:rtl/>
              </w:rPr>
              <w:t xml:space="preserve">מנתוני הלמ"ס עולה כי </w:t>
            </w:r>
            <w:r w:rsidRPr="003E789E">
              <w:rPr>
                <w:rFonts w:hint="cs"/>
                <w:rtl/>
              </w:rPr>
              <w:t xml:space="preserve">בשנים 2013-2008 </w:t>
            </w:r>
            <w:r w:rsidRPr="003E789E">
              <w:rPr>
                <w:rtl/>
              </w:rPr>
              <w:t>חלה עלייה של כ-</w:t>
            </w:r>
            <w:r w:rsidRPr="003E789E">
              <w:rPr>
                <w:rFonts w:hint="cs"/>
                <w:rtl/>
              </w:rPr>
              <w:t>50</w:t>
            </w:r>
            <w:r w:rsidRPr="003E789E">
              <w:rPr>
                <w:rtl/>
              </w:rPr>
              <w:t xml:space="preserve">% </w:t>
            </w:r>
            <w:r w:rsidRPr="003E789E">
              <w:rPr>
                <w:rFonts w:hint="cs"/>
                <w:rtl/>
              </w:rPr>
              <w:t>ב</w:t>
            </w:r>
            <w:r w:rsidRPr="003E789E">
              <w:rPr>
                <w:rtl/>
              </w:rPr>
              <w:t xml:space="preserve">שכר הדירה </w:t>
            </w:r>
            <w:r w:rsidRPr="003E789E">
              <w:rPr>
                <w:rFonts w:hint="cs"/>
                <w:rtl/>
              </w:rPr>
              <w:t>(</w:t>
            </w:r>
            <w:r w:rsidRPr="003E789E">
              <w:rPr>
                <w:rtl/>
              </w:rPr>
              <w:t xml:space="preserve">עלייה ריאלית של </w:t>
            </w:r>
            <w:r w:rsidRPr="003E789E">
              <w:rPr>
                <w:rFonts w:hint="cs"/>
                <w:rtl/>
              </w:rPr>
              <w:t>30</w:t>
            </w:r>
            <w:r w:rsidRPr="003E789E">
              <w:rPr>
                <w:rtl/>
              </w:rPr>
              <w:t>%</w:t>
            </w:r>
            <w:r w:rsidRPr="003E789E">
              <w:rPr>
                <w:rFonts w:hint="cs"/>
                <w:rtl/>
              </w:rPr>
              <w:t xml:space="preserve">) בעוד באותו פרק זמן </w:t>
            </w:r>
            <w:r w:rsidRPr="003E789E">
              <w:rPr>
                <w:rtl/>
              </w:rPr>
              <w:t>ירד</w:t>
            </w:r>
            <w:r w:rsidRPr="003E789E">
              <w:rPr>
                <w:rFonts w:hint="cs"/>
                <w:rtl/>
              </w:rPr>
              <w:t xml:space="preserve"> </w:t>
            </w:r>
            <w:r w:rsidRPr="003E789E">
              <w:rPr>
                <w:rFonts w:hint="cs"/>
                <w:rtl/>
              </w:rPr>
              <w:t xml:space="preserve">באופן </w:t>
            </w:r>
            <w:r w:rsidRPr="003E789E">
              <w:rPr>
                <w:rtl/>
              </w:rPr>
              <w:t>ריאלי</w:t>
            </w:r>
            <w:r w:rsidRPr="003E789E">
              <w:rPr>
                <w:rFonts w:hint="cs"/>
                <w:rtl/>
              </w:rPr>
              <w:t xml:space="preserve"> </w:t>
            </w:r>
            <w:r w:rsidRPr="003E789E">
              <w:rPr>
                <w:rtl/>
              </w:rPr>
              <w:t>השכר הממוצע לעובד שכיר ב-</w:t>
            </w:r>
            <w:r w:rsidRPr="003E789E">
              <w:rPr>
                <w:rFonts w:hint="cs"/>
                <w:rtl/>
              </w:rPr>
              <w:t>1</w:t>
            </w:r>
            <w:r w:rsidRPr="003E789E">
              <w:rPr>
                <w:rtl/>
              </w:rPr>
              <w:t>.</w:t>
            </w:r>
            <w:r w:rsidRPr="003E789E">
              <w:rPr>
                <w:rFonts w:hint="cs"/>
                <w:rtl/>
              </w:rPr>
              <w:t>1</w:t>
            </w:r>
            <w:r w:rsidRPr="003E789E">
              <w:rPr>
                <w:rtl/>
              </w:rPr>
              <w:t xml:space="preserve">%. </w:t>
            </w:r>
            <w:r w:rsidRPr="003E789E">
              <w:rPr>
                <w:rFonts w:hint="cs"/>
                <w:rtl/>
              </w:rPr>
              <w:t>שני התהליכים האלו גרמו לפגיעה</w:t>
            </w:r>
            <w:r w:rsidRPr="003E789E">
              <w:rPr>
                <w:rtl/>
              </w:rPr>
              <w:t xml:space="preserve"> </w:t>
            </w:r>
            <w:r w:rsidRPr="003E789E">
              <w:rPr>
                <w:rFonts w:hint="cs"/>
                <w:rtl/>
              </w:rPr>
              <w:t>בשוכרי ה</w:t>
            </w:r>
            <w:r w:rsidRPr="003E789E">
              <w:rPr>
                <w:rtl/>
              </w:rPr>
              <w:t>דירות והכביד</w:t>
            </w:r>
            <w:r w:rsidRPr="003E789E">
              <w:rPr>
                <w:rFonts w:hint="cs"/>
                <w:rtl/>
              </w:rPr>
              <w:t>ו</w:t>
            </w:r>
            <w:r w:rsidRPr="003E789E">
              <w:rPr>
                <w:rtl/>
              </w:rPr>
              <w:t xml:space="preserve"> עליהם את נטל הוצאות הדיור</w:t>
            </w:r>
            <w:r w:rsidRPr="003E789E">
              <w:rPr>
                <w:rFonts w:hint="cs"/>
                <w:rtl/>
              </w:rPr>
              <w:t>.</w:t>
            </w:r>
            <w:r w:rsidRPr="003E789E">
              <w:rPr>
                <w:rtl/>
              </w:rPr>
              <w:t xml:space="preserve"> הנתונים </w:t>
            </w:r>
            <w:r w:rsidRPr="003E789E">
              <w:rPr>
                <w:rFonts w:hint="cs"/>
                <w:rtl/>
              </w:rPr>
              <w:t>מלמדים שבפרק הזמן האמור</w:t>
            </w:r>
            <w:r w:rsidRPr="003E789E">
              <w:rPr>
                <w:rtl/>
              </w:rPr>
              <w:t xml:space="preserve"> חלקו של שכר דירה ממוצע מתוך השכר החודשי הממוצע של משרת שכיר עלה משיעור של כ-29% </w:t>
            </w:r>
            <w:r w:rsidR="00A67889">
              <w:rPr>
                <w:rFonts w:hint="cs"/>
                <w:rtl/>
              </w:rPr>
              <w:br/>
            </w:r>
            <w:r w:rsidRPr="003E789E">
              <w:rPr>
                <w:rtl/>
              </w:rPr>
              <w:t>לכ-3</w:t>
            </w:r>
            <w:r w:rsidRPr="003E789E">
              <w:rPr>
                <w:rFonts w:hint="cs"/>
                <w:rtl/>
              </w:rPr>
              <w:t>8</w:t>
            </w:r>
            <w:r w:rsidRPr="003E789E">
              <w:rPr>
                <w:rtl/>
              </w:rPr>
              <w:t>%.</w:t>
            </w:r>
          </w:p>
        </w:tc>
      </w:tr>
    </w:tbl>
    <w:p w:rsidR="00E97EDA" w:rsidRPr="00F41E78" w:rsidP="003E789E">
      <w:pPr>
        <w:spacing w:after="12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3.</w:t>
      </w:r>
      <w:r w:rsidRPr="00F41E78">
        <w:rPr>
          <w:rFonts w:eastAsia="Calibri" w:cs="FrankRuehl" w:hint="cs"/>
          <w:sz w:val="18"/>
          <w:szCs w:val="22"/>
          <w:rtl/>
          <w:lang w:eastAsia="he-IL"/>
        </w:rPr>
        <w:tab/>
      </w:r>
      <w:r w:rsidRPr="00F41E78">
        <w:rPr>
          <w:rFonts w:eastAsia="Calibri" w:cs="FrankRuehl"/>
          <w:sz w:val="18"/>
          <w:szCs w:val="22"/>
          <w:rtl/>
          <w:lang w:eastAsia="he-IL"/>
        </w:rPr>
        <w:t xml:space="preserve">משנת 2007 המדינה מעודדת </w:t>
      </w:r>
      <w:r w:rsidRPr="00F41E78">
        <w:rPr>
          <w:rFonts w:eastAsia="Calibri" w:cs="FrankRuehl" w:hint="cs"/>
          <w:sz w:val="18"/>
          <w:szCs w:val="22"/>
          <w:rtl/>
          <w:lang w:eastAsia="he-IL"/>
        </w:rPr>
        <w:t xml:space="preserve">את </w:t>
      </w:r>
      <w:r w:rsidRPr="00F41E78">
        <w:rPr>
          <w:rFonts w:eastAsia="Calibri" w:cs="FrankRuehl"/>
          <w:sz w:val="18"/>
          <w:szCs w:val="22"/>
          <w:rtl/>
          <w:lang w:eastAsia="he-IL"/>
        </w:rPr>
        <w:t>הרחב</w:t>
      </w:r>
      <w:r w:rsidRPr="00F41E78">
        <w:rPr>
          <w:rFonts w:eastAsia="Calibri" w:cs="FrankRuehl" w:hint="cs"/>
          <w:sz w:val="18"/>
          <w:szCs w:val="22"/>
          <w:rtl/>
          <w:lang w:eastAsia="he-IL"/>
        </w:rPr>
        <w:t>תו</w:t>
      </w:r>
      <w:r w:rsidRPr="00F41E78">
        <w:rPr>
          <w:rFonts w:eastAsia="Calibri" w:cs="FrankRuehl"/>
          <w:sz w:val="18"/>
          <w:szCs w:val="22"/>
          <w:rtl/>
          <w:lang w:eastAsia="he-IL"/>
        </w:rPr>
        <w:t xml:space="preserve"> של </w:t>
      </w:r>
      <w:r w:rsidRPr="00F41E78">
        <w:rPr>
          <w:rFonts w:eastAsia="Calibri" w:cs="FrankRuehl" w:hint="cs"/>
          <w:sz w:val="18"/>
          <w:szCs w:val="22"/>
          <w:rtl/>
          <w:lang w:eastAsia="he-IL"/>
        </w:rPr>
        <w:t xml:space="preserve">היקף </w:t>
      </w:r>
      <w:r w:rsidRPr="00F41E78">
        <w:rPr>
          <w:rFonts w:eastAsia="Calibri" w:cs="FrankRuehl"/>
          <w:sz w:val="18"/>
          <w:szCs w:val="22"/>
          <w:rtl/>
          <w:lang w:eastAsia="he-IL"/>
        </w:rPr>
        <w:t xml:space="preserve">שוק </w:t>
      </w:r>
      <w:r w:rsidRPr="00F41E78">
        <w:rPr>
          <w:rFonts w:eastAsia="Calibri" w:cs="FrankRuehl" w:hint="cs"/>
          <w:sz w:val="18"/>
          <w:szCs w:val="22"/>
          <w:rtl/>
          <w:lang w:eastAsia="he-IL"/>
        </w:rPr>
        <w:t>הדירות להשכרה</w:t>
      </w:r>
      <w:r w:rsidRPr="00F41E78">
        <w:rPr>
          <w:rFonts w:eastAsia="Calibri" w:cs="FrankRuehl"/>
          <w:sz w:val="18"/>
          <w:szCs w:val="22"/>
          <w:rtl/>
          <w:lang w:eastAsia="he-IL"/>
        </w:rPr>
        <w:t xml:space="preserve"> לטווח ארוך </w:t>
      </w:r>
      <w:r w:rsidRPr="00F41E78">
        <w:rPr>
          <w:rFonts w:eastAsia="Calibri" w:cs="FrankRuehl" w:hint="cs"/>
          <w:sz w:val="18"/>
          <w:szCs w:val="22"/>
          <w:rtl/>
          <w:lang w:eastAsia="he-IL"/>
        </w:rPr>
        <w:t xml:space="preserve">הנמצאות </w:t>
      </w:r>
      <w:r w:rsidRPr="00F41E78">
        <w:rPr>
          <w:rFonts w:eastAsia="Calibri" w:cs="FrankRuehl"/>
          <w:sz w:val="18"/>
          <w:szCs w:val="22"/>
          <w:rtl/>
          <w:lang w:eastAsia="he-IL"/>
        </w:rPr>
        <w:t>על קרקעות המדינה</w:t>
      </w:r>
      <w:r w:rsidRPr="00F41E78">
        <w:rPr>
          <w:rFonts w:eastAsia="Calibri" w:cs="FrankRuehl" w:hint="cs"/>
          <w:sz w:val="18"/>
          <w:szCs w:val="22"/>
          <w:rtl/>
          <w:lang w:eastAsia="he-IL"/>
        </w:rPr>
        <w:t>, לרבות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החלטתה של</w:t>
      </w:r>
      <w:r w:rsidRPr="00F41E78">
        <w:rPr>
          <w:rFonts w:eastAsia="Calibri" w:cs="FrankRuehl"/>
          <w:sz w:val="18"/>
          <w:szCs w:val="22"/>
          <w:rtl/>
          <w:lang w:eastAsia="he-IL"/>
        </w:rPr>
        <w:t xml:space="preserve"> מועצת מקרקעי ישראל </w:t>
      </w:r>
      <w:r w:rsidRPr="00F41E78">
        <w:rPr>
          <w:rFonts w:eastAsia="Calibri" w:cs="FrankRuehl" w:hint="cs"/>
          <w:sz w:val="18"/>
          <w:szCs w:val="22"/>
          <w:rtl/>
          <w:lang w:eastAsia="he-IL"/>
        </w:rPr>
        <w:t>ל</w:t>
      </w:r>
      <w:r w:rsidRPr="00F41E78">
        <w:rPr>
          <w:rFonts w:eastAsia="Calibri" w:cs="FrankRuehl"/>
          <w:sz w:val="18"/>
          <w:szCs w:val="22"/>
          <w:rtl/>
          <w:lang w:eastAsia="he-IL"/>
        </w:rPr>
        <w:t xml:space="preserve">שווק קרקעות המיועדות להקמת בניינים להשכרה ארוכת טווח מתוך מאגר קרקעות המדינה </w:t>
      </w:r>
      <w:r w:rsidRPr="00F41E78">
        <w:rPr>
          <w:rFonts w:eastAsia="Calibri" w:cs="FrankRuehl" w:hint="cs"/>
          <w:sz w:val="18"/>
          <w:szCs w:val="22"/>
          <w:rtl/>
          <w:lang w:eastAsia="he-IL"/>
        </w:rPr>
        <w:t xml:space="preserve">שרמ"י </w:t>
      </w:r>
      <w:r w:rsidRPr="00F41E78">
        <w:rPr>
          <w:rFonts w:eastAsia="Calibri" w:cs="FrankRuehl"/>
          <w:sz w:val="18"/>
          <w:szCs w:val="22"/>
          <w:rtl/>
          <w:lang w:eastAsia="he-IL"/>
        </w:rPr>
        <w:t>תאתר. מאז קיבלו הממשלה ומועצת מקרקעי ישראל</w:t>
      </w:r>
      <w:r w:rsidRPr="00F41E78">
        <w:rPr>
          <w:rFonts w:eastAsia="Calibri" w:cs="FrankRuehl" w:hint="cs"/>
          <w:sz w:val="18"/>
          <w:szCs w:val="22"/>
          <w:rtl/>
          <w:lang w:eastAsia="he-IL"/>
        </w:rPr>
        <w:t xml:space="preserve"> </w:t>
      </w:r>
      <w:r w:rsidRPr="00F41E78">
        <w:rPr>
          <w:rFonts w:eastAsia="Calibri" w:cs="FrankRuehl"/>
          <w:sz w:val="18"/>
          <w:szCs w:val="22"/>
          <w:rtl/>
          <w:lang w:eastAsia="he-IL"/>
        </w:rPr>
        <w:t>החלטות נוספות בעניין זה.</w:t>
      </w:r>
    </w:p>
    <w:p w:rsidR="00E97EDA" w:rsidRPr="00F41E78" w:rsidP="003E789E">
      <w:pPr>
        <w:spacing w:after="12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4.</w:t>
      </w:r>
      <w:r w:rsidRPr="00F41E78">
        <w:rPr>
          <w:rFonts w:eastAsia="Calibri" w:cs="FrankRuehl" w:hint="cs"/>
          <w:sz w:val="18"/>
          <w:szCs w:val="22"/>
          <w:rtl/>
          <w:lang w:eastAsia="he-IL"/>
        </w:rPr>
        <w:tab/>
      </w:r>
      <w:r w:rsidRPr="00F41E78">
        <w:rPr>
          <w:rFonts w:eastAsia="Calibri" w:cs="FrankRuehl"/>
          <w:sz w:val="18"/>
          <w:szCs w:val="22"/>
          <w:rtl/>
          <w:lang w:eastAsia="he-IL"/>
        </w:rPr>
        <w:t xml:space="preserve">משרד מבקר המדינה בדק את סדרי הפעלת המסלול "השכרה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w:t>
      </w:r>
      <w:r w:rsidRPr="00F41E78">
        <w:rPr>
          <w:rFonts w:eastAsia="Calibri" w:cs="FrankRuehl" w:hint="cs"/>
          <w:sz w:val="18"/>
          <w:szCs w:val="22"/>
          <w:rtl/>
          <w:lang w:eastAsia="he-IL"/>
        </w:rPr>
        <w:t xml:space="preserve"> (להלן - מסלול השכרה לטווח ארוך)</w:t>
      </w:r>
      <w:r w:rsidRPr="00F41E78">
        <w:rPr>
          <w:rFonts w:eastAsia="Calibri" w:cs="FrankRuehl"/>
          <w:sz w:val="18"/>
          <w:szCs w:val="22"/>
          <w:rtl/>
          <w:lang w:eastAsia="he-IL"/>
        </w:rPr>
        <w:t xml:space="preserve">, ובהם התאמת המסלול </w:t>
      </w:r>
      <w:r w:rsidRPr="00F41E78">
        <w:rPr>
          <w:rFonts w:eastAsia="Calibri" w:cs="FrankRuehl" w:hint="cs"/>
          <w:sz w:val="18"/>
          <w:szCs w:val="22"/>
          <w:rtl/>
          <w:lang w:eastAsia="he-IL"/>
        </w:rPr>
        <w:t xml:space="preserve">לתכניות עבודה </w:t>
      </w:r>
      <w:r w:rsidRPr="00F41E78">
        <w:rPr>
          <w:rFonts w:eastAsia="Calibri" w:cs="FrankRuehl"/>
          <w:sz w:val="18"/>
          <w:szCs w:val="22"/>
          <w:rtl/>
          <w:lang w:eastAsia="he-IL"/>
        </w:rPr>
        <w:t xml:space="preserve">שנתיות </w:t>
      </w:r>
      <w:r w:rsidRPr="00F41E78">
        <w:rPr>
          <w:rFonts w:eastAsia="Calibri" w:cs="FrankRuehl" w:hint="cs"/>
          <w:sz w:val="18"/>
          <w:szCs w:val="22"/>
          <w:rtl/>
          <w:lang w:eastAsia="he-IL"/>
        </w:rPr>
        <w:t>של משרדי הממשלה השונים</w:t>
      </w:r>
      <w:r w:rsidRPr="00F41E78">
        <w:rPr>
          <w:rFonts w:eastAsia="Calibri" w:cs="FrankRuehl"/>
          <w:sz w:val="18"/>
          <w:szCs w:val="22"/>
          <w:rtl/>
          <w:lang w:eastAsia="he-IL"/>
        </w:rPr>
        <w:t xml:space="preserve">; </w:t>
      </w:r>
      <w:r w:rsidRPr="00F41E78">
        <w:rPr>
          <w:rFonts w:eastAsia="Calibri" w:cs="FrankRuehl" w:hint="cs"/>
          <w:sz w:val="18"/>
          <w:szCs w:val="22"/>
          <w:rtl/>
          <w:lang w:eastAsia="he-IL"/>
        </w:rPr>
        <w:t>קביעת יעדי המסלול ו</w:t>
      </w:r>
      <w:r w:rsidRPr="00F41E78">
        <w:rPr>
          <w:rFonts w:eastAsia="Calibri" w:cs="FrankRuehl"/>
          <w:sz w:val="18"/>
          <w:szCs w:val="22"/>
          <w:rtl/>
          <w:lang w:eastAsia="he-IL"/>
        </w:rPr>
        <w:t>בחינ</w:t>
      </w:r>
      <w:r w:rsidRPr="00F41E78">
        <w:rPr>
          <w:rFonts w:eastAsia="Calibri" w:cs="FrankRuehl" w:hint="cs"/>
          <w:sz w:val="18"/>
          <w:szCs w:val="22"/>
          <w:rtl/>
          <w:lang w:eastAsia="he-IL"/>
        </w:rPr>
        <w:t>ה של</w:t>
      </w:r>
      <w:r w:rsidRPr="00F41E78">
        <w:rPr>
          <w:rFonts w:eastAsia="Calibri" w:cs="FrankRuehl"/>
          <w:sz w:val="18"/>
          <w:szCs w:val="22"/>
          <w:rtl/>
          <w:lang w:eastAsia="he-IL"/>
        </w:rPr>
        <w:t xml:space="preserve"> מידת השגת</w:t>
      </w:r>
      <w:r w:rsidRPr="00F41E78">
        <w:rPr>
          <w:rFonts w:eastAsia="Calibri" w:cs="FrankRuehl" w:hint="cs"/>
          <w:sz w:val="18"/>
          <w:szCs w:val="22"/>
          <w:rtl/>
          <w:lang w:eastAsia="he-IL"/>
        </w:rPr>
        <w:t>ם</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עלות ההשקעה הממשלתית ואופן תקצובה; </w:t>
      </w:r>
      <w:r w:rsidRPr="00F41E78">
        <w:rPr>
          <w:rFonts w:eastAsia="Calibri" w:cs="FrankRuehl"/>
          <w:sz w:val="18"/>
          <w:szCs w:val="22"/>
          <w:rtl/>
          <w:lang w:eastAsia="he-IL"/>
        </w:rPr>
        <w:t xml:space="preserve">פעולות הממשלה לעידוד הגופים המוסדיים </w:t>
      </w:r>
      <w:r w:rsidRPr="00F41E78">
        <w:rPr>
          <w:rFonts w:eastAsia="Calibri" w:cs="FrankRuehl" w:hint="cs"/>
          <w:sz w:val="18"/>
          <w:szCs w:val="22"/>
          <w:rtl/>
          <w:lang w:eastAsia="he-IL"/>
        </w:rPr>
        <w:t>להשתלב ב</w:t>
      </w:r>
      <w:r w:rsidRPr="00F41E78">
        <w:rPr>
          <w:rFonts w:eastAsia="Calibri" w:cs="FrankRuehl"/>
          <w:sz w:val="18"/>
          <w:szCs w:val="22"/>
          <w:rtl/>
          <w:lang w:eastAsia="he-IL"/>
        </w:rPr>
        <w:t xml:space="preserve">שוק ההשכרה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w:t>
      </w:r>
      <w:r w:rsidRPr="00F41E78">
        <w:rPr>
          <w:rFonts w:eastAsia="Calibri" w:cs="FrankRuehl" w:hint="cs"/>
          <w:sz w:val="18"/>
          <w:szCs w:val="22"/>
          <w:rtl/>
          <w:lang w:eastAsia="he-IL"/>
        </w:rPr>
        <w:t>ו</w:t>
      </w:r>
      <w:r w:rsidRPr="00F41E78">
        <w:rPr>
          <w:rFonts w:eastAsia="Calibri" w:cs="FrankRuehl"/>
          <w:sz w:val="18"/>
          <w:szCs w:val="22"/>
          <w:rtl/>
          <w:lang w:eastAsia="he-IL"/>
        </w:rPr>
        <w:t>זיהוי חסמים למכרזים שנכשלו והפקת לקחים</w:t>
      </w:r>
      <w:r w:rsidRPr="00F41E78">
        <w:rPr>
          <w:rFonts w:eastAsia="Calibri" w:cs="FrankRuehl" w:hint="cs"/>
          <w:sz w:val="18"/>
          <w:szCs w:val="22"/>
          <w:rtl/>
          <w:lang w:eastAsia="he-IL"/>
        </w:rPr>
        <w:t xml:space="preserve"> מכישלונם</w:t>
      </w:r>
      <w:r w:rsidRPr="00F41E78">
        <w:rPr>
          <w:rFonts w:eastAsia="Calibri" w:cs="FrankRuehl"/>
          <w:sz w:val="18"/>
          <w:szCs w:val="22"/>
          <w:rtl/>
          <w:lang w:eastAsia="he-IL"/>
        </w:rPr>
        <w:t>.</w:t>
      </w:r>
      <w:r w:rsidRPr="00F41E78">
        <w:rPr>
          <w:rFonts w:eastAsia="Calibri" w:cs="FrankRuehl" w:hint="cs"/>
          <w:sz w:val="18"/>
          <w:szCs w:val="22"/>
          <w:rtl/>
          <w:lang w:eastAsia="he-IL"/>
        </w:rPr>
        <w:t xml:space="preserve"> </w:t>
      </w:r>
      <w:r w:rsidRPr="00F41E78">
        <w:rPr>
          <w:rFonts w:cs="FrankRuehl"/>
          <w:sz w:val="18"/>
          <w:szCs w:val="22"/>
          <w:rtl/>
          <w:lang w:eastAsia="he-IL"/>
        </w:rPr>
        <w:t xml:space="preserve">הבדיקה </w:t>
      </w:r>
      <w:r w:rsidRPr="00F41E78">
        <w:rPr>
          <w:rFonts w:cs="FrankRuehl" w:hint="cs"/>
          <w:sz w:val="18"/>
          <w:szCs w:val="22"/>
          <w:rtl/>
          <w:lang w:eastAsia="he-IL"/>
        </w:rPr>
        <w:t>נעשתה</w:t>
      </w:r>
      <w:r w:rsidRPr="00F41E78">
        <w:rPr>
          <w:rFonts w:cs="FrankRuehl"/>
          <w:sz w:val="18"/>
          <w:szCs w:val="22"/>
          <w:rtl/>
          <w:lang w:eastAsia="he-IL"/>
        </w:rPr>
        <w:t xml:space="preserve"> במשרד הבינוי</w:t>
      </w:r>
      <w:r w:rsidRPr="00F41E78">
        <w:rPr>
          <w:rFonts w:cs="FrankRuehl" w:hint="cs"/>
          <w:sz w:val="18"/>
          <w:szCs w:val="22"/>
          <w:rtl/>
          <w:lang w:eastAsia="he-IL"/>
        </w:rPr>
        <w:t xml:space="preserve"> ובמחוזותיו</w:t>
      </w:r>
      <w:r w:rsidRPr="00F41E78">
        <w:rPr>
          <w:rFonts w:cs="FrankRuehl"/>
          <w:sz w:val="18"/>
          <w:szCs w:val="22"/>
          <w:rtl/>
          <w:lang w:eastAsia="he-IL"/>
        </w:rPr>
        <w:t>, ב</w:t>
      </w:r>
      <w:r w:rsidRPr="00F41E78">
        <w:rPr>
          <w:rFonts w:cs="FrankRuehl" w:hint="cs"/>
          <w:sz w:val="18"/>
          <w:szCs w:val="22"/>
          <w:rtl/>
          <w:lang w:eastAsia="he-IL"/>
        </w:rPr>
        <w:t xml:space="preserve">רמ"י </w:t>
      </w:r>
      <w:r w:rsidRPr="00F41E78">
        <w:rPr>
          <w:rFonts w:cs="FrankRuehl"/>
          <w:sz w:val="18"/>
          <w:szCs w:val="22"/>
          <w:rtl/>
          <w:lang w:eastAsia="he-IL"/>
        </w:rPr>
        <w:t>ו</w:t>
      </w:r>
      <w:r w:rsidRPr="00F41E78">
        <w:rPr>
          <w:rFonts w:cs="FrankRuehl" w:hint="cs"/>
          <w:sz w:val="18"/>
          <w:szCs w:val="22"/>
          <w:rtl/>
          <w:lang w:eastAsia="he-IL"/>
        </w:rPr>
        <w:t>ב</w:t>
      </w:r>
      <w:r w:rsidRPr="00F41E78">
        <w:rPr>
          <w:rFonts w:cs="FrankRuehl"/>
          <w:sz w:val="18"/>
          <w:szCs w:val="22"/>
          <w:rtl/>
          <w:lang w:eastAsia="he-IL"/>
        </w:rPr>
        <w:t xml:space="preserve">מחוזותיה </w:t>
      </w:r>
      <w:r w:rsidRPr="00F41E78">
        <w:rPr>
          <w:rFonts w:cs="FrankRuehl" w:hint="cs"/>
          <w:sz w:val="18"/>
          <w:szCs w:val="22"/>
          <w:rtl/>
          <w:lang w:eastAsia="he-IL"/>
        </w:rPr>
        <w:t>ו</w:t>
      </w:r>
      <w:r w:rsidRPr="00F41E78">
        <w:rPr>
          <w:rFonts w:cs="FrankRuehl"/>
          <w:sz w:val="18"/>
          <w:szCs w:val="22"/>
          <w:rtl/>
          <w:lang w:eastAsia="he-IL"/>
        </w:rPr>
        <w:t>באג</w:t>
      </w:r>
      <w:r w:rsidRPr="00F41E78">
        <w:rPr>
          <w:rFonts w:cs="FrankRuehl" w:hint="cs"/>
          <w:sz w:val="18"/>
          <w:szCs w:val="22"/>
          <w:rtl/>
          <w:lang w:eastAsia="he-IL"/>
        </w:rPr>
        <w:t>"ת</w:t>
      </w:r>
      <w:r w:rsidRPr="00F41E78">
        <w:rPr>
          <w:rFonts w:cs="FrankRuehl"/>
          <w:sz w:val="18"/>
          <w:szCs w:val="22"/>
          <w:rtl/>
          <w:lang w:eastAsia="he-IL"/>
        </w:rPr>
        <w:t xml:space="preserve">. בדיקות השלמה </w:t>
      </w:r>
      <w:r w:rsidRPr="00F41E78">
        <w:rPr>
          <w:rFonts w:cs="FrankRuehl" w:hint="cs"/>
          <w:sz w:val="18"/>
          <w:szCs w:val="22"/>
          <w:rtl/>
          <w:lang w:eastAsia="he-IL"/>
        </w:rPr>
        <w:t>נעשו</w:t>
      </w:r>
      <w:r w:rsidRPr="00F41E78">
        <w:rPr>
          <w:rFonts w:cs="FrankRuehl"/>
          <w:sz w:val="18"/>
          <w:szCs w:val="22"/>
          <w:rtl/>
          <w:lang w:eastAsia="he-IL"/>
        </w:rPr>
        <w:t xml:space="preserve"> במשרד ראש הממשלה </w:t>
      </w:r>
      <w:r w:rsidRPr="00F41E78">
        <w:rPr>
          <w:rFonts w:cs="FrankRuehl" w:hint="cs"/>
          <w:sz w:val="18"/>
          <w:szCs w:val="22"/>
          <w:rtl/>
          <w:lang w:eastAsia="he-IL"/>
        </w:rPr>
        <w:t>ו</w:t>
      </w:r>
      <w:r w:rsidRPr="00F41E78">
        <w:rPr>
          <w:rFonts w:cs="FrankRuehl"/>
          <w:sz w:val="18"/>
          <w:szCs w:val="22"/>
          <w:rtl/>
          <w:lang w:eastAsia="he-IL"/>
        </w:rPr>
        <w:t>במשרד</w:t>
      </w:r>
      <w:r w:rsidRPr="00F41E78">
        <w:rPr>
          <w:rFonts w:cs="FrankRuehl" w:hint="cs"/>
          <w:sz w:val="18"/>
          <w:szCs w:val="22"/>
          <w:rtl/>
          <w:lang w:eastAsia="he-IL"/>
        </w:rPr>
        <w:t>י</w:t>
      </w:r>
      <w:r w:rsidRPr="00F41E78">
        <w:rPr>
          <w:rFonts w:cs="FrankRuehl"/>
          <w:sz w:val="18"/>
          <w:szCs w:val="22"/>
          <w:rtl/>
          <w:lang w:eastAsia="he-IL"/>
        </w:rPr>
        <w:t xml:space="preserve"> הכלכלה </w:t>
      </w:r>
      <w:r w:rsidRPr="00F41E78">
        <w:rPr>
          <w:rFonts w:cs="FrankRuehl" w:hint="cs"/>
          <w:sz w:val="18"/>
          <w:szCs w:val="22"/>
          <w:rtl/>
          <w:lang w:eastAsia="he-IL"/>
        </w:rPr>
        <w:t>ו</w:t>
      </w:r>
      <w:r w:rsidRPr="00F41E78">
        <w:rPr>
          <w:rFonts w:cs="FrankRuehl"/>
          <w:sz w:val="18"/>
          <w:szCs w:val="22"/>
          <w:rtl/>
          <w:lang w:eastAsia="he-IL"/>
        </w:rPr>
        <w:t>המשפטים.</w:t>
      </w:r>
    </w:p>
    <w:p w:rsidR="00E97EDA" w:rsidRPr="00F41E78" w:rsidP="00A7557B">
      <w:pPr>
        <w:spacing w:after="120" w:line="230" w:lineRule="exact"/>
        <w:jc w:val="both"/>
        <w:rPr>
          <w:rFonts w:eastAsia="Calibri" w:cs="FrankRuehl"/>
          <w:sz w:val="18"/>
          <w:szCs w:val="22"/>
          <w:lang w:eastAsia="he-IL"/>
        </w:rPr>
      </w:pPr>
    </w:p>
    <w:p w:rsidR="00E97EDA" w:rsidRPr="00FA1F2C" w:rsidP="00A7557B">
      <w:pPr>
        <w:pStyle w:val="KOT4"/>
        <w:rPr>
          <w:rFonts w:eastAsia="Calibri"/>
          <w:rtl/>
          <w:lang w:eastAsia="he-IL"/>
        </w:rPr>
      </w:pPr>
      <w:r w:rsidRPr="00FA1F2C">
        <w:rPr>
          <w:rFonts w:eastAsia="Calibri"/>
          <w:rtl/>
          <w:lang w:eastAsia="he-IL"/>
        </w:rPr>
        <w:t xml:space="preserve">שוק השכירות בישראל </w:t>
      </w:r>
      <w:r w:rsidRPr="00FA1F2C">
        <w:rPr>
          <w:rFonts w:eastAsia="Calibri" w:hint="cs"/>
          <w:rtl/>
          <w:lang w:eastAsia="he-IL"/>
        </w:rPr>
        <w:t>-</w:t>
      </w:r>
      <w:r w:rsidRPr="00FA1F2C">
        <w:rPr>
          <w:rFonts w:eastAsia="Calibri"/>
          <w:rtl/>
          <w:lang w:eastAsia="he-IL"/>
        </w:rPr>
        <w:t xml:space="preserve"> בסיס נורמטיבי</w:t>
      </w:r>
    </w:p>
    <w:p w:rsidR="00E97EDA" w:rsidRPr="00FA1F2C" w:rsidP="00A7557B">
      <w:pPr>
        <w:pStyle w:val="KOT5"/>
        <w:rPr>
          <w:rFonts w:eastAsia="Calibri"/>
          <w:rtl/>
          <w:lang w:eastAsia="he-IL"/>
        </w:rPr>
      </w:pPr>
      <w:r w:rsidRPr="00FA1F2C">
        <w:rPr>
          <w:rFonts w:eastAsia="Calibri" w:hint="cs"/>
          <w:rtl/>
          <w:lang w:eastAsia="he-IL"/>
        </w:rPr>
        <w:t>ה</w:t>
      </w:r>
      <w:r w:rsidRPr="00FA1F2C">
        <w:rPr>
          <w:rFonts w:eastAsia="Calibri"/>
          <w:rtl/>
          <w:lang w:eastAsia="he-IL"/>
        </w:rPr>
        <w:t>חקיקה לעידוד שוק השכירות</w:t>
      </w:r>
    </w:p>
    <w:p w:rsidR="00E97EDA" w:rsidRPr="00F41E78" w:rsidP="00A7557B">
      <w:pPr>
        <w:spacing w:after="120" w:line="230" w:lineRule="exact"/>
        <w:jc w:val="both"/>
        <w:rPr>
          <w:rFonts w:eastAsia="Calibri" w:cs="FrankRuehl"/>
          <w:sz w:val="18"/>
          <w:szCs w:val="22"/>
          <w:rtl/>
          <w:lang w:eastAsia="he-IL"/>
        </w:rPr>
      </w:pPr>
      <w:r w:rsidRPr="00F41E78">
        <w:rPr>
          <w:rFonts w:cs="FrankRuehl"/>
          <w:bCs/>
          <w:spacing w:val="40"/>
          <w:sz w:val="18"/>
          <w:szCs w:val="22"/>
          <w:rtl/>
        </w:rPr>
        <w:t xml:space="preserve">משקיעים פרטיים: </w:t>
      </w:r>
      <w:r w:rsidRPr="00F41E78">
        <w:rPr>
          <w:rFonts w:eastAsia="Calibri" w:cs="FrankRuehl"/>
          <w:sz w:val="18"/>
          <w:szCs w:val="22"/>
          <w:rtl/>
          <w:lang w:eastAsia="he-IL"/>
        </w:rPr>
        <w:t xml:space="preserve">המדינה מעודדת את בעלי הדירות הפרטיים להשכיר את דירותיהם באמצעות חוק </w:t>
      </w:r>
      <w:r w:rsidRPr="00F41E78">
        <w:rPr>
          <w:rFonts w:eastAsia="Calibri" w:cs="FrankRuehl" w:hint="cs"/>
          <w:sz w:val="18"/>
          <w:szCs w:val="22"/>
          <w:rtl/>
          <w:lang w:eastAsia="he-IL"/>
        </w:rPr>
        <w:t>מס הכנסה (פטור ממס על הכנסה מהשכרת דירה למגורים), התש"ן-1990, ולפיו יחיד פטור ממס על הכנסה מדמי שכירות, ובלבד ששיעורה של הכנסה זו בכל אחד מחודשי השנה היה נמוך מהשיעור המרבי שנקבע בחוק</w:t>
      </w:r>
      <w:r>
        <w:rPr>
          <w:rFonts w:eastAsia="Calibri" w:cs="FrankRuehl"/>
          <w:sz w:val="18"/>
          <w:szCs w:val="22"/>
          <w:vertAlign w:val="superscript"/>
          <w:rtl/>
          <w:lang w:eastAsia="he-IL"/>
        </w:rPr>
        <w:footnoteReference w:id="295"/>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p>
    <w:p w:rsidR="00E97EDA" w:rsidRPr="00F41E78" w:rsidP="00A7557B">
      <w:pPr>
        <w:spacing w:after="120" w:line="230" w:lineRule="exact"/>
        <w:jc w:val="both"/>
        <w:rPr>
          <w:rFonts w:eastAsia="Calibri" w:cs="FrankRuehl"/>
          <w:sz w:val="18"/>
          <w:szCs w:val="22"/>
          <w:rtl/>
          <w:lang w:eastAsia="he-IL"/>
        </w:rPr>
      </w:pPr>
      <w:r w:rsidRPr="00F41E78">
        <w:rPr>
          <w:rFonts w:cs="FrankRuehl"/>
          <w:bCs/>
          <w:spacing w:val="40"/>
          <w:sz w:val="18"/>
          <w:szCs w:val="22"/>
          <w:rtl/>
        </w:rPr>
        <w:t>משקיעים עסקיים:</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במסגרת </w:t>
      </w:r>
      <w:r w:rsidRPr="00F41E78">
        <w:rPr>
          <w:rFonts w:eastAsia="Calibri" w:cs="FrankRuehl"/>
          <w:sz w:val="18"/>
          <w:szCs w:val="22"/>
          <w:rtl/>
          <w:lang w:eastAsia="he-IL"/>
        </w:rPr>
        <w:t>ניסיונות</w:t>
      </w:r>
      <w:r w:rsidRPr="00F41E78">
        <w:rPr>
          <w:rFonts w:eastAsia="Calibri" w:cs="FrankRuehl" w:hint="cs"/>
          <w:sz w:val="18"/>
          <w:szCs w:val="22"/>
          <w:rtl/>
          <w:lang w:eastAsia="he-IL"/>
        </w:rPr>
        <w:t xml:space="preserve">יה </w:t>
      </w:r>
      <w:r w:rsidRPr="00F41E78">
        <w:rPr>
          <w:rFonts w:eastAsia="Calibri" w:cs="FrankRuehl"/>
          <w:sz w:val="18"/>
          <w:szCs w:val="22"/>
          <w:rtl/>
          <w:lang w:eastAsia="he-IL"/>
        </w:rPr>
        <w:t xml:space="preserve">לעודד הקמת פרויקטים </w:t>
      </w:r>
      <w:r w:rsidRPr="00F41E78">
        <w:rPr>
          <w:rFonts w:eastAsia="Calibri" w:cs="FrankRuehl" w:hint="cs"/>
          <w:sz w:val="18"/>
          <w:szCs w:val="22"/>
          <w:rtl/>
          <w:lang w:eastAsia="he-IL"/>
        </w:rPr>
        <w:t>של דיור להשכרה 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הממשלה פועלת </w:t>
      </w:r>
      <w:r w:rsidRPr="00F41E78">
        <w:rPr>
          <w:rFonts w:eastAsia="Calibri" w:cs="FrankRuehl" w:hint="cs"/>
          <w:sz w:val="18"/>
          <w:szCs w:val="22"/>
          <w:rtl/>
          <w:lang w:eastAsia="he-IL"/>
        </w:rPr>
        <w:t xml:space="preserve">לעירוב </w:t>
      </w:r>
      <w:r w:rsidRPr="00F41E78">
        <w:rPr>
          <w:rFonts w:eastAsia="Calibri" w:cs="FrankRuehl"/>
          <w:sz w:val="18"/>
          <w:szCs w:val="22"/>
          <w:rtl/>
          <w:lang w:eastAsia="he-IL"/>
        </w:rPr>
        <w:t xml:space="preserve">גופים עסקיים ובהם </w:t>
      </w:r>
      <w:r w:rsidRPr="00F41E78">
        <w:rPr>
          <w:rFonts w:eastAsia="Calibri" w:cs="FrankRuehl" w:hint="cs"/>
          <w:sz w:val="18"/>
          <w:szCs w:val="22"/>
          <w:rtl/>
          <w:lang w:eastAsia="he-IL"/>
        </w:rPr>
        <w:t>גופים</w:t>
      </w:r>
      <w:r w:rsidRPr="00F41E78">
        <w:rPr>
          <w:rFonts w:eastAsia="Calibri" w:cs="FrankRuehl"/>
          <w:sz w:val="18"/>
          <w:szCs w:val="22"/>
          <w:rtl/>
          <w:lang w:eastAsia="he-IL"/>
        </w:rPr>
        <w:t xml:space="preserve"> העוסקים בהשקעות לטווחים בינוניים וארוכים בשוק זה (להלן </w:t>
      </w:r>
      <w:r w:rsidRPr="00F41E78">
        <w:rPr>
          <w:rFonts w:eastAsia="Calibri" w:cs="FrankRuehl" w:hint="cs"/>
          <w:sz w:val="18"/>
          <w:szCs w:val="22"/>
          <w:rtl/>
          <w:lang w:eastAsia="he-IL"/>
        </w:rPr>
        <w:t>-</w:t>
      </w:r>
      <w:r w:rsidRPr="00F41E78">
        <w:rPr>
          <w:rFonts w:eastAsia="Calibri" w:cs="FrankRuehl"/>
          <w:sz w:val="18"/>
          <w:szCs w:val="22"/>
          <w:rtl/>
          <w:lang w:eastAsia="he-IL"/>
        </w:rPr>
        <w:t xml:space="preserve"> גופים מוסדיים</w:t>
      </w:r>
      <w:r>
        <w:rPr>
          <w:rFonts w:eastAsia="Calibri" w:cs="FrankRuehl"/>
          <w:sz w:val="18"/>
          <w:szCs w:val="22"/>
          <w:vertAlign w:val="superscript"/>
          <w:rtl/>
          <w:lang w:eastAsia="he-IL"/>
        </w:rPr>
        <w:footnoteReference w:id="296"/>
      </w:r>
      <w:r w:rsidRPr="00F41E78">
        <w:rPr>
          <w:rFonts w:eastAsia="Calibri" w:cs="FrankRuehl"/>
          <w:sz w:val="18"/>
          <w:szCs w:val="22"/>
          <w:rtl/>
          <w:lang w:eastAsia="he-IL"/>
        </w:rPr>
        <w:t xml:space="preserve"> או </w:t>
      </w:r>
      <w:r w:rsidRPr="00F41E78">
        <w:rPr>
          <w:rFonts w:eastAsia="Calibri" w:cs="FrankRuehl" w:hint="cs"/>
          <w:sz w:val="18"/>
          <w:szCs w:val="22"/>
          <w:rtl/>
          <w:lang w:eastAsia="he-IL"/>
        </w:rPr>
        <w:t>גופים עסקיים</w:t>
      </w:r>
      <w:r w:rsidRPr="00F41E78">
        <w:rPr>
          <w:rFonts w:eastAsia="Calibri" w:cs="FrankRuehl"/>
          <w:sz w:val="18"/>
          <w:szCs w:val="22"/>
          <w:rtl/>
          <w:lang w:eastAsia="he-IL"/>
        </w:rPr>
        <w:t>). פעולות העידוד נעשות באמצעות הענקת תמריצים כלכליים</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p>
    <w:p w:rsidR="00E97EDA" w:rsidRPr="00F41E78" w:rsidP="00A7557B">
      <w:pPr>
        <w:spacing w:after="120" w:line="230" w:lineRule="exact"/>
        <w:jc w:val="both"/>
        <w:rPr>
          <w:rFonts w:eastAsia="Calibri" w:cs="FrankRuehl"/>
          <w:sz w:val="18"/>
          <w:szCs w:val="22"/>
          <w:rtl/>
          <w:lang w:eastAsia="he-IL"/>
        </w:rPr>
      </w:pPr>
      <w:r w:rsidRPr="00F41E78">
        <w:rPr>
          <w:rFonts w:cs="FrankRuehl"/>
          <w:spacing w:val="40"/>
          <w:sz w:val="18"/>
          <w:szCs w:val="22"/>
          <w:rtl/>
        </w:rPr>
        <w:t xml:space="preserve">חוק לעידוד השקעות הון, </w:t>
      </w:r>
      <w:r w:rsidRPr="00F41E78">
        <w:rPr>
          <w:rFonts w:cs="FrankRuehl" w:hint="eastAsia"/>
          <w:spacing w:val="40"/>
          <w:sz w:val="18"/>
          <w:szCs w:val="22"/>
          <w:rtl/>
        </w:rPr>
        <w:t>ה</w:t>
      </w:r>
      <w:r w:rsidRPr="00F41E78">
        <w:rPr>
          <w:rFonts w:cs="FrankRuehl"/>
          <w:spacing w:val="40"/>
          <w:sz w:val="18"/>
          <w:szCs w:val="22"/>
          <w:rtl/>
        </w:rPr>
        <w:t>תשי"ט-1959:</w:t>
      </w:r>
      <w:r w:rsidRPr="00F41E78">
        <w:rPr>
          <w:rFonts w:eastAsia="Calibri" w:cs="FrankRuehl"/>
          <w:sz w:val="18"/>
          <w:szCs w:val="22"/>
          <w:rtl/>
          <w:lang w:eastAsia="he-IL"/>
        </w:rPr>
        <w:t xml:space="preserve"> על פי התיקון </w:t>
      </w:r>
      <w:r w:rsidRPr="00F41E78">
        <w:rPr>
          <w:rFonts w:eastAsia="Calibri" w:cs="FrankRuehl" w:hint="cs"/>
          <w:sz w:val="18"/>
          <w:szCs w:val="22"/>
          <w:rtl/>
          <w:lang w:eastAsia="he-IL"/>
        </w:rPr>
        <w:t xml:space="preserve">משנת 1989 </w:t>
      </w:r>
      <w:r w:rsidRPr="00F41E78">
        <w:rPr>
          <w:rFonts w:eastAsia="Calibri" w:cs="FrankRuehl"/>
          <w:sz w:val="18"/>
          <w:szCs w:val="22"/>
          <w:rtl/>
          <w:lang w:eastAsia="he-IL"/>
        </w:rPr>
        <w:t xml:space="preserve">לחוק </w:t>
      </w:r>
      <w:r w:rsidRPr="00F41E78">
        <w:rPr>
          <w:rFonts w:eastAsia="Calibri" w:cs="FrankRuehl" w:hint="cs"/>
          <w:sz w:val="18"/>
          <w:szCs w:val="22"/>
          <w:rtl/>
          <w:lang w:eastAsia="he-IL"/>
        </w:rPr>
        <w:t xml:space="preserve">האמור </w:t>
      </w:r>
      <w:r w:rsidRPr="00F41E78">
        <w:rPr>
          <w:rFonts w:eastAsia="Calibri" w:cs="FrankRuehl"/>
          <w:sz w:val="18"/>
          <w:szCs w:val="22"/>
          <w:rtl/>
          <w:lang w:eastAsia="he-IL"/>
        </w:rPr>
        <w:t>יינתנו הקלות במיסוי ליזמים שישכירו לפחות מחצית משטח הרצפות של בניין למגורים</w:t>
      </w:r>
      <w:r w:rsidRPr="00F41E78">
        <w:rPr>
          <w:rFonts w:eastAsia="Calibri" w:cs="FrankRuehl" w:hint="cs"/>
          <w:sz w:val="18"/>
          <w:szCs w:val="22"/>
          <w:rtl/>
          <w:lang w:eastAsia="he-IL"/>
        </w:rPr>
        <w:t>,</w:t>
      </w:r>
      <w:r w:rsidRPr="00F41E78">
        <w:rPr>
          <w:rFonts w:eastAsia="Calibri" w:cs="FrankRuehl"/>
          <w:sz w:val="18"/>
          <w:szCs w:val="22"/>
          <w:rtl/>
          <w:lang w:eastAsia="he-IL"/>
        </w:rPr>
        <w:t xml:space="preserve"> ו</w:t>
      </w:r>
      <w:r w:rsidRPr="00F41E78">
        <w:rPr>
          <w:rFonts w:eastAsia="Calibri" w:cs="FrankRuehl" w:hint="cs"/>
          <w:sz w:val="18"/>
          <w:szCs w:val="22"/>
          <w:rtl/>
          <w:lang w:eastAsia="he-IL"/>
        </w:rPr>
        <w:t xml:space="preserve">בלבד </w:t>
      </w:r>
      <w:r w:rsidRPr="00F41E78">
        <w:rPr>
          <w:rFonts w:eastAsia="Calibri" w:cs="FrankRuehl"/>
          <w:sz w:val="18"/>
          <w:szCs w:val="22"/>
          <w:rtl/>
          <w:lang w:eastAsia="he-IL"/>
        </w:rPr>
        <w:t>שהדירות יושכרו לתקופה ממוצעת של חמש שנים לפחות מתוך שבע השנים שלאחר תום הבנייה.</w:t>
      </w:r>
    </w:p>
    <w:p w:rsidR="00E97EDA" w:rsidRPr="00F41E78" w:rsidP="00A7557B">
      <w:pPr>
        <w:spacing w:after="120" w:line="230" w:lineRule="exact"/>
        <w:jc w:val="both"/>
        <w:rPr>
          <w:rFonts w:eastAsia="Calibri" w:cs="FrankRuehl"/>
          <w:sz w:val="18"/>
          <w:szCs w:val="22"/>
          <w:rtl/>
          <w:lang w:eastAsia="he-IL"/>
        </w:rPr>
      </w:pPr>
      <w:r w:rsidRPr="00F41E78">
        <w:rPr>
          <w:rFonts w:cs="FrankRuehl"/>
          <w:spacing w:val="40"/>
          <w:sz w:val="18"/>
          <w:szCs w:val="22"/>
          <w:rtl/>
        </w:rPr>
        <w:t>חוק לעידוד בניית דירות להשכרה, התשס"ז-2007:</w:t>
      </w:r>
      <w:r w:rsidRPr="00F41E78">
        <w:rPr>
          <w:rFonts w:eastAsia="Calibri" w:cs="FrankRuehl"/>
          <w:sz w:val="18"/>
          <w:szCs w:val="22"/>
          <w:rtl/>
          <w:lang w:eastAsia="he-IL"/>
        </w:rPr>
        <w:t xml:space="preserve"> החוק נועד</w:t>
      </w:r>
      <w:r w:rsidRPr="00F41E78">
        <w:rPr>
          <w:rFonts w:eastAsia="Calibri" w:cs="FrankRuehl" w:hint="cs"/>
          <w:sz w:val="18"/>
          <w:szCs w:val="22"/>
          <w:rtl/>
          <w:lang w:eastAsia="he-IL"/>
        </w:rPr>
        <w:t xml:space="preserve"> </w:t>
      </w:r>
      <w:r w:rsidRPr="00F41E78">
        <w:rPr>
          <w:rFonts w:eastAsia="Calibri" w:cs="FrankRuehl"/>
          <w:sz w:val="18"/>
          <w:szCs w:val="22"/>
          <w:rtl/>
          <w:lang w:eastAsia="he-IL"/>
        </w:rPr>
        <w:t>לעודד חברות עסקיות לבנות דירות להשכרה בשוק החופשי באמצעות שני תמריצי מס</w:t>
      </w:r>
      <w:r w:rsidRPr="00F41E78">
        <w:rPr>
          <w:rFonts w:eastAsia="Calibri" w:cs="FrankRuehl" w:hint="cs"/>
          <w:sz w:val="18"/>
          <w:szCs w:val="22"/>
          <w:rtl/>
          <w:lang w:eastAsia="he-IL"/>
        </w:rPr>
        <w:t>. האחד,</w:t>
      </w:r>
      <w:r w:rsidRPr="00F41E78">
        <w:rPr>
          <w:rFonts w:eastAsia="Calibri" w:cs="FrankRuehl"/>
          <w:sz w:val="18"/>
          <w:szCs w:val="22"/>
          <w:rtl/>
          <w:lang w:eastAsia="he-IL"/>
        </w:rPr>
        <w:t xml:space="preserve"> פחת מואץ</w:t>
      </w:r>
      <w:r w:rsidRPr="00F41E78">
        <w:rPr>
          <w:rFonts w:eastAsia="Calibri" w:cs="FrankRuehl" w:hint="cs"/>
          <w:sz w:val="18"/>
          <w:szCs w:val="22"/>
          <w:rtl/>
          <w:lang w:eastAsia="he-IL"/>
        </w:rPr>
        <w:t xml:space="preserve"> של 20%</w:t>
      </w:r>
      <w:r w:rsidRPr="00F41E78">
        <w:rPr>
          <w:rFonts w:eastAsia="Calibri" w:cs="FrankRuehl"/>
          <w:sz w:val="18"/>
          <w:szCs w:val="22"/>
          <w:rtl/>
          <w:lang w:eastAsia="he-IL"/>
        </w:rPr>
        <w:t xml:space="preserve"> לשנה </w:t>
      </w:r>
      <w:r w:rsidRPr="00F41E78">
        <w:rPr>
          <w:rFonts w:eastAsia="Calibri" w:cs="FrankRuehl" w:hint="cs"/>
          <w:sz w:val="18"/>
          <w:szCs w:val="22"/>
          <w:rtl/>
          <w:lang w:eastAsia="he-IL"/>
        </w:rPr>
        <w:t>במקום</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פחת </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רגיל </w:t>
      </w:r>
      <w:r w:rsidRPr="00F41E78">
        <w:rPr>
          <w:rFonts w:eastAsia="Calibri" w:cs="FrankRuehl" w:hint="cs"/>
          <w:sz w:val="18"/>
          <w:szCs w:val="22"/>
          <w:rtl/>
          <w:lang w:eastAsia="he-IL"/>
        </w:rPr>
        <w:t>(2%) באופן</w:t>
      </w:r>
      <w:r w:rsidRPr="00F41E78">
        <w:rPr>
          <w:rFonts w:eastAsia="Calibri" w:cs="FrankRuehl"/>
          <w:sz w:val="18"/>
          <w:szCs w:val="22"/>
          <w:rtl/>
          <w:lang w:eastAsia="he-IL"/>
        </w:rPr>
        <w:t xml:space="preserve"> שהרווח לצורכי מס יקטן (לפי פקודת מס הכנסה [נוסח חדש]), </w:t>
      </w:r>
      <w:r w:rsidRPr="00F41E78">
        <w:rPr>
          <w:rFonts w:eastAsia="Calibri" w:cs="FrankRuehl" w:hint="cs"/>
          <w:sz w:val="18"/>
          <w:szCs w:val="22"/>
          <w:rtl/>
          <w:lang w:eastAsia="he-IL"/>
        </w:rPr>
        <w:t>והאחר הוא</w:t>
      </w:r>
      <w:r w:rsidRPr="00F41E78">
        <w:rPr>
          <w:rFonts w:eastAsia="Calibri" w:cs="FrankRuehl"/>
          <w:sz w:val="18"/>
          <w:szCs w:val="22"/>
          <w:rtl/>
          <w:lang w:eastAsia="he-IL"/>
        </w:rPr>
        <w:t xml:space="preserve"> פטור מלא ממס שבח אם הבניין </w:t>
      </w:r>
      <w:r w:rsidRPr="00F41E78">
        <w:rPr>
          <w:rFonts w:eastAsia="Calibri" w:cs="FrankRuehl" w:hint="cs"/>
          <w:sz w:val="18"/>
          <w:szCs w:val="22"/>
          <w:rtl/>
          <w:lang w:eastAsia="he-IL"/>
        </w:rPr>
        <w:t>יימכר</w:t>
      </w:r>
      <w:r w:rsidRPr="00F41E78">
        <w:rPr>
          <w:rFonts w:eastAsia="Calibri" w:cs="FrankRuehl"/>
          <w:sz w:val="18"/>
          <w:szCs w:val="22"/>
          <w:rtl/>
          <w:lang w:eastAsia="he-IL"/>
        </w:rPr>
        <w:t xml:space="preserve"> לאחר עשר שנים (לפי חוק מיסוי מקרקעין)</w:t>
      </w:r>
      <w:r>
        <w:rPr>
          <w:rFonts w:eastAsia="Calibri" w:cs="FrankRuehl"/>
          <w:sz w:val="18"/>
          <w:szCs w:val="22"/>
          <w:vertAlign w:val="superscript"/>
          <w:rtl/>
          <w:lang w:eastAsia="he-IL"/>
        </w:rPr>
        <w:footnoteReference w:id="297"/>
      </w:r>
      <w:r w:rsidRPr="00F41E78">
        <w:rPr>
          <w:rFonts w:eastAsia="Calibri" w:cs="FrankRuehl"/>
          <w:sz w:val="18"/>
          <w:szCs w:val="22"/>
          <w:rtl/>
          <w:lang w:eastAsia="he-IL"/>
        </w:rPr>
        <w:t>.</w:t>
      </w:r>
    </w:p>
    <w:p w:rsidR="00E97EDA" w:rsidRPr="00F41E78" w:rsidP="00A7557B">
      <w:pPr>
        <w:spacing w:after="120" w:line="230" w:lineRule="exact"/>
        <w:jc w:val="both"/>
        <w:rPr>
          <w:rFonts w:eastAsia="Calibri" w:cs="FrankRuehl"/>
          <w:sz w:val="18"/>
          <w:szCs w:val="22"/>
          <w:rtl/>
          <w:lang w:eastAsia="he-IL"/>
        </w:rPr>
      </w:pPr>
      <w:r w:rsidRPr="00F41E78">
        <w:rPr>
          <w:rFonts w:cs="FrankRuehl"/>
          <w:spacing w:val="40"/>
          <w:sz w:val="18"/>
          <w:szCs w:val="22"/>
          <w:rtl/>
        </w:rPr>
        <w:t>חוק מס הכנסה (פטור ממס לקופת גמל על הכנסה מדמי שכירות בשל השכרת דירות למגורים לטווח ארוך), התשע"ב</w:t>
      </w:r>
      <w:r w:rsidRPr="00F41E78">
        <w:rPr>
          <w:rFonts w:cs="FrankRuehl" w:hint="cs"/>
          <w:spacing w:val="40"/>
          <w:sz w:val="18"/>
          <w:szCs w:val="22"/>
          <w:rtl/>
        </w:rPr>
        <w:t>-</w:t>
      </w:r>
      <w:r w:rsidRPr="00F41E78">
        <w:rPr>
          <w:rFonts w:cs="FrankRuehl"/>
          <w:spacing w:val="40"/>
          <w:sz w:val="18"/>
          <w:szCs w:val="22"/>
          <w:rtl/>
        </w:rPr>
        <w:t>2012:</w:t>
      </w:r>
      <w:r w:rsidRPr="00F41E78">
        <w:rPr>
          <w:rFonts w:cs="FrankRuehl"/>
          <w:sz w:val="18"/>
          <w:szCs w:val="22"/>
          <w:rtl/>
          <w:lang w:eastAsia="he-IL"/>
        </w:rPr>
        <w:t xml:space="preserve"> </w:t>
      </w:r>
      <w:r w:rsidRPr="00F41E78">
        <w:rPr>
          <w:rFonts w:eastAsia="Calibri" w:cs="FrankRuehl"/>
          <w:sz w:val="18"/>
          <w:szCs w:val="22"/>
          <w:rtl/>
          <w:lang w:eastAsia="he-IL"/>
        </w:rPr>
        <w:t xml:space="preserve">כדי לעודד </w:t>
      </w:r>
      <w:r w:rsidRPr="00F41E78">
        <w:rPr>
          <w:rFonts w:eastAsia="Calibri" w:cs="FrankRuehl" w:hint="cs"/>
          <w:sz w:val="18"/>
          <w:szCs w:val="22"/>
          <w:rtl/>
          <w:lang w:eastAsia="he-IL"/>
        </w:rPr>
        <w:t>גופים מוסדיים להקים</w:t>
      </w:r>
      <w:r w:rsidRPr="00F41E78">
        <w:rPr>
          <w:rFonts w:eastAsia="Calibri" w:cs="FrankRuehl"/>
          <w:sz w:val="18"/>
          <w:szCs w:val="22"/>
          <w:rtl/>
          <w:lang w:eastAsia="he-IL"/>
        </w:rPr>
        <w:t xml:space="preserve"> פרויקטים של </w:t>
      </w:r>
      <w:r w:rsidRPr="00F41E78">
        <w:rPr>
          <w:rFonts w:eastAsia="Calibri" w:cs="FrankRuehl" w:hint="cs"/>
          <w:sz w:val="18"/>
          <w:szCs w:val="22"/>
          <w:rtl/>
          <w:lang w:eastAsia="he-IL"/>
        </w:rPr>
        <w:t>דיור ל</w:t>
      </w:r>
      <w:r w:rsidRPr="00F41E78">
        <w:rPr>
          <w:rFonts w:eastAsia="Calibri" w:cs="FrankRuehl"/>
          <w:sz w:val="18"/>
          <w:szCs w:val="22"/>
          <w:rtl/>
          <w:lang w:eastAsia="he-IL"/>
        </w:rPr>
        <w:t>השכרה לטווח ארוך יזם אג</w:t>
      </w:r>
      <w:r w:rsidRPr="00F41E78">
        <w:rPr>
          <w:rFonts w:eastAsia="Calibri" w:cs="FrankRuehl" w:hint="cs"/>
          <w:sz w:val="18"/>
          <w:szCs w:val="22"/>
          <w:rtl/>
          <w:lang w:eastAsia="he-IL"/>
        </w:rPr>
        <w:t xml:space="preserve">"ת </w:t>
      </w:r>
      <w:r w:rsidRPr="00F41E78">
        <w:rPr>
          <w:rFonts w:eastAsia="Calibri" w:cs="FrankRuehl"/>
          <w:sz w:val="18"/>
          <w:szCs w:val="22"/>
          <w:rtl/>
          <w:lang w:eastAsia="he-IL"/>
        </w:rPr>
        <w:t xml:space="preserve">את </w:t>
      </w:r>
      <w:r w:rsidRPr="00F41E78">
        <w:rPr>
          <w:rFonts w:eastAsia="Calibri" w:cs="FrankRuehl" w:hint="cs"/>
          <w:sz w:val="18"/>
          <w:szCs w:val="22"/>
          <w:rtl/>
          <w:lang w:eastAsia="he-IL"/>
        </w:rPr>
        <w:t>ה</w:t>
      </w:r>
      <w:r w:rsidRPr="00F41E78">
        <w:rPr>
          <w:rFonts w:eastAsia="Calibri" w:cs="FrankRuehl"/>
          <w:sz w:val="18"/>
          <w:szCs w:val="22"/>
          <w:rtl/>
          <w:lang w:eastAsia="he-IL"/>
        </w:rPr>
        <w:t>חוק</w:t>
      </w:r>
      <w:r w:rsidRPr="00F41E78">
        <w:rPr>
          <w:rFonts w:eastAsia="Calibri" w:cs="FrankRuehl" w:hint="cs"/>
          <w:sz w:val="18"/>
          <w:szCs w:val="22"/>
          <w:rtl/>
          <w:lang w:eastAsia="he-IL"/>
        </w:rPr>
        <w:t xml:space="preserve"> הזה</w:t>
      </w:r>
      <w:r w:rsidRPr="00F41E78">
        <w:rPr>
          <w:rFonts w:eastAsia="Calibri" w:cs="FrankRuehl"/>
          <w:sz w:val="18"/>
          <w:szCs w:val="22"/>
          <w:rtl/>
          <w:lang w:eastAsia="he-IL"/>
        </w:rPr>
        <w:t xml:space="preserve"> (להלן </w:t>
      </w:r>
      <w:r w:rsidRPr="00F41E78">
        <w:rPr>
          <w:rFonts w:eastAsia="Calibri" w:cs="FrankRuehl" w:hint="cs"/>
          <w:sz w:val="18"/>
          <w:szCs w:val="22"/>
          <w:rtl/>
          <w:lang w:eastAsia="he-IL"/>
        </w:rPr>
        <w:t xml:space="preserve">- </w:t>
      </w:r>
      <w:r w:rsidRPr="00F41E78">
        <w:rPr>
          <w:rFonts w:eastAsia="Calibri" w:cs="FrankRuehl"/>
          <w:sz w:val="18"/>
          <w:szCs w:val="22"/>
          <w:rtl/>
          <w:lang w:eastAsia="he-IL"/>
        </w:rPr>
        <w:t>חוק גופים מוסדיים). החוק נועד לתמרץ גופים מוסדיים להשקיע כספי קופות גמל</w:t>
      </w:r>
      <w:r>
        <w:rPr>
          <w:rFonts w:eastAsia="Calibri" w:cs="FrankRuehl"/>
          <w:sz w:val="18"/>
          <w:szCs w:val="22"/>
          <w:vertAlign w:val="superscript"/>
          <w:rtl/>
          <w:lang w:eastAsia="he-IL"/>
        </w:rPr>
        <w:footnoteReference w:id="298"/>
      </w:r>
      <w:r w:rsidRPr="00F41E78">
        <w:rPr>
          <w:rFonts w:eastAsia="Calibri" w:cs="FrankRuehl"/>
          <w:sz w:val="18"/>
          <w:szCs w:val="22"/>
          <w:rtl/>
          <w:lang w:eastAsia="he-IL"/>
        </w:rPr>
        <w:t xml:space="preserve"> בפרויקטים של דיור להשכרה לטווח ארוך </w:t>
      </w:r>
      <w:r w:rsidRPr="00F41E78">
        <w:rPr>
          <w:rFonts w:eastAsia="Calibri" w:cs="FrankRuehl" w:hint="cs"/>
          <w:sz w:val="18"/>
          <w:szCs w:val="22"/>
          <w:rtl/>
          <w:lang w:eastAsia="he-IL"/>
        </w:rPr>
        <w:t>באמצעות</w:t>
      </w:r>
      <w:r w:rsidRPr="00F41E78">
        <w:rPr>
          <w:rFonts w:eastAsia="Calibri" w:cs="FrankRuehl"/>
          <w:sz w:val="18"/>
          <w:szCs w:val="22"/>
          <w:rtl/>
          <w:lang w:eastAsia="he-IL"/>
        </w:rPr>
        <w:t xml:space="preserve"> קביעה מפורשת של פטור ממס </w:t>
      </w:r>
      <w:r w:rsidRPr="00F41E78">
        <w:rPr>
          <w:rFonts w:eastAsia="Calibri" w:cs="FrankRuehl" w:hint="cs"/>
          <w:sz w:val="18"/>
          <w:szCs w:val="22"/>
          <w:rtl/>
          <w:lang w:eastAsia="he-IL"/>
        </w:rPr>
        <w:t>בד בבד עם חיובם</w:t>
      </w:r>
      <w:r w:rsidRPr="00F41E78">
        <w:rPr>
          <w:rFonts w:eastAsia="Calibri" w:cs="FrankRuehl"/>
          <w:sz w:val="18"/>
          <w:szCs w:val="22"/>
          <w:rtl/>
          <w:lang w:eastAsia="he-IL"/>
        </w:rPr>
        <w:t xml:space="preserve"> לעמוד בתנאים הקבועים בחוק.</w:t>
      </w:r>
    </w:p>
    <w:p w:rsidR="00E97EDA" w:rsidRPr="00F41E78" w:rsidP="00A7557B">
      <w:pPr>
        <w:spacing w:after="120" w:line="230" w:lineRule="exact"/>
        <w:jc w:val="both"/>
        <w:rPr>
          <w:rFonts w:eastAsia="Calibri" w:cs="FrankRuehl"/>
          <w:sz w:val="18"/>
          <w:szCs w:val="22"/>
          <w:rtl/>
          <w:lang w:eastAsia="he-IL"/>
        </w:rPr>
      </w:pPr>
    </w:p>
    <w:p w:rsidR="00E97EDA" w:rsidRPr="00FA1F2C" w:rsidP="00A7557B">
      <w:pPr>
        <w:pStyle w:val="KOT5"/>
        <w:rPr>
          <w:rFonts w:eastAsia="Calibri"/>
          <w:rtl/>
          <w:lang w:eastAsia="he-IL"/>
        </w:rPr>
      </w:pPr>
      <w:r w:rsidRPr="00FA1F2C">
        <w:rPr>
          <w:rFonts w:eastAsia="Calibri"/>
          <w:rtl/>
          <w:lang w:eastAsia="he-IL"/>
        </w:rPr>
        <w:t>החלטות</w:t>
      </w:r>
      <w:r>
        <w:rPr>
          <w:rFonts w:eastAsia="Calibri"/>
          <w:rtl/>
          <w:lang w:eastAsia="he-IL"/>
        </w:rPr>
        <w:t xml:space="preserve"> </w:t>
      </w:r>
      <w:r w:rsidRPr="00FA1F2C">
        <w:rPr>
          <w:rFonts w:eastAsia="Calibri"/>
          <w:rtl/>
          <w:lang w:eastAsia="he-IL"/>
        </w:rPr>
        <w:t xml:space="preserve">הממשלה </w:t>
      </w:r>
      <w:r w:rsidRPr="00FA1F2C">
        <w:rPr>
          <w:rFonts w:eastAsia="Calibri" w:hint="cs"/>
          <w:rtl/>
          <w:lang w:eastAsia="he-IL"/>
        </w:rPr>
        <w:t>בנוגע לשכירות</w:t>
      </w:r>
    </w:p>
    <w:p w:rsidR="00E97EDA" w:rsidRPr="00F41E78" w:rsidP="00A7557B">
      <w:pPr>
        <w:spacing w:after="120" w:line="230" w:lineRule="exact"/>
        <w:jc w:val="both"/>
        <w:rPr>
          <w:rFonts w:eastAsia="Calibri" w:cs="FrankRuehl"/>
          <w:sz w:val="18"/>
          <w:szCs w:val="22"/>
          <w:rtl/>
          <w:lang w:eastAsia="he-IL"/>
        </w:rPr>
      </w:pPr>
      <w:r w:rsidRPr="00F41E78">
        <w:rPr>
          <w:rFonts w:cs="FrankRuehl"/>
          <w:bCs/>
          <w:spacing w:val="40"/>
          <w:sz w:val="18"/>
          <w:szCs w:val="22"/>
          <w:rtl/>
        </w:rPr>
        <w:t xml:space="preserve">החלטות הממשלה בנושא </w:t>
      </w:r>
      <w:r w:rsidRPr="00F41E78">
        <w:rPr>
          <w:rFonts w:cs="FrankRuehl" w:hint="cs"/>
          <w:bCs/>
          <w:spacing w:val="40"/>
          <w:sz w:val="18"/>
          <w:szCs w:val="22"/>
          <w:rtl/>
        </w:rPr>
        <w:t>השכרה ל</w:t>
      </w:r>
      <w:r w:rsidRPr="00F41E78">
        <w:rPr>
          <w:rFonts w:cs="FrankRuehl"/>
          <w:bCs/>
          <w:spacing w:val="40"/>
          <w:sz w:val="18"/>
          <w:szCs w:val="22"/>
          <w:rtl/>
        </w:rPr>
        <w:t>טווח</w:t>
      </w:r>
      <w:r w:rsidRPr="00F41E78">
        <w:rPr>
          <w:rFonts w:cs="FrankRuehl" w:hint="cs"/>
          <w:bCs/>
          <w:spacing w:val="40"/>
          <w:sz w:val="18"/>
          <w:szCs w:val="22"/>
          <w:rtl/>
        </w:rPr>
        <w:t xml:space="preserve"> ארוך</w:t>
      </w:r>
      <w:r w:rsidRPr="00F41E78">
        <w:rPr>
          <w:rFonts w:cs="FrankRuehl"/>
          <w:bCs/>
          <w:spacing w:val="40"/>
          <w:sz w:val="18"/>
          <w:szCs w:val="22"/>
          <w:rtl/>
        </w:rPr>
        <w:t xml:space="preserve"> </w:t>
      </w:r>
      <w:r w:rsidRPr="00F41E78">
        <w:rPr>
          <w:rFonts w:cs="FrankRuehl" w:hint="eastAsia"/>
          <w:bCs/>
          <w:spacing w:val="40"/>
          <w:sz w:val="18"/>
          <w:szCs w:val="22"/>
          <w:rtl/>
        </w:rPr>
        <w:t>שהתקבלו</w:t>
      </w:r>
      <w:r w:rsidRPr="00F41E78">
        <w:rPr>
          <w:rFonts w:cs="FrankRuehl"/>
          <w:bCs/>
          <w:spacing w:val="40"/>
          <w:sz w:val="18"/>
          <w:szCs w:val="22"/>
          <w:rtl/>
        </w:rPr>
        <w:t xml:space="preserve"> </w:t>
      </w:r>
      <w:r w:rsidRPr="00F41E78">
        <w:rPr>
          <w:rFonts w:cs="FrankRuehl" w:hint="eastAsia"/>
          <w:bCs/>
          <w:spacing w:val="40"/>
          <w:sz w:val="18"/>
          <w:szCs w:val="22"/>
          <w:rtl/>
        </w:rPr>
        <w:t>לפני</w:t>
      </w:r>
      <w:r w:rsidRPr="00F41E78">
        <w:rPr>
          <w:rFonts w:cs="FrankRuehl"/>
          <w:bCs/>
          <w:spacing w:val="40"/>
          <w:sz w:val="18"/>
          <w:szCs w:val="22"/>
          <w:rtl/>
        </w:rPr>
        <w:t xml:space="preserve"> 2013: </w:t>
      </w:r>
      <w:r w:rsidRPr="00F41E78">
        <w:rPr>
          <w:rFonts w:eastAsia="Calibri" w:cs="FrankRuehl"/>
          <w:sz w:val="18"/>
          <w:szCs w:val="22"/>
          <w:rtl/>
          <w:lang w:eastAsia="he-IL"/>
        </w:rPr>
        <w:t xml:space="preserve">בעקבות העלייה הניכרת במחירי הדיור </w:t>
      </w:r>
      <w:r w:rsidRPr="00F41E78">
        <w:rPr>
          <w:rFonts w:eastAsia="Calibri" w:cs="FrankRuehl" w:hint="cs"/>
          <w:sz w:val="18"/>
          <w:szCs w:val="22"/>
          <w:rtl/>
          <w:lang w:eastAsia="he-IL"/>
        </w:rPr>
        <w:t xml:space="preserve">התקבלה </w:t>
      </w:r>
      <w:r w:rsidRPr="00F41E78">
        <w:rPr>
          <w:rFonts w:eastAsia="Calibri" w:cs="FrankRuehl"/>
          <w:sz w:val="18"/>
          <w:szCs w:val="22"/>
          <w:rtl/>
          <w:lang w:eastAsia="he-IL"/>
        </w:rPr>
        <w:t>החלט</w:t>
      </w:r>
      <w:r w:rsidRPr="00F41E78">
        <w:rPr>
          <w:rFonts w:eastAsia="Calibri" w:cs="FrankRuehl" w:hint="cs"/>
          <w:sz w:val="18"/>
          <w:szCs w:val="22"/>
          <w:rtl/>
          <w:lang w:eastAsia="he-IL"/>
        </w:rPr>
        <w:t>ת ממשלה מס'</w:t>
      </w:r>
      <w:r w:rsidRPr="00F41E78">
        <w:rPr>
          <w:rFonts w:eastAsia="Calibri" w:cs="FrankRuehl"/>
          <w:sz w:val="18"/>
          <w:szCs w:val="22"/>
          <w:rtl/>
          <w:lang w:eastAsia="he-IL"/>
        </w:rPr>
        <w:t xml:space="preserve"> 2982 </w:t>
      </w:r>
      <w:r w:rsidRPr="00F41E78">
        <w:rPr>
          <w:rFonts w:eastAsia="Calibri" w:cs="FrankRuehl" w:hint="cs"/>
          <w:sz w:val="18"/>
          <w:szCs w:val="22"/>
          <w:rtl/>
          <w:lang w:eastAsia="he-IL"/>
        </w:rPr>
        <w:t>במרץ 2011, ולפיה יוטל על</w:t>
      </w:r>
      <w:r w:rsidRPr="00F41E78">
        <w:rPr>
          <w:rFonts w:eastAsia="Calibri" w:cs="FrankRuehl"/>
          <w:sz w:val="18"/>
          <w:szCs w:val="22"/>
          <w:rtl/>
          <w:lang w:eastAsia="he-IL"/>
        </w:rPr>
        <w:t xml:space="preserve"> שר</w:t>
      </w:r>
      <w:r w:rsidRPr="00F41E78">
        <w:rPr>
          <w:rFonts w:eastAsia="Calibri" w:cs="FrankRuehl" w:hint="cs"/>
          <w:sz w:val="18"/>
          <w:szCs w:val="22"/>
          <w:rtl/>
          <w:lang w:eastAsia="he-IL"/>
        </w:rPr>
        <w:t>י</w:t>
      </w:r>
      <w:r w:rsidRPr="00F41E78">
        <w:rPr>
          <w:rFonts w:eastAsia="Calibri" w:cs="FrankRuehl"/>
          <w:sz w:val="18"/>
          <w:szCs w:val="22"/>
          <w:rtl/>
          <w:lang w:eastAsia="he-IL"/>
        </w:rPr>
        <w:t xml:space="preserve"> השיכון והאוצר, בשיתוף משרדי הממשלה הנוגעים בדבר, לגבש מתכונות </w:t>
      </w:r>
      <w:r w:rsidRPr="00F41E78">
        <w:rPr>
          <w:rFonts w:eastAsia="Calibri" w:cs="FrankRuehl"/>
          <w:sz w:val="18"/>
          <w:szCs w:val="22"/>
          <w:rtl/>
          <w:lang w:eastAsia="he-IL"/>
        </w:rPr>
        <w:t>חדשות</w:t>
      </w:r>
      <w:r w:rsidRPr="00F41E78">
        <w:rPr>
          <w:rFonts w:eastAsia="Calibri" w:cs="FrankRuehl" w:hint="cs"/>
          <w:sz w:val="18"/>
          <w:szCs w:val="22"/>
          <w:rtl/>
          <w:lang w:eastAsia="he-IL"/>
        </w:rPr>
        <w:t xml:space="preserve"> </w:t>
      </w:r>
      <w:r w:rsidRPr="00F41E78">
        <w:rPr>
          <w:rFonts w:eastAsia="Calibri" w:cs="FrankRuehl"/>
          <w:sz w:val="18"/>
          <w:szCs w:val="22"/>
          <w:rtl/>
          <w:lang w:eastAsia="he-IL"/>
        </w:rPr>
        <w:t>לשיווק תכניות לבנייה למגורים</w:t>
      </w:r>
      <w:r w:rsidRPr="00F41E78">
        <w:rPr>
          <w:rFonts w:eastAsia="Calibri" w:cs="FrankRuehl" w:hint="cs"/>
          <w:sz w:val="18"/>
          <w:szCs w:val="22"/>
          <w:rtl/>
          <w:lang w:eastAsia="he-IL"/>
        </w:rPr>
        <w:t>, ובכלל זה לקבוע יעדים כמותיים ולוחות זמנים לעניין השיווק</w:t>
      </w:r>
      <w:r w:rsidRPr="00F41E78">
        <w:rPr>
          <w:rFonts w:eastAsia="Calibri" w:cs="FrankRuehl"/>
          <w:sz w:val="18"/>
          <w:szCs w:val="22"/>
          <w:rtl/>
          <w:lang w:eastAsia="he-IL"/>
        </w:rPr>
        <w:t>. נוסף</w:t>
      </w:r>
      <w:r w:rsidRPr="00F41E78">
        <w:rPr>
          <w:rFonts w:eastAsia="Calibri" w:cs="FrankRuehl" w:hint="cs"/>
          <w:sz w:val="18"/>
          <w:szCs w:val="22"/>
          <w:rtl/>
          <w:lang w:eastAsia="he-IL"/>
        </w:rPr>
        <w:t xml:space="preserve"> על כך,</w:t>
      </w:r>
      <w:r w:rsidRPr="00F41E78">
        <w:rPr>
          <w:rFonts w:eastAsia="Calibri" w:cs="FrankRuehl"/>
          <w:sz w:val="18"/>
          <w:szCs w:val="22"/>
          <w:rtl/>
          <w:lang w:eastAsia="he-IL"/>
        </w:rPr>
        <w:t xml:space="preserve"> הממשלה הטילה על</w:t>
      </w:r>
      <w:r w:rsidRPr="00F41E78">
        <w:rPr>
          <w:rFonts w:eastAsia="Calibri" w:cs="FrankRuehl" w:hint="cs"/>
          <w:sz w:val="18"/>
          <w:szCs w:val="22"/>
          <w:rtl/>
          <w:lang w:eastAsia="he-IL"/>
        </w:rPr>
        <w:t xml:space="preserve">יהם </w:t>
      </w:r>
      <w:r w:rsidRPr="00F41E78">
        <w:rPr>
          <w:rFonts w:eastAsia="Calibri" w:cs="FrankRuehl"/>
          <w:sz w:val="18"/>
          <w:szCs w:val="22"/>
          <w:rtl/>
          <w:lang w:eastAsia="he-IL"/>
        </w:rPr>
        <w:t>לגבש מתכונת לשיווק קרקע המיועדת לבנייה להשכרה.</w:t>
      </w:r>
      <w:r w:rsidRPr="00F41E78">
        <w:rPr>
          <w:rFonts w:eastAsia="Calibri" w:cs="FrankRuehl" w:hint="cs"/>
          <w:sz w:val="18"/>
          <w:szCs w:val="22"/>
          <w:rtl/>
          <w:lang w:eastAsia="he-IL"/>
        </w:rPr>
        <w:t xml:space="preserve"> </w:t>
      </w:r>
      <w:r w:rsidRPr="00F41E78">
        <w:rPr>
          <w:rFonts w:eastAsia="Calibri" w:cs="FrankRuehl"/>
          <w:sz w:val="18"/>
          <w:szCs w:val="22"/>
          <w:rtl/>
          <w:lang w:eastAsia="he-IL"/>
        </w:rPr>
        <w:t>בהמשך להחלט</w:t>
      </w:r>
      <w:r w:rsidRPr="00F41E78">
        <w:rPr>
          <w:rFonts w:eastAsia="Calibri" w:cs="FrankRuehl" w:hint="cs"/>
          <w:sz w:val="18"/>
          <w:szCs w:val="22"/>
          <w:rtl/>
          <w:lang w:eastAsia="he-IL"/>
        </w:rPr>
        <w:t>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זו </w:t>
      </w:r>
      <w:r w:rsidRPr="00F41E78">
        <w:rPr>
          <w:rFonts w:eastAsia="Calibri" w:cs="FrankRuehl"/>
          <w:sz w:val="18"/>
          <w:szCs w:val="22"/>
          <w:rtl/>
          <w:lang w:eastAsia="he-IL"/>
        </w:rPr>
        <w:t>הציג</w:t>
      </w:r>
      <w:r w:rsidRPr="00F41E78">
        <w:rPr>
          <w:rFonts w:eastAsia="Calibri" w:cs="FrankRuehl" w:hint="cs"/>
          <w:sz w:val="18"/>
          <w:szCs w:val="22"/>
          <w:rtl/>
          <w:lang w:eastAsia="he-IL"/>
        </w:rPr>
        <w:t xml:space="preserve"> </w:t>
      </w:r>
      <w:r w:rsidRPr="00F41E78">
        <w:rPr>
          <w:rFonts w:eastAsia="Calibri" w:cs="FrankRuehl"/>
          <w:sz w:val="18"/>
          <w:szCs w:val="22"/>
          <w:rtl/>
          <w:lang w:eastAsia="he-IL"/>
        </w:rPr>
        <w:t xml:space="preserve">ראש הממשלה </w:t>
      </w:r>
      <w:r w:rsidRPr="00F41E78">
        <w:rPr>
          <w:rFonts w:eastAsia="Calibri" w:cs="FrankRuehl" w:hint="cs"/>
          <w:sz w:val="18"/>
          <w:szCs w:val="22"/>
          <w:rtl/>
          <w:lang w:eastAsia="he-IL"/>
        </w:rPr>
        <w:t>במסיבת עיתונאים ב-26.7.11 מצגת בנושא "</w:t>
      </w:r>
      <w:r w:rsidRPr="00F41E78">
        <w:rPr>
          <w:rFonts w:eastAsia="Calibri" w:cs="FrankRuehl"/>
          <w:sz w:val="18"/>
          <w:szCs w:val="22"/>
          <w:rtl/>
          <w:lang w:eastAsia="he-IL"/>
        </w:rPr>
        <w:t>דיור בהישג יד</w:t>
      </w:r>
      <w:r w:rsidRPr="00F41E78">
        <w:rPr>
          <w:rFonts w:eastAsia="Calibri" w:cs="FrankRuehl" w:hint="cs"/>
          <w:sz w:val="18"/>
          <w:szCs w:val="22"/>
          <w:rtl/>
          <w:lang w:eastAsia="he-IL"/>
        </w:rPr>
        <w:t xml:space="preserve"> - הטבות לזוגות צעירים, סטודנטים, חיילים משוחררים וחסרי דיור"</w:t>
      </w:r>
      <w:r w:rsidRPr="00F41E78">
        <w:rPr>
          <w:rFonts w:eastAsia="Calibri" w:cs="FrankRuehl"/>
          <w:sz w:val="18"/>
          <w:szCs w:val="22"/>
          <w:rtl/>
          <w:lang w:eastAsia="he-IL"/>
        </w:rPr>
        <w:t xml:space="preserve"> </w:t>
      </w:r>
      <w:r w:rsidRPr="00F41E78">
        <w:rPr>
          <w:rFonts w:eastAsia="Calibri" w:cs="FrankRuehl" w:hint="cs"/>
          <w:sz w:val="18"/>
          <w:szCs w:val="22"/>
          <w:rtl/>
          <w:lang w:eastAsia="he-IL"/>
        </w:rPr>
        <w:t>שעסקה</w:t>
      </w:r>
      <w:r w:rsidRPr="00F41E78">
        <w:rPr>
          <w:rFonts w:eastAsia="Calibri" w:cs="FrankRuehl"/>
          <w:sz w:val="18"/>
          <w:szCs w:val="22"/>
          <w:rtl/>
          <w:lang w:eastAsia="he-IL"/>
        </w:rPr>
        <w:t xml:space="preserve"> בין השאר </w:t>
      </w:r>
      <w:r w:rsidRPr="00F41E78">
        <w:rPr>
          <w:rFonts w:eastAsia="Calibri" w:cs="FrankRuehl" w:hint="cs"/>
          <w:sz w:val="18"/>
          <w:szCs w:val="22"/>
          <w:rtl/>
          <w:lang w:eastAsia="he-IL"/>
        </w:rPr>
        <w:t>ב</w:t>
      </w:r>
      <w:r w:rsidRPr="00F41E78">
        <w:rPr>
          <w:rFonts w:eastAsia="Calibri" w:cs="FrankRuehl"/>
          <w:sz w:val="18"/>
          <w:szCs w:val="22"/>
          <w:rtl/>
          <w:lang w:eastAsia="he-IL"/>
        </w:rPr>
        <w:t xml:space="preserve">ייזום </w:t>
      </w:r>
      <w:r w:rsidRPr="00F41E78">
        <w:rPr>
          <w:rFonts w:eastAsia="Calibri" w:cs="FrankRuehl" w:hint="cs"/>
          <w:sz w:val="18"/>
          <w:szCs w:val="22"/>
          <w:rtl/>
          <w:lang w:eastAsia="he-IL"/>
        </w:rPr>
        <w:t xml:space="preserve">של </w:t>
      </w:r>
      <w:r w:rsidRPr="00F41E78">
        <w:rPr>
          <w:rFonts w:eastAsia="Calibri" w:cs="FrankRuehl"/>
          <w:sz w:val="18"/>
          <w:szCs w:val="22"/>
          <w:rtl/>
          <w:lang w:eastAsia="he-IL"/>
        </w:rPr>
        <w:t>בניית אלפי דירות לשכירות מוזלת ארוכת טווח</w:t>
      </w:r>
      <w:r w:rsidRPr="00F41E78">
        <w:rPr>
          <w:rFonts w:eastAsia="Calibri" w:cs="FrankRuehl" w:hint="cs"/>
          <w:sz w:val="18"/>
          <w:szCs w:val="22"/>
          <w:rtl/>
          <w:lang w:eastAsia="he-IL"/>
        </w:rPr>
        <w:t>.</w:t>
      </w:r>
      <w:r w:rsidRPr="00F41E78">
        <w:rPr>
          <w:rFonts w:eastAsia="Calibri" w:cs="FrankRuehl"/>
          <w:sz w:val="18"/>
          <w:szCs w:val="22"/>
          <w:rtl/>
          <w:lang w:eastAsia="he-IL"/>
        </w:rPr>
        <w:t xml:space="preserve"> ראש הממשלה </w:t>
      </w:r>
      <w:r w:rsidRPr="00F41E78">
        <w:rPr>
          <w:rFonts w:eastAsia="Calibri" w:cs="FrankRuehl" w:hint="cs"/>
          <w:sz w:val="18"/>
          <w:szCs w:val="22"/>
          <w:rtl/>
          <w:lang w:eastAsia="he-IL"/>
        </w:rPr>
        <w:t xml:space="preserve">ציין </w:t>
      </w:r>
      <w:r w:rsidRPr="00F41E78">
        <w:rPr>
          <w:rFonts w:eastAsia="Calibri" w:cs="FrankRuehl"/>
          <w:sz w:val="18"/>
          <w:szCs w:val="22"/>
          <w:rtl/>
          <w:lang w:eastAsia="he-IL"/>
        </w:rPr>
        <w:t xml:space="preserve">כי </w:t>
      </w:r>
      <w:r w:rsidRPr="00F41E78">
        <w:rPr>
          <w:rFonts w:eastAsia="Calibri" w:cs="FrankRuehl" w:hint="cs"/>
          <w:sz w:val="18"/>
          <w:szCs w:val="22"/>
          <w:rtl/>
          <w:lang w:eastAsia="he-IL"/>
        </w:rPr>
        <w:t xml:space="preserve">לפי תפיסתה החדשה של </w:t>
      </w:r>
      <w:r w:rsidRPr="00F41E78">
        <w:rPr>
          <w:rFonts w:eastAsia="Calibri" w:cs="FrankRuehl"/>
          <w:sz w:val="18"/>
          <w:szCs w:val="22"/>
          <w:rtl/>
          <w:lang w:eastAsia="he-IL"/>
        </w:rPr>
        <w:t xml:space="preserve">הממשלה </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קרקע </w:t>
      </w:r>
      <w:r w:rsidRPr="00F41E78">
        <w:rPr>
          <w:rFonts w:eastAsia="Calibri" w:cs="FrankRuehl" w:hint="cs"/>
          <w:sz w:val="18"/>
          <w:szCs w:val="22"/>
          <w:rtl/>
          <w:lang w:eastAsia="he-IL"/>
        </w:rPr>
        <w:t xml:space="preserve">משמשת לסיפוק </w:t>
      </w:r>
      <w:r w:rsidRPr="00F41E78">
        <w:rPr>
          <w:rFonts w:eastAsia="Calibri" w:cs="FrankRuehl"/>
          <w:sz w:val="18"/>
          <w:szCs w:val="22"/>
          <w:rtl/>
          <w:lang w:eastAsia="he-IL"/>
        </w:rPr>
        <w:t xml:space="preserve">דיור </w:t>
      </w:r>
      <w:r w:rsidRPr="00F41E78">
        <w:rPr>
          <w:rFonts w:eastAsia="Calibri" w:cs="FrankRuehl" w:hint="cs"/>
          <w:sz w:val="18"/>
          <w:szCs w:val="22"/>
          <w:rtl/>
          <w:lang w:eastAsia="he-IL"/>
        </w:rPr>
        <w:t>ואינה כלי המשמש להפקת</w:t>
      </w:r>
      <w:r w:rsidRPr="00F41E78">
        <w:rPr>
          <w:rFonts w:eastAsia="Calibri" w:cs="FrankRuehl"/>
          <w:sz w:val="18"/>
          <w:szCs w:val="22"/>
          <w:rtl/>
          <w:lang w:eastAsia="he-IL"/>
        </w:rPr>
        <w:t xml:space="preserve"> רווחים.</w:t>
      </w:r>
    </w:p>
    <w:p w:rsidR="00E97EDA" w:rsidRPr="00F41E78" w:rsidP="00A7557B">
      <w:pPr>
        <w:spacing w:after="120" w:line="230" w:lineRule="exact"/>
        <w:jc w:val="both"/>
        <w:rPr>
          <w:rFonts w:eastAsia="Calibri" w:cs="FrankRuehl"/>
          <w:sz w:val="18"/>
          <w:szCs w:val="22"/>
          <w:rtl/>
          <w:lang w:eastAsia="he-IL"/>
        </w:rPr>
      </w:pPr>
      <w:r w:rsidRPr="00F41E78">
        <w:rPr>
          <w:rFonts w:cs="FrankRuehl"/>
          <w:bCs/>
          <w:spacing w:val="40"/>
          <w:sz w:val="18"/>
          <w:szCs w:val="22"/>
          <w:rtl/>
        </w:rPr>
        <w:t>החלטת הממשלה לאמץ את המלצות ועדת טרכטנברג:</w:t>
      </w:r>
      <w:r w:rsidRPr="00F41E78">
        <w:rPr>
          <w:rFonts w:eastAsia="Calibri" w:cs="FrankRuehl"/>
          <w:sz w:val="18"/>
          <w:szCs w:val="22"/>
          <w:rtl/>
          <w:lang w:eastAsia="he-IL"/>
        </w:rPr>
        <w:t xml:space="preserve"> ב</w:t>
      </w:r>
      <w:r w:rsidRPr="00F41E78">
        <w:rPr>
          <w:rFonts w:eastAsia="Calibri" w:cs="FrankRuehl" w:hint="cs"/>
          <w:sz w:val="18"/>
          <w:szCs w:val="22"/>
          <w:rtl/>
          <w:lang w:eastAsia="he-IL"/>
        </w:rPr>
        <w:t>מרץ</w:t>
      </w:r>
      <w:r w:rsidRPr="00F41E78">
        <w:rPr>
          <w:rFonts w:eastAsia="Calibri" w:cs="FrankRuehl"/>
          <w:sz w:val="18"/>
          <w:szCs w:val="22"/>
          <w:rtl/>
          <w:lang w:eastAsia="he-IL"/>
        </w:rPr>
        <w:t xml:space="preserve"> 2012 קיבלה הממשלה </w:t>
      </w:r>
      <w:r w:rsidRPr="00F41E78">
        <w:rPr>
          <w:rFonts w:eastAsia="Calibri" w:cs="FrankRuehl" w:hint="cs"/>
          <w:sz w:val="18"/>
          <w:szCs w:val="22"/>
          <w:rtl/>
          <w:lang w:eastAsia="he-IL"/>
        </w:rPr>
        <w:t>כמה</w:t>
      </w:r>
      <w:r w:rsidRPr="00F41E78">
        <w:rPr>
          <w:rFonts w:eastAsia="Calibri" w:cs="FrankRuehl"/>
          <w:sz w:val="18"/>
          <w:szCs w:val="22"/>
          <w:rtl/>
          <w:lang w:eastAsia="he-IL"/>
        </w:rPr>
        <w:t xml:space="preserve"> החלטות בנושא דיור שתכליתן יישום המלצות ועדת טרכטנברג, </w:t>
      </w:r>
      <w:r w:rsidRPr="00F41E78">
        <w:rPr>
          <w:rFonts w:eastAsia="Calibri" w:cs="FrankRuehl" w:hint="cs"/>
          <w:sz w:val="18"/>
          <w:szCs w:val="22"/>
          <w:rtl/>
          <w:lang w:eastAsia="he-IL"/>
        </w:rPr>
        <w:t>ובהן</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החלטה</w:t>
      </w:r>
      <w:r w:rsidRPr="00F41E78">
        <w:rPr>
          <w:rFonts w:eastAsia="Calibri" w:cs="FrankRuehl"/>
          <w:sz w:val="18"/>
          <w:szCs w:val="22"/>
          <w:rtl/>
          <w:lang w:eastAsia="he-IL"/>
        </w:rPr>
        <w:t xml:space="preserve"> מס' 4429 </w:t>
      </w:r>
      <w:r w:rsidRPr="00F41E78">
        <w:rPr>
          <w:rFonts w:eastAsia="Calibri" w:cs="FrankRuehl" w:hint="cs"/>
          <w:sz w:val="18"/>
          <w:szCs w:val="22"/>
          <w:rtl/>
          <w:lang w:eastAsia="he-IL"/>
        </w:rPr>
        <w:t>שעניינה</w:t>
      </w:r>
      <w:r w:rsidRPr="00F41E78">
        <w:rPr>
          <w:rFonts w:eastAsia="Calibri" w:cs="FrankRuehl"/>
          <w:sz w:val="18"/>
          <w:szCs w:val="22"/>
          <w:rtl/>
          <w:lang w:eastAsia="he-IL"/>
        </w:rPr>
        <w:t xml:space="preserve"> שיווק קרקעות לבניית 200,000 </w:t>
      </w:r>
      <w:r w:rsidRPr="00F41E78">
        <w:rPr>
          <w:rFonts w:eastAsia="Calibri" w:cs="FrankRuehl" w:hint="cs"/>
          <w:sz w:val="18"/>
          <w:szCs w:val="22"/>
          <w:rtl/>
          <w:lang w:eastAsia="he-IL"/>
        </w:rPr>
        <w:t>יח</w:t>
      </w:r>
      <w:r w:rsidRPr="00F41E78">
        <w:rPr>
          <w:rFonts w:eastAsia="Calibri" w:cs="FrankRuehl"/>
          <w:sz w:val="18"/>
          <w:szCs w:val="22"/>
          <w:rtl/>
          <w:lang w:eastAsia="he-IL"/>
        </w:rPr>
        <w:t xml:space="preserve">"ד במהלך החומש הקרוב, </w:t>
      </w:r>
      <w:r w:rsidRPr="00F41E78">
        <w:rPr>
          <w:rFonts w:eastAsia="Calibri" w:cs="FrankRuehl" w:hint="cs"/>
          <w:sz w:val="18"/>
          <w:szCs w:val="22"/>
          <w:rtl/>
          <w:lang w:eastAsia="he-IL"/>
        </w:rPr>
        <w:t>ומהן</w:t>
      </w:r>
      <w:r w:rsidRPr="00F41E78">
        <w:rPr>
          <w:rFonts w:eastAsia="Calibri" w:cs="FrankRuehl"/>
          <w:sz w:val="18"/>
          <w:szCs w:val="22"/>
          <w:rtl/>
          <w:lang w:eastAsia="he-IL"/>
        </w:rPr>
        <w:t xml:space="preserve"> 40,000 יח"ד לדיור בר השגה. לעניין זה צוין בהחלטה כי דיור בר השגה יהיה דיור להשכרה לטווח ארוך או דירות קטנות כהגדרתן בדוח ועדת טרכטנברג או דירות קטנות כהגדרתן בהחלטות מועצ</w:t>
      </w:r>
      <w:r w:rsidRPr="00F41E78">
        <w:rPr>
          <w:rFonts w:eastAsia="Calibri" w:cs="FrankRuehl" w:hint="cs"/>
          <w:sz w:val="18"/>
          <w:szCs w:val="22"/>
          <w:rtl/>
          <w:lang w:eastAsia="he-IL"/>
        </w:rPr>
        <w:t>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מקרקעי</w:t>
      </w:r>
      <w:r w:rsidRPr="00F41E78">
        <w:rPr>
          <w:rFonts w:eastAsia="Calibri" w:cs="FrankRuehl"/>
          <w:sz w:val="18"/>
          <w:szCs w:val="22"/>
          <w:rtl/>
          <w:lang w:eastAsia="he-IL"/>
        </w:rPr>
        <w:t xml:space="preserve"> </w:t>
      </w:r>
      <w:r w:rsidRPr="00F41E78">
        <w:rPr>
          <w:rFonts w:eastAsia="Calibri" w:cs="FrankRuehl" w:hint="cs"/>
          <w:sz w:val="18"/>
          <w:szCs w:val="22"/>
          <w:rtl/>
          <w:lang w:eastAsia="he-IL"/>
        </w:rPr>
        <w:t>ישראל</w:t>
      </w:r>
      <w:r w:rsidRPr="00F41E78">
        <w:rPr>
          <w:rFonts w:eastAsia="Calibri" w:cs="FrankRuehl"/>
          <w:sz w:val="18"/>
          <w:szCs w:val="22"/>
          <w:rtl/>
          <w:lang w:eastAsia="he-IL"/>
        </w:rPr>
        <w:t>.</w:t>
      </w:r>
    </w:p>
    <w:p w:rsidR="00E97EDA" w:rsidRPr="003E789E" w:rsidP="00A7557B">
      <w:pPr>
        <w:spacing w:after="120" w:line="230" w:lineRule="exact"/>
        <w:jc w:val="both"/>
        <w:rPr>
          <w:rFonts w:eastAsia="Calibri" w:cs="FrankRuehl"/>
          <w:sz w:val="18"/>
          <w:szCs w:val="22"/>
          <w:rtl/>
          <w:lang w:eastAsia="he-IL"/>
        </w:rPr>
      </w:pPr>
    </w:p>
    <w:p w:rsidR="00E97EDA" w:rsidRPr="00FA1F2C" w:rsidP="00A7557B">
      <w:pPr>
        <w:pStyle w:val="KOT5"/>
        <w:rPr>
          <w:rFonts w:eastAsia="Calibri"/>
          <w:rtl/>
          <w:lang w:eastAsia="he-IL"/>
        </w:rPr>
      </w:pPr>
      <w:r w:rsidRPr="00FA1F2C">
        <w:rPr>
          <w:rFonts w:eastAsia="Calibri"/>
          <w:rtl/>
          <w:lang w:eastAsia="he-IL"/>
        </w:rPr>
        <w:t xml:space="preserve">החלטות מועצת מקרקעי ישראל </w:t>
      </w:r>
    </w:p>
    <w:p w:rsidR="00E97EDA" w:rsidRPr="00F41E78" w:rsidP="00A7557B">
      <w:pPr>
        <w:spacing w:after="120" w:line="230" w:lineRule="exact"/>
        <w:jc w:val="both"/>
        <w:rPr>
          <w:rFonts w:eastAsia="Calibri" w:cs="FrankRuehl"/>
          <w:sz w:val="18"/>
          <w:szCs w:val="22"/>
          <w:rtl/>
          <w:lang w:eastAsia="he-IL"/>
        </w:rPr>
      </w:pPr>
      <w:r w:rsidRPr="00F41E78">
        <w:rPr>
          <w:rFonts w:cs="FrankRuehl"/>
          <w:bCs/>
          <w:spacing w:val="40"/>
          <w:sz w:val="18"/>
          <w:szCs w:val="22"/>
          <w:rtl/>
        </w:rPr>
        <w:t>החלטות מועצה עד 2011:</w:t>
      </w:r>
      <w:r w:rsidRPr="00F41E78">
        <w:rPr>
          <w:rFonts w:eastAsia="Calibri" w:cs="FrankRuehl"/>
          <w:sz w:val="18"/>
          <w:szCs w:val="22"/>
          <w:rtl/>
          <w:lang w:eastAsia="he-IL"/>
        </w:rPr>
        <w:t xml:space="preserve"> </w:t>
      </w:r>
      <w:r w:rsidRPr="00F41E78">
        <w:rPr>
          <w:rFonts w:eastAsia="Calibri" w:cs="FrankRuehl" w:hint="cs"/>
          <w:sz w:val="18"/>
          <w:szCs w:val="22"/>
          <w:rtl/>
          <w:lang w:eastAsia="he-IL"/>
        </w:rPr>
        <w:t>במשך השנים</w:t>
      </w:r>
      <w:r w:rsidRPr="00F41E78">
        <w:rPr>
          <w:rFonts w:eastAsia="Calibri" w:cs="FrankRuehl"/>
          <w:sz w:val="18"/>
          <w:szCs w:val="22"/>
          <w:rtl/>
          <w:lang w:eastAsia="he-IL"/>
        </w:rPr>
        <w:t xml:space="preserve"> קיבלה מועצ</w:t>
      </w:r>
      <w:r w:rsidRPr="00F41E78">
        <w:rPr>
          <w:rFonts w:eastAsia="Calibri" w:cs="FrankRuehl" w:hint="cs"/>
          <w:sz w:val="18"/>
          <w:szCs w:val="22"/>
          <w:rtl/>
          <w:lang w:eastAsia="he-IL"/>
        </w:rPr>
        <w:t>ת מקרקעי ישראל</w:t>
      </w:r>
      <w:r w:rsidRPr="00F41E78">
        <w:rPr>
          <w:rFonts w:eastAsia="Calibri" w:cs="FrankRuehl"/>
          <w:sz w:val="18"/>
          <w:szCs w:val="22"/>
          <w:rtl/>
          <w:lang w:eastAsia="he-IL"/>
        </w:rPr>
        <w:t xml:space="preserve"> כמה החלטות בעניין </w:t>
      </w:r>
      <w:r w:rsidRPr="00F41E78">
        <w:rPr>
          <w:rFonts w:eastAsia="Calibri" w:cs="FrankRuehl" w:hint="cs"/>
          <w:sz w:val="18"/>
          <w:szCs w:val="22"/>
          <w:rtl/>
          <w:lang w:eastAsia="he-IL"/>
        </w:rPr>
        <w:t>מכרזים ל</w:t>
      </w:r>
      <w:r w:rsidRPr="00F41E78">
        <w:rPr>
          <w:rFonts w:eastAsia="Calibri" w:cs="FrankRuehl"/>
          <w:sz w:val="18"/>
          <w:szCs w:val="22"/>
          <w:rtl/>
          <w:lang w:eastAsia="he-IL"/>
        </w:rPr>
        <w:t>שיווק קרקעות מדינה לבניית דירות להשכרה</w:t>
      </w:r>
      <w:r w:rsidRPr="00F41E78">
        <w:rPr>
          <w:rFonts w:eastAsia="Calibri" w:cs="FrankRuehl" w:hint="cs"/>
          <w:sz w:val="18"/>
          <w:szCs w:val="22"/>
          <w:rtl/>
          <w:lang w:eastAsia="he-IL"/>
        </w:rPr>
        <w:t xml:space="preserve">, שמהן עולה כי לזוכים במכרז תינתן הנחה במחיר הקרקע המשווקת. </w:t>
      </w:r>
      <w:r w:rsidRPr="00F41E78">
        <w:rPr>
          <w:rFonts w:eastAsia="Calibri" w:cs="FrankRuehl"/>
          <w:sz w:val="18"/>
          <w:szCs w:val="22"/>
          <w:rtl/>
          <w:lang w:eastAsia="he-IL"/>
        </w:rPr>
        <w:t>יצוין כי הזוכים רשאים להשכיר למגורים את הדירות הנבנות להשכרה על פי הוראות חוק עידוד השקעות הון</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ולחלופין</w:t>
      </w:r>
      <w:r w:rsidRPr="00F41E78">
        <w:rPr>
          <w:rFonts w:eastAsia="Calibri" w:cs="FrankRuehl"/>
          <w:sz w:val="18"/>
          <w:szCs w:val="22"/>
          <w:rtl/>
          <w:lang w:eastAsia="he-IL"/>
        </w:rPr>
        <w:t xml:space="preserve"> על פי חוק עידוד בנ</w:t>
      </w:r>
      <w:r w:rsidRPr="00F41E78">
        <w:rPr>
          <w:rFonts w:eastAsia="Calibri" w:cs="FrankRuehl" w:hint="cs"/>
          <w:sz w:val="18"/>
          <w:szCs w:val="22"/>
          <w:rtl/>
          <w:lang w:eastAsia="he-IL"/>
        </w:rPr>
        <w:t>י</w:t>
      </w:r>
      <w:r w:rsidRPr="00F41E78">
        <w:rPr>
          <w:rFonts w:eastAsia="Calibri" w:cs="FrankRuehl"/>
          <w:sz w:val="18"/>
          <w:szCs w:val="22"/>
          <w:rtl/>
          <w:lang w:eastAsia="he-IL"/>
        </w:rPr>
        <w:t>ית דירות להשכרה</w:t>
      </w:r>
      <w:r w:rsidRPr="00F41E78">
        <w:rPr>
          <w:rFonts w:eastAsia="Calibri" w:cs="FrankRuehl" w:hint="cs"/>
          <w:sz w:val="18"/>
          <w:szCs w:val="22"/>
          <w:rtl/>
          <w:lang w:eastAsia="he-IL"/>
        </w:rPr>
        <w:t>,</w:t>
      </w:r>
      <w:r w:rsidRPr="00F41E78">
        <w:rPr>
          <w:rFonts w:eastAsia="Calibri" w:cs="FrankRuehl"/>
          <w:sz w:val="18"/>
          <w:szCs w:val="22"/>
          <w:rtl/>
          <w:lang w:eastAsia="he-IL"/>
        </w:rPr>
        <w:t xml:space="preserve"> ובכך ליהנות מהטבות </w:t>
      </w:r>
      <w:r w:rsidRPr="00F41E78">
        <w:rPr>
          <w:rFonts w:eastAsia="Calibri" w:cs="FrankRuehl" w:hint="cs"/>
          <w:sz w:val="18"/>
          <w:szCs w:val="22"/>
          <w:rtl/>
          <w:lang w:eastAsia="he-IL"/>
        </w:rPr>
        <w:t>נוספות ל</w:t>
      </w:r>
      <w:r w:rsidRPr="00F41E78">
        <w:rPr>
          <w:rFonts w:eastAsia="Calibri" w:cs="FrankRuehl"/>
          <w:sz w:val="18"/>
          <w:szCs w:val="22"/>
          <w:rtl/>
          <w:lang w:eastAsia="he-IL"/>
        </w:rPr>
        <w:t xml:space="preserve">הטבה </w:t>
      </w:r>
      <w:r w:rsidRPr="00F41E78">
        <w:rPr>
          <w:rFonts w:eastAsia="Calibri" w:cs="FrankRuehl" w:hint="cs"/>
          <w:sz w:val="18"/>
          <w:szCs w:val="22"/>
          <w:rtl/>
          <w:lang w:eastAsia="he-IL"/>
        </w:rPr>
        <w:t>של הפחתת</w:t>
      </w:r>
      <w:r w:rsidRPr="00F41E78">
        <w:rPr>
          <w:rFonts w:eastAsia="Calibri" w:cs="FrankRuehl"/>
          <w:sz w:val="18"/>
          <w:szCs w:val="22"/>
          <w:rtl/>
          <w:lang w:eastAsia="he-IL"/>
        </w:rPr>
        <w:t xml:space="preserve"> מחיר </w:t>
      </w:r>
      <w:r w:rsidRPr="00F41E78">
        <w:rPr>
          <w:rFonts w:eastAsia="Calibri" w:cs="FrankRuehl" w:hint="cs"/>
          <w:sz w:val="18"/>
          <w:szCs w:val="22"/>
          <w:rtl/>
          <w:lang w:eastAsia="he-IL"/>
        </w:rPr>
        <w:t>ה</w:t>
      </w:r>
      <w:r w:rsidRPr="00F41E78">
        <w:rPr>
          <w:rFonts w:eastAsia="Calibri" w:cs="FrankRuehl"/>
          <w:sz w:val="18"/>
          <w:szCs w:val="22"/>
          <w:rtl/>
          <w:lang w:eastAsia="he-IL"/>
        </w:rPr>
        <w:t>קרקע.</w:t>
      </w:r>
      <w:r w:rsidRPr="00F41E78">
        <w:rPr>
          <w:rFonts w:eastAsia="Calibri" w:cs="FrankRuehl" w:hint="cs"/>
          <w:sz w:val="18"/>
          <w:szCs w:val="22"/>
          <w:rtl/>
          <w:lang w:eastAsia="he-IL"/>
        </w:rPr>
        <w:t xml:space="preserve"> </w:t>
      </w:r>
      <w:r w:rsidRPr="00F41E78">
        <w:rPr>
          <w:rFonts w:eastAsia="Calibri" w:cs="FrankRuehl"/>
          <w:sz w:val="18"/>
          <w:szCs w:val="22"/>
          <w:rtl/>
          <w:lang w:eastAsia="he-IL"/>
        </w:rPr>
        <w:t>להלן</w:t>
      </w:r>
      <w:r w:rsidRPr="00F41E78">
        <w:rPr>
          <w:rFonts w:eastAsia="Calibri" w:cs="FrankRuehl" w:hint="cs"/>
          <w:sz w:val="18"/>
          <w:szCs w:val="22"/>
          <w:rtl/>
          <w:lang w:eastAsia="he-IL"/>
        </w:rPr>
        <w:t xml:space="preserve"> עיקרי ההחלטות</w:t>
      </w:r>
      <w:r w:rsidRPr="00F41E78">
        <w:rPr>
          <w:rFonts w:eastAsia="Calibri" w:cs="FrankRuehl"/>
          <w:sz w:val="18"/>
          <w:szCs w:val="22"/>
          <w:rtl/>
          <w:lang w:eastAsia="he-IL"/>
        </w:rPr>
        <w:t xml:space="preserve">: </w:t>
      </w:r>
    </w:p>
    <w:p w:rsidR="00E97EDA" w:rsidRPr="00F41E78" w:rsidP="003E789E">
      <w:pPr>
        <w:spacing w:after="12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1.</w:t>
      </w:r>
      <w:r w:rsidRPr="00F41E78">
        <w:rPr>
          <w:rFonts w:eastAsia="Calibri" w:cs="FrankRuehl"/>
          <w:sz w:val="18"/>
          <w:szCs w:val="22"/>
          <w:rtl/>
          <w:lang w:eastAsia="he-IL"/>
        </w:rPr>
        <w:tab/>
      </w:r>
      <w:r w:rsidRPr="00F41E78">
        <w:rPr>
          <w:rFonts w:eastAsia="Calibri" w:cs="FrankRuehl" w:hint="cs"/>
          <w:sz w:val="18"/>
          <w:szCs w:val="22"/>
          <w:rtl/>
          <w:lang w:eastAsia="he-IL"/>
        </w:rPr>
        <w:t>החלטת מועצה מס' 1106 ממאי 2007 קבעה כי יוטל</w:t>
      </w:r>
      <w:r w:rsidRPr="00F41E78">
        <w:rPr>
          <w:rFonts w:eastAsia="Calibri" w:cs="FrankRuehl"/>
          <w:sz w:val="18"/>
          <w:szCs w:val="22"/>
          <w:rtl/>
          <w:lang w:eastAsia="he-IL"/>
        </w:rPr>
        <w:t xml:space="preserve"> על רמ</w:t>
      </w:r>
      <w:r w:rsidRPr="00F41E78">
        <w:rPr>
          <w:rFonts w:eastAsia="Calibri" w:cs="FrankRuehl" w:hint="cs"/>
          <w:sz w:val="18"/>
          <w:szCs w:val="22"/>
          <w:rtl/>
          <w:lang w:eastAsia="he-IL"/>
        </w:rPr>
        <w:t>"</w:t>
      </w:r>
      <w:r w:rsidRPr="00F41E78">
        <w:rPr>
          <w:rFonts w:eastAsia="Calibri" w:cs="FrankRuehl"/>
          <w:sz w:val="18"/>
          <w:szCs w:val="22"/>
          <w:rtl/>
          <w:lang w:eastAsia="he-IL"/>
        </w:rPr>
        <w:t>י ועל משרד הבינוי לשווק</w:t>
      </w:r>
      <w:r w:rsidRPr="00F41E78">
        <w:rPr>
          <w:rFonts w:eastAsia="Calibri" w:cs="FrankRuehl" w:hint="cs"/>
          <w:sz w:val="18"/>
          <w:szCs w:val="22"/>
          <w:rtl/>
          <w:lang w:eastAsia="he-IL"/>
        </w:rPr>
        <w:t xml:space="preserve"> </w:t>
      </w:r>
      <w:r w:rsidRPr="00F41E78">
        <w:rPr>
          <w:rFonts w:eastAsia="Calibri" w:cs="FrankRuehl"/>
          <w:sz w:val="18"/>
          <w:szCs w:val="22"/>
          <w:rtl/>
          <w:lang w:eastAsia="he-IL"/>
        </w:rPr>
        <w:t xml:space="preserve">קרקעות המיועדות להקמת בניינים להשכרה מתוך מאגר קרקעות המדינה ברחבי הארץ. השיווק ייעשה </w:t>
      </w:r>
      <w:r w:rsidRPr="00F41E78">
        <w:rPr>
          <w:rFonts w:eastAsia="Calibri" w:cs="FrankRuehl" w:hint="cs"/>
          <w:sz w:val="18"/>
          <w:szCs w:val="22"/>
          <w:rtl/>
          <w:lang w:eastAsia="he-IL"/>
        </w:rPr>
        <w:t>באמצעות</w:t>
      </w:r>
      <w:r w:rsidRPr="00F41E78">
        <w:rPr>
          <w:rFonts w:eastAsia="Calibri" w:cs="FrankRuehl"/>
          <w:sz w:val="18"/>
          <w:szCs w:val="22"/>
          <w:rtl/>
          <w:lang w:eastAsia="he-IL"/>
        </w:rPr>
        <w:t xml:space="preserve"> מכרז</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ו</w:t>
      </w:r>
      <w:r w:rsidRPr="00F41E78">
        <w:rPr>
          <w:rFonts w:eastAsia="Calibri" w:cs="FrankRuehl"/>
          <w:sz w:val="18"/>
          <w:szCs w:val="22"/>
          <w:rtl/>
          <w:lang w:eastAsia="he-IL"/>
        </w:rPr>
        <w:t>מחיר המינימום</w:t>
      </w:r>
      <w:r w:rsidRPr="00F41E78">
        <w:rPr>
          <w:rFonts w:eastAsia="Calibri" w:cs="FrankRuehl" w:hint="cs"/>
          <w:sz w:val="18"/>
          <w:szCs w:val="22"/>
          <w:rtl/>
          <w:lang w:eastAsia="he-IL"/>
        </w:rPr>
        <w:t xml:space="preserve"> </w:t>
      </w:r>
      <w:r w:rsidRPr="00F41E78">
        <w:rPr>
          <w:rFonts w:eastAsia="Calibri" w:cs="FrankRuehl"/>
          <w:sz w:val="18"/>
          <w:szCs w:val="22"/>
          <w:rtl/>
          <w:lang w:eastAsia="he-IL"/>
        </w:rPr>
        <w:t>יהיה</w:t>
      </w:r>
      <w:r w:rsidRPr="00F41E78">
        <w:rPr>
          <w:rFonts w:eastAsia="Calibri" w:cs="FrankRuehl" w:hint="cs"/>
          <w:sz w:val="18"/>
          <w:szCs w:val="22"/>
          <w:rtl/>
          <w:lang w:eastAsia="he-IL"/>
        </w:rPr>
        <w:t xml:space="preserve"> שווה ל-</w:t>
      </w:r>
      <w:r w:rsidRPr="00F41E78">
        <w:rPr>
          <w:rFonts w:eastAsia="Calibri" w:cs="FrankRuehl"/>
          <w:sz w:val="18"/>
          <w:szCs w:val="22"/>
          <w:rtl/>
          <w:lang w:eastAsia="he-IL"/>
        </w:rPr>
        <w:t>50% מערך הקרקע</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p>
    <w:p w:rsidR="00E97EDA" w:rsidRPr="00F41E78" w:rsidP="003E789E">
      <w:pPr>
        <w:spacing w:after="12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2.</w:t>
      </w:r>
      <w:r w:rsidRPr="00F41E78">
        <w:rPr>
          <w:rFonts w:eastAsia="Calibri" w:cs="FrankRuehl"/>
          <w:sz w:val="18"/>
          <w:szCs w:val="22"/>
          <w:rtl/>
          <w:lang w:eastAsia="he-IL"/>
        </w:rPr>
        <w:tab/>
      </w:r>
      <w:r w:rsidRPr="00F41E78">
        <w:rPr>
          <w:rFonts w:eastAsia="Calibri" w:cs="FrankRuehl" w:hint="cs"/>
          <w:sz w:val="18"/>
          <w:szCs w:val="22"/>
          <w:rtl/>
          <w:lang w:eastAsia="he-IL"/>
        </w:rPr>
        <w:t>בהחלטה מס' 1171 מינואר 2009</w:t>
      </w:r>
      <w:r w:rsidRPr="00F41E78">
        <w:rPr>
          <w:rFonts w:eastAsia="Calibri" w:cs="FrankRuehl"/>
          <w:sz w:val="18"/>
          <w:szCs w:val="22"/>
          <w:rtl/>
          <w:lang w:eastAsia="he-IL"/>
        </w:rPr>
        <w:t xml:space="preserve"> </w:t>
      </w:r>
      <w:r w:rsidRPr="00F41E78">
        <w:rPr>
          <w:rFonts w:eastAsia="Calibri" w:cs="FrankRuehl" w:hint="cs"/>
          <w:sz w:val="18"/>
          <w:szCs w:val="22"/>
          <w:rtl/>
          <w:lang w:eastAsia="he-IL"/>
        </w:rPr>
        <w:t>נקבע כי תתוקן</w:t>
      </w:r>
      <w:r w:rsidRPr="00F41E78">
        <w:rPr>
          <w:rFonts w:eastAsia="Calibri" w:cs="FrankRuehl"/>
          <w:sz w:val="18"/>
          <w:szCs w:val="22"/>
          <w:rtl/>
          <w:lang w:eastAsia="he-IL"/>
        </w:rPr>
        <w:t xml:space="preserve"> החלטה</w:t>
      </w:r>
      <w:r w:rsidRPr="00F41E78">
        <w:rPr>
          <w:rFonts w:eastAsia="Calibri" w:cs="FrankRuehl" w:hint="cs"/>
          <w:sz w:val="18"/>
          <w:szCs w:val="22"/>
          <w:rtl/>
          <w:lang w:eastAsia="he-IL"/>
        </w:rPr>
        <w:t xml:space="preserve"> מס'</w:t>
      </w:r>
      <w:r w:rsidRPr="00F41E78">
        <w:rPr>
          <w:rFonts w:eastAsia="Calibri" w:cs="FrankRuehl"/>
          <w:sz w:val="18"/>
          <w:szCs w:val="22"/>
          <w:rtl/>
          <w:lang w:eastAsia="he-IL"/>
        </w:rPr>
        <w:t xml:space="preserve"> 1106 </w:t>
      </w:r>
      <w:r w:rsidRPr="00F41E78">
        <w:rPr>
          <w:rFonts w:eastAsia="Calibri" w:cs="FrankRuehl" w:hint="cs"/>
          <w:sz w:val="18"/>
          <w:szCs w:val="22"/>
          <w:rtl/>
          <w:lang w:eastAsia="he-IL"/>
        </w:rPr>
        <w:t>שלעיל,</w:t>
      </w:r>
      <w:r w:rsidRPr="00F41E78">
        <w:rPr>
          <w:rFonts w:eastAsia="Calibri" w:cs="FrankRuehl"/>
          <w:sz w:val="18"/>
          <w:szCs w:val="22"/>
          <w:rtl/>
          <w:lang w:eastAsia="he-IL"/>
        </w:rPr>
        <w:t xml:space="preserve"> </w:t>
      </w:r>
      <w:r w:rsidRPr="00F41E78">
        <w:rPr>
          <w:rFonts w:eastAsia="Calibri" w:cs="FrankRuehl" w:hint="cs"/>
          <w:sz w:val="18"/>
          <w:szCs w:val="22"/>
          <w:rtl/>
          <w:lang w:eastAsia="he-IL"/>
        </w:rPr>
        <w:t>באופן ש</w:t>
      </w:r>
      <w:r w:rsidRPr="00F41E78">
        <w:rPr>
          <w:rFonts w:eastAsia="Calibri" w:cs="FrankRuehl"/>
          <w:sz w:val="18"/>
          <w:szCs w:val="22"/>
          <w:rtl/>
          <w:lang w:eastAsia="he-IL"/>
        </w:rPr>
        <w:t>יבוטל תנאי הסף הדורש מהמשתתף במכרז להציג נתונים בדבר חוסנו הפיננסי, מ</w:t>
      </w:r>
      <w:r w:rsidRPr="00F41E78">
        <w:rPr>
          <w:rFonts w:eastAsia="Calibri" w:cs="FrankRuehl" w:hint="cs"/>
          <w:sz w:val="18"/>
          <w:szCs w:val="22"/>
          <w:rtl/>
          <w:lang w:eastAsia="he-IL"/>
        </w:rPr>
        <w:t>שום</w:t>
      </w:r>
      <w:r w:rsidRPr="00F41E78">
        <w:rPr>
          <w:rFonts w:eastAsia="Calibri" w:cs="FrankRuehl"/>
          <w:sz w:val="18"/>
          <w:szCs w:val="22"/>
          <w:rtl/>
          <w:lang w:eastAsia="he-IL"/>
        </w:rPr>
        <w:t xml:space="preserve"> שבחוק</w:t>
      </w:r>
      <w:r w:rsidRPr="00F41E78">
        <w:rPr>
          <w:rFonts w:eastAsia="Calibri" w:cs="FrankRuehl" w:hint="cs"/>
          <w:sz w:val="18"/>
          <w:szCs w:val="22"/>
          <w:rtl/>
          <w:lang w:eastAsia="he-IL"/>
        </w:rPr>
        <w:t xml:space="preserve"> </w:t>
      </w:r>
      <w:r w:rsidRPr="00F41E78">
        <w:rPr>
          <w:rFonts w:eastAsia="Calibri" w:cs="FrankRuehl"/>
          <w:sz w:val="18"/>
          <w:szCs w:val="22"/>
          <w:rtl/>
          <w:lang w:eastAsia="he-IL"/>
        </w:rPr>
        <w:t>לעידוד בניית דירות להשכרה</w:t>
      </w:r>
      <w:r w:rsidRPr="00F41E78">
        <w:rPr>
          <w:rFonts w:eastAsia="Calibri" w:cs="FrankRuehl" w:hint="cs"/>
          <w:sz w:val="18"/>
          <w:szCs w:val="22"/>
          <w:rtl/>
          <w:lang w:eastAsia="he-IL"/>
        </w:rPr>
        <w:t xml:space="preserve"> </w:t>
      </w:r>
      <w:r w:rsidRPr="00F41E78">
        <w:rPr>
          <w:rFonts w:eastAsia="Calibri" w:cs="FrankRuehl"/>
          <w:sz w:val="18"/>
          <w:szCs w:val="22"/>
          <w:rtl/>
          <w:lang w:eastAsia="he-IL"/>
        </w:rPr>
        <w:t>לא נקבע תנאי כזה.</w:t>
      </w:r>
    </w:p>
    <w:p w:rsidR="00E97EDA" w:rsidRPr="00F41E78" w:rsidP="003E789E">
      <w:pPr>
        <w:spacing w:after="24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3.</w:t>
      </w:r>
      <w:r w:rsidRPr="00F41E78">
        <w:rPr>
          <w:rFonts w:eastAsia="Calibri" w:cs="FrankRuehl" w:hint="cs"/>
          <w:sz w:val="18"/>
          <w:szCs w:val="22"/>
          <w:rtl/>
          <w:lang w:eastAsia="he-IL"/>
        </w:rPr>
        <w:tab/>
        <w:t xml:space="preserve">לפי החלטת </w:t>
      </w:r>
      <w:r w:rsidRPr="00F41E78">
        <w:rPr>
          <w:rFonts w:eastAsia="Calibri" w:cs="FrankRuehl"/>
          <w:sz w:val="18"/>
          <w:szCs w:val="22"/>
          <w:rtl/>
          <w:lang w:eastAsia="he-IL"/>
        </w:rPr>
        <w:t>מועצה</w:t>
      </w:r>
      <w:r w:rsidRPr="00F41E78">
        <w:rPr>
          <w:rFonts w:eastAsia="Calibri" w:cs="FrankRuehl" w:hint="cs"/>
          <w:sz w:val="18"/>
          <w:szCs w:val="22"/>
          <w:rtl/>
          <w:lang w:eastAsia="he-IL"/>
        </w:rPr>
        <w:t xml:space="preserve"> מס' 1187</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מדצמבר 2009 </w:t>
      </w:r>
      <w:r w:rsidRPr="00F41E78">
        <w:rPr>
          <w:rFonts w:eastAsia="Calibri" w:cs="FrankRuehl"/>
          <w:sz w:val="18"/>
          <w:szCs w:val="22"/>
          <w:rtl/>
          <w:lang w:eastAsia="he-IL"/>
        </w:rPr>
        <w:t xml:space="preserve">יזם </w:t>
      </w:r>
      <w:r w:rsidRPr="00F41E78">
        <w:rPr>
          <w:rFonts w:eastAsia="Calibri" w:cs="FrankRuehl" w:hint="cs"/>
          <w:sz w:val="18"/>
          <w:szCs w:val="22"/>
          <w:rtl/>
          <w:lang w:eastAsia="he-IL"/>
        </w:rPr>
        <w:t xml:space="preserve">יכול להציע </w:t>
      </w:r>
      <w:r w:rsidRPr="00F41E78">
        <w:rPr>
          <w:rFonts w:eastAsia="Calibri" w:cs="FrankRuehl"/>
          <w:sz w:val="18"/>
          <w:szCs w:val="22"/>
          <w:rtl/>
          <w:lang w:eastAsia="he-IL"/>
        </w:rPr>
        <w:t xml:space="preserve">מחיר לקרקע </w:t>
      </w:r>
      <w:r w:rsidRPr="00F41E78">
        <w:rPr>
          <w:rFonts w:eastAsia="Calibri" w:cs="FrankRuehl" w:hint="cs"/>
          <w:sz w:val="18"/>
          <w:szCs w:val="22"/>
          <w:rtl/>
          <w:lang w:eastAsia="he-IL"/>
        </w:rPr>
        <w:t xml:space="preserve">באופן שיאפשר להערכתו </w:t>
      </w:r>
      <w:r w:rsidRPr="00F41E78">
        <w:rPr>
          <w:rFonts w:eastAsia="Calibri" w:cs="FrankRuehl"/>
          <w:sz w:val="18"/>
          <w:szCs w:val="22"/>
          <w:rtl/>
          <w:lang w:eastAsia="he-IL"/>
        </w:rPr>
        <w:t>תשואה מספקת</w:t>
      </w:r>
      <w:r w:rsidRPr="00F41E78">
        <w:rPr>
          <w:rFonts w:eastAsia="Calibri" w:cs="FrankRuehl" w:hint="cs"/>
          <w:sz w:val="18"/>
          <w:szCs w:val="22"/>
          <w:rtl/>
          <w:lang w:eastAsia="he-IL"/>
        </w:rPr>
        <w:t>.</w:t>
      </w:r>
      <w:r w:rsidRPr="00F41E78">
        <w:rPr>
          <w:rFonts w:eastAsia="Calibri" w:cs="FrankRuehl"/>
          <w:sz w:val="18"/>
          <w:szCs w:val="22"/>
          <w:rtl/>
          <w:lang w:eastAsia="he-IL"/>
        </w:rPr>
        <w:t xml:space="preserve"> לצורך כך</w:t>
      </w:r>
      <w:r w:rsidRPr="00F41E78">
        <w:rPr>
          <w:rFonts w:eastAsia="Calibri" w:cs="FrankRuehl" w:hint="cs"/>
          <w:sz w:val="18"/>
          <w:szCs w:val="22"/>
          <w:rtl/>
          <w:lang w:eastAsia="he-IL"/>
        </w:rPr>
        <w:t>,</w:t>
      </w:r>
      <w:r w:rsidRPr="00F41E78">
        <w:rPr>
          <w:rFonts w:eastAsia="Calibri" w:cs="FrankRuehl"/>
          <w:sz w:val="18"/>
          <w:szCs w:val="22"/>
          <w:rtl/>
          <w:lang w:eastAsia="he-IL"/>
        </w:rPr>
        <w:t xml:space="preserve"> נקבע כי במכרזים לדיור להשכרה יבוטל מחיר המינימום על הקרקע המשווקת ובלבד שיוגשו שלוש הצעות מחיר. </w:t>
      </w:r>
    </w:p>
    <w:p w:rsidR="00D22B16" w:rsidRPr="00F41E78" w:rsidP="00D22B16">
      <w:pPr>
        <w:pStyle w:val="RESHET"/>
        <w:keepLines/>
        <w:rPr>
          <w:rFonts w:eastAsia="Calibri"/>
          <w:rtl/>
        </w:rPr>
      </w:pPr>
      <w:r w:rsidRPr="00F41E78">
        <w:rPr>
          <w:rFonts w:eastAsia="Calibri"/>
          <w:rtl/>
        </w:rPr>
        <w:t>הביקורת העלתה כי על אף החלטות המועצה מ</w:t>
      </w:r>
      <w:r w:rsidRPr="00F41E78">
        <w:rPr>
          <w:rFonts w:eastAsia="Calibri" w:hint="cs"/>
          <w:rtl/>
        </w:rPr>
        <w:t>השנים</w:t>
      </w:r>
      <w:r w:rsidRPr="00F41E78">
        <w:rPr>
          <w:rFonts w:eastAsia="Calibri"/>
          <w:rtl/>
        </w:rPr>
        <w:t xml:space="preserve"> 2007 </w:t>
      </w:r>
      <w:r w:rsidRPr="00F41E78">
        <w:rPr>
          <w:rFonts w:eastAsia="Calibri" w:hint="cs"/>
          <w:rtl/>
        </w:rPr>
        <w:t>ו-</w:t>
      </w:r>
      <w:r w:rsidRPr="00F41E78">
        <w:rPr>
          <w:rFonts w:eastAsia="Calibri"/>
          <w:rtl/>
        </w:rPr>
        <w:t xml:space="preserve">2009 בעניין דיור להשכרה </w:t>
      </w:r>
      <w:r w:rsidRPr="00F41E78">
        <w:rPr>
          <w:rFonts w:eastAsia="Calibri" w:hint="cs"/>
          <w:rtl/>
        </w:rPr>
        <w:t>ל</w:t>
      </w:r>
      <w:r w:rsidRPr="00F41E78">
        <w:rPr>
          <w:rFonts w:eastAsia="Calibri"/>
          <w:rtl/>
        </w:rPr>
        <w:t>טווח</w:t>
      </w:r>
      <w:r w:rsidRPr="00F41E78">
        <w:rPr>
          <w:rFonts w:eastAsia="Calibri" w:hint="cs"/>
          <w:rtl/>
        </w:rPr>
        <w:t xml:space="preserve"> ארוך</w:t>
      </w:r>
      <w:r w:rsidRPr="00F41E78">
        <w:rPr>
          <w:rFonts w:eastAsia="Calibri"/>
          <w:rtl/>
        </w:rPr>
        <w:t xml:space="preserve">, לא פרסמו </w:t>
      </w:r>
      <w:r w:rsidRPr="00F41E78">
        <w:rPr>
          <w:rFonts w:eastAsia="Calibri" w:hint="cs"/>
          <w:rtl/>
        </w:rPr>
        <w:t>רמ"י</w:t>
      </w:r>
      <w:r w:rsidRPr="00F41E78">
        <w:rPr>
          <w:rFonts w:eastAsia="Calibri"/>
          <w:rtl/>
        </w:rPr>
        <w:t xml:space="preserve"> ומשרד הבינוי בשנים</w:t>
      </w:r>
      <w:r w:rsidRPr="00F41E78">
        <w:rPr>
          <w:rFonts w:eastAsia="Calibri" w:hint="cs"/>
          <w:rtl/>
        </w:rPr>
        <w:t xml:space="preserve"> אלו</w:t>
      </w:r>
      <w:r w:rsidRPr="00F41E78">
        <w:rPr>
          <w:rFonts w:eastAsia="Calibri"/>
          <w:rtl/>
        </w:rPr>
        <w:t xml:space="preserve"> </w:t>
      </w:r>
      <w:r w:rsidRPr="00F41E78">
        <w:rPr>
          <w:rFonts w:eastAsia="Calibri" w:hint="cs"/>
          <w:rtl/>
        </w:rPr>
        <w:t xml:space="preserve">אף לא </w:t>
      </w:r>
      <w:r w:rsidRPr="00F41E78">
        <w:rPr>
          <w:rFonts w:eastAsia="Calibri"/>
          <w:rtl/>
        </w:rPr>
        <w:t>מכרז</w:t>
      </w:r>
      <w:r w:rsidRPr="00F41E78">
        <w:rPr>
          <w:rFonts w:eastAsia="Calibri" w:hint="cs"/>
          <w:rtl/>
        </w:rPr>
        <w:t xml:space="preserve"> אחד</w:t>
      </w:r>
      <w:r w:rsidRPr="00F41E78">
        <w:rPr>
          <w:rFonts w:eastAsia="Calibri"/>
          <w:rtl/>
        </w:rPr>
        <w:t xml:space="preserve"> לשיווק קרקעות לבנייה להשכרה</w:t>
      </w:r>
      <w:r w:rsidRPr="00F41E78">
        <w:rPr>
          <w:rFonts w:eastAsia="Calibri" w:hint="cs"/>
          <w:rtl/>
        </w:rPr>
        <w:t>.</w:t>
      </w:r>
      <w:r w:rsidRPr="00F41E78">
        <w:rPr>
          <w:rFonts w:eastAsia="Calibri"/>
          <w:rtl/>
        </w:rPr>
        <w:t xml:space="preserve"> </w:t>
      </w:r>
    </w:p>
    <w:p w:rsidR="00E97EDA" w:rsidRPr="00F41E78" w:rsidP="003E789E">
      <w:pPr>
        <w:spacing w:before="180" w:after="120" w:line="230" w:lineRule="exact"/>
        <w:jc w:val="both"/>
        <w:rPr>
          <w:rFonts w:eastAsia="Calibri" w:cs="FrankRuehl"/>
          <w:sz w:val="18"/>
          <w:szCs w:val="22"/>
          <w:rtl/>
          <w:lang w:eastAsia="he-IL"/>
        </w:rPr>
      </w:pPr>
      <w:r w:rsidRPr="00F41E78">
        <w:rPr>
          <w:rFonts w:cs="FrankRuehl"/>
          <w:bCs/>
          <w:spacing w:val="40"/>
          <w:sz w:val="18"/>
          <w:szCs w:val="22"/>
          <w:rtl/>
        </w:rPr>
        <w:t xml:space="preserve">החלטות </w:t>
      </w:r>
      <w:r w:rsidRPr="00F41E78">
        <w:rPr>
          <w:rFonts w:cs="FrankRuehl" w:hint="eastAsia"/>
          <w:bCs/>
          <w:spacing w:val="40"/>
          <w:sz w:val="18"/>
          <w:szCs w:val="22"/>
          <w:rtl/>
        </w:rPr>
        <w:t>ה</w:t>
      </w:r>
      <w:r w:rsidRPr="00F41E78">
        <w:rPr>
          <w:rFonts w:cs="FrankRuehl"/>
          <w:bCs/>
          <w:spacing w:val="40"/>
          <w:sz w:val="18"/>
          <w:szCs w:val="22"/>
          <w:rtl/>
        </w:rPr>
        <w:t>מועצ</w:t>
      </w:r>
      <w:r w:rsidRPr="00F41E78">
        <w:rPr>
          <w:rFonts w:cs="FrankRuehl" w:hint="eastAsia"/>
          <w:bCs/>
          <w:spacing w:val="40"/>
          <w:sz w:val="18"/>
          <w:szCs w:val="22"/>
          <w:rtl/>
        </w:rPr>
        <w:t>ה</w:t>
      </w:r>
      <w:r w:rsidRPr="00F41E78">
        <w:rPr>
          <w:rFonts w:cs="FrankRuehl"/>
          <w:bCs/>
          <w:spacing w:val="40"/>
          <w:sz w:val="18"/>
          <w:szCs w:val="22"/>
          <w:rtl/>
        </w:rPr>
        <w:t xml:space="preserve"> </w:t>
      </w:r>
      <w:r w:rsidRPr="00F41E78">
        <w:rPr>
          <w:rFonts w:cs="FrankRuehl" w:hint="eastAsia"/>
          <w:bCs/>
          <w:spacing w:val="40"/>
          <w:sz w:val="18"/>
          <w:szCs w:val="22"/>
          <w:rtl/>
        </w:rPr>
        <w:t>מאז</w:t>
      </w:r>
      <w:r w:rsidRPr="00F41E78">
        <w:rPr>
          <w:rFonts w:cs="FrankRuehl"/>
          <w:bCs/>
          <w:spacing w:val="40"/>
          <w:sz w:val="18"/>
          <w:szCs w:val="22"/>
          <w:rtl/>
        </w:rPr>
        <w:t xml:space="preserve"> 2011: </w:t>
      </w:r>
      <w:r w:rsidRPr="00F41E78">
        <w:rPr>
          <w:rFonts w:eastAsia="Calibri" w:cs="FrankRuehl" w:hint="cs"/>
          <w:sz w:val="18"/>
          <w:szCs w:val="22"/>
          <w:rtl/>
          <w:lang w:eastAsia="he-IL"/>
        </w:rPr>
        <w:t xml:space="preserve">באוגוסט 2011, בעקבות </w:t>
      </w:r>
      <w:r w:rsidRPr="00F41E78">
        <w:rPr>
          <w:rFonts w:eastAsia="Calibri" w:cs="FrankRuehl"/>
          <w:sz w:val="18"/>
          <w:szCs w:val="22"/>
          <w:rtl/>
          <w:lang w:eastAsia="he-IL"/>
        </w:rPr>
        <w:t xml:space="preserve">החלטת </w:t>
      </w:r>
      <w:r w:rsidRPr="00F41E78">
        <w:rPr>
          <w:rFonts w:eastAsia="Calibri" w:cs="FrankRuehl" w:hint="cs"/>
          <w:sz w:val="18"/>
          <w:szCs w:val="22"/>
          <w:rtl/>
          <w:lang w:eastAsia="he-IL"/>
        </w:rPr>
        <w:t>ה</w:t>
      </w:r>
      <w:r w:rsidRPr="00F41E78">
        <w:rPr>
          <w:rFonts w:eastAsia="Calibri" w:cs="FrankRuehl"/>
          <w:sz w:val="18"/>
          <w:szCs w:val="22"/>
          <w:rtl/>
          <w:lang w:eastAsia="he-IL"/>
        </w:rPr>
        <w:t>ממשלה</w:t>
      </w:r>
      <w:r w:rsidRPr="00F41E78">
        <w:rPr>
          <w:rFonts w:eastAsia="Calibri" w:cs="FrankRuehl" w:hint="cs"/>
          <w:sz w:val="18"/>
          <w:szCs w:val="22"/>
          <w:rtl/>
          <w:lang w:eastAsia="he-IL"/>
        </w:rPr>
        <w:t xml:space="preserve"> מס'</w:t>
      </w:r>
      <w:r w:rsidRPr="00F41E78">
        <w:rPr>
          <w:rFonts w:eastAsia="Calibri" w:cs="FrankRuehl"/>
          <w:sz w:val="18"/>
          <w:szCs w:val="22"/>
          <w:rtl/>
          <w:lang w:eastAsia="he-IL"/>
        </w:rPr>
        <w:t xml:space="preserve"> 2982 ממרץ 2011 להגדלת היצע הקרקעות הזמינות לבנייה למגורים ו</w:t>
      </w:r>
      <w:r w:rsidRPr="00F41E78">
        <w:rPr>
          <w:rFonts w:eastAsia="Calibri" w:cs="FrankRuehl" w:hint="cs"/>
          <w:sz w:val="18"/>
          <w:szCs w:val="22"/>
          <w:rtl/>
          <w:lang w:eastAsia="he-IL"/>
        </w:rPr>
        <w:t xml:space="preserve">המצגת </w:t>
      </w:r>
      <w:r w:rsidRPr="00F41E78">
        <w:rPr>
          <w:rFonts w:eastAsia="Calibri" w:cs="FrankRuehl"/>
          <w:sz w:val="18"/>
          <w:szCs w:val="22"/>
          <w:rtl/>
          <w:lang w:eastAsia="he-IL"/>
        </w:rPr>
        <w:t>לדיור בהישג יד</w:t>
      </w:r>
      <w:r w:rsidRPr="00F41E78">
        <w:rPr>
          <w:rFonts w:eastAsia="Calibri" w:cs="FrankRuehl" w:hint="cs"/>
          <w:sz w:val="18"/>
          <w:szCs w:val="22"/>
          <w:rtl/>
          <w:lang w:eastAsia="he-IL"/>
        </w:rPr>
        <w:t xml:space="preserve"> שהציג ראש הממשלה ביולי 2011</w:t>
      </w:r>
      <w:r w:rsidRPr="00F41E78">
        <w:rPr>
          <w:rFonts w:eastAsia="Calibri" w:cs="FrankRuehl"/>
          <w:sz w:val="18"/>
          <w:szCs w:val="22"/>
          <w:rtl/>
          <w:lang w:eastAsia="he-IL"/>
        </w:rPr>
        <w:t xml:space="preserve">, </w:t>
      </w:r>
      <w:r w:rsidRPr="00F41E78">
        <w:rPr>
          <w:rFonts w:eastAsia="Calibri" w:cs="FrankRuehl" w:hint="cs"/>
          <w:sz w:val="18"/>
          <w:szCs w:val="22"/>
          <w:rtl/>
          <w:lang w:eastAsia="he-IL"/>
        </w:rPr>
        <w:t>קיבלה המועצה את החלטה מס' 1240 ולפיה תוקצה</w:t>
      </w:r>
      <w:r w:rsidRPr="00F41E78">
        <w:rPr>
          <w:rFonts w:eastAsia="Calibri" w:cs="FrankRuehl"/>
          <w:sz w:val="18"/>
          <w:szCs w:val="22"/>
          <w:rtl/>
          <w:lang w:eastAsia="he-IL"/>
        </w:rPr>
        <w:t xml:space="preserve"> קרקע לבניית דירות להשכרה במתחמים </w:t>
      </w:r>
      <w:r w:rsidRPr="00F41E78">
        <w:rPr>
          <w:rFonts w:eastAsia="Calibri" w:cs="FrankRuehl" w:hint="cs"/>
          <w:sz w:val="18"/>
          <w:szCs w:val="22"/>
          <w:rtl/>
          <w:lang w:eastAsia="he-IL"/>
        </w:rPr>
        <w:t>ש</w:t>
      </w:r>
      <w:r w:rsidRPr="00F41E78">
        <w:rPr>
          <w:rFonts w:eastAsia="Calibri" w:cs="FrankRuehl"/>
          <w:sz w:val="18"/>
          <w:szCs w:val="22"/>
          <w:rtl/>
          <w:lang w:eastAsia="he-IL"/>
        </w:rPr>
        <w:t>ישווקו לשם כך</w:t>
      </w:r>
      <w:r w:rsidRPr="00F41E78">
        <w:rPr>
          <w:rFonts w:eastAsia="Calibri" w:cs="FrankRuehl" w:hint="cs"/>
          <w:sz w:val="18"/>
          <w:szCs w:val="22"/>
          <w:rtl/>
          <w:lang w:eastAsia="he-IL"/>
        </w:rPr>
        <w:t>. להלן הפרטים:</w:t>
      </w:r>
    </w:p>
    <w:p w:rsidR="00E97EDA" w:rsidRPr="00FA1F2C" w:rsidP="003E789E">
      <w:pPr>
        <w:spacing w:after="120" w:line="230" w:lineRule="exact"/>
        <w:ind w:left="340" w:hanging="340"/>
        <w:jc w:val="both"/>
        <w:rPr>
          <w:rFonts w:eastAsia="Calibri"/>
          <w:szCs w:val="20"/>
          <w:rtl/>
          <w:lang w:eastAsia="he-IL"/>
        </w:rPr>
      </w:pPr>
      <w:r w:rsidRPr="00F41E78">
        <w:rPr>
          <w:rFonts w:eastAsia="Calibri" w:cs="FrankRuehl" w:hint="cs"/>
          <w:sz w:val="18"/>
          <w:szCs w:val="22"/>
          <w:rtl/>
          <w:lang w:eastAsia="he-IL"/>
        </w:rPr>
        <w:t>1.</w:t>
      </w:r>
      <w:r w:rsidRPr="00F41E78">
        <w:rPr>
          <w:rFonts w:eastAsia="Calibri" w:cs="FrankRuehl" w:hint="cs"/>
          <w:sz w:val="18"/>
          <w:szCs w:val="22"/>
          <w:rtl/>
          <w:lang w:eastAsia="he-IL"/>
        </w:rPr>
        <w:tab/>
      </w:r>
      <w:r w:rsidRPr="00F41E78">
        <w:rPr>
          <w:rFonts w:eastAsia="Calibri" w:cs="FrankRuehl"/>
          <w:sz w:val="18"/>
          <w:szCs w:val="22"/>
          <w:rtl/>
          <w:lang w:eastAsia="he-IL"/>
        </w:rPr>
        <w:t>על פי ההחלטה החדשה תשווק הקרקע באחד משני מסלולים</w:t>
      </w:r>
      <w:r w:rsidRPr="00F41E78">
        <w:rPr>
          <w:rFonts w:eastAsia="Calibri" w:cs="FrankRuehl" w:hint="cs"/>
          <w:sz w:val="18"/>
          <w:szCs w:val="22"/>
          <w:rtl/>
          <w:lang w:eastAsia="he-IL"/>
        </w:rPr>
        <w:t xml:space="preserve"> אלו</w:t>
      </w:r>
      <w:r w:rsidRPr="00F41E78">
        <w:rPr>
          <w:rFonts w:eastAsia="Calibri" w:cs="FrankRuehl"/>
          <w:sz w:val="18"/>
          <w:szCs w:val="22"/>
          <w:rtl/>
          <w:lang w:eastAsia="he-IL"/>
        </w:rPr>
        <w:t xml:space="preserve">: </w:t>
      </w:r>
    </w:p>
    <w:p w:rsidR="00E97EDA" w:rsidRPr="00F41E78" w:rsidP="003E789E">
      <w:pPr>
        <w:spacing w:after="120" w:line="230" w:lineRule="exact"/>
        <w:ind w:left="340" w:hanging="340"/>
        <w:jc w:val="both"/>
        <w:rPr>
          <w:rFonts w:eastAsia="Calibri" w:cs="FrankRuehl"/>
          <w:sz w:val="18"/>
          <w:szCs w:val="22"/>
          <w:rtl/>
          <w:lang w:eastAsia="he-IL"/>
        </w:rPr>
      </w:pPr>
      <w:r>
        <w:rPr>
          <w:rFonts w:cs="FrankRuehl" w:hint="cs"/>
          <w:spacing w:val="40"/>
          <w:sz w:val="18"/>
          <w:szCs w:val="22"/>
          <w:rtl/>
        </w:rPr>
        <w:tab/>
      </w:r>
      <w:r w:rsidRPr="00F41E78">
        <w:rPr>
          <w:rFonts w:cs="FrankRuehl"/>
          <w:spacing w:val="40"/>
          <w:sz w:val="18"/>
          <w:szCs w:val="22"/>
          <w:rtl/>
        </w:rPr>
        <w:t>מסלול א - הצעת משרד הבינוי:</w:t>
      </w:r>
      <w:r w:rsidRPr="00F41E78">
        <w:rPr>
          <w:rFonts w:eastAsia="Calibri" w:cs="FrankRuehl"/>
          <w:sz w:val="18"/>
          <w:szCs w:val="22"/>
          <w:rtl/>
          <w:lang w:eastAsia="he-IL"/>
        </w:rPr>
        <w:t xml:space="preserve"> במסלול זה תימכר קרקע בהנחה של 30% מ</w:t>
      </w:r>
      <w:r w:rsidRPr="00F41E78">
        <w:rPr>
          <w:rFonts w:eastAsia="Calibri" w:cs="FrankRuehl" w:hint="cs"/>
          <w:sz w:val="18"/>
          <w:szCs w:val="22"/>
          <w:rtl/>
          <w:lang w:eastAsia="he-IL"/>
        </w:rPr>
        <w:t>ה</w:t>
      </w:r>
      <w:r w:rsidRPr="00F41E78">
        <w:rPr>
          <w:rFonts w:eastAsia="Calibri" w:cs="FrankRuehl"/>
          <w:sz w:val="18"/>
          <w:szCs w:val="22"/>
          <w:rtl/>
          <w:lang w:eastAsia="he-IL"/>
        </w:rPr>
        <w:t>ער</w:t>
      </w:r>
      <w:r w:rsidRPr="00F41E78">
        <w:rPr>
          <w:rFonts w:eastAsia="Calibri" w:cs="FrankRuehl" w:hint="cs"/>
          <w:sz w:val="18"/>
          <w:szCs w:val="22"/>
          <w:rtl/>
          <w:lang w:eastAsia="he-IL"/>
        </w:rPr>
        <w:t>ך</w:t>
      </w:r>
      <w:r w:rsidRPr="00F41E78">
        <w:rPr>
          <w:rFonts w:eastAsia="Calibri" w:cs="FrankRuehl"/>
          <w:sz w:val="18"/>
          <w:szCs w:val="22"/>
          <w:rtl/>
          <w:lang w:eastAsia="he-IL"/>
        </w:rPr>
        <w:t xml:space="preserve"> שי</w:t>
      </w:r>
      <w:r w:rsidRPr="00F41E78">
        <w:rPr>
          <w:rFonts w:eastAsia="Calibri" w:cs="FrankRuehl" w:hint="cs"/>
          <w:sz w:val="18"/>
          <w:szCs w:val="22"/>
          <w:rtl/>
          <w:lang w:eastAsia="he-IL"/>
        </w:rPr>
        <w:t>י</w:t>
      </w:r>
      <w:r w:rsidRPr="00F41E78">
        <w:rPr>
          <w:rFonts w:eastAsia="Calibri" w:cs="FrankRuehl"/>
          <w:sz w:val="18"/>
          <w:szCs w:val="22"/>
          <w:rtl/>
          <w:lang w:eastAsia="he-IL"/>
        </w:rPr>
        <w:t>קבע</w:t>
      </w:r>
      <w:r w:rsidRPr="00F41E78">
        <w:rPr>
          <w:rFonts w:eastAsia="Calibri" w:cs="FrankRuehl" w:hint="cs"/>
          <w:sz w:val="18"/>
          <w:szCs w:val="22"/>
          <w:rtl/>
          <w:lang w:eastAsia="he-IL"/>
        </w:rPr>
        <w:t xml:space="preserve"> לה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בידי </w:t>
      </w:r>
      <w:r w:rsidRPr="00F41E78">
        <w:rPr>
          <w:rFonts w:eastAsia="Calibri" w:cs="FrankRuehl"/>
          <w:sz w:val="18"/>
          <w:szCs w:val="22"/>
          <w:rtl/>
          <w:lang w:eastAsia="he-IL"/>
        </w:rPr>
        <w:t>השמאי הממשלתי</w:t>
      </w:r>
      <w:r w:rsidRPr="00F41E78">
        <w:rPr>
          <w:rFonts w:eastAsia="Calibri" w:cs="FrankRuehl" w:hint="cs"/>
          <w:sz w:val="18"/>
          <w:szCs w:val="22"/>
          <w:rtl/>
          <w:lang w:eastAsia="he-IL"/>
        </w:rPr>
        <w:t>.</w:t>
      </w:r>
      <w:r w:rsidRPr="00F41E78">
        <w:rPr>
          <w:rFonts w:eastAsia="Calibri" w:cs="FrankRuehl"/>
          <w:sz w:val="18"/>
          <w:szCs w:val="22"/>
          <w:rtl/>
          <w:lang w:eastAsia="he-IL"/>
        </w:rPr>
        <w:t xml:space="preserve"> המציעים יתחרו על מחיר השכירות הנמוך ביותר לזכאי משרד הבינוי</w:t>
      </w:r>
      <w:r w:rsidRPr="00F41E78">
        <w:rPr>
          <w:rFonts w:eastAsia="Calibri" w:cs="FrankRuehl" w:hint="cs"/>
          <w:sz w:val="18"/>
          <w:szCs w:val="22"/>
          <w:rtl/>
          <w:lang w:eastAsia="he-IL"/>
        </w:rPr>
        <w:t>.</w:t>
      </w:r>
      <w:r w:rsidRPr="00F41E78">
        <w:rPr>
          <w:rFonts w:eastAsia="Calibri" w:cs="FrankRuehl"/>
          <w:sz w:val="18"/>
          <w:szCs w:val="22"/>
          <w:rtl/>
          <w:lang w:eastAsia="he-IL"/>
        </w:rPr>
        <w:t xml:space="preserve"> 40% מהדירות י</w:t>
      </w:r>
      <w:r w:rsidRPr="00F41E78">
        <w:rPr>
          <w:rFonts w:eastAsia="Calibri" w:cs="FrankRuehl" w:hint="cs"/>
          <w:sz w:val="18"/>
          <w:szCs w:val="22"/>
          <w:rtl/>
          <w:lang w:eastAsia="he-IL"/>
        </w:rPr>
        <w:t>י</w:t>
      </w:r>
      <w:r w:rsidRPr="00F41E78">
        <w:rPr>
          <w:rFonts w:eastAsia="Calibri" w:cs="FrankRuehl"/>
          <w:sz w:val="18"/>
          <w:szCs w:val="22"/>
          <w:rtl/>
          <w:lang w:eastAsia="he-IL"/>
        </w:rPr>
        <w:t>מכרו בשוק החופשי ו</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שאר </w:t>
      </w:r>
      <w:r w:rsidRPr="00F41E78">
        <w:rPr>
          <w:rFonts w:eastAsia="Calibri" w:cs="FrankRuehl" w:hint="cs"/>
          <w:sz w:val="18"/>
          <w:szCs w:val="22"/>
          <w:rtl/>
          <w:lang w:eastAsia="he-IL"/>
        </w:rPr>
        <w:t xml:space="preserve">(60%) </w:t>
      </w:r>
      <w:r w:rsidRPr="00F41E78">
        <w:rPr>
          <w:rFonts w:eastAsia="Calibri" w:cs="FrankRuehl"/>
          <w:sz w:val="18"/>
          <w:szCs w:val="22"/>
          <w:rtl/>
          <w:lang w:eastAsia="he-IL"/>
        </w:rPr>
        <w:t>יושכרו לטווח ארוך</w:t>
      </w:r>
      <w:r w:rsidRPr="00F41E78">
        <w:rPr>
          <w:rFonts w:eastAsia="Calibri" w:cs="FrankRuehl" w:hint="cs"/>
          <w:sz w:val="18"/>
          <w:szCs w:val="22"/>
          <w:rtl/>
          <w:lang w:eastAsia="he-IL"/>
        </w:rPr>
        <w:t xml:space="preserve">. </w:t>
      </w:r>
      <w:r w:rsidRPr="00F41E78">
        <w:rPr>
          <w:rFonts w:eastAsia="Calibri" w:cs="FrankRuehl" w:hint="cs"/>
          <w:sz w:val="18"/>
          <w:szCs w:val="22"/>
          <w:rtl/>
          <w:lang w:eastAsia="he-IL"/>
        </w:rPr>
        <w:t xml:space="preserve">שכר הדירה של </w:t>
      </w:r>
      <w:r w:rsidRPr="00F41E78">
        <w:rPr>
          <w:rFonts w:eastAsia="Calibri" w:cs="FrankRuehl"/>
          <w:sz w:val="18"/>
          <w:szCs w:val="22"/>
          <w:rtl/>
          <w:lang w:eastAsia="he-IL"/>
        </w:rPr>
        <w:t>40% מ</w:t>
      </w:r>
      <w:r w:rsidRPr="00F41E78">
        <w:rPr>
          <w:rFonts w:eastAsia="Calibri" w:cs="FrankRuehl" w:hint="cs"/>
          <w:sz w:val="18"/>
          <w:szCs w:val="22"/>
          <w:rtl/>
          <w:lang w:eastAsia="he-IL"/>
        </w:rPr>
        <w:t>הדירות שיושכרו לטווח ארוך</w:t>
      </w:r>
      <w:r w:rsidRPr="00F41E78">
        <w:rPr>
          <w:rFonts w:eastAsia="Calibri" w:cs="FrankRuehl"/>
          <w:sz w:val="18"/>
          <w:szCs w:val="22"/>
          <w:rtl/>
          <w:lang w:eastAsia="he-IL"/>
        </w:rPr>
        <w:t xml:space="preserve"> </w:t>
      </w:r>
      <w:r w:rsidRPr="00F41E78">
        <w:rPr>
          <w:rFonts w:eastAsia="Calibri" w:cs="FrankRuehl" w:hint="cs"/>
          <w:sz w:val="18"/>
          <w:szCs w:val="22"/>
          <w:rtl/>
          <w:lang w:eastAsia="he-IL"/>
        </w:rPr>
        <w:t>יהיה</w:t>
      </w:r>
      <w:r w:rsidRPr="00F41E78">
        <w:rPr>
          <w:rFonts w:eastAsia="Calibri" w:cs="FrankRuehl"/>
          <w:sz w:val="18"/>
          <w:szCs w:val="22"/>
          <w:rtl/>
          <w:lang w:eastAsia="he-IL"/>
        </w:rPr>
        <w:t xml:space="preserve"> מפוקח </w:t>
      </w:r>
      <w:r w:rsidRPr="00F41E78">
        <w:rPr>
          <w:rFonts w:eastAsia="Calibri" w:cs="FrankRuehl" w:hint="cs"/>
          <w:sz w:val="18"/>
          <w:szCs w:val="22"/>
          <w:rtl/>
          <w:lang w:eastAsia="he-IL"/>
        </w:rPr>
        <w:t>וייקבע לפי</w:t>
      </w:r>
      <w:r w:rsidRPr="00F41E78">
        <w:rPr>
          <w:rFonts w:eastAsia="Calibri" w:cs="FrankRuehl"/>
          <w:sz w:val="18"/>
          <w:szCs w:val="22"/>
          <w:rtl/>
          <w:lang w:eastAsia="he-IL"/>
        </w:rPr>
        <w:t xml:space="preserve"> שכר הדירה הנמוך </w:t>
      </w:r>
      <w:r w:rsidRPr="00F41E78">
        <w:rPr>
          <w:rFonts w:eastAsia="Calibri" w:cs="FrankRuehl" w:hint="cs"/>
          <w:sz w:val="18"/>
          <w:szCs w:val="22"/>
          <w:rtl/>
          <w:lang w:eastAsia="he-IL"/>
        </w:rPr>
        <w:t xml:space="preserve">ביותר </w:t>
      </w:r>
      <w:r w:rsidRPr="00F41E78">
        <w:rPr>
          <w:rFonts w:eastAsia="Calibri" w:cs="FrankRuehl"/>
          <w:sz w:val="18"/>
          <w:szCs w:val="22"/>
          <w:rtl/>
          <w:lang w:eastAsia="he-IL"/>
        </w:rPr>
        <w:t>שיוצע במכרז</w:t>
      </w:r>
      <w:r w:rsidRPr="00F41E78">
        <w:rPr>
          <w:rFonts w:eastAsia="Calibri" w:cs="FrankRuehl" w:hint="cs"/>
          <w:sz w:val="18"/>
          <w:szCs w:val="22"/>
          <w:rtl/>
          <w:lang w:eastAsia="he-IL"/>
        </w:rPr>
        <w:t>;</w:t>
      </w:r>
      <w:r w:rsidRPr="00F41E78">
        <w:rPr>
          <w:rFonts w:eastAsia="Calibri" w:cs="FrankRuehl"/>
          <w:sz w:val="18"/>
          <w:szCs w:val="22"/>
          <w:rtl/>
          <w:lang w:eastAsia="he-IL"/>
        </w:rPr>
        <w:t xml:space="preserve"> יתר</w:t>
      </w:r>
      <w:r w:rsidRPr="00F41E78">
        <w:rPr>
          <w:rFonts w:eastAsia="Calibri" w:cs="FrankRuehl" w:hint="cs"/>
          <w:sz w:val="18"/>
          <w:szCs w:val="22"/>
          <w:rtl/>
          <w:lang w:eastAsia="he-IL"/>
        </w:rPr>
        <w:t xml:space="preserve"> הדירות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w:t>
      </w:r>
      <w:r w:rsidRPr="00F41E78">
        <w:rPr>
          <w:rFonts w:eastAsia="Calibri" w:cs="FrankRuehl"/>
          <w:sz w:val="18"/>
          <w:szCs w:val="22"/>
          <w:rtl/>
          <w:lang w:eastAsia="he-IL"/>
        </w:rPr>
        <w:t>20%</w:t>
      </w:r>
      <w:r w:rsidRPr="00F41E78">
        <w:rPr>
          <w:rFonts w:eastAsia="Calibri" w:cs="FrankRuehl" w:hint="cs"/>
          <w:sz w:val="18"/>
          <w:szCs w:val="22"/>
          <w:rtl/>
          <w:lang w:eastAsia="he-IL"/>
        </w:rPr>
        <w:t>)</w:t>
      </w:r>
      <w:r w:rsidRPr="00F41E78">
        <w:rPr>
          <w:rFonts w:eastAsia="Calibri" w:cs="FrankRuehl"/>
          <w:sz w:val="18"/>
          <w:szCs w:val="22"/>
          <w:rtl/>
          <w:lang w:eastAsia="he-IL"/>
        </w:rPr>
        <w:t xml:space="preserve"> יושכרו במחיר</w:t>
      </w:r>
      <w:r w:rsidRPr="00F41E78">
        <w:rPr>
          <w:rFonts w:eastAsia="Calibri" w:cs="FrankRuehl" w:hint="cs"/>
          <w:sz w:val="18"/>
          <w:szCs w:val="22"/>
          <w:rtl/>
          <w:lang w:eastAsia="he-IL"/>
        </w:rPr>
        <w:t>י</w:t>
      </w:r>
      <w:r w:rsidRPr="00F41E78">
        <w:rPr>
          <w:rFonts w:eastAsia="Calibri" w:cs="FrankRuehl"/>
          <w:sz w:val="18"/>
          <w:szCs w:val="22"/>
          <w:rtl/>
          <w:lang w:eastAsia="he-IL"/>
        </w:rPr>
        <w:t xml:space="preserve"> השוק.</w:t>
      </w:r>
    </w:p>
    <w:p w:rsidR="00E97EDA" w:rsidRPr="00F41E78" w:rsidP="003E789E">
      <w:pPr>
        <w:spacing w:after="120" w:line="230" w:lineRule="exact"/>
        <w:ind w:left="340" w:hanging="340"/>
        <w:jc w:val="both"/>
        <w:rPr>
          <w:rFonts w:eastAsia="Calibri" w:cs="FrankRuehl"/>
          <w:sz w:val="18"/>
          <w:szCs w:val="22"/>
          <w:rtl/>
          <w:lang w:eastAsia="he-IL"/>
        </w:rPr>
      </w:pPr>
      <w:r>
        <w:rPr>
          <w:rFonts w:cs="FrankRuehl" w:hint="cs"/>
          <w:spacing w:val="40"/>
          <w:sz w:val="18"/>
          <w:szCs w:val="22"/>
          <w:rtl/>
        </w:rPr>
        <w:tab/>
      </w:r>
      <w:r w:rsidRPr="00F41E78">
        <w:rPr>
          <w:rFonts w:cs="FrankRuehl"/>
          <w:spacing w:val="40"/>
          <w:sz w:val="18"/>
          <w:szCs w:val="22"/>
          <w:rtl/>
        </w:rPr>
        <w:t>מסלול ב - הצעת אג</w:t>
      </w:r>
      <w:r w:rsidRPr="00F41E78">
        <w:rPr>
          <w:rFonts w:cs="FrankRuehl" w:hint="cs"/>
          <w:spacing w:val="40"/>
          <w:sz w:val="18"/>
          <w:szCs w:val="22"/>
          <w:rtl/>
        </w:rPr>
        <w:t>"ת</w:t>
      </w:r>
      <w:r w:rsidRPr="00F41E78">
        <w:rPr>
          <w:rFonts w:cs="FrankRuehl"/>
          <w:spacing w:val="40"/>
          <w:sz w:val="18"/>
          <w:szCs w:val="22"/>
          <w:rtl/>
        </w:rPr>
        <w:t>:</w:t>
      </w:r>
      <w:r w:rsidRPr="00F41E78">
        <w:rPr>
          <w:rFonts w:cs="FrankRuehl"/>
          <w:sz w:val="18"/>
          <w:szCs w:val="22"/>
          <w:rtl/>
          <w:lang w:eastAsia="he-IL"/>
        </w:rPr>
        <w:t xml:space="preserve"> </w:t>
      </w:r>
      <w:r w:rsidRPr="00F41E78">
        <w:rPr>
          <w:rFonts w:eastAsia="Calibri" w:cs="FrankRuehl"/>
          <w:sz w:val="18"/>
          <w:szCs w:val="22"/>
          <w:rtl/>
          <w:lang w:eastAsia="he-IL"/>
        </w:rPr>
        <w:t xml:space="preserve">במסלול זה לא </w:t>
      </w:r>
      <w:r w:rsidRPr="00F41E78">
        <w:rPr>
          <w:rFonts w:eastAsia="Calibri" w:cs="FrankRuehl" w:hint="cs"/>
          <w:sz w:val="18"/>
          <w:szCs w:val="22"/>
          <w:rtl/>
          <w:lang w:eastAsia="he-IL"/>
        </w:rPr>
        <w:t>י</w:t>
      </w:r>
      <w:r w:rsidRPr="00F41E78">
        <w:rPr>
          <w:rFonts w:eastAsia="Calibri" w:cs="FrankRuehl"/>
          <w:sz w:val="18"/>
          <w:szCs w:val="22"/>
          <w:rtl/>
          <w:lang w:eastAsia="he-IL"/>
        </w:rPr>
        <w:t xml:space="preserve">יקבע מחיר מינימום לקרקע </w:t>
      </w:r>
      <w:r w:rsidRPr="00F41E78">
        <w:rPr>
          <w:rFonts w:eastAsia="Calibri" w:cs="FrankRuehl" w:hint="cs"/>
          <w:sz w:val="18"/>
          <w:szCs w:val="22"/>
          <w:rtl/>
          <w:lang w:eastAsia="he-IL"/>
        </w:rPr>
        <w:t>וייעשה</w:t>
      </w:r>
      <w:r w:rsidRPr="00F41E78">
        <w:rPr>
          <w:rFonts w:eastAsia="Calibri" w:cs="FrankRuehl"/>
          <w:sz w:val="18"/>
          <w:szCs w:val="22"/>
          <w:rtl/>
          <w:lang w:eastAsia="he-IL"/>
        </w:rPr>
        <w:t xml:space="preserve"> מכרז על מחירה </w:t>
      </w:r>
      <w:r w:rsidRPr="00F41E78">
        <w:rPr>
          <w:rFonts w:eastAsia="Calibri" w:cs="FrankRuehl" w:hint="cs"/>
          <w:sz w:val="18"/>
          <w:szCs w:val="22"/>
          <w:rtl/>
          <w:lang w:eastAsia="he-IL"/>
        </w:rPr>
        <w:t>ש</w:t>
      </w:r>
      <w:r w:rsidRPr="00F41E78">
        <w:rPr>
          <w:rFonts w:eastAsia="Calibri" w:cs="FrankRuehl"/>
          <w:sz w:val="18"/>
          <w:szCs w:val="22"/>
          <w:rtl/>
          <w:lang w:eastAsia="he-IL"/>
        </w:rPr>
        <w:t xml:space="preserve">לא יעלה על 75% מהערכת </w:t>
      </w:r>
      <w:r w:rsidRPr="00F41E78">
        <w:rPr>
          <w:rFonts w:eastAsia="Calibri" w:cs="FrankRuehl" w:hint="cs"/>
          <w:sz w:val="18"/>
          <w:szCs w:val="22"/>
          <w:rtl/>
          <w:lang w:eastAsia="he-IL"/>
        </w:rPr>
        <w:t>ה</w:t>
      </w:r>
      <w:r w:rsidRPr="00F41E78">
        <w:rPr>
          <w:rFonts w:eastAsia="Calibri" w:cs="FrankRuehl"/>
          <w:sz w:val="18"/>
          <w:szCs w:val="22"/>
          <w:rtl/>
          <w:lang w:eastAsia="he-IL"/>
        </w:rPr>
        <w:t>שמאי</w:t>
      </w:r>
      <w:r w:rsidRPr="00F41E78">
        <w:rPr>
          <w:rFonts w:eastAsia="Calibri" w:cs="FrankRuehl" w:hint="cs"/>
          <w:sz w:val="18"/>
          <w:szCs w:val="22"/>
          <w:rtl/>
          <w:lang w:eastAsia="he-IL"/>
        </w:rPr>
        <w:t xml:space="preserve"> הממשלתי.</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רמ"י תקבע את </w:t>
      </w:r>
      <w:r w:rsidRPr="00F41E78">
        <w:rPr>
          <w:rFonts w:eastAsia="Calibri" w:cs="FrankRuehl"/>
          <w:sz w:val="18"/>
          <w:szCs w:val="22"/>
          <w:rtl/>
          <w:lang w:eastAsia="he-IL"/>
        </w:rPr>
        <w:t>דמי השכירות המפוקחים</w:t>
      </w:r>
      <w:r w:rsidRPr="00F41E78">
        <w:rPr>
          <w:rFonts w:eastAsia="Calibri" w:cs="FrankRuehl" w:hint="cs"/>
          <w:sz w:val="18"/>
          <w:szCs w:val="22"/>
          <w:rtl/>
          <w:lang w:eastAsia="he-IL"/>
        </w:rPr>
        <w:t>.</w:t>
      </w:r>
      <w:r w:rsidRPr="00F41E78">
        <w:rPr>
          <w:rFonts w:eastAsia="Calibri" w:cs="FrankRuehl"/>
          <w:sz w:val="18"/>
          <w:szCs w:val="22"/>
          <w:rtl/>
          <w:lang w:eastAsia="he-IL"/>
        </w:rPr>
        <w:t xml:space="preserve"> כל הדירות בבניין </w:t>
      </w:r>
      <w:r w:rsidRPr="00F41E78">
        <w:rPr>
          <w:rFonts w:eastAsia="Calibri" w:cs="FrankRuehl" w:hint="cs"/>
          <w:sz w:val="18"/>
          <w:szCs w:val="22"/>
          <w:rtl/>
          <w:lang w:eastAsia="he-IL"/>
        </w:rPr>
        <w:t xml:space="preserve">הנכללות </w:t>
      </w:r>
      <w:r w:rsidRPr="00F41E78">
        <w:rPr>
          <w:rFonts w:eastAsia="Calibri" w:cs="FrankRuehl"/>
          <w:sz w:val="18"/>
          <w:szCs w:val="22"/>
          <w:rtl/>
          <w:lang w:eastAsia="he-IL"/>
        </w:rPr>
        <w:t>בפרויקט יושכרו לטווח ארוך - 75% מהן יושכרו במחיר</w:t>
      </w:r>
      <w:r w:rsidRPr="00F41E78">
        <w:rPr>
          <w:rFonts w:eastAsia="Calibri" w:cs="FrankRuehl" w:hint="cs"/>
          <w:sz w:val="18"/>
          <w:szCs w:val="22"/>
          <w:rtl/>
          <w:lang w:eastAsia="he-IL"/>
        </w:rPr>
        <w:t>י</w:t>
      </w:r>
      <w:r w:rsidRPr="00F41E78">
        <w:rPr>
          <w:rFonts w:eastAsia="Calibri" w:cs="FrankRuehl"/>
          <w:sz w:val="18"/>
          <w:szCs w:val="22"/>
          <w:rtl/>
          <w:lang w:eastAsia="he-IL"/>
        </w:rPr>
        <w:t xml:space="preserve"> השוק</w:t>
      </w:r>
      <w:r w:rsidRPr="00F41E78">
        <w:rPr>
          <w:rFonts w:eastAsia="Calibri" w:cs="FrankRuehl" w:hint="cs"/>
          <w:sz w:val="18"/>
          <w:szCs w:val="22"/>
          <w:rtl/>
          <w:lang w:eastAsia="he-IL"/>
        </w:rPr>
        <w:t>,</w:t>
      </w:r>
      <w:r w:rsidRPr="00F41E78">
        <w:rPr>
          <w:rFonts w:eastAsia="Calibri" w:cs="FrankRuehl"/>
          <w:sz w:val="18"/>
          <w:szCs w:val="22"/>
          <w:rtl/>
          <w:lang w:eastAsia="he-IL"/>
        </w:rPr>
        <w:t xml:space="preserve"> ו</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יתר </w:t>
      </w:r>
      <w:r w:rsidRPr="00F41E78">
        <w:rPr>
          <w:rFonts w:eastAsia="Calibri" w:cs="FrankRuehl" w:hint="cs"/>
          <w:sz w:val="18"/>
          <w:szCs w:val="22"/>
          <w:rtl/>
          <w:lang w:eastAsia="he-IL"/>
        </w:rPr>
        <w:t>(</w:t>
      </w:r>
      <w:r w:rsidRPr="00F41E78">
        <w:rPr>
          <w:rFonts w:eastAsia="Calibri" w:cs="FrankRuehl"/>
          <w:sz w:val="18"/>
          <w:szCs w:val="22"/>
          <w:rtl/>
          <w:lang w:eastAsia="he-IL"/>
        </w:rPr>
        <w:t>25%</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בשכר דירה </w:t>
      </w:r>
      <w:r w:rsidRPr="00F41E78">
        <w:rPr>
          <w:rFonts w:eastAsia="Calibri" w:cs="FrankRuehl"/>
          <w:sz w:val="18"/>
          <w:szCs w:val="22"/>
          <w:rtl/>
          <w:lang w:eastAsia="he-IL"/>
        </w:rPr>
        <w:t>מפוקח.</w:t>
      </w:r>
    </w:p>
    <w:p w:rsidR="00E97EDA" w:rsidRPr="00F41E78" w:rsidP="003E789E">
      <w:pPr>
        <w:spacing w:after="12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2.</w:t>
      </w:r>
      <w:r w:rsidRPr="00F41E78">
        <w:rPr>
          <w:rFonts w:eastAsia="Calibri" w:cs="FrankRuehl"/>
          <w:sz w:val="18"/>
          <w:szCs w:val="22"/>
          <w:rtl/>
          <w:lang w:eastAsia="he-IL"/>
        </w:rPr>
        <w:tab/>
      </w:r>
      <w:r w:rsidRPr="00F41E78">
        <w:rPr>
          <w:rFonts w:eastAsia="Calibri" w:cs="FrankRuehl" w:hint="cs"/>
          <w:sz w:val="18"/>
          <w:szCs w:val="22"/>
          <w:rtl/>
          <w:lang w:eastAsia="he-IL"/>
        </w:rPr>
        <w:t>החלטה מס' 1248 של</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w:t>
      </w:r>
      <w:r w:rsidRPr="00F41E78">
        <w:rPr>
          <w:rFonts w:eastAsia="Calibri" w:cs="FrankRuehl"/>
          <w:sz w:val="18"/>
          <w:szCs w:val="22"/>
          <w:rtl/>
          <w:lang w:eastAsia="he-IL"/>
        </w:rPr>
        <w:t>מועצ</w:t>
      </w:r>
      <w:r w:rsidRPr="00F41E78">
        <w:rPr>
          <w:rFonts w:eastAsia="Calibri" w:cs="FrankRuehl" w:hint="cs"/>
          <w:sz w:val="18"/>
          <w:szCs w:val="22"/>
          <w:rtl/>
          <w:lang w:eastAsia="he-IL"/>
        </w:rPr>
        <w:t>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מינואר 2012 תיקנה את </w:t>
      </w:r>
      <w:r w:rsidRPr="00F41E78">
        <w:rPr>
          <w:rFonts w:eastAsia="Calibri" w:cs="FrankRuehl"/>
          <w:sz w:val="18"/>
          <w:szCs w:val="22"/>
          <w:rtl/>
          <w:lang w:eastAsia="he-IL"/>
        </w:rPr>
        <w:t>החלטה</w:t>
      </w:r>
      <w:r w:rsidRPr="00F41E78">
        <w:rPr>
          <w:rFonts w:eastAsia="Calibri" w:cs="FrankRuehl" w:hint="cs"/>
          <w:sz w:val="18"/>
          <w:szCs w:val="22"/>
          <w:rtl/>
          <w:lang w:eastAsia="he-IL"/>
        </w:rPr>
        <w:t xml:space="preserve"> מס'</w:t>
      </w:r>
      <w:r w:rsidRPr="00F41E78">
        <w:rPr>
          <w:rFonts w:eastAsia="Calibri" w:cs="FrankRuehl"/>
          <w:sz w:val="18"/>
          <w:szCs w:val="22"/>
          <w:rtl/>
          <w:lang w:eastAsia="he-IL"/>
        </w:rPr>
        <w:t xml:space="preserve"> 1240</w:t>
      </w:r>
      <w:r w:rsidRPr="00F41E78">
        <w:rPr>
          <w:rFonts w:eastAsia="Calibri" w:cs="FrankRuehl" w:hint="cs"/>
          <w:sz w:val="18"/>
          <w:szCs w:val="22"/>
          <w:rtl/>
          <w:lang w:eastAsia="he-IL"/>
        </w:rPr>
        <w:t xml:space="preserve"> שבוטלה. </w:t>
      </w:r>
      <w:r w:rsidRPr="00F41E78">
        <w:rPr>
          <w:rFonts w:eastAsia="Calibri" w:cs="FrankRuehl"/>
          <w:sz w:val="18"/>
          <w:szCs w:val="22"/>
          <w:rtl/>
          <w:lang w:eastAsia="he-IL"/>
        </w:rPr>
        <w:t>עיקרי החלט</w:t>
      </w:r>
      <w:r w:rsidRPr="00F41E78">
        <w:rPr>
          <w:rFonts w:eastAsia="Calibri" w:cs="FrankRuehl" w:hint="cs"/>
          <w:sz w:val="18"/>
          <w:szCs w:val="22"/>
          <w:rtl/>
          <w:lang w:eastAsia="he-IL"/>
        </w:rPr>
        <w:t xml:space="preserve">ה מס' 1240 </w:t>
      </w:r>
      <w:r w:rsidRPr="00F41E78">
        <w:rPr>
          <w:rFonts w:eastAsia="Calibri" w:cs="FrankRuehl"/>
          <w:sz w:val="18"/>
          <w:szCs w:val="22"/>
          <w:rtl/>
          <w:lang w:eastAsia="he-IL"/>
        </w:rPr>
        <w:t>נותרו בעינ</w:t>
      </w:r>
      <w:r w:rsidRPr="00F41E78">
        <w:rPr>
          <w:rFonts w:eastAsia="Calibri" w:cs="FrankRuehl" w:hint="cs"/>
          <w:sz w:val="18"/>
          <w:szCs w:val="22"/>
          <w:rtl/>
          <w:lang w:eastAsia="he-IL"/>
        </w:rPr>
        <w:t>ם</w:t>
      </w:r>
      <w:r w:rsidRPr="00F41E78">
        <w:rPr>
          <w:rFonts w:eastAsia="Calibri" w:cs="FrankRuehl"/>
          <w:sz w:val="18"/>
          <w:szCs w:val="22"/>
          <w:rtl/>
          <w:lang w:eastAsia="he-IL"/>
        </w:rPr>
        <w:t xml:space="preserve">, למעט </w:t>
      </w:r>
      <w:r w:rsidRPr="00F41E78">
        <w:rPr>
          <w:rFonts w:eastAsia="Calibri" w:cs="FrankRuehl" w:hint="cs"/>
          <w:sz w:val="18"/>
          <w:szCs w:val="22"/>
          <w:rtl/>
          <w:lang w:eastAsia="he-IL"/>
        </w:rPr>
        <w:t>תוספת של אישור</w:t>
      </w:r>
      <w:r w:rsidRPr="00F41E78">
        <w:rPr>
          <w:rFonts w:eastAsia="Calibri" w:cs="FrankRuehl"/>
          <w:sz w:val="18"/>
          <w:szCs w:val="22"/>
          <w:rtl/>
          <w:lang w:eastAsia="he-IL"/>
        </w:rPr>
        <w:t xml:space="preserve"> התבחינים לזכאות לדירה בשכר דירה מפוקח</w:t>
      </w:r>
      <w:r>
        <w:rPr>
          <w:rFonts w:eastAsia="Calibri" w:cs="FrankRuehl"/>
          <w:sz w:val="18"/>
          <w:szCs w:val="22"/>
          <w:vertAlign w:val="superscript"/>
          <w:rtl/>
          <w:lang w:eastAsia="he-IL"/>
        </w:rPr>
        <w:footnoteReference w:id="299"/>
      </w:r>
      <w:r w:rsidRPr="00F41E78">
        <w:rPr>
          <w:rFonts w:eastAsia="Calibri" w:cs="FrankRuehl"/>
          <w:sz w:val="18"/>
          <w:szCs w:val="22"/>
          <w:rtl/>
          <w:lang w:eastAsia="he-IL"/>
        </w:rPr>
        <w:t>.</w:t>
      </w:r>
    </w:p>
    <w:p w:rsidR="00E97EDA" w:rsidRPr="00F41E78" w:rsidP="003E789E">
      <w:pPr>
        <w:spacing w:after="120" w:line="230" w:lineRule="exact"/>
        <w:ind w:left="340" w:hanging="340"/>
        <w:jc w:val="both"/>
        <w:rPr>
          <w:rFonts w:eastAsia="Calibri" w:cs="FrankRuehl"/>
          <w:sz w:val="18"/>
          <w:szCs w:val="22"/>
          <w:lang w:eastAsia="he-IL"/>
        </w:rPr>
      </w:pPr>
      <w:r w:rsidRPr="00F41E78">
        <w:rPr>
          <w:rFonts w:eastAsia="Calibri" w:cs="FrankRuehl" w:hint="cs"/>
          <w:sz w:val="18"/>
          <w:szCs w:val="22"/>
          <w:rtl/>
          <w:lang w:eastAsia="he-IL"/>
        </w:rPr>
        <w:t>3.</w:t>
      </w:r>
      <w:r w:rsidRPr="00F41E78">
        <w:rPr>
          <w:rFonts w:eastAsia="Calibri" w:cs="FrankRuehl"/>
          <w:sz w:val="18"/>
          <w:szCs w:val="22"/>
          <w:rtl/>
          <w:lang w:eastAsia="he-IL"/>
        </w:rPr>
        <w:tab/>
      </w:r>
      <w:r w:rsidRPr="00F41E78">
        <w:rPr>
          <w:rFonts w:eastAsia="Calibri" w:cs="FrankRuehl" w:hint="cs"/>
          <w:sz w:val="18"/>
          <w:szCs w:val="22"/>
          <w:rtl/>
          <w:lang w:eastAsia="he-IL"/>
        </w:rPr>
        <w:t xml:space="preserve">החלטה מס' 1291 של המועצה מיולי 2013 </w:t>
      </w:r>
      <w:r w:rsidRPr="00F41E78">
        <w:rPr>
          <w:rFonts w:eastAsia="Calibri" w:cs="FrankRuehl"/>
          <w:sz w:val="18"/>
          <w:szCs w:val="22"/>
          <w:rtl/>
          <w:lang w:eastAsia="he-IL"/>
        </w:rPr>
        <w:t>ת</w:t>
      </w:r>
      <w:r w:rsidRPr="00F41E78">
        <w:rPr>
          <w:rFonts w:eastAsia="Calibri" w:cs="FrankRuehl" w:hint="cs"/>
          <w:sz w:val="18"/>
          <w:szCs w:val="22"/>
          <w:rtl/>
          <w:lang w:eastAsia="he-IL"/>
        </w:rPr>
        <w:t>י</w:t>
      </w:r>
      <w:r w:rsidRPr="00F41E78">
        <w:rPr>
          <w:rFonts w:eastAsia="Calibri" w:cs="FrankRuehl"/>
          <w:sz w:val="18"/>
          <w:szCs w:val="22"/>
          <w:rtl/>
          <w:lang w:eastAsia="he-IL"/>
        </w:rPr>
        <w:t>קנה</w:t>
      </w:r>
      <w:r w:rsidRPr="00F41E78">
        <w:rPr>
          <w:rFonts w:eastAsia="Calibri" w:cs="FrankRuehl" w:hint="cs"/>
          <w:sz w:val="18"/>
          <w:szCs w:val="22"/>
          <w:rtl/>
          <w:lang w:eastAsia="he-IL"/>
        </w:rPr>
        <w:t xml:space="preserve"> את </w:t>
      </w:r>
      <w:r w:rsidRPr="00F41E78">
        <w:rPr>
          <w:rFonts w:eastAsia="Calibri" w:cs="FrankRuehl"/>
          <w:sz w:val="18"/>
          <w:szCs w:val="22"/>
          <w:rtl/>
          <w:lang w:eastAsia="he-IL"/>
        </w:rPr>
        <w:t>החלטה</w:t>
      </w:r>
      <w:r w:rsidRPr="00F41E78">
        <w:rPr>
          <w:rFonts w:eastAsia="Calibri" w:cs="FrankRuehl" w:hint="cs"/>
          <w:sz w:val="18"/>
          <w:szCs w:val="22"/>
          <w:rtl/>
          <w:lang w:eastAsia="he-IL"/>
        </w:rPr>
        <w:t xml:space="preserve"> מס'</w:t>
      </w:r>
      <w:r w:rsidRPr="00F41E78">
        <w:rPr>
          <w:rFonts w:eastAsia="Calibri" w:cs="FrankRuehl"/>
          <w:sz w:val="18"/>
          <w:szCs w:val="22"/>
          <w:rtl/>
          <w:lang w:eastAsia="he-IL"/>
        </w:rPr>
        <w:t xml:space="preserve"> 1248 </w:t>
      </w:r>
      <w:r w:rsidRPr="00F41E78">
        <w:rPr>
          <w:rFonts w:eastAsia="Calibri" w:cs="FrankRuehl" w:hint="cs"/>
          <w:sz w:val="18"/>
          <w:szCs w:val="22"/>
          <w:rtl/>
          <w:lang w:eastAsia="he-IL"/>
        </w:rPr>
        <w:t xml:space="preserve">שבוטלה. בהחלטה נקבע </w:t>
      </w:r>
      <w:r w:rsidRPr="00F41E78">
        <w:rPr>
          <w:rFonts w:eastAsia="Calibri" w:cs="FrankRuehl"/>
          <w:sz w:val="18"/>
          <w:szCs w:val="22"/>
          <w:rtl/>
          <w:lang w:eastAsia="he-IL"/>
        </w:rPr>
        <w:t xml:space="preserve">כי התבחינים לזכאות לדירה בשכר דירה מפוקח </w:t>
      </w:r>
      <w:r w:rsidRPr="00F41E78">
        <w:rPr>
          <w:rFonts w:eastAsia="Calibri" w:cs="FrankRuehl" w:hint="cs"/>
          <w:sz w:val="18"/>
          <w:szCs w:val="22"/>
          <w:rtl/>
          <w:lang w:eastAsia="he-IL"/>
        </w:rPr>
        <w:t>ייקבעו</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על פי </w:t>
      </w:r>
      <w:r w:rsidRPr="00F41E78">
        <w:rPr>
          <w:rFonts w:eastAsia="Calibri" w:cs="FrankRuehl"/>
          <w:sz w:val="18"/>
          <w:szCs w:val="22"/>
          <w:rtl/>
          <w:lang w:eastAsia="he-IL"/>
        </w:rPr>
        <w:t xml:space="preserve">החלטת קבינט הדיור </w:t>
      </w:r>
      <w:r w:rsidR="003E789E">
        <w:rPr>
          <w:rFonts w:eastAsia="Calibri" w:cs="FrankRuehl" w:hint="cs"/>
          <w:sz w:val="18"/>
          <w:szCs w:val="22"/>
          <w:rtl/>
          <w:lang w:eastAsia="he-IL"/>
        </w:rPr>
        <w:br/>
      </w:r>
      <w:r w:rsidRPr="00F41E78">
        <w:rPr>
          <w:rFonts w:eastAsia="Calibri" w:cs="FrankRuehl" w:hint="cs"/>
          <w:sz w:val="18"/>
          <w:szCs w:val="22"/>
          <w:rtl/>
          <w:lang w:eastAsia="he-IL"/>
        </w:rPr>
        <w:t>מ-</w:t>
      </w:r>
      <w:r w:rsidRPr="00F41E78">
        <w:rPr>
          <w:rFonts w:eastAsia="Calibri" w:cs="FrankRuehl"/>
          <w:sz w:val="18"/>
          <w:szCs w:val="22"/>
          <w:rtl/>
          <w:lang w:eastAsia="he-IL"/>
        </w:rPr>
        <w:t>1.7.13.</w:t>
      </w:r>
      <w:r w:rsidRPr="00F41E78">
        <w:rPr>
          <w:rFonts w:eastAsia="Calibri" w:cs="FrankRuehl" w:hint="cs"/>
          <w:sz w:val="18"/>
          <w:szCs w:val="22"/>
          <w:rtl/>
          <w:lang w:eastAsia="he-IL"/>
        </w:rPr>
        <w:t xml:space="preserve"> </w:t>
      </w:r>
    </w:p>
    <w:p w:rsidR="00901FE0" w:rsidRPr="00F41E78" w:rsidP="00A7557B">
      <w:pPr>
        <w:spacing w:after="120" w:line="230" w:lineRule="exact"/>
        <w:jc w:val="both"/>
        <w:rPr>
          <w:rFonts w:eastAsia="Calibri" w:cs="FrankRuehl"/>
          <w:sz w:val="18"/>
          <w:szCs w:val="22"/>
          <w:lang w:eastAsia="he-IL"/>
        </w:rPr>
      </w:pPr>
    </w:p>
    <w:p w:rsidR="00901FE0" w:rsidRPr="00F41E78" w:rsidP="00A7557B">
      <w:pPr>
        <w:spacing w:after="120" w:line="230" w:lineRule="exact"/>
        <w:jc w:val="both"/>
        <w:rPr>
          <w:rFonts w:eastAsia="Calibri" w:cs="FrankRuehl"/>
          <w:sz w:val="18"/>
          <w:szCs w:val="22"/>
          <w:rtl/>
          <w:lang w:eastAsia="he-IL"/>
        </w:rPr>
      </w:pPr>
    </w:p>
    <w:p w:rsidR="00E97EDA" w:rsidRPr="00FA1F2C" w:rsidP="00A7557B">
      <w:pPr>
        <w:pStyle w:val="KOT4"/>
        <w:rPr>
          <w:rFonts w:eastAsia="Calibri"/>
          <w:rtl/>
          <w:lang w:eastAsia="he-IL"/>
        </w:rPr>
      </w:pPr>
      <w:r w:rsidRPr="00FA1F2C">
        <w:rPr>
          <w:rFonts w:eastAsia="Calibri" w:hint="cs"/>
          <w:rtl/>
          <w:lang w:eastAsia="he-IL"/>
        </w:rPr>
        <w:t>אסדרה (רגולציה) של</w:t>
      </w:r>
      <w:r w:rsidRPr="00FA1F2C">
        <w:rPr>
          <w:rFonts w:eastAsia="Calibri"/>
          <w:rtl/>
          <w:lang w:eastAsia="he-IL"/>
        </w:rPr>
        <w:t xml:space="preserve"> שוק השכירות</w:t>
      </w:r>
    </w:p>
    <w:p w:rsidR="00E97EDA" w:rsidRPr="00FA1F2C" w:rsidP="00A7557B">
      <w:pPr>
        <w:pStyle w:val="KOT5"/>
        <w:rPr>
          <w:rFonts w:eastAsia="Calibri"/>
          <w:rtl/>
          <w:lang w:eastAsia="he-IL"/>
        </w:rPr>
      </w:pPr>
      <w:r w:rsidRPr="00FA1F2C">
        <w:rPr>
          <w:rFonts w:eastAsia="Calibri"/>
          <w:rtl/>
          <w:lang w:eastAsia="he-IL"/>
        </w:rPr>
        <w:t>חקיקה קיימת ל</w:t>
      </w:r>
      <w:r w:rsidRPr="00FA1F2C">
        <w:rPr>
          <w:rFonts w:eastAsia="Calibri" w:hint="cs"/>
          <w:rtl/>
          <w:lang w:eastAsia="he-IL"/>
        </w:rPr>
        <w:t>הסדרת</w:t>
      </w:r>
      <w:r w:rsidRPr="00FA1F2C">
        <w:rPr>
          <w:rFonts w:eastAsia="Calibri"/>
          <w:rtl/>
          <w:lang w:eastAsia="he-IL"/>
        </w:rPr>
        <w:t xml:space="preserve"> שוק השכירות</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ברוב המדינות המערביות, כמו ארה"ב, גרמניה וצרפת, ישנה</w:t>
      </w:r>
      <w:r w:rsidRPr="00F41E78">
        <w:rPr>
          <w:rFonts w:cs="FrankRuehl"/>
          <w:sz w:val="18"/>
          <w:szCs w:val="22"/>
          <w:rtl/>
          <w:lang w:eastAsia="he-IL"/>
        </w:rPr>
        <w:t xml:space="preserve"> מסגרת חקיקה התומכת בשוק שכירות יציב, </w:t>
      </w:r>
      <w:r w:rsidRPr="00F41E78">
        <w:rPr>
          <w:rFonts w:cs="FrankRuehl" w:hint="cs"/>
          <w:sz w:val="18"/>
          <w:szCs w:val="22"/>
          <w:rtl/>
          <w:lang w:eastAsia="he-IL"/>
        </w:rPr>
        <w:t xml:space="preserve">ומטרתה </w:t>
      </w:r>
      <w:r w:rsidRPr="00F41E78">
        <w:rPr>
          <w:rFonts w:cs="FrankRuehl"/>
          <w:sz w:val="18"/>
          <w:szCs w:val="22"/>
          <w:rtl/>
          <w:lang w:eastAsia="he-IL"/>
        </w:rPr>
        <w:t xml:space="preserve">לאזן </w:t>
      </w:r>
      <w:r w:rsidRPr="00F41E78">
        <w:rPr>
          <w:rFonts w:cs="FrankRuehl" w:hint="cs"/>
          <w:sz w:val="18"/>
          <w:szCs w:val="22"/>
          <w:rtl/>
          <w:lang w:eastAsia="he-IL"/>
        </w:rPr>
        <w:t>ב</w:t>
      </w:r>
      <w:r w:rsidRPr="00F41E78">
        <w:rPr>
          <w:rFonts w:cs="FrankRuehl"/>
          <w:sz w:val="18"/>
          <w:szCs w:val="22"/>
          <w:rtl/>
          <w:lang w:eastAsia="he-IL"/>
        </w:rPr>
        <w:t>ין צ</w:t>
      </w:r>
      <w:r w:rsidRPr="00F41E78">
        <w:rPr>
          <w:rFonts w:cs="FrankRuehl" w:hint="cs"/>
          <w:sz w:val="18"/>
          <w:szCs w:val="22"/>
          <w:rtl/>
          <w:lang w:eastAsia="he-IL"/>
        </w:rPr>
        <w:t>ו</w:t>
      </w:r>
      <w:r w:rsidRPr="00F41E78">
        <w:rPr>
          <w:rFonts w:cs="FrankRuehl"/>
          <w:sz w:val="18"/>
          <w:szCs w:val="22"/>
          <w:rtl/>
          <w:lang w:eastAsia="he-IL"/>
        </w:rPr>
        <w:t>רכי שוכרי הדירות ל</w:t>
      </w:r>
      <w:r w:rsidRPr="00F41E78">
        <w:rPr>
          <w:rFonts w:cs="FrankRuehl" w:hint="cs"/>
          <w:sz w:val="18"/>
          <w:szCs w:val="22"/>
          <w:rtl/>
          <w:lang w:eastAsia="he-IL"/>
        </w:rPr>
        <w:t xml:space="preserve">צורכי </w:t>
      </w:r>
      <w:r w:rsidRPr="00F41E78">
        <w:rPr>
          <w:rFonts w:cs="FrankRuehl"/>
          <w:sz w:val="18"/>
          <w:szCs w:val="22"/>
          <w:rtl/>
          <w:lang w:eastAsia="he-IL"/>
        </w:rPr>
        <w:t>בעלי</w:t>
      </w:r>
      <w:r w:rsidRPr="00F41E78">
        <w:rPr>
          <w:rFonts w:cs="FrankRuehl" w:hint="cs"/>
          <w:sz w:val="18"/>
          <w:szCs w:val="22"/>
          <w:rtl/>
          <w:lang w:eastAsia="he-IL"/>
        </w:rPr>
        <w:t>הן</w:t>
      </w:r>
      <w:r w:rsidRPr="00F41E78">
        <w:rPr>
          <w:rFonts w:cs="FrankRuehl"/>
          <w:sz w:val="18"/>
          <w:szCs w:val="22"/>
          <w:rtl/>
          <w:lang w:eastAsia="he-IL"/>
        </w:rPr>
        <w:t xml:space="preserve">. </w:t>
      </w:r>
      <w:r w:rsidRPr="00F41E78">
        <w:rPr>
          <w:rFonts w:cs="FrankRuehl" w:hint="cs"/>
          <w:sz w:val="18"/>
          <w:szCs w:val="22"/>
          <w:rtl/>
          <w:lang w:eastAsia="he-IL"/>
        </w:rPr>
        <w:t>המדינות נבדלות זו מזו ב</w:t>
      </w:r>
      <w:r w:rsidRPr="00F41E78">
        <w:rPr>
          <w:rFonts w:cs="FrankRuehl"/>
          <w:sz w:val="18"/>
          <w:szCs w:val="22"/>
          <w:rtl/>
          <w:lang w:eastAsia="he-IL"/>
        </w:rPr>
        <w:t>היקף ההתערבות הממשלתית</w:t>
      </w:r>
      <w:r w:rsidRPr="00F41E78">
        <w:rPr>
          <w:rFonts w:cs="FrankRuehl" w:hint="cs"/>
          <w:sz w:val="18"/>
          <w:szCs w:val="22"/>
          <w:rtl/>
          <w:lang w:eastAsia="he-IL"/>
        </w:rPr>
        <w:t xml:space="preserve"> בנושא. בישראל לא חוקקו במשך השנים חוקים ספציפיים המסדירים את שוק השכירות למגורים. על חוזי שכירות חל חוק השכירות והשאילה, התשל"א-1971, וזאת כאשר אין כל קביעה אחרת בין הצדדים.</w:t>
      </w:r>
    </w:p>
    <w:p w:rsidR="00E97EDA" w:rsidRPr="00F41E78" w:rsidP="00A7557B">
      <w:pPr>
        <w:spacing w:after="120" w:line="230" w:lineRule="exact"/>
        <w:jc w:val="both"/>
        <w:rPr>
          <w:rFonts w:cs="FrankRuehl"/>
          <w:sz w:val="18"/>
          <w:szCs w:val="22"/>
          <w:rtl/>
          <w:lang w:eastAsia="he-IL"/>
        </w:rPr>
      </w:pPr>
      <w:r w:rsidRPr="00F41E78">
        <w:rPr>
          <w:rFonts w:cs="FrankRuehl" w:hint="cs"/>
          <w:sz w:val="18"/>
          <w:szCs w:val="22"/>
          <w:rtl/>
          <w:lang w:eastAsia="he-IL"/>
        </w:rPr>
        <w:t>במשך השנים הגישו חברי כנסת הצעות חוק והצעות פרטיות לתיקוני חוק</w:t>
      </w:r>
      <w:r>
        <w:rPr>
          <w:rFonts w:cs="FrankRuehl"/>
          <w:sz w:val="18"/>
          <w:szCs w:val="22"/>
          <w:vertAlign w:val="superscript"/>
          <w:rtl/>
          <w:lang w:eastAsia="he-IL"/>
        </w:rPr>
        <w:footnoteReference w:id="300"/>
      </w:r>
      <w:r w:rsidRPr="00F41E78">
        <w:rPr>
          <w:rFonts w:cs="FrankRuehl" w:hint="cs"/>
          <w:sz w:val="18"/>
          <w:szCs w:val="22"/>
          <w:rtl/>
          <w:lang w:eastAsia="he-IL"/>
        </w:rPr>
        <w:t xml:space="preserve"> שמטרתן הייתה הסדרה של שוק השכירות; הממשלה התנגדה להצעות חוק אלו. במועד סיום הביקורת טרם הוגשה הצעת חוק ממשלתית.</w:t>
      </w:r>
    </w:p>
    <w:p w:rsidR="00E97EDA" w:rsidRPr="00F41E78" w:rsidP="003E789E">
      <w:pPr>
        <w:spacing w:after="240" w:line="230" w:lineRule="exact"/>
        <w:jc w:val="both"/>
        <w:rPr>
          <w:rFonts w:eastAsia="Calibri" w:cs="FrankRuehl"/>
          <w:sz w:val="18"/>
          <w:szCs w:val="22"/>
          <w:rtl/>
          <w:lang w:eastAsia="he-IL"/>
        </w:rPr>
      </w:pPr>
      <w:r w:rsidRPr="00F41E78">
        <w:rPr>
          <w:rFonts w:cs="FrankRuehl"/>
          <w:bCs/>
          <w:spacing w:val="40"/>
          <w:sz w:val="18"/>
          <w:szCs w:val="22"/>
          <w:rtl/>
        </w:rPr>
        <w:t xml:space="preserve">עמדת ארגון </w:t>
      </w:r>
      <w:r w:rsidRPr="00F41E78">
        <w:rPr>
          <w:rFonts w:cs="FrankRuehl"/>
          <w:bCs/>
          <w:spacing w:val="40"/>
          <w:sz w:val="18"/>
          <w:szCs w:val="22"/>
        </w:rPr>
        <w:t>OECD</w:t>
      </w:r>
      <w:r w:rsidRPr="00F41E78">
        <w:rPr>
          <w:rFonts w:cs="FrankRuehl"/>
          <w:bCs/>
          <w:spacing w:val="40"/>
          <w:sz w:val="18"/>
          <w:szCs w:val="22"/>
          <w:rtl/>
        </w:rPr>
        <w:t xml:space="preserve"> </w:t>
      </w:r>
      <w:r w:rsidRPr="00F41E78">
        <w:rPr>
          <w:rFonts w:cs="FrankRuehl" w:hint="eastAsia"/>
          <w:bCs/>
          <w:spacing w:val="40"/>
          <w:sz w:val="18"/>
          <w:szCs w:val="22"/>
          <w:rtl/>
        </w:rPr>
        <w:t>בנוגע</w:t>
      </w:r>
      <w:r w:rsidRPr="00F41E78">
        <w:rPr>
          <w:rFonts w:cs="FrankRuehl"/>
          <w:bCs/>
          <w:spacing w:val="40"/>
          <w:sz w:val="18"/>
          <w:szCs w:val="22"/>
          <w:rtl/>
        </w:rPr>
        <w:t xml:space="preserve"> לתנאי השכירות בישראל:</w:t>
      </w:r>
      <w:r w:rsidRPr="00F41E78">
        <w:rPr>
          <w:rFonts w:eastAsia="Calibri" w:cs="FrankRuehl"/>
          <w:sz w:val="18"/>
          <w:szCs w:val="22"/>
          <w:rtl/>
          <w:lang w:eastAsia="he-IL"/>
        </w:rPr>
        <w:t xml:space="preserve"> בסקירה השנתית </w:t>
      </w:r>
      <w:r w:rsidRPr="00F41E78">
        <w:rPr>
          <w:rFonts w:eastAsia="Calibri" w:cs="FrankRuehl" w:hint="cs"/>
          <w:sz w:val="18"/>
          <w:szCs w:val="22"/>
          <w:rtl/>
          <w:lang w:eastAsia="he-IL"/>
        </w:rPr>
        <w:t>שביצע ה</w:t>
      </w:r>
      <w:r w:rsidRPr="00F41E78">
        <w:rPr>
          <w:rFonts w:eastAsia="Calibri" w:cs="FrankRuehl"/>
          <w:sz w:val="18"/>
          <w:szCs w:val="22"/>
          <w:rtl/>
          <w:lang w:eastAsia="he-IL"/>
        </w:rPr>
        <w:t>ארגון לשיתוף פעולה ופיתוח בנושא שוק השכירות הפרטית בישראל לשנת 2011</w:t>
      </w:r>
      <w:r>
        <w:rPr>
          <w:rFonts w:eastAsia="Calibri" w:cs="FrankRuehl"/>
          <w:sz w:val="18"/>
          <w:szCs w:val="22"/>
          <w:vertAlign w:val="superscript"/>
          <w:rtl/>
          <w:lang w:eastAsia="he-IL"/>
        </w:rPr>
        <w:footnoteReference w:id="301"/>
      </w:r>
      <w:r w:rsidRPr="00F41E78">
        <w:rPr>
          <w:rFonts w:eastAsia="Calibri" w:cs="FrankRuehl"/>
          <w:sz w:val="18"/>
          <w:szCs w:val="22"/>
          <w:rtl/>
          <w:lang w:eastAsia="he-IL"/>
        </w:rPr>
        <w:t xml:space="preserve"> (להלן </w:t>
      </w:r>
      <w:r w:rsidRPr="00F41E78">
        <w:rPr>
          <w:rFonts w:eastAsia="Calibri" w:cs="FrankRuehl" w:hint="cs"/>
          <w:sz w:val="18"/>
          <w:szCs w:val="22"/>
          <w:rtl/>
          <w:lang w:eastAsia="he-IL"/>
        </w:rPr>
        <w:t xml:space="preserve">- </w:t>
      </w:r>
      <w:r w:rsidRPr="00F41E78">
        <w:rPr>
          <w:rFonts w:eastAsia="Calibri" w:cs="FrankRuehl"/>
          <w:sz w:val="18"/>
          <w:szCs w:val="22"/>
          <w:rtl/>
          <w:lang w:eastAsia="he-IL"/>
        </w:rPr>
        <w:t xml:space="preserve">דוח </w:t>
      </w:r>
      <w:r w:rsidRPr="00F41E78">
        <w:rPr>
          <w:rFonts w:eastAsia="Calibri" w:cs="FrankRuehl"/>
          <w:sz w:val="18"/>
          <w:szCs w:val="22"/>
          <w:lang w:eastAsia="he-IL"/>
        </w:rPr>
        <w:t>OECD</w:t>
      </w:r>
      <w:r w:rsidRPr="00F41E78">
        <w:rPr>
          <w:rFonts w:eastAsia="Calibri" w:cs="FrankRuehl"/>
          <w:sz w:val="18"/>
          <w:szCs w:val="22"/>
          <w:rtl/>
          <w:lang w:eastAsia="he-IL"/>
        </w:rPr>
        <w:t>) צוין כי ה</w:t>
      </w:r>
      <w:r w:rsidRPr="00F41E78">
        <w:rPr>
          <w:rFonts w:eastAsia="Calibri" w:cs="FrankRuehl" w:hint="cs"/>
          <w:sz w:val="18"/>
          <w:szCs w:val="22"/>
          <w:rtl/>
          <w:lang w:eastAsia="he-IL"/>
        </w:rPr>
        <w:t>אסדרה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ב</w:t>
      </w:r>
      <w:r w:rsidRPr="00F41E78">
        <w:rPr>
          <w:rFonts w:eastAsia="Calibri" w:cs="FrankRuehl"/>
          <w:sz w:val="18"/>
          <w:szCs w:val="22"/>
          <w:rtl/>
          <w:lang w:eastAsia="he-IL"/>
        </w:rPr>
        <w:t xml:space="preserve">תחום השכירות בישראל רופפת מאוד </w:t>
      </w:r>
      <w:r w:rsidRPr="00F41E78">
        <w:rPr>
          <w:rFonts w:eastAsia="Calibri" w:cs="FrankRuehl" w:hint="cs"/>
          <w:sz w:val="18"/>
          <w:szCs w:val="22"/>
          <w:rtl/>
          <w:lang w:eastAsia="he-IL"/>
        </w:rPr>
        <w:t>יחסית למדינות אחרות</w:t>
      </w:r>
      <w:r w:rsidRPr="00F41E78">
        <w:rPr>
          <w:rFonts w:eastAsia="Calibri" w:cs="FrankRuehl"/>
          <w:sz w:val="18"/>
          <w:szCs w:val="22"/>
          <w:rtl/>
          <w:lang w:eastAsia="he-IL"/>
        </w:rPr>
        <w:t xml:space="preserve">. </w:t>
      </w:r>
    </w:p>
    <w:p w:rsidR="00D22B16" w:rsidRPr="00F41E78" w:rsidP="00D22B16">
      <w:pPr>
        <w:pStyle w:val="RESHET"/>
        <w:keepLines/>
        <w:rPr>
          <w:rFonts w:eastAsia="Calibri"/>
          <w:rtl/>
        </w:rPr>
      </w:pPr>
      <w:r w:rsidRPr="00F41E78">
        <w:rPr>
          <w:rFonts w:eastAsia="Calibri"/>
          <w:rtl/>
        </w:rPr>
        <w:t>על פי דוח</w:t>
      </w:r>
      <w:r w:rsidRPr="00F41E78">
        <w:rPr>
          <w:rFonts w:eastAsia="Calibri" w:hint="cs"/>
          <w:rtl/>
        </w:rPr>
        <w:t xml:space="preserve"> </w:t>
      </w:r>
      <w:r w:rsidRPr="00F41E78">
        <w:rPr>
          <w:rFonts w:eastAsia="Calibri"/>
        </w:rPr>
        <w:t>OECD</w:t>
      </w:r>
      <w:r w:rsidRPr="00F41E78">
        <w:rPr>
          <w:rFonts w:eastAsia="Calibri" w:hint="cs"/>
          <w:rtl/>
        </w:rPr>
        <w:t>,</w:t>
      </w:r>
      <w:r w:rsidRPr="00F41E78">
        <w:rPr>
          <w:rFonts w:eastAsia="Calibri"/>
          <w:rtl/>
        </w:rPr>
        <w:t xml:space="preserve"> </w:t>
      </w:r>
      <w:r w:rsidRPr="00F41E78">
        <w:rPr>
          <w:rFonts w:eastAsia="Calibri" w:hint="cs"/>
          <w:rtl/>
        </w:rPr>
        <w:t>על חוזי שכירות חלה רק ה</w:t>
      </w:r>
      <w:r w:rsidRPr="00F41E78">
        <w:rPr>
          <w:rFonts w:eastAsia="Calibri"/>
          <w:rtl/>
        </w:rPr>
        <w:t>חקיקה</w:t>
      </w:r>
      <w:r w:rsidRPr="00F41E78">
        <w:rPr>
          <w:rFonts w:eastAsia="Calibri" w:hint="cs"/>
          <w:rtl/>
        </w:rPr>
        <w:t xml:space="preserve"> הכללית בנוגע לנכסי דלא ניידי ולמיטלטלין. לפיכך, גם המשכירים וגם השוכרים אינם מוגנים על ידי חקיקה מיוחדת הנוגעת להשכרת דירות. בדוח צוין שחקיקה כזאת</w:t>
      </w:r>
      <w:r w:rsidRPr="00F41E78">
        <w:rPr>
          <w:rFonts w:eastAsia="Calibri"/>
          <w:rtl/>
        </w:rPr>
        <w:t xml:space="preserve"> עלולה להיות מכבידה מדי ולהוביל לשוק שכירות דליל. עם זאת, בדוח צוין כי יש לקבוע </w:t>
      </w:r>
      <w:r w:rsidRPr="00F41E78">
        <w:rPr>
          <w:rFonts w:eastAsia="Calibri" w:hint="cs"/>
          <w:rtl/>
        </w:rPr>
        <w:t>כמה</w:t>
      </w:r>
      <w:r w:rsidRPr="00F41E78">
        <w:rPr>
          <w:rFonts w:eastAsia="Calibri"/>
          <w:rtl/>
        </w:rPr>
        <w:t xml:space="preserve"> כללי יסוד בסיסיים </w:t>
      </w:r>
      <w:r w:rsidRPr="00F41E78">
        <w:rPr>
          <w:rFonts w:eastAsia="Calibri" w:hint="cs"/>
          <w:rtl/>
        </w:rPr>
        <w:t>לעידוד ולפיתוח של</w:t>
      </w:r>
      <w:r w:rsidRPr="00F41E78">
        <w:rPr>
          <w:rFonts w:eastAsia="Calibri"/>
          <w:rtl/>
        </w:rPr>
        <w:t xml:space="preserve"> שוק השכירות ולשקול חקיקה לחיזוק ההגנה המשפטית על שני הצדדים </w:t>
      </w:r>
      <w:r w:rsidRPr="00F41E78">
        <w:rPr>
          <w:rFonts w:eastAsia="Calibri" w:hint="cs"/>
          <w:rtl/>
        </w:rPr>
        <w:t>החתומים על ה</w:t>
      </w:r>
      <w:r w:rsidRPr="00F41E78">
        <w:rPr>
          <w:rFonts w:eastAsia="Calibri"/>
          <w:rtl/>
        </w:rPr>
        <w:t>חוזה.</w:t>
      </w:r>
    </w:p>
    <w:p w:rsidR="00E97EDA" w:rsidRPr="00F41E78" w:rsidP="003D6B99">
      <w:pPr>
        <w:spacing w:before="180" w:after="120" w:line="230" w:lineRule="exact"/>
        <w:jc w:val="both"/>
        <w:rPr>
          <w:rFonts w:eastAsia="Calibri" w:cs="FrankRuehl"/>
          <w:sz w:val="18"/>
          <w:szCs w:val="22"/>
          <w:rtl/>
          <w:lang w:eastAsia="he-IL"/>
        </w:rPr>
      </w:pPr>
      <w:r w:rsidRPr="00F41E78">
        <w:rPr>
          <w:rFonts w:cs="FrankRuehl"/>
          <w:bCs/>
          <w:spacing w:val="40"/>
          <w:sz w:val="18"/>
          <w:szCs w:val="22"/>
          <w:rtl/>
        </w:rPr>
        <w:t xml:space="preserve">עמדת משרד הבינוי: </w:t>
      </w:r>
      <w:r w:rsidRPr="00F41E78">
        <w:rPr>
          <w:rFonts w:eastAsia="Calibri" w:cs="FrankRuehl"/>
          <w:sz w:val="18"/>
          <w:szCs w:val="22"/>
          <w:rtl/>
          <w:lang w:eastAsia="he-IL"/>
        </w:rPr>
        <w:t>לעניין התערבותה של המדינה בשוק השכירות באמצעות הסדרה משפטית של יחסי שוכר</w:t>
      </w:r>
      <w:r w:rsidRPr="00F41E78">
        <w:rPr>
          <w:rFonts w:eastAsia="Calibri" w:cs="FrankRuehl" w:hint="cs"/>
          <w:sz w:val="18"/>
          <w:szCs w:val="22"/>
          <w:rtl/>
          <w:lang w:eastAsia="he-IL"/>
        </w:rPr>
        <w:t>-</w:t>
      </w:r>
      <w:r w:rsidRPr="00F41E78">
        <w:rPr>
          <w:rFonts w:eastAsia="Calibri" w:cs="FrankRuehl"/>
          <w:sz w:val="18"/>
          <w:szCs w:val="22"/>
          <w:rtl/>
          <w:lang w:eastAsia="he-IL"/>
        </w:rPr>
        <w:t xml:space="preserve">משכיר מסר מנכ"ל </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משרד </w:t>
      </w:r>
      <w:r w:rsidRPr="00F41E78">
        <w:rPr>
          <w:rFonts w:eastAsia="Calibri" w:cs="FrankRuehl" w:hint="cs"/>
          <w:sz w:val="18"/>
          <w:szCs w:val="22"/>
          <w:rtl/>
          <w:lang w:eastAsia="he-IL"/>
        </w:rPr>
        <w:t>לעובדי משרד מבקר המדינה</w:t>
      </w:r>
      <w:r w:rsidRPr="00F41E78">
        <w:rPr>
          <w:rFonts w:eastAsia="Calibri" w:cs="FrankRuehl"/>
          <w:sz w:val="18"/>
          <w:szCs w:val="22"/>
          <w:rtl/>
          <w:lang w:eastAsia="he-IL"/>
        </w:rPr>
        <w:t xml:space="preserve"> ב</w:t>
      </w:r>
      <w:r w:rsidRPr="00F41E78">
        <w:rPr>
          <w:rFonts w:eastAsia="Calibri" w:cs="FrankRuehl" w:hint="cs"/>
          <w:sz w:val="18"/>
          <w:szCs w:val="22"/>
          <w:rtl/>
          <w:lang w:eastAsia="he-IL"/>
        </w:rPr>
        <w:t>-</w:t>
      </w:r>
      <w:r w:rsidRPr="00F41E78">
        <w:rPr>
          <w:rFonts w:eastAsia="Calibri" w:cs="FrankRuehl"/>
          <w:sz w:val="18"/>
          <w:szCs w:val="22"/>
          <w:rtl/>
          <w:lang w:eastAsia="he-IL"/>
        </w:rPr>
        <w:t>7.10.13 כי עם כניסתו לתפקיד</w:t>
      </w:r>
      <w:r w:rsidRPr="00F41E78">
        <w:rPr>
          <w:rFonts w:eastAsia="Calibri" w:cs="FrankRuehl" w:hint="cs"/>
          <w:sz w:val="18"/>
          <w:szCs w:val="22"/>
          <w:rtl/>
          <w:lang w:eastAsia="he-IL"/>
        </w:rPr>
        <w:t xml:space="preserve"> החל</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w:t>
      </w:r>
      <w:r w:rsidRPr="00F41E78">
        <w:rPr>
          <w:rFonts w:eastAsia="Calibri" w:cs="FrankRuehl"/>
          <w:sz w:val="18"/>
          <w:szCs w:val="22"/>
          <w:rtl/>
          <w:lang w:eastAsia="he-IL"/>
        </w:rPr>
        <w:t>משרד לבחון את האפשרות של תיקוני חקיקה להסדרה ממשלתית של שוק השכירות.</w:t>
      </w:r>
    </w:p>
    <w:p w:rsidR="00E97EDA" w:rsidRPr="00F41E78" w:rsidP="00A7557B">
      <w:pPr>
        <w:spacing w:after="120" w:line="230" w:lineRule="exact"/>
        <w:jc w:val="both"/>
        <w:rPr>
          <w:rFonts w:eastAsia="Calibri" w:cs="FrankRuehl"/>
          <w:sz w:val="18"/>
          <w:szCs w:val="22"/>
          <w:rtl/>
          <w:lang w:eastAsia="he-IL"/>
        </w:rPr>
      </w:pPr>
      <w:r w:rsidRPr="00F41E78">
        <w:rPr>
          <w:rFonts w:cs="FrankRuehl" w:hint="eastAsia"/>
          <w:bCs/>
          <w:spacing w:val="40"/>
          <w:sz w:val="18"/>
          <w:szCs w:val="22"/>
          <w:rtl/>
        </w:rPr>
        <w:t>עמדת</w:t>
      </w:r>
      <w:r w:rsidRPr="00F41E78">
        <w:rPr>
          <w:rFonts w:cs="FrankRuehl"/>
          <w:bCs/>
          <w:spacing w:val="40"/>
          <w:sz w:val="18"/>
          <w:szCs w:val="22"/>
          <w:rtl/>
        </w:rPr>
        <w:t xml:space="preserve"> משרד המשפטים:</w:t>
      </w:r>
      <w:r w:rsidRPr="00F41E78">
        <w:rPr>
          <w:rFonts w:eastAsia="Calibri" w:cs="FrankRuehl"/>
          <w:sz w:val="18"/>
          <w:szCs w:val="22"/>
          <w:rtl/>
          <w:lang w:eastAsia="he-IL"/>
        </w:rPr>
        <w:t xml:space="preserve"> </w:t>
      </w:r>
      <w:r w:rsidRPr="00F41E78">
        <w:rPr>
          <w:rFonts w:eastAsia="Calibri" w:cs="FrankRuehl" w:hint="cs"/>
          <w:sz w:val="18"/>
          <w:szCs w:val="22"/>
          <w:rtl/>
          <w:lang w:eastAsia="he-IL"/>
        </w:rPr>
        <w:t>מ</w:t>
      </w:r>
      <w:r w:rsidRPr="00F41E78">
        <w:rPr>
          <w:rFonts w:eastAsia="Calibri" w:cs="FrankRuehl"/>
          <w:sz w:val="18"/>
          <w:szCs w:val="22"/>
          <w:rtl/>
          <w:lang w:eastAsia="he-IL"/>
        </w:rPr>
        <w:t xml:space="preserve">תשובתו </w:t>
      </w:r>
      <w:r w:rsidRPr="00F41E78">
        <w:rPr>
          <w:rFonts w:eastAsia="Calibri" w:cs="FrankRuehl" w:hint="cs"/>
          <w:sz w:val="18"/>
          <w:szCs w:val="22"/>
          <w:rtl/>
          <w:lang w:eastAsia="he-IL"/>
        </w:rPr>
        <w:t xml:space="preserve">של משרד המשפטים עלה כי עמדתו היא שחלק מהצעות החוק שעלו בנוגע להסדרת שוק השכירות "ביקשו להגביל את זכות הקניין של הפרט, וזאת בשם האינטרס של עידוד דיור לאוכלוסיות רחבות שלכאורה אמור לשרת עקרונות של דיור בר השגה... הצעת החוק יוצרת הגבלה על חופש המוקנה לצדדים להתקשר בחוזה לפי רצונם ועשויה אף להביא לפגיעה בזכויותיהם הקנייניות. לאור דברי ההסבר בהצעת החוק, מטרתה היא להגן על השוכרים החלשים. מטרה זו בוודאי ראויה בעינינו, אולם יחד עם זאת, המנגנון הנוקשה המוצע בה יכול להפוך לרועץ ויגביל שוכרים המעוניינים להתקשר בתנאים שונים מאלו שיקבעו בהצעה". הוא הוסיף כי </w:t>
      </w:r>
      <w:r w:rsidRPr="00F41E78">
        <w:rPr>
          <w:rFonts w:eastAsia="Calibri" w:cs="FrankRuehl"/>
          <w:sz w:val="18"/>
          <w:szCs w:val="22"/>
          <w:rtl/>
          <w:lang w:eastAsia="he-IL"/>
        </w:rPr>
        <w:t>"רוב הצעות חוק מסוג זה פוגעות בזכות הקניין, בחופש ההתקשרות ובאינטרסים נוספים. פגיעות אלו אשר נתבקש לעשותן בחקיקה מחייבות התייחסות כוללת, שההצעות הפרטיות לא השכילו לעשות"</w:t>
      </w:r>
      <w:r w:rsidRPr="00F41E78">
        <w:rPr>
          <w:rFonts w:eastAsia="Calibri" w:cs="FrankRuehl" w:hint="cs"/>
          <w:sz w:val="18"/>
          <w:szCs w:val="22"/>
          <w:rtl/>
          <w:lang w:eastAsia="he-IL"/>
        </w:rPr>
        <w:t>.</w:t>
      </w:r>
    </w:p>
    <w:p w:rsidR="00E97EDA" w:rsidRPr="00F41E78" w:rsidP="00A7557B">
      <w:pPr>
        <w:spacing w:after="120" w:line="230" w:lineRule="exact"/>
        <w:jc w:val="both"/>
        <w:rPr>
          <w:rFonts w:cs="FrankRuehl"/>
          <w:sz w:val="18"/>
          <w:szCs w:val="22"/>
          <w:rtl/>
          <w:lang w:eastAsia="he-IL"/>
        </w:rPr>
      </w:pPr>
      <w:r w:rsidRPr="00F41E78">
        <w:rPr>
          <w:rFonts w:cs="FrankRuehl"/>
          <w:bCs/>
          <w:spacing w:val="40"/>
          <w:sz w:val="18"/>
          <w:szCs w:val="22"/>
          <w:rtl/>
        </w:rPr>
        <w:t xml:space="preserve">עמדת </w:t>
      </w:r>
      <w:r w:rsidRPr="00F41E78">
        <w:rPr>
          <w:rFonts w:cs="FrankRuehl" w:hint="eastAsia"/>
          <w:bCs/>
          <w:spacing w:val="40"/>
          <w:sz w:val="18"/>
          <w:szCs w:val="22"/>
          <w:rtl/>
        </w:rPr>
        <w:t>אג</w:t>
      </w:r>
      <w:r w:rsidRPr="00F41E78">
        <w:rPr>
          <w:rFonts w:cs="FrankRuehl"/>
          <w:bCs/>
          <w:spacing w:val="40"/>
          <w:sz w:val="18"/>
          <w:szCs w:val="22"/>
          <w:rtl/>
        </w:rPr>
        <w:t>"ת:</w:t>
      </w:r>
      <w:r w:rsidRPr="00F41E78">
        <w:rPr>
          <w:rFonts w:cs="FrankRuehl"/>
          <w:sz w:val="18"/>
          <w:szCs w:val="22"/>
          <w:rtl/>
        </w:rPr>
        <w:t xml:space="preserve"> </w:t>
      </w:r>
      <w:r w:rsidR="00FF1578">
        <w:rPr>
          <w:rFonts w:cs="FrankRuehl" w:hint="cs"/>
          <w:sz w:val="18"/>
          <w:szCs w:val="22"/>
          <w:rtl/>
        </w:rPr>
        <w:t>ב</w:t>
      </w:r>
      <w:r w:rsidRPr="00F41E78">
        <w:rPr>
          <w:rFonts w:cs="FrankRuehl" w:hint="cs"/>
          <w:sz w:val="18"/>
          <w:szCs w:val="22"/>
          <w:rtl/>
          <w:lang w:eastAsia="he-IL"/>
        </w:rPr>
        <w:t>נייר עמדה של אג"ת, מאפריל 2013, בנושא "הטלת פיקוח על שכר דירה",</w:t>
      </w:r>
      <w:r w:rsidRPr="00F41E78">
        <w:rPr>
          <w:rFonts w:cs="FrankRuehl"/>
          <w:sz w:val="18"/>
          <w:szCs w:val="22"/>
          <w:rtl/>
          <w:lang w:eastAsia="he-IL"/>
        </w:rPr>
        <w:t xml:space="preserve"> </w:t>
      </w:r>
      <w:r w:rsidRPr="00F41E78">
        <w:rPr>
          <w:rFonts w:cs="FrankRuehl" w:hint="cs"/>
          <w:sz w:val="18"/>
          <w:szCs w:val="22"/>
          <w:rtl/>
          <w:lang w:eastAsia="he-IL"/>
        </w:rPr>
        <w:t>הוא ציין כי בשאר מדינות העולם נזנחו ה</w:t>
      </w:r>
      <w:r w:rsidRPr="00F41E78">
        <w:rPr>
          <w:rFonts w:cs="FrankRuehl"/>
          <w:sz w:val="18"/>
          <w:szCs w:val="22"/>
          <w:rtl/>
          <w:lang w:eastAsia="he-IL"/>
        </w:rPr>
        <w:t xml:space="preserve">מנגנונים לקביעת מחיר </w:t>
      </w:r>
      <w:r w:rsidRPr="00F41E78">
        <w:rPr>
          <w:rFonts w:cs="FrankRuehl" w:hint="cs"/>
          <w:sz w:val="18"/>
          <w:szCs w:val="22"/>
          <w:rtl/>
          <w:lang w:eastAsia="he-IL"/>
        </w:rPr>
        <w:t xml:space="preserve">שכר </w:t>
      </w:r>
      <w:r w:rsidRPr="00F41E78">
        <w:rPr>
          <w:rFonts w:cs="FrankRuehl"/>
          <w:sz w:val="18"/>
          <w:szCs w:val="22"/>
          <w:rtl/>
          <w:lang w:eastAsia="he-IL"/>
        </w:rPr>
        <w:t>הדירה</w:t>
      </w:r>
      <w:r w:rsidRPr="00F41E78">
        <w:rPr>
          <w:rFonts w:cs="FrankRuehl" w:hint="cs"/>
          <w:sz w:val="18"/>
          <w:szCs w:val="22"/>
          <w:rtl/>
          <w:lang w:eastAsia="he-IL"/>
        </w:rPr>
        <w:t xml:space="preserve"> ובמקום זאת אומץ מודל ה</w:t>
      </w:r>
      <w:r w:rsidRPr="00F41E78">
        <w:rPr>
          <w:rFonts w:cs="FrankRuehl"/>
          <w:sz w:val="18"/>
          <w:szCs w:val="22"/>
          <w:rtl/>
          <w:lang w:eastAsia="he-IL"/>
        </w:rPr>
        <w:t xml:space="preserve">פיקוח על </w:t>
      </w:r>
      <w:r w:rsidRPr="00F41E78">
        <w:rPr>
          <w:rFonts w:cs="FrankRuehl" w:hint="cs"/>
          <w:sz w:val="18"/>
          <w:szCs w:val="22"/>
          <w:rtl/>
          <w:lang w:eastAsia="he-IL"/>
        </w:rPr>
        <w:t>ה</w:t>
      </w:r>
      <w:r w:rsidRPr="00F41E78">
        <w:rPr>
          <w:rFonts w:cs="FrankRuehl"/>
          <w:sz w:val="18"/>
          <w:szCs w:val="22"/>
          <w:rtl/>
          <w:lang w:eastAsia="he-IL"/>
        </w:rPr>
        <w:t>עליי</w:t>
      </w:r>
      <w:r w:rsidRPr="00F41E78">
        <w:rPr>
          <w:rFonts w:cs="FrankRuehl" w:hint="cs"/>
          <w:sz w:val="18"/>
          <w:szCs w:val="22"/>
          <w:rtl/>
          <w:lang w:eastAsia="he-IL"/>
        </w:rPr>
        <w:t xml:space="preserve">ה בשכר </w:t>
      </w:r>
      <w:r w:rsidRPr="00F41E78">
        <w:rPr>
          <w:rFonts w:cs="FrankRuehl"/>
          <w:sz w:val="18"/>
          <w:szCs w:val="22"/>
          <w:rtl/>
          <w:lang w:eastAsia="he-IL"/>
        </w:rPr>
        <w:t>הדירה</w:t>
      </w:r>
      <w:r w:rsidRPr="00F41E78">
        <w:rPr>
          <w:rFonts w:cs="FrankRuehl" w:hint="cs"/>
          <w:sz w:val="18"/>
          <w:szCs w:val="22"/>
          <w:rtl/>
          <w:lang w:eastAsia="he-IL"/>
        </w:rPr>
        <w:t xml:space="preserve">. האגף ציין כי </w:t>
      </w:r>
      <w:r w:rsidRPr="00F41E78">
        <w:rPr>
          <w:rFonts w:cs="FrankRuehl"/>
          <w:sz w:val="18"/>
          <w:szCs w:val="22"/>
          <w:rtl/>
          <w:lang w:eastAsia="he-IL"/>
        </w:rPr>
        <w:t>"הסכנה הכרוכה במודל זה הינה כי משכירים יבקשו לפצות את עצמם על שחיקת שכר הדירה העתידית</w:t>
      </w:r>
      <w:r w:rsidRPr="00F41E78">
        <w:rPr>
          <w:rFonts w:cs="FrankRuehl" w:hint="cs"/>
          <w:sz w:val="18"/>
          <w:szCs w:val="22"/>
          <w:rtl/>
          <w:lang w:eastAsia="he-IL"/>
        </w:rPr>
        <w:t xml:space="preserve">... </w:t>
      </w:r>
      <w:r w:rsidRPr="00F41E78">
        <w:rPr>
          <w:rFonts w:cs="FrankRuehl"/>
          <w:sz w:val="18"/>
          <w:szCs w:val="22"/>
          <w:rtl/>
          <w:lang w:eastAsia="he-IL"/>
        </w:rPr>
        <w:t>ועל אובדן הגמישות בהשכרת הדירה בהעלאה מידית של שכר הדירה ערב תיקון החוק בעניין</w:t>
      </w:r>
      <w:r w:rsidRPr="00F41E78">
        <w:rPr>
          <w:rFonts w:cs="FrankRuehl" w:hint="cs"/>
          <w:sz w:val="18"/>
          <w:szCs w:val="22"/>
          <w:rtl/>
          <w:lang w:eastAsia="he-IL"/>
        </w:rPr>
        <w:t>". הוא הוסיף כי התועלת העיקרית של המודל זה אינה החיסכון הכספי בתשלום שכר הדירה אלא הקניית יציבות וודאות לדייר. לסיכום, הוא ציין כי לדעתו</w:t>
      </w:r>
      <w:r w:rsidRPr="00F41E78">
        <w:rPr>
          <w:rFonts w:cs="FrankRuehl"/>
          <w:sz w:val="18"/>
          <w:szCs w:val="22"/>
          <w:rtl/>
          <w:lang w:eastAsia="he-IL"/>
        </w:rPr>
        <w:t xml:space="preserve"> אין להחיל בארץ פיקוח על עליית מחיר</w:t>
      </w:r>
      <w:r w:rsidRPr="00F41E78">
        <w:rPr>
          <w:rFonts w:cs="FrankRuehl" w:hint="cs"/>
          <w:sz w:val="18"/>
          <w:szCs w:val="22"/>
          <w:rtl/>
          <w:lang w:eastAsia="he-IL"/>
        </w:rPr>
        <w:t xml:space="preserve"> שכר </w:t>
      </w:r>
      <w:r w:rsidRPr="00F41E78">
        <w:rPr>
          <w:rFonts w:cs="FrankRuehl"/>
          <w:sz w:val="18"/>
          <w:szCs w:val="22"/>
          <w:rtl/>
          <w:lang w:eastAsia="he-IL"/>
        </w:rPr>
        <w:t>הדירה</w:t>
      </w:r>
      <w:r w:rsidRPr="00F41E78">
        <w:rPr>
          <w:rFonts w:cs="FrankRuehl" w:hint="cs"/>
          <w:sz w:val="18"/>
          <w:szCs w:val="22"/>
          <w:rtl/>
          <w:lang w:eastAsia="he-IL"/>
        </w:rPr>
        <w:t xml:space="preserve"> משום שהדבר "י</w:t>
      </w:r>
      <w:r w:rsidRPr="00F41E78">
        <w:rPr>
          <w:rFonts w:cs="FrankRuehl"/>
          <w:sz w:val="18"/>
          <w:szCs w:val="22"/>
          <w:rtl/>
          <w:lang w:eastAsia="he-IL"/>
        </w:rPr>
        <w:t xml:space="preserve">מנע קביעת מחיר תחרותי המשקף את התנאים הכלכליים בצורה </w:t>
      </w:r>
      <w:r w:rsidRPr="00F41E78">
        <w:rPr>
          <w:rFonts w:cs="FrankRuehl" w:hint="cs"/>
          <w:sz w:val="18"/>
          <w:szCs w:val="22"/>
          <w:rtl/>
          <w:lang w:eastAsia="he-IL"/>
        </w:rPr>
        <w:t>אופטימאלי</w:t>
      </w:r>
      <w:r w:rsidRPr="00F41E78">
        <w:rPr>
          <w:rFonts w:cs="FrankRuehl" w:hint="eastAsia"/>
          <w:sz w:val="18"/>
          <w:szCs w:val="22"/>
          <w:rtl/>
          <w:lang w:eastAsia="he-IL"/>
        </w:rPr>
        <w:t>ת</w:t>
      </w:r>
      <w:r w:rsidRPr="00F41E78">
        <w:rPr>
          <w:rFonts w:cs="FrankRuehl" w:hint="cs"/>
          <w:sz w:val="18"/>
          <w:szCs w:val="22"/>
          <w:rtl/>
          <w:lang w:eastAsia="he-IL"/>
        </w:rPr>
        <w:t>"</w:t>
      </w:r>
      <w:r w:rsidRPr="00F41E78">
        <w:rPr>
          <w:rFonts w:cs="FrankRuehl"/>
          <w:sz w:val="18"/>
          <w:szCs w:val="22"/>
          <w:rtl/>
          <w:lang w:eastAsia="he-IL"/>
        </w:rPr>
        <w:t>.</w:t>
      </w:r>
    </w:p>
    <w:p w:rsidR="00E97EDA" w:rsidRPr="00F41E78" w:rsidP="003E789E">
      <w:pPr>
        <w:spacing w:after="240" w:line="230" w:lineRule="exact"/>
        <w:jc w:val="both"/>
        <w:rPr>
          <w:rFonts w:eastAsia="Calibri" w:cs="FrankRuehl"/>
          <w:sz w:val="18"/>
          <w:szCs w:val="22"/>
          <w:rtl/>
          <w:lang w:eastAsia="he-IL"/>
        </w:rPr>
      </w:pPr>
      <w:r w:rsidRPr="00F41E78">
        <w:rPr>
          <w:rFonts w:eastAsia="Calibri" w:cs="FrankRuehl" w:hint="cs"/>
          <w:sz w:val="18"/>
          <w:szCs w:val="22"/>
          <w:rtl/>
          <w:lang w:eastAsia="he-IL"/>
        </w:rPr>
        <w:t>ב</w:t>
      </w:r>
      <w:r w:rsidRPr="00F41E78">
        <w:rPr>
          <w:rFonts w:eastAsia="Calibri" w:cs="FrankRuehl"/>
          <w:sz w:val="18"/>
          <w:szCs w:val="22"/>
          <w:rtl/>
          <w:lang w:eastAsia="he-IL"/>
        </w:rPr>
        <w:t>תשובת</w:t>
      </w:r>
      <w:r w:rsidRPr="00F41E78">
        <w:rPr>
          <w:rFonts w:eastAsia="Calibri" w:cs="FrankRuehl" w:hint="cs"/>
          <w:sz w:val="18"/>
          <w:szCs w:val="22"/>
          <w:rtl/>
          <w:lang w:eastAsia="he-IL"/>
        </w:rPr>
        <w:t>ו של משרד האוצר ציין אג"ת כי לדעתו "</w:t>
      </w:r>
      <w:r w:rsidRPr="00F41E78">
        <w:rPr>
          <w:rFonts w:eastAsia="Calibri" w:cs="FrankRuehl"/>
          <w:sz w:val="18"/>
          <w:szCs w:val="22"/>
          <w:rtl/>
          <w:lang w:eastAsia="he-IL"/>
        </w:rPr>
        <w:t>יש לבחון תהליכים אלו לעומק לפני החלטה על הטלת רגולציה כוללת על שוק השכירות</w:t>
      </w:r>
      <w:r w:rsidRPr="00F41E78">
        <w:rPr>
          <w:rFonts w:eastAsia="Calibri" w:cs="FrankRuehl" w:hint="cs"/>
          <w:sz w:val="18"/>
          <w:szCs w:val="22"/>
          <w:rtl/>
          <w:lang w:eastAsia="he-IL"/>
        </w:rPr>
        <w:t xml:space="preserve"> וכי במתחמים שתשווק הממשלה לשכירות ארוכת טווח, במסגרת החלטות קבינט הדיור, תהיה רגולציה אדוקה על איכות המגורים ועל גובה שכר הדירה". </w:t>
      </w:r>
    </w:p>
    <w:p w:rsidR="00D22B16" w:rsidRPr="00F41E78" w:rsidP="00D22B16">
      <w:pPr>
        <w:pStyle w:val="RESHET"/>
        <w:keepLines/>
        <w:rPr>
          <w:rFonts w:eastAsia="Calibri"/>
          <w:rtl/>
        </w:rPr>
      </w:pPr>
      <w:r w:rsidRPr="00F41E78">
        <w:rPr>
          <w:rFonts w:eastAsia="Calibri"/>
          <w:rtl/>
        </w:rPr>
        <w:t xml:space="preserve">משרד מבקר המדינה מדגיש כי </w:t>
      </w:r>
      <w:r w:rsidRPr="00F41E78">
        <w:rPr>
          <w:rFonts w:eastAsia="Calibri" w:hint="cs"/>
          <w:rtl/>
        </w:rPr>
        <w:t>מאחר</w:t>
      </w:r>
      <w:r w:rsidRPr="00F41E78">
        <w:rPr>
          <w:rFonts w:eastAsia="Calibri"/>
          <w:rtl/>
        </w:rPr>
        <w:t xml:space="preserve"> ש</w:t>
      </w:r>
      <w:r w:rsidRPr="00F41E78">
        <w:rPr>
          <w:rFonts w:eastAsia="Calibri" w:hint="cs"/>
          <w:rtl/>
        </w:rPr>
        <w:t>ב</w:t>
      </w:r>
      <w:r w:rsidRPr="00F41E78">
        <w:rPr>
          <w:rFonts w:eastAsia="Calibri"/>
          <w:rtl/>
        </w:rPr>
        <w:t>שוק השכירות במדינת ישראל כבר</w:t>
      </w:r>
      <w:r w:rsidRPr="00F41E78">
        <w:rPr>
          <w:rFonts w:eastAsia="Calibri" w:hint="cs"/>
          <w:rtl/>
        </w:rPr>
        <w:t xml:space="preserve"> נמצאו</w:t>
      </w:r>
      <w:r w:rsidRPr="00F41E78">
        <w:rPr>
          <w:rFonts w:eastAsia="Calibri"/>
          <w:rtl/>
        </w:rPr>
        <w:t xml:space="preserve"> </w:t>
      </w:r>
      <w:r>
        <w:rPr>
          <w:rFonts w:eastAsia="Calibri" w:hint="cs"/>
          <w:rtl/>
        </w:rPr>
        <w:br/>
      </w:r>
      <w:r w:rsidRPr="00F41E78">
        <w:rPr>
          <w:rFonts w:eastAsia="Calibri"/>
          <w:rtl/>
        </w:rPr>
        <w:t xml:space="preserve">כ-600,000 משקי בית </w:t>
      </w:r>
      <w:r w:rsidRPr="00F41E78">
        <w:rPr>
          <w:rFonts w:eastAsia="Calibri" w:hint="cs"/>
          <w:rtl/>
        </w:rPr>
        <w:t>במועד סיום הביקורת,</w:t>
      </w:r>
      <w:r w:rsidRPr="00F41E78">
        <w:rPr>
          <w:rFonts w:eastAsia="Calibri"/>
          <w:rtl/>
        </w:rPr>
        <w:t xml:space="preserve"> ראוי </w:t>
      </w:r>
      <w:r w:rsidRPr="00F41E78">
        <w:rPr>
          <w:rFonts w:eastAsia="Calibri" w:hint="cs"/>
          <w:rtl/>
        </w:rPr>
        <w:t>שבד בבד עם ה</w:t>
      </w:r>
      <w:r w:rsidRPr="00F41E78">
        <w:rPr>
          <w:rFonts w:eastAsia="Calibri"/>
          <w:rtl/>
        </w:rPr>
        <w:t xml:space="preserve">ניסיון </w:t>
      </w:r>
      <w:r w:rsidRPr="00F41E78">
        <w:rPr>
          <w:rFonts w:eastAsia="Calibri" w:hint="cs"/>
          <w:rtl/>
        </w:rPr>
        <w:t>לשפר</w:t>
      </w:r>
      <w:r w:rsidRPr="00F41E78">
        <w:rPr>
          <w:rFonts w:eastAsia="Calibri"/>
          <w:rtl/>
        </w:rPr>
        <w:t xml:space="preserve"> את </w:t>
      </w:r>
      <w:r w:rsidRPr="00F41E78">
        <w:rPr>
          <w:rFonts w:eastAsia="Calibri" w:hint="cs"/>
          <w:rtl/>
        </w:rPr>
        <w:t xml:space="preserve">מצבו של </w:t>
      </w:r>
      <w:r w:rsidRPr="00F41E78">
        <w:rPr>
          <w:rFonts w:eastAsia="Calibri"/>
          <w:rtl/>
        </w:rPr>
        <w:t xml:space="preserve">שוק </w:t>
      </w:r>
      <w:r w:rsidRPr="00F41E78">
        <w:rPr>
          <w:rFonts w:eastAsia="Calibri" w:hint="cs"/>
          <w:rtl/>
        </w:rPr>
        <w:t>ההשכרה</w:t>
      </w:r>
      <w:r w:rsidRPr="00F41E78">
        <w:rPr>
          <w:rFonts w:eastAsia="Calibri"/>
          <w:rtl/>
        </w:rPr>
        <w:t xml:space="preserve"> </w:t>
      </w:r>
      <w:r w:rsidRPr="00F41E78">
        <w:rPr>
          <w:rFonts w:eastAsia="Calibri" w:hint="cs"/>
          <w:rtl/>
        </w:rPr>
        <w:t xml:space="preserve">לטווח ארוך </w:t>
      </w:r>
      <w:r w:rsidRPr="00F41E78">
        <w:rPr>
          <w:rFonts w:eastAsia="Calibri"/>
          <w:rtl/>
        </w:rPr>
        <w:t>באמצעות שילוב גופים עסקיים</w:t>
      </w:r>
      <w:r w:rsidRPr="00F41E78">
        <w:rPr>
          <w:rFonts w:eastAsia="Calibri" w:hint="cs"/>
          <w:rtl/>
        </w:rPr>
        <w:t>,</w:t>
      </w:r>
      <w:r w:rsidRPr="00F41E78">
        <w:rPr>
          <w:rFonts w:eastAsia="Calibri"/>
          <w:rtl/>
        </w:rPr>
        <w:t xml:space="preserve"> להשלימו ואף לייצר תחרות הוגנת ש</w:t>
      </w:r>
      <w:r w:rsidRPr="00F41E78">
        <w:rPr>
          <w:rFonts w:eastAsia="Calibri" w:hint="cs"/>
          <w:rtl/>
        </w:rPr>
        <w:t xml:space="preserve">את </w:t>
      </w:r>
      <w:r w:rsidRPr="00F41E78">
        <w:rPr>
          <w:rFonts w:eastAsia="Calibri"/>
          <w:rtl/>
        </w:rPr>
        <w:t xml:space="preserve">פירותיה </w:t>
      </w:r>
      <w:r w:rsidRPr="00F41E78">
        <w:rPr>
          <w:rFonts w:eastAsia="Calibri" w:hint="cs"/>
          <w:rtl/>
        </w:rPr>
        <w:t>יקטוף</w:t>
      </w:r>
      <w:r w:rsidRPr="00F41E78">
        <w:rPr>
          <w:rFonts w:eastAsia="Calibri"/>
          <w:rtl/>
        </w:rPr>
        <w:t xml:space="preserve"> הציבור, </w:t>
      </w:r>
      <w:r w:rsidRPr="00F41E78">
        <w:rPr>
          <w:rFonts w:eastAsia="Calibri" w:hint="cs"/>
          <w:rtl/>
        </w:rPr>
        <w:t>תבחן</w:t>
      </w:r>
      <w:r w:rsidRPr="00F41E78">
        <w:rPr>
          <w:rFonts w:eastAsia="Calibri"/>
          <w:rtl/>
        </w:rPr>
        <w:t xml:space="preserve"> הממשלה </w:t>
      </w:r>
      <w:r w:rsidRPr="00F41E78">
        <w:rPr>
          <w:rFonts w:eastAsia="Calibri" w:hint="cs"/>
          <w:rtl/>
        </w:rPr>
        <w:t xml:space="preserve">אם יש מקום לאסדרת </w:t>
      </w:r>
      <w:r w:rsidRPr="00F41E78">
        <w:rPr>
          <w:rFonts w:eastAsia="Calibri"/>
          <w:rtl/>
        </w:rPr>
        <w:t xml:space="preserve">שוק </w:t>
      </w:r>
      <w:r w:rsidRPr="00F41E78">
        <w:rPr>
          <w:rFonts w:eastAsia="Calibri" w:hint="cs"/>
          <w:rtl/>
        </w:rPr>
        <w:t xml:space="preserve">השכירות </w:t>
      </w:r>
      <w:r w:rsidRPr="00F41E78">
        <w:rPr>
          <w:rFonts w:eastAsia="Calibri"/>
          <w:rtl/>
        </w:rPr>
        <w:t>הקיים כדי להגן הן על המשכיר הן על השוכר</w:t>
      </w:r>
      <w:r w:rsidRPr="00F41E78">
        <w:rPr>
          <w:rFonts w:eastAsia="Calibri" w:hint="cs"/>
          <w:rtl/>
        </w:rPr>
        <w:t>,</w:t>
      </w:r>
      <w:r w:rsidRPr="00F41E78">
        <w:rPr>
          <w:rFonts w:eastAsia="Calibri"/>
          <w:rtl/>
        </w:rPr>
        <w:t xml:space="preserve"> </w:t>
      </w:r>
      <w:r w:rsidRPr="00F41E78">
        <w:rPr>
          <w:rFonts w:eastAsia="Calibri" w:hint="cs"/>
          <w:rtl/>
        </w:rPr>
        <w:t>מתוך שימת לב לנהוג</w:t>
      </w:r>
      <w:r w:rsidRPr="00F41E78">
        <w:rPr>
          <w:rFonts w:eastAsia="Calibri"/>
          <w:rtl/>
        </w:rPr>
        <w:t xml:space="preserve"> במדינות </w:t>
      </w:r>
      <w:r w:rsidRPr="00F41E78">
        <w:rPr>
          <w:rFonts w:eastAsia="Calibri" w:hint="cs"/>
          <w:rtl/>
        </w:rPr>
        <w:t>אחרות.</w:t>
      </w:r>
    </w:p>
    <w:p w:rsidR="00E97EDA" w:rsidRPr="00FA1F2C" w:rsidP="003E789E">
      <w:pPr>
        <w:spacing w:before="180" w:after="120" w:line="230" w:lineRule="exact"/>
        <w:jc w:val="both"/>
        <w:rPr>
          <w:rFonts w:eastAsia="Calibri"/>
          <w:szCs w:val="20"/>
          <w:rtl/>
          <w:lang w:eastAsia="he-IL"/>
        </w:rPr>
      </w:pPr>
      <w:r w:rsidRPr="00F41E78">
        <w:rPr>
          <w:rFonts w:eastAsia="Calibri" w:cs="FrankRuehl"/>
          <w:sz w:val="18"/>
          <w:szCs w:val="22"/>
          <w:rtl/>
          <w:lang w:eastAsia="he-IL"/>
        </w:rPr>
        <w:t>באפריל 2014</w:t>
      </w:r>
      <w:r w:rsidRPr="00F41E78">
        <w:rPr>
          <w:rFonts w:eastAsia="Calibri" w:cs="FrankRuehl" w:hint="cs"/>
          <w:sz w:val="18"/>
          <w:szCs w:val="22"/>
          <w:rtl/>
          <w:lang w:eastAsia="he-IL"/>
        </w:rPr>
        <w:t>, לאחר</w:t>
      </w:r>
      <w:r w:rsidRPr="00F41E78">
        <w:rPr>
          <w:rFonts w:eastAsia="Calibri" w:cs="FrankRuehl"/>
          <w:sz w:val="18"/>
          <w:szCs w:val="22"/>
          <w:rtl/>
          <w:lang w:eastAsia="he-IL"/>
        </w:rPr>
        <w:t xml:space="preserve"> מועד סיום הביקורת, החליטה הממשלה (החלטה</w:t>
      </w:r>
      <w:r w:rsidRPr="00F41E78">
        <w:rPr>
          <w:rFonts w:eastAsia="Calibri" w:cs="FrankRuehl" w:hint="cs"/>
          <w:sz w:val="18"/>
          <w:szCs w:val="22"/>
          <w:rtl/>
          <w:lang w:eastAsia="he-IL"/>
        </w:rPr>
        <w:t xml:space="preserve"> מס'</w:t>
      </w:r>
      <w:r w:rsidRPr="00F41E78">
        <w:rPr>
          <w:rFonts w:eastAsia="Calibri" w:cs="FrankRuehl"/>
          <w:sz w:val="18"/>
          <w:szCs w:val="22"/>
          <w:rtl/>
          <w:lang w:eastAsia="he-IL"/>
        </w:rPr>
        <w:t xml:space="preserve"> 1531) </w:t>
      </w:r>
      <w:r w:rsidRPr="00F41E78">
        <w:rPr>
          <w:rFonts w:eastAsia="Calibri" w:cs="FrankRuehl" w:hint="cs"/>
          <w:sz w:val="18"/>
          <w:szCs w:val="22"/>
          <w:rtl/>
          <w:lang w:eastAsia="he-IL"/>
        </w:rPr>
        <w:t>להטיל</w:t>
      </w:r>
      <w:r w:rsidRPr="00F41E78">
        <w:rPr>
          <w:rFonts w:eastAsia="Calibri" w:cs="FrankRuehl"/>
          <w:sz w:val="18"/>
          <w:szCs w:val="22"/>
          <w:rtl/>
          <w:lang w:eastAsia="he-IL"/>
        </w:rPr>
        <w:t xml:space="preserve"> </w:t>
      </w:r>
      <w:r w:rsidRPr="00F41E78">
        <w:rPr>
          <w:rFonts w:eastAsia="Calibri" w:cs="FrankRuehl" w:hint="cs"/>
          <w:sz w:val="18"/>
          <w:szCs w:val="22"/>
          <w:rtl/>
          <w:lang w:eastAsia="he-IL"/>
        </w:rPr>
        <w:t>על</w:t>
      </w:r>
      <w:r w:rsidRPr="00F41E78">
        <w:rPr>
          <w:rFonts w:eastAsia="Calibri" w:cs="FrankRuehl"/>
          <w:sz w:val="18"/>
          <w:szCs w:val="22"/>
          <w:rtl/>
          <w:lang w:eastAsia="he-IL"/>
        </w:rPr>
        <w:t xml:space="preserve"> </w:t>
      </w:r>
      <w:r w:rsidRPr="00F41E78">
        <w:rPr>
          <w:rFonts w:eastAsia="Calibri" w:cs="FrankRuehl" w:hint="cs"/>
          <w:sz w:val="18"/>
          <w:szCs w:val="22"/>
          <w:rtl/>
          <w:lang w:eastAsia="he-IL"/>
        </w:rPr>
        <w:t>שרי</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האוצר</w:t>
      </w:r>
      <w:r w:rsidRPr="00F41E78">
        <w:rPr>
          <w:rFonts w:eastAsia="Calibri" w:cs="FrankRuehl"/>
          <w:sz w:val="18"/>
          <w:szCs w:val="22"/>
          <w:rtl/>
          <w:lang w:eastAsia="he-IL"/>
        </w:rPr>
        <w:t xml:space="preserve"> </w:t>
      </w:r>
      <w:r w:rsidRPr="00F41E78">
        <w:rPr>
          <w:rFonts w:eastAsia="Calibri" w:cs="FrankRuehl" w:hint="cs"/>
          <w:sz w:val="18"/>
          <w:szCs w:val="22"/>
          <w:rtl/>
          <w:lang w:eastAsia="he-IL"/>
        </w:rPr>
        <w:t>והמשפטים</w:t>
      </w:r>
      <w:r w:rsidRPr="00F41E78">
        <w:rPr>
          <w:rFonts w:eastAsia="Calibri" w:cs="FrankRuehl"/>
          <w:sz w:val="18"/>
          <w:szCs w:val="22"/>
          <w:rtl/>
          <w:lang w:eastAsia="he-IL"/>
        </w:rPr>
        <w:t xml:space="preserve"> </w:t>
      </w:r>
      <w:r w:rsidRPr="00F41E78">
        <w:rPr>
          <w:rFonts w:eastAsia="Calibri" w:cs="FrankRuehl" w:hint="cs"/>
          <w:sz w:val="18"/>
          <w:szCs w:val="22"/>
          <w:rtl/>
          <w:lang w:eastAsia="he-IL"/>
        </w:rPr>
        <w:t>להפיץ</w:t>
      </w:r>
      <w:r w:rsidRPr="00F41E78">
        <w:rPr>
          <w:rFonts w:eastAsia="Calibri" w:cs="FrankRuehl"/>
          <w:sz w:val="18"/>
          <w:szCs w:val="22"/>
          <w:rtl/>
          <w:lang w:eastAsia="he-IL"/>
        </w:rPr>
        <w:t xml:space="preserve"> </w:t>
      </w:r>
      <w:r w:rsidRPr="00F41E78">
        <w:rPr>
          <w:rFonts w:eastAsia="Calibri" w:cs="FrankRuehl" w:hint="cs"/>
          <w:sz w:val="18"/>
          <w:szCs w:val="22"/>
          <w:rtl/>
          <w:lang w:eastAsia="he-IL"/>
        </w:rPr>
        <w:t>בתוך</w:t>
      </w:r>
      <w:r w:rsidRPr="00F41E78">
        <w:rPr>
          <w:rFonts w:eastAsia="Calibri" w:cs="FrankRuehl"/>
          <w:sz w:val="18"/>
          <w:szCs w:val="22"/>
          <w:rtl/>
          <w:lang w:eastAsia="he-IL"/>
        </w:rPr>
        <w:t xml:space="preserve"> 60 </w:t>
      </w:r>
      <w:r w:rsidRPr="00F41E78">
        <w:rPr>
          <w:rFonts w:eastAsia="Calibri" w:cs="FrankRuehl" w:hint="cs"/>
          <w:sz w:val="18"/>
          <w:szCs w:val="22"/>
          <w:rtl/>
          <w:lang w:eastAsia="he-IL"/>
        </w:rPr>
        <w:t>יום</w:t>
      </w:r>
      <w:r w:rsidRPr="00F41E78">
        <w:rPr>
          <w:rFonts w:eastAsia="Calibri" w:cs="FrankRuehl"/>
          <w:sz w:val="18"/>
          <w:szCs w:val="22"/>
          <w:rtl/>
          <w:lang w:eastAsia="he-IL"/>
        </w:rPr>
        <w:t xml:space="preserve"> </w:t>
      </w:r>
      <w:r w:rsidRPr="00F41E78">
        <w:rPr>
          <w:rFonts w:eastAsia="Calibri" w:cs="FrankRuehl" w:hint="cs"/>
          <w:sz w:val="18"/>
          <w:szCs w:val="22"/>
          <w:rtl/>
          <w:lang w:eastAsia="he-IL"/>
        </w:rPr>
        <w:t>תזכיר</w:t>
      </w:r>
      <w:r w:rsidRPr="00F41E78">
        <w:rPr>
          <w:rFonts w:eastAsia="Calibri" w:cs="FrankRuehl"/>
          <w:sz w:val="18"/>
          <w:szCs w:val="22"/>
          <w:rtl/>
          <w:lang w:eastAsia="he-IL"/>
        </w:rPr>
        <w:t xml:space="preserve"> </w:t>
      </w:r>
      <w:r w:rsidRPr="00F41E78">
        <w:rPr>
          <w:rFonts w:eastAsia="Calibri" w:cs="FrankRuehl" w:hint="cs"/>
          <w:sz w:val="18"/>
          <w:szCs w:val="22"/>
          <w:rtl/>
          <w:lang w:eastAsia="he-IL"/>
        </w:rPr>
        <w:t>חוק</w:t>
      </w:r>
      <w:r w:rsidRPr="00F41E78">
        <w:rPr>
          <w:rFonts w:eastAsia="Calibri" w:cs="FrankRuehl"/>
          <w:sz w:val="18"/>
          <w:szCs w:val="22"/>
          <w:rtl/>
          <w:lang w:eastAsia="he-IL"/>
        </w:rPr>
        <w:t xml:space="preserve"> </w:t>
      </w:r>
      <w:r w:rsidRPr="00F41E78">
        <w:rPr>
          <w:rFonts w:eastAsia="Calibri" w:cs="FrankRuehl" w:hint="cs"/>
          <w:sz w:val="18"/>
          <w:szCs w:val="22"/>
          <w:rtl/>
          <w:lang w:eastAsia="he-IL"/>
        </w:rPr>
        <w:t>שכותרתו המוצעת היא</w:t>
      </w:r>
      <w:r w:rsidRPr="00F41E78">
        <w:rPr>
          <w:rFonts w:eastAsia="Calibri" w:cs="FrankRuehl"/>
          <w:sz w:val="18"/>
          <w:szCs w:val="22"/>
          <w:rtl/>
          <w:lang w:eastAsia="he-IL"/>
        </w:rPr>
        <w:t xml:space="preserve"> "חוק </w:t>
      </w:r>
      <w:r w:rsidRPr="00F41E78">
        <w:rPr>
          <w:rFonts w:eastAsia="Calibri" w:cs="FrankRuehl" w:hint="cs"/>
          <w:sz w:val="18"/>
          <w:szCs w:val="22"/>
          <w:rtl/>
          <w:lang w:eastAsia="he-IL"/>
        </w:rPr>
        <w:t>השכירות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ההוגנת</w:t>
      </w:r>
      <w:r w:rsidRPr="00F41E78">
        <w:rPr>
          <w:rFonts w:eastAsia="Calibri" w:cs="FrankRuehl"/>
          <w:sz w:val="18"/>
          <w:szCs w:val="22"/>
          <w:rtl/>
          <w:lang w:eastAsia="he-IL"/>
        </w:rPr>
        <w:t>"</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הנועד</w:t>
      </w:r>
      <w:r w:rsidRPr="00F41E78">
        <w:rPr>
          <w:rFonts w:eastAsia="Calibri" w:cs="FrankRuehl"/>
          <w:sz w:val="18"/>
          <w:szCs w:val="22"/>
          <w:rtl/>
          <w:lang w:eastAsia="he-IL"/>
        </w:rPr>
        <w:t xml:space="preserve"> </w:t>
      </w:r>
      <w:r w:rsidRPr="00F41E78">
        <w:rPr>
          <w:rFonts w:eastAsia="Calibri" w:cs="FrankRuehl" w:hint="cs"/>
          <w:sz w:val="18"/>
          <w:szCs w:val="22"/>
          <w:rtl/>
          <w:lang w:eastAsia="he-IL"/>
        </w:rPr>
        <w:t>לשפר את המסגרת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החוקית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הקיימת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בעניין</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הסדרת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יחסי</w:t>
      </w:r>
      <w:r w:rsidRPr="00F41E78">
        <w:rPr>
          <w:rFonts w:eastAsia="Calibri" w:cs="FrankRuehl"/>
          <w:sz w:val="18"/>
          <w:szCs w:val="22"/>
          <w:rtl/>
          <w:lang w:eastAsia="he-IL"/>
        </w:rPr>
        <w:t xml:space="preserve"> </w:t>
      </w:r>
      <w:r w:rsidRPr="00F41E78">
        <w:rPr>
          <w:rFonts w:eastAsia="Calibri" w:cs="FrankRuehl" w:hint="cs"/>
          <w:sz w:val="18"/>
          <w:szCs w:val="22"/>
          <w:rtl/>
          <w:lang w:eastAsia="he-IL"/>
        </w:rPr>
        <w:t>שוכר-משכיר בנוגע לדירת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מגורים</w:t>
      </w:r>
      <w:r w:rsidRPr="00F41E78">
        <w:rPr>
          <w:rFonts w:eastAsia="Calibri" w:cs="FrankRuehl"/>
          <w:sz w:val="18"/>
          <w:szCs w:val="22"/>
          <w:rtl/>
          <w:lang w:eastAsia="he-IL"/>
        </w:rPr>
        <w:t xml:space="preserve"> ו</w:t>
      </w:r>
      <w:r w:rsidRPr="00F41E78">
        <w:rPr>
          <w:rFonts w:eastAsia="Calibri" w:cs="FrankRuehl" w:hint="cs"/>
          <w:sz w:val="18"/>
          <w:szCs w:val="22"/>
          <w:rtl/>
          <w:lang w:eastAsia="he-IL"/>
        </w:rPr>
        <w:t>ליצור</w:t>
      </w:r>
      <w:r w:rsidRPr="00F41E78">
        <w:rPr>
          <w:rFonts w:eastAsia="Calibri" w:cs="FrankRuehl"/>
          <w:sz w:val="18"/>
          <w:szCs w:val="22"/>
          <w:rtl/>
          <w:lang w:eastAsia="he-IL"/>
        </w:rPr>
        <w:t xml:space="preserve"> מסגרת חוקית מתאימה להבטחת ההגינות, הסבירות </w:t>
      </w:r>
      <w:r w:rsidRPr="00F41E78">
        <w:rPr>
          <w:rFonts w:eastAsia="Calibri" w:cs="FrankRuehl" w:hint="cs"/>
          <w:sz w:val="18"/>
          <w:szCs w:val="22"/>
          <w:rtl/>
          <w:lang w:eastAsia="he-IL"/>
        </w:rPr>
        <w:t>והוודאות</w:t>
      </w:r>
      <w:r w:rsidRPr="00F41E78">
        <w:rPr>
          <w:rFonts w:eastAsia="Calibri" w:cs="FrankRuehl"/>
          <w:sz w:val="18"/>
          <w:szCs w:val="22"/>
          <w:rtl/>
          <w:lang w:eastAsia="he-IL"/>
        </w:rPr>
        <w:t xml:space="preserve"> ביחסים המשפטיים בין הצדדים. </w:t>
      </w:r>
    </w:p>
    <w:p w:rsidR="00E97EDA" w:rsidRPr="00F41E78" w:rsidP="00A7557B">
      <w:pPr>
        <w:spacing w:after="120" w:line="230" w:lineRule="exact"/>
        <w:jc w:val="both"/>
        <w:rPr>
          <w:rFonts w:eastAsia="Calibri" w:cs="FrankRuehl"/>
          <w:sz w:val="18"/>
          <w:szCs w:val="22"/>
          <w:lang w:eastAsia="he-IL"/>
        </w:rPr>
      </w:pPr>
    </w:p>
    <w:p w:rsidR="00901FE0" w:rsidRPr="00F41E78" w:rsidP="00A7557B">
      <w:pPr>
        <w:spacing w:after="120" w:line="230" w:lineRule="exact"/>
        <w:jc w:val="both"/>
        <w:rPr>
          <w:rFonts w:eastAsia="Calibri" w:cs="FrankRuehl"/>
          <w:sz w:val="18"/>
          <w:szCs w:val="22"/>
          <w:rtl/>
          <w:lang w:eastAsia="he-IL"/>
        </w:rPr>
      </w:pPr>
    </w:p>
    <w:p w:rsidR="00E97EDA" w:rsidRPr="00FA1F2C" w:rsidP="00A7557B">
      <w:pPr>
        <w:pStyle w:val="KOT4"/>
        <w:rPr>
          <w:rFonts w:eastAsia="Calibri"/>
          <w:rtl/>
          <w:lang w:eastAsia="he-IL"/>
        </w:rPr>
      </w:pPr>
      <w:r w:rsidRPr="00FA1F2C">
        <w:rPr>
          <w:rFonts w:eastAsia="Calibri"/>
          <w:rtl/>
          <w:lang w:eastAsia="he-IL"/>
        </w:rPr>
        <w:t>קביעת תכניות עבודה שנתיות לבנייה להשכרה</w:t>
      </w:r>
      <w:r w:rsidRPr="00FA1F2C">
        <w:rPr>
          <w:rFonts w:eastAsia="Calibri" w:hint="cs"/>
          <w:rtl/>
          <w:lang w:eastAsia="he-IL"/>
        </w:rPr>
        <w:t xml:space="preserve"> לטווח ארוך</w:t>
      </w:r>
    </w:p>
    <w:p w:rsidR="00E97EDA" w:rsidRPr="00F41E78" w:rsidP="00A7557B">
      <w:pPr>
        <w:spacing w:after="120" w:line="230" w:lineRule="exact"/>
        <w:jc w:val="both"/>
        <w:rPr>
          <w:rFonts w:eastAsia="Calibri" w:cs="FrankRuehl"/>
          <w:sz w:val="18"/>
          <w:szCs w:val="22"/>
          <w:rtl/>
          <w:lang w:eastAsia="he-IL"/>
        </w:rPr>
      </w:pPr>
      <w:r w:rsidRPr="00F41E78">
        <w:rPr>
          <w:rFonts w:eastAsia="Calibri" w:cs="FrankRuehl"/>
          <w:sz w:val="18"/>
          <w:szCs w:val="22"/>
          <w:rtl/>
          <w:lang w:eastAsia="he-IL"/>
        </w:rPr>
        <w:t xml:space="preserve">מדריך התכנון הממשלתי קובע כי תכניות עבודה </w:t>
      </w:r>
      <w:r w:rsidRPr="00F41E78">
        <w:rPr>
          <w:rFonts w:eastAsia="Calibri" w:cs="FrankRuehl" w:hint="cs"/>
          <w:sz w:val="18"/>
          <w:szCs w:val="22"/>
          <w:rtl/>
          <w:lang w:eastAsia="he-IL"/>
        </w:rPr>
        <w:t>הן</w:t>
      </w:r>
      <w:r w:rsidRPr="00F41E78">
        <w:rPr>
          <w:rFonts w:eastAsia="Calibri" w:cs="FrankRuehl"/>
          <w:sz w:val="18"/>
          <w:szCs w:val="22"/>
          <w:rtl/>
          <w:lang w:eastAsia="he-IL"/>
        </w:rPr>
        <w:t xml:space="preserve"> כלי עזר בתהליך חשיבה אסטרטגית. במהותן</w:t>
      </w:r>
      <w:r w:rsidRPr="00F41E78">
        <w:rPr>
          <w:rFonts w:eastAsia="Calibri" w:cs="FrankRuehl" w:hint="cs"/>
          <w:sz w:val="18"/>
          <w:szCs w:val="22"/>
          <w:rtl/>
          <w:lang w:eastAsia="he-IL"/>
        </w:rPr>
        <w:t>,</w:t>
      </w:r>
      <w:r w:rsidRPr="00F41E78">
        <w:rPr>
          <w:rFonts w:eastAsia="Calibri" w:cs="FrankRuehl"/>
          <w:sz w:val="18"/>
          <w:szCs w:val="22"/>
          <w:rtl/>
          <w:lang w:eastAsia="he-IL"/>
        </w:rPr>
        <w:t xml:space="preserve"> תכניות העבודה כוללות את המטרות העומדות בבסיס עבודת המשרד. תכנית העבודה של משרד ממשלתי משקפת את כלל הפעולות שהמשרד מתכנן ל</w:t>
      </w:r>
      <w:r w:rsidRPr="00F41E78">
        <w:rPr>
          <w:rFonts w:eastAsia="Calibri" w:cs="FrankRuehl" w:hint="cs"/>
          <w:sz w:val="18"/>
          <w:szCs w:val="22"/>
          <w:rtl/>
          <w:lang w:eastAsia="he-IL"/>
        </w:rPr>
        <w:t xml:space="preserve">עשות </w:t>
      </w:r>
      <w:r w:rsidRPr="00F41E78">
        <w:rPr>
          <w:rFonts w:eastAsia="Calibri" w:cs="FrankRuehl"/>
          <w:sz w:val="18"/>
          <w:szCs w:val="22"/>
          <w:rtl/>
          <w:lang w:eastAsia="he-IL"/>
        </w:rPr>
        <w:t>בתקופה נתונה, כדי להגיע מ</w:t>
      </w:r>
      <w:r w:rsidRPr="00F41E78">
        <w:rPr>
          <w:rFonts w:eastAsia="Calibri" w:cs="FrankRuehl" w:hint="cs"/>
          <w:sz w:val="18"/>
          <w:szCs w:val="22"/>
          <w:rtl/>
          <w:lang w:eastAsia="he-IL"/>
        </w:rPr>
        <w:t>ה</w:t>
      </w:r>
      <w:r w:rsidRPr="00F41E78">
        <w:rPr>
          <w:rFonts w:eastAsia="Calibri" w:cs="FrankRuehl"/>
          <w:sz w:val="18"/>
          <w:szCs w:val="22"/>
          <w:rtl/>
          <w:lang w:eastAsia="he-IL"/>
        </w:rPr>
        <w:t>מצב הקיים למצב עתידי רצוי</w:t>
      </w:r>
      <w:r w:rsidRPr="00F41E78">
        <w:rPr>
          <w:rFonts w:eastAsia="Calibri" w:cs="FrankRuehl" w:hint="cs"/>
          <w:sz w:val="18"/>
          <w:szCs w:val="22"/>
          <w:rtl/>
          <w:lang w:eastAsia="he-IL"/>
        </w:rPr>
        <w:t xml:space="preserve"> ש</w:t>
      </w:r>
      <w:r w:rsidRPr="00F41E78">
        <w:rPr>
          <w:rFonts w:eastAsia="Calibri" w:cs="FrankRuehl"/>
          <w:sz w:val="18"/>
          <w:szCs w:val="22"/>
          <w:rtl/>
          <w:lang w:eastAsia="he-IL"/>
        </w:rPr>
        <w:t>אליו הוא שואף ויכול להגיע.</w:t>
      </w:r>
    </w:p>
    <w:p w:rsidR="00E97EDA" w:rsidRPr="00F41E78" w:rsidP="00FF1578">
      <w:pPr>
        <w:spacing w:after="120" w:line="230" w:lineRule="exact"/>
        <w:jc w:val="both"/>
        <w:rPr>
          <w:rFonts w:eastAsia="Calibri" w:cs="FrankRuehl"/>
          <w:sz w:val="18"/>
          <w:szCs w:val="22"/>
          <w:rtl/>
          <w:lang w:eastAsia="he-IL"/>
        </w:rPr>
      </w:pPr>
      <w:r>
        <w:rPr>
          <w:rFonts w:eastAsia="Calibri" w:cs="FrankRuehl" w:hint="cs"/>
          <w:sz w:val="18"/>
          <w:szCs w:val="22"/>
          <w:rtl/>
          <w:lang w:eastAsia="he-IL"/>
        </w:rPr>
        <w:t>כאמור,</w:t>
      </w:r>
      <w:r w:rsidRPr="00F41E78">
        <w:rPr>
          <w:rFonts w:eastAsia="Calibri" w:cs="FrankRuehl" w:hint="cs"/>
          <w:sz w:val="18"/>
          <w:szCs w:val="22"/>
          <w:rtl/>
          <w:lang w:eastAsia="he-IL"/>
        </w:rPr>
        <w:t xml:space="preserve"> התקנון</w:t>
      </w:r>
      <w:r w:rsidRPr="00F41E78">
        <w:rPr>
          <w:rFonts w:eastAsia="Calibri" w:cs="FrankRuehl"/>
          <w:sz w:val="18"/>
          <w:szCs w:val="22"/>
          <w:rtl/>
          <w:lang w:eastAsia="he-IL"/>
        </w:rPr>
        <w:t xml:space="preserve"> לעבודת הממשלה ק</w:t>
      </w:r>
      <w:r w:rsidRPr="00F41E78">
        <w:rPr>
          <w:rFonts w:eastAsia="Calibri" w:cs="FrankRuehl" w:hint="cs"/>
          <w:sz w:val="18"/>
          <w:szCs w:val="22"/>
          <w:rtl/>
          <w:lang w:eastAsia="he-IL"/>
        </w:rPr>
        <w:t>ו</w:t>
      </w:r>
      <w:r w:rsidRPr="00F41E78">
        <w:rPr>
          <w:rFonts w:eastAsia="Calibri" w:cs="FrankRuehl"/>
          <w:sz w:val="18"/>
          <w:szCs w:val="22"/>
          <w:rtl/>
          <w:lang w:eastAsia="he-IL"/>
        </w:rPr>
        <w:t>בע כי "שר האחראי על ביצוע החלטת ממשלה המסווגת כהחלטה ביצועית או החלטה על הנעת תהליך עבודה יעדכן בתוך 3 חודשים מיום קבלת ההחלטה את תכנית העבודה המשרדית 'בספר תכניות העבודה של משרדי הממשלה</w:t>
      </w:r>
      <w:r w:rsidRPr="00F41E78">
        <w:rPr>
          <w:rFonts w:eastAsia="Calibri" w:cs="FrankRuehl" w:hint="cs"/>
          <w:sz w:val="18"/>
          <w:szCs w:val="22"/>
          <w:rtl/>
          <w:lang w:eastAsia="he-IL"/>
        </w:rPr>
        <w:t>'".</w:t>
      </w:r>
    </w:p>
    <w:p w:rsidR="00E97EDA" w:rsidRPr="00F41E78" w:rsidP="00A7557B">
      <w:pPr>
        <w:spacing w:after="120" w:line="230" w:lineRule="exact"/>
        <w:jc w:val="both"/>
        <w:rPr>
          <w:rFonts w:eastAsia="Calibri" w:cs="FrankRuehl"/>
          <w:sz w:val="18"/>
          <w:szCs w:val="22"/>
          <w:rtl/>
          <w:lang w:eastAsia="he-IL"/>
        </w:rPr>
      </w:pPr>
      <w:r w:rsidRPr="00F41E78">
        <w:rPr>
          <w:rFonts w:cs="FrankRuehl" w:hint="eastAsia"/>
          <w:bCs/>
          <w:spacing w:val="40"/>
          <w:sz w:val="18"/>
          <w:szCs w:val="22"/>
          <w:rtl/>
        </w:rPr>
        <w:t>תכנית</w:t>
      </w:r>
      <w:r w:rsidRPr="00F41E78">
        <w:rPr>
          <w:rFonts w:cs="FrankRuehl"/>
          <w:bCs/>
          <w:spacing w:val="40"/>
          <w:sz w:val="18"/>
          <w:szCs w:val="22"/>
          <w:rtl/>
        </w:rPr>
        <w:t xml:space="preserve"> </w:t>
      </w:r>
      <w:r w:rsidRPr="00F41E78">
        <w:rPr>
          <w:rFonts w:cs="FrankRuehl" w:hint="eastAsia"/>
          <w:bCs/>
          <w:spacing w:val="40"/>
          <w:sz w:val="18"/>
          <w:szCs w:val="22"/>
          <w:rtl/>
        </w:rPr>
        <w:t>ה</w:t>
      </w:r>
      <w:r w:rsidRPr="00F41E78">
        <w:rPr>
          <w:rFonts w:cs="FrankRuehl"/>
          <w:bCs/>
          <w:spacing w:val="40"/>
          <w:sz w:val="18"/>
          <w:szCs w:val="22"/>
          <w:rtl/>
        </w:rPr>
        <w:t>עבודה של משרד ראש הממשלה:</w:t>
      </w:r>
      <w:r w:rsidRPr="00F41E78">
        <w:rPr>
          <w:rFonts w:cs="FrankRuehl"/>
          <w:sz w:val="18"/>
          <w:szCs w:val="22"/>
          <w:rtl/>
        </w:rPr>
        <w:t xml:space="preserve"> </w:t>
      </w:r>
      <w:r w:rsidRPr="00F41E78">
        <w:rPr>
          <w:rFonts w:eastAsia="Calibri" w:cs="FrankRuehl"/>
          <w:sz w:val="18"/>
          <w:szCs w:val="22"/>
          <w:rtl/>
          <w:lang w:eastAsia="he-IL"/>
        </w:rPr>
        <w:t xml:space="preserve">בתכנית העבודה של משרד ראש הממשלה לשנת 2012 ציין מנכ"ל המשרד כי "המשרד נדרש לתת מענה לסוגיות לאומיות בוערות, כגון מחירי הדיור ושיכלול שוק הדיור". </w:t>
      </w:r>
      <w:r w:rsidRPr="00F41E78">
        <w:rPr>
          <w:rFonts w:eastAsia="Calibri" w:cs="FrankRuehl" w:hint="cs"/>
          <w:sz w:val="18"/>
          <w:szCs w:val="22"/>
          <w:rtl/>
          <w:lang w:eastAsia="he-IL"/>
        </w:rPr>
        <w:t xml:space="preserve">עוד הוא ציין כי </w:t>
      </w:r>
      <w:r w:rsidRPr="00F41E78">
        <w:rPr>
          <w:rFonts w:eastAsia="Calibri" w:cs="FrankRuehl"/>
          <w:sz w:val="18"/>
          <w:szCs w:val="22"/>
          <w:rtl/>
          <w:lang w:eastAsia="he-IL"/>
        </w:rPr>
        <w:t xml:space="preserve">יעדי המשרד לשנת 2012 ימומשו בין השאר באמצעות </w:t>
      </w:r>
      <w:r w:rsidRPr="00F41E78">
        <w:rPr>
          <w:rFonts w:eastAsia="Calibri" w:cs="FrankRuehl" w:hint="cs"/>
          <w:sz w:val="18"/>
          <w:szCs w:val="22"/>
          <w:rtl/>
          <w:lang w:eastAsia="he-IL"/>
        </w:rPr>
        <w:t xml:space="preserve">שיווקן של </w:t>
      </w:r>
      <w:r w:rsidRPr="00F41E78">
        <w:rPr>
          <w:rFonts w:eastAsia="Calibri" w:cs="FrankRuehl"/>
          <w:sz w:val="18"/>
          <w:szCs w:val="22"/>
          <w:rtl/>
          <w:lang w:eastAsia="he-IL"/>
        </w:rPr>
        <w:t xml:space="preserve">5,000 דירות קטנות ודירות </w:t>
      </w:r>
      <w:r w:rsidRPr="00F41E78">
        <w:rPr>
          <w:rFonts w:eastAsia="Calibri" w:cs="FrankRuehl" w:hint="cs"/>
          <w:sz w:val="18"/>
          <w:szCs w:val="22"/>
          <w:rtl/>
          <w:lang w:eastAsia="he-IL"/>
        </w:rPr>
        <w:t>בהשכרה 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 בידי</w:t>
      </w:r>
      <w:r w:rsidRPr="00F41E78">
        <w:rPr>
          <w:rFonts w:eastAsia="Calibri" w:cs="FrankRuehl"/>
          <w:sz w:val="18"/>
          <w:szCs w:val="22"/>
          <w:rtl/>
          <w:lang w:eastAsia="he-IL"/>
        </w:rPr>
        <w:t xml:space="preserve"> רמ"י </w:t>
      </w:r>
      <w:r w:rsidRPr="00F41E78">
        <w:rPr>
          <w:rFonts w:eastAsia="Calibri" w:cs="FrankRuehl" w:hint="cs"/>
          <w:sz w:val="18"/>
          <w:szCs w:val="22"/>
          <w:rtl/>
          <w:lang w:eastAsia="he-IL"/>
        </w:rPr>
        <w:t>ומשרד הבינוי</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אחד מיעדי </w:t>
      </w:r>
      <w:r w:rsidRPr="00F41E78">
        <w:rPr>
          <w:rFonts w:eastAsia="Calibri" w:cs="FrankRuehl"/>
          <w:sz w:val="18"/>
          <w:szCs w:val="22"/>
          <w:rtl/>
          <w:lang w:eastAsia="he-IL"/>
        </w:rPr>
        <w:t xml:space="preserve">תכנית </w:t>
      </w:r>
      <w:r w:rsidRPr="00F41E78">
        <w:rPr>
          <w:rFonts w:eastAsia="Calibri" w:cs="FrankRuehl" w:hint="cs"/>
          <w:sz w:val="18"/>
          <w:szCs w:val="22"/>
          <w:rtl/>
          <w:lang w:eastAsia="he-IL"/>
        </w:rPr>
        <w:t xml:space="preserve">זו הוא הגדלת </w:t>
      </w:r>
      <w:r w:rsidRPr="00F41E78">
        <w:rPr>
          <w:rFonts w:eastAsia="Calibri" w:cs="FrankRuehl"/>
          <w:sz w:val="18"/>
          <w:szCs w:val="22"/>
          <w:rtl/>
          <w:lang w:eastAsia="he-IL"/>
        </w:rPr>
        <w:t>היצע יחידות הדיור המתוכננות</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בתכנית נקבע </w:t>
      </w:r>
      <w:r w:rsidRPr="00F41E78">
        <w:rPr>
          <w:rFonts w:eastAsia="Calibri" w:cs="FrankRuehl"/>
          <w:sz w:val="18"/>
          <w:szCs w:val="22"/>
          <w:rtl/>
          <w:lang w:eastAsia="he-IL"/>
        </w:rPr>
        <w:t>כי "הרחבת היצע ותמהיל פתרונות הדיור באמצעות ועדת המנכ"ל להסרת חסמים".</w:t>
      </w:r>
    </w:p>
    <w:p w:rsidR="00E97EDA" w:rsidRPr="00F41E78" w:rsidP="00A7557B">
      <w:pPr>
        <w:spacing w:after="120" w:line="230" w:lineRule="exact"/>
        <w:jc w:val="both"/>
        <w:rPr>
          <w:rFonts w:cs="FrankRuehl"/>
          <w:sz w:val="18"/>
          <w:szCs w:val="22"/>
          <w:rtl/>
          <w:lang w:eastAsia="he-IL"/>
        </w:rPr>
      </w:pPr>
      <w:r w:rsidRPr="00F41E78">
        <w:rPr>
          <w:rFonts w:eastAsia="Calibri" w:cs="FrankRuehl"/>
          <w:sz w:val="18"/>
          <w:szCs w:val="22"/>
          <w:rtl/>
          <w:lang w:eastAsia="he-IL"/>
        </w:rPr>
        <w:t xml:space="preserve">בתשובתו </w:t>
      </w:r>
      <w:r w:rsidRPr="00F41E78">
        <w:rPr>
          <w:rFonts w:eastAsia="Calibri" w:cs="FrankRuehl" w:hint="cs"/>
          <w:sz w:val="18"/>
          <w:szCs w:val="22"/>
          <w:rtl/>
          <w:lang w:eastAsia="he-IL"/>
        </w:rPr>
        <w:t xml:space="preserve">מאפריל 2014 </w:t>
      </w:r>
      <w:r w:rsidRPr="00F41E78">
        <w:rPr>
          <w:rFonts w:eastAsia="Calibri" w:cs="FrankRuehl"/>
          <w:sz w:val="18"/>
          <w:szCs w:val="22"/>
          <w:rtl/>
          <w:lang w:eastAsia="he-IL"/>
        </w:rPr>
        <w:t>מסר משרד</w:t>
      </w:r>
      <w:r w:rsidRPr="00F41E78">
        <w:rPr>
          <w:rFonts w:eastAsia="Calibri" w:cs="FrankRuehl" w:hint="cs"/>
          <w:sz w:val="18"/>
          <w:szCs w:val="22"/>
          <w:rtl/>
          <w:lang w:eastAsia="he-IL"/>
        </w:rPr>
        <w:t xml:space="preserve"> ראש הממשלה כי "האחריות ליישום מדיניות הממשלה מוטלת על משרדי הביצוע שהכלים נמצאים בתחומם. דברי ראש הממשלה והאמור בתכנית העבודה של המשרד לשנת 2012 המוזכר לעיל ייושמו מבחינת משרד ראש הממשלה עם קבלת החלטת ממשלה מס' 4429 מיום 18.3.2012 בדבר האצת פעולות השיווק והפיתוח של דירות מגורים אותה יזם המשרד כנדרש על פי החלטת ממשלה מס' 3756, בה הוטל על ראש הממשלה ושר האוצר להביא לאישור הממשלה הצעות החלטה מפורטות ליישום דוח טרכטנברג"</w:t>
      </w:r>
      <w:r w:rsidRPr="00F41E78">
        <w:rPr>
          <w:rFonts w:cs="FrankRuehl" w:hint="cs"/>
          <w:sz w:val="18"/>
          <w:szCs w:val="22"/>
          <w:rtl/>
          <w:lang w:eastAsia="he-IL"/>
        </w:rPr>
        <w:t>.</w:t>
      </w:r>
    </w:p>
    <w:p w:rsidR="00E97EDA" w:rsidRPr="00F41E78" w:rsidP="003E789E">
      <w:pPr>
        <w:spacing w:after="240" w:line="230" w:lineRule="exact"/>
        <w:jc w:val="both"/>
        <w:rPr>
          <w:rFonts w:eastAsia="Calibri" w:cs="FrankRuehl"/>
          <w:sz w:val="18"/>
          <w:szCs w:val="22"/>
          <w:rtl/>
          <w:lang w:eastAsia="he-IL"/>
        </w:rPr>
      </w:pPr>
      <w:r w:rsidRPr="00F41E78">
        <w:rPr>
          <w:rFonts w:cs="FrankRuehl" w:hint="eastAsia"/>
          <w:bCs/>
          <w:spacing w:val="40"/>
          <w:sz w:val="18"/>
          <w:szCs w:val="22"/>
          <w:rtl/>
        </w:rPr>
        <w:t>תכנית</w:t>
      </w:r>
      <w:r w:rsidRPr="00F41E78">
        <w:rPr>
          <w:rFonts w:cs="FrankRuehl"/>
          <w:bCs/>
          <w:spacing w:val="40"/>
          <w:sz w:val="18"/>
          <w:szCs w:val="22"/>
          <w:rtl/>
        </w:rPr>
        <w:t xml:space="preserve"> העבודה של משרד האוצר: </w:t>
      </w:r>
      <w:r w:rsidRPr="00F41E78">
        <w:rPr>
          <w:rFonts w:eastAsia="Calibri" w:cs="FrankRuehl" w:hint="cs"/>
          <w:sz w:val="18"/>
          <w:szCs w:val="22"/>
          <w:rtl/>
          <w:lang w:eastAsia="he-IL"/>
        </w:rPr>
        <w:t>בתכנית העבודה של משרד האוצר לשנת 2012 צוין היעד הזה - שיפור מצבו של שוק הנדל"ן בכלל וקידום שוק ההשכרה לטווח ארוך בפרט במסגרת הגברת התחרותיות במשק וצמצום יוקר המחיה</w:t>
      </w:r>
      <w:r w:rsidRPr="00F41E78">
        <w:rPr>
          <w:rFonts w:eastAsia="Calibri" w:cs="FrankRuehl"/>
          <w:sz w:val="18"/>
          <w:szCs w:val="22"/>
          <w:rtl/>
          <w:lang w:eastAsia="he-IL"/>
        </w:rPr>
        <w:t>. המשימות המרכזיות ש</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משרד הציב </w:t>
      </w:r>
      <w:r w:rsidRPr="00F41E78">
        <w:rPr>
          <w:rFonts w:eastAsia="Calibri" w:cs="FrankRuehl" w:hint="cs"/>
          <w:sz w:val="18"/>
          <w:szCs w:val="22"/>
          <w:rtl/>
          <w:lang w:eastAsia="he-IL"/>
        </w:rPr>
        <w:t>לעצמו כדי</w:t>
      </w:r>
      <w:r w:rsidRPr="00F41E78">
        <w:rPr>
          <w:rFonts w:eastAsia="Calibri" w:cs="FrankRuehl"/>
          <w:sz w:val="18"/>
          <w:szCs w:val="22"/>
          <w:rtl/>
          <w:lang w:eastAsia="he-IL"/>
        </w:rPr>
        <w:t xml:space="preserve"> להשיג יעד זה היו </w:t>
      </w:r>
      <w:r w:rsidRPr="00F41E78">
        <w:rPr>
          <w:rFonts w:eastAsia="Calibri" w:cs="FrankRuehl" w:hint="cs"/>
          <w:sz w:val="18"/>
          <w:szCs w:val="22"/>
          <w:rtl/>
          <w:lang w:eastAsia="he-IL"/>
        </w:rPr>
        <w:t>מתן תמריצים</w:t>
      </w:r>
      <w:r w:rsidRPr="00F41E78">
        <w:rPr>
          <w:rFonts w:eastAsia="Calibri" w:cs="FrankRuehl"/>
          <w:sz w:val="18"/>
          <w:szCs w:val="22"/>
          <w:rtl/>
          <w:lang w:eastAsia="he-IL"/>
        </w:rPr>
        <w:t xml:space="preserve"> </w:t>
      </w:r>
      <w:r w:rsidRPr="00F41E78">
        <w:rPr>
          <w:rFonts w:eastAsia="Calibri" w:cs="FrankRuehl" w:hint="cs"/>
          <w:sz w:val="18"/>
          <w:szCs w:val="22"/>
          <w:rtl/>
          <w:lang w:eastAsia="he-IL"/>
        </w:rPr>
        <w:t>ל</w:t>
      </w:r>
      <w:r w:rsidRPr="00F41E78">
        <w:rPr>
          <w:rFonts w:eastAsia="Calibri" w:cs="FrankRuehl"/>
          <w:sz w:val="18"/>
          <w:szCs w:val="22"/>
          <w:rtl/>
          <w:lang w:eastAsia="he-IL"/>
        </w:rPr>
        <w:t>גופים עסקיים ומוסדיים להשק</w:t>
      </w:r>
      <w:r w:rsidRPr="00F41E78">
        <w:rPr>
          <w:rFonts w:eastAsia="Calibri" w:cs="FrankRuehl" w:hint="cs"/>
          <w:sz w:val="18"/>
          <w:szCs w:val="22"/>
          <w:rtl/>
          <w:lang w:eastAsia="he-IL"/>
        </w:rPr>
        <w:t>י</w:t>
      </w:r>
      <w:r w:rsidRPr="00F41E78">
        <w:rPr>
          <w:rFonts w:eastAsia="Calibri" w:cs="FrankRuehl"/>
          <w:sz w:val="18"/>
          <w:szCs w:val="22"/>
          <w:rtl/>
          <w:lang w:eastAsia="he-IL"/>
        </w:rPr>
        <w:t xml:space="preserve">ע בדיור להשכרה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w:t>
      </w:r>
      <w:r w:rsidRPr="00F41E78">
        <w:rPr>
          <w:rFonts w:eastAsia="Calibri" w:cs="FrankRuehl" w:hint="cs"/>
          <w:sz w:val="18"/>
          <w:szCs w:val="22"/>
          <w:rtl/>
          <w:lang w:eastAsia="he-IL"/>
        </w:rPr>
        <w:t>תיקון</w:t>
      </w:r>
      <w:r w:rsidRPr="00F41E78">
        <w:rPr>
          <w:rFonts w:eastAsia="Calibri" w:cs="FrankRuehl"/>
          <w:sz w:val="18"/>
          <w:szCs w:val="22"/>
          <w:rtl/>
          <w:lang w:eastAsia="he-IL"/>
        </w:rPr>
        <w:t xml:space="preserve"> עיוותי </w:t>
      </w:r>
      <w:r w:rsidRPr="00F41E78">
        <w:rPr>
          <w:rFonts w:eastAsia="Calibri" w:cs="FrankRuehl" w:hint="cs"/>
          <w:sz w:val="18"/>
          <w:szCs w:val="22"/>
          <w:rtl/>
          <w:lang w:eastAsia="he-IL"/>
        </w:rPr>
        <w:t>ה</w:t>
      </w:r>
      <w:r w:rsidRPr="00F41E78">
        <w:rPr>
          <w:rFonts w:eastAsia="Calibri" w:cs="FrankRuehl"/>
          <w:sz w:val="18"/>
          <w:szCs w:val="22"/>
          <w:rtl/>
          <w:lang w:eastAsia="he-IL"/>
        </w:rPr>
        <w:t>מס בין משקיעים פרטיים ומוסדיים ו</w:t>
      </w:r>
      <w:r w:rsidRPr="00F41E78">
        <w:rPr>
          <w:rFonts w:eastAsia="Calibri" w:cs="FrankRuehl" w:hint="cs"/>
          <w:sz w:val="18"/>
          <w:szCs w:val="22"/>
          <w:rtl/>
          <w:lang w:eastAsia="he-IL"/>
        </w:rPr>
        <w:t xml:space="preserve">אפיון </w:t>
      </w:r>
      <w:r w:rsidRPr="00F41E78">
        <w:rPr>
          <w:rFonts w:eastAsia="Calibri" w:cs="FrankRuehl"/>
          <w:sz w:val="18"/>
          <w:szCs w:val="22"/>
          <w:rtl/>
          <w:lang w:eastAsia="he-IL"/>
        </w:rPr>
        <w:t>כלים פיננסיים משלימים</w:t>
      </w:r>
      <w:r w:rsidRPr="00F41E78">
        <w:rPr>
          <w:rFonts w:eastAsia="Calibri" w:cs="FrankRuehl" w:hint="cs"/>
          <w:sz w:val="18"/>
          <w:szCs w:val="22"/>
          <w:rtl/>
          <w:lang w:eastAsia="he-IL"/>
        </w:rPr>
        <w:t xml:space="preserve"> וייזומם</w:t>
      </w:r>
      <w:r w:rsidRPr="00F41E78">
        <w:rPr>
          <w:rFonts w:eastAsia="Calibri" w:cs="FrankRuehl"/>
          <w:sz w:val="18"/>
          <w:szCs w:val="22"/>
          <w:rtl/>
          <w:lang w:eastAsia="he-IL"/>
        </w:rPr>
        <w:t>.</w:t>
      </w:r>
    </w:p>
    <w:p w:rsidR="00D22B16" w:rsidRPr="00F41E78" w:rsidP="00D22B16">
      <w:pPr>
        <w:pStyle w:val="RESHET"/>
        <w:keepLines/>
        <w:rPr>
          <w:rFonts w:eastAsia="Calibri"/>
          <w:rtl/>
        </w:rPr>
      </w:pPr>
      <w:r w:rsidRPr="00F41E78">
        <w:rPr>
          <w:rFonts w:eastAsia="Calibri"/>
          <w:rtl/>
        </w:rPr>
        <w:t>הביקורת העלתה כי אג</w:t>
      </w:r>
      <w:r w:rsidRPr="00F41E78">
        <w:rPr>
          <w:rFonts w:eastAsia="Calibri" w:hint="cs"/>
          <w:rtl/>
        </w:rPr>
        <w:t xml:space="preserve">"ת </w:t>
      </w:r>
      <w:r w:rsidRPr="00F41E78">
        <w:rPr>
          <w:rFonts w:eastAsia="Calibri"/>
          <w:rtl/>
        </w:rPr>
        <w:t>גיבש את תכניתו להרחבת שוק השכירות בישראל</w:t>
      </w:r>
      <w:r w:rsidRPr="00F41E78">
        <w:rPr>
          <w:rFonts w:eastAsia="Calibri" w:hint="cs"/>
          <w:rtl/>
        </w:rPr>
        <w:t>,</w:t>
      </w:r>
      <w:r w:rsidRPr="00F41E78">
        <w:rPr>
          <w:rFonts w:eastAsia="Calibri"/>
          <w:rtl/>
        </w:rPr>
        <w:t xml:space="preserve"> לרבות התבססותו על מעורבות </w:t>
      </w:r>
      <w:r w:rsidRPr="00F41E78">
        <w:rPr>
          <w:rFonts w:eastAsia="Calibri" w:hint="cs"/>
          <w:rtl/>
        </w:rPr>
        <w:t>גופים עסקיים ו</w:t>
      </w:r>
      <w:r w:rsidRPr="00F41E78">
        <w:rPr>
          <w:rFonts w:eastAsia="Calibri"/>
          <w:rtl/>
        </w:rPr>
        <w:t xml:space="preserve">מוסדיים בשוק זה, בלי </w:t>
      </w:r>
      <w:r w:rsidRPr="00F41E78">
        <w:rPr>
          <w:rFonts w:eastAsia="Calibri" w:hint="cs"/>
          <w:rtl/>
        </w:rPr>
        <w:t xml:space="preserve">שהיו בידיו </w:t>
      </w:r>
      <w:r w:rsidRPr="00F41E78">
        <w:rPr>
          <w:rFonts w:eastAsia="Calibri"/>
          <w:rtl/>
        </w:rPr>
        <w:t xml:space="preserve">נתונים עובדתיים ומחקרים אמפיריים האומדים את </w:t>
      </w:r>
      <w:r w:rsidRPr="00F41E78">
        <w:rPr>
          <w:rFonts w:eastAsia="Calibri" w:hint="cs"/>
          <w:rtl/>
        </w:rPr>
        <w:t>ההשפעות הצפויות של התכנית על הכנסות המדינה, על תקציב המדינה</w:t>
      </w:r>
      <w:r w:rsidRPr="00F41E78">
        <w:rPr>
          <w:rFonts w:eastAsia="Calibri"/>
          <w:rtl/>
        </w:rPr>
        <w:t xml:space="preserve"> </w:t>
      </w:r>
      <w:r w:rsidRPr="00F41E78">
        <w:rPr>
          <w:rFonts w:eastAsia="Calibri" w:hint="cs"/>
          <w:rtl/>
        </w:rPr>
        <w:t>ועל</w:t>
      </w:r>
      <w:r w:rsidRPr="00F41E78">
        <w:rPr>
          <w:rFonts w:eastAsia="Calibri"/>
          <w:rtl/>
        </w:rPr>
        <w:t xml:space="preserve"> </w:t>
      </w:r>
      <w:r w:rsidRPr="00F41E78">
        <w:rPr>
          <w:rFonts w:eastAsia="Calibri" w:hint="cs"/>
          <w:rtl/>
        </w:rPr>
        <w:t>השינוי הצפוי ב</w:t>
      </w:r>
      <w:r w:rsidRPr="00F41E78">
        <w:rPr>
          <w:rFonts w:eastAsia="Calibri"/>
          <w:rtl/>
        </w:rPr>
        <w:t>מחירי השכירות</w:t>
      </w:r>
      <w:r w:rsidRPr="00F41E78">
        <w:rPr>
          <w:rFonts w:eastAsia="Calibri" w:hint="cs"/>
          <w:rtl/>
        </w:rPr>
        <w:t>.</w:t>
      </w:r>
      <w:r w:rsidRPr="00F41E78">
        <w:rPr>
          <w:rFonts w:eastAsia="Calibri"/>
          <w:rtl/>
        </w:rPr>
        <w:t xml:space="preserve"> </w:t>
      </w:r>
      <w:r w:rsidRPr="00F41E78">
        <w:rPr>
          <w:rFonts w:eastAsia="Calibri" w:hint="cs"/>
          <w:rtl/>
        </w:rPr>
        <w:t xml:space="preserve">כמו כן, האגף לא בחן </w:t>
      </w:r>
      <w:r w:rsidRPr="00F41E78">
        <w:rPr>
          <w:rFonts w:eastAsia="Calibri"/>
          <w:rtl/>
        </w:rPr>
        <w:t xml:space="preserve">באיזו מידה מסלול זה </w:t>
      </w:r>
      <w:r w:rsidRPr="00F41E78">
        <w:rPr>
          <w:rFonts w:eastAsia="Calibri" w:hint="cs"/>
          <w:rtl/>
        </w:rPr>
        <w:t>יוכל לספק את צורכי האוכלוסיות הרלוונטיות לדיור בר השגה</w:t>
      </w:r>
      <w:r w:rsidRPr="00F41E78">
        <w:rPr>
          <w:rFonts w:eastAsia="Calibri"/>
          <w:rtl/>
        </w:rPr>
        <w:t>, מה</w:t>
      </w:r>
      <w:r w:rsidRPr="00F41E78">
        <w:rPr>
          <w:rFonts w:eastAsia="Calibri" w:hint="cs"/>
          <w:rtl/>
        </w:rPr>
        <w:t>ו</w:t>
      </w:r>
      <w:r w:rsidRPr="00F41E78">
        <w:rPr>
          <w:rFonts w:eastAsia="Calibri"/>
          <w:rtl/>
        </w:rPr>
        <w:t xml:space="preserve"> היקף משקי הבית שייהנו מהמסלול</w:t>
      </w:r>
      <w:r w:rsidRPr="00F41E78">
        <w:rPr>
          <w:rFonts w:eastAsia="Calibri" w:hint="cs"/>
          <w:rtl/>
        </w:rPr>
        <w:t xml:space="preserve"> </w:t>
      </w:r>
      <w:r w:rsidRPr="00F41E78">
        <w:rPr>
          <w:rFonts w:eastAsia="Calibri"/>
          <w:rtl/>
        </w:rPr>
        <w:t xml:space="preserve">ומה </w:t>
      </w:r>
      <w:r w:rsidRPr="00F41E78">
        <w:rPr>
          <w:rFonts w:eastAsia="Calibri" w:hint="cs"/>
          <w:rtl/>
        </w:rPr>
        <w:t xml:space="preserve">יהיו ההשפעות </w:t>
      </w:r>
      <w:r w:rsidRPr="00F41E78">
        <w:rPr>
          <w:rFonts w:eastAsia="Calibri"/>
          <w:rtl/>
        </w:rPr>
        <w:t>הכלכלי</w:t>
      </w:r>
      <w:r w:rsidRPr="00F41E78">
        <w:rPr>
          <w:rFonts w:eastAsia="Calibri" w:hint="cs"/>
          <w:rtl/>
        </w:rPr>
        <w:t xml:space="preserve">ות והתקציביות </w:t>
      </w:r>
      <w:r w:rsidRPr="00F41E78">
        <w:rPr>
          <w:rFonts w:eastAsia="Calibri"/>
          <w:rtl/>
        </w:rPr>
        <w:t xml:space="preserve">של </w:t>
      </w:r>
      <w:r w:rsidRPr="00F41E78">
        <w:rPr>
          <w:rFonts w:eastAsia="Calibri" w:hint="cs"/>
          <w:rtl/>
        </w:rPr>
        <w:t>הפעלת המסלול על הכנסות המדינה ועל תקציבה</w:t>
      </w:r>
      <w:r w:rsidRPr="00F41E78">
        <w:rPr>
          <w:rFonts w:eastAsia="Calibri"/>
          <w:rtl/>
        </w:rPr>
        <w:t xml:space="preserve">. </w:t>
      </w:r>
    </w:p>
    <w:p w:rsidR="00E97EDA" w:rsidRPr="00F41E78" w:rsidP="003E789E">
      <w:pPr>
        <w:spacing w:before="180" w:after="240" w:line="230" w:lineRule="exact"/>
        <w:jc w:val="both"/>
        <w:rPr>
          <w:rFonts w:eastAsia="Calibri" w:cs="FrankRuehl"/>
          <w:sz w:val="18"/>
          <w:szCs w:val="22"/>
          <w:rtl/>
          <w:lang w:eastAsia="he-IL"/>
        </w:rPr>
      </w:pPr>
      <w:r w:rsidRPr="00F41E78">
        <w:rPr>
          <w:rFonts w:eastAsia="Calibri" w:cs="FrankRuehl"/>
          <w:sz w:val="18"/>
          <w:szCs w:val="22"/>
          <w:rtl/>
          <w:lang w:eastAsia="he-IL"/>
        </w:rPr>
        <w:t>בתשובת</w:t>
      </w:r>
      <w:r w:rsidRPr="00F41E78">
        <w:rPr>
          <w:rFonts w:eastAsia="Calibri" w:cs="FrankRuehl" w:hint="cs"/>
          <w:sz w:val="18"/>
          <w:szCs w:val="22"/>
          <w:rtl/>
          <w:lang w:eastAsia="he-IL"/>
        </w:rPr>
        <w:t>ו של</w:t>
      </w:r>
      <w:r w:rsidRPr="00F41E78">
        <w:rPr>
          <w:rFonts w:eastAsia="Calibri" w:cs="FrankRuehl"/>
          <w:sz w:val="18"/>
          <w:szCs w:val="22"/>
          <w:rtl/>
          <w:lang w:eastAsia="he-IL"/>
        </w:rPr>
        <w:t xml:space="preserve"> אג</w:t>
      </w:r>
      <w:r w:rsidRPr="00F41E78">
        <w:rPr>
          <w:rFonts w:eastAsia="Calibri" w:cs="FrankRuehl" w:hint="cs"/>
          <w:sz w:val="18"/>
          <w:szCs w:val="22"/>
          <w:rtl/>
          <w:lang w:eastAsia="he-IL"/>
        </w:rPr>
        <w:t>"ת צוין כי "דיור להשכרה לטווח ארוך הינו נדבך של המענה הכולל למצוקת הדיור בישראל, ולא היישום הבלעדי של דיור בר השגה... צעד זה כמו צעדים אחרים שהוזכרו נבחן בהיבט עלותו, התועלת שתנבע ממנו, היקפו ומשמעותו במשקים אחרים בהם הוא מפותח ועוד".</w:t>
      </w:r>
    </w:p>
    <w:p w:rsidR="00D22B16" w:rsidRPr="00F41E78" w:rsidP="00D22B16">
      <w:pPr>
        <w:pStyle w:val="RESHET"/>
        <w:keepLines/>
        <w:rPr>
          <w:rFonts w:eastAsia="Calibri"/>
          <w:rtl/>
        </w:rPr>
      </w:pPr>
      <w:r w:rsidRPr="00F41E78">
        <w:rPr>
          <w:rFonts w:eastAsia="Calibri" w:hint="cs"/>
          <w:rtl/>
        </w:rPr>
        <w:t xml:space="preserve">משרד מבקר המדינה מעיר לאג"ת כי במסמכים שהוא המציא אין כל התייחסות לכך שהאגף ביצע את עבודת המטה הנדרשת, ובכלל זה בחינת התועלת, העלות וההשפעות של פיתוח שוק זה על משק המדינה. </w:t>
      </w:r>
    </w:p>
    <w:p w:rsidR="00E97EDA" w:rsidRPr="00F41E78" w:rsidP="003E789E">
      <w:pPr>
        <w:spacing w:before="180" w:after="240" w:line="230" w:lineRule="exact"/>
        <w:jc w:val="both"/>
        <w:rPr>
          <w:rFonts w:eastAsia="Calibri" w:cs="FrankRuehl"/>
          <w:sz w:val="18"/>
          <w:szCs w:val="22"/>
          <w:rtl/>
          <w:lang w:eastAsia="he-IL"/>
        </w:rPr>
      </w:pPr>
      <w:r w:rsidRPr="00F41E78">
        <w:rPr>
          <w:rFonts w:cs="FrankRuehl"/>
          <w:bCs/>
          <w:spacing w:val="40"/>
          <w:sz w:val="18"/>
          <w:szCs w:val="22"/>
          <w:rtl/>
        </w:rPr>
        <w:t>תכני</w:t>
      </w:r>
      <w:r w:rsidRPr="00F41E78">
        <w:rPr>
          <w:rFonts w:cs="FrankRuehl" w:hint="eastAsia"/>
          <w:bCs/>
          <w:spacing w:val="40"/>
          <w:sz w:val="18"/>
          <w:szCs w:val="22"/>
          <w:rtl/>
        </w:rPr>
        <w:t>ו</w:t>
      </w:r>
      <w:r w:rsidRPr="00F41E78">
        <w:rPr>
          <w:rFonts w:cs="FrankRuehl"/>
          <w:bCs/>
          <w:spacing w:val="40"/>
          <w:sz w:val="18"/>
          <w:szCs w:val="22"/>
          <w:rtl/>
        </w:rPr>
        <w:t xml:space="preserve">ת העבודה </w:t>
      </w:r>
      <w:r w:rsidRPr="00F41E78">
        <w:rPr>
          <w:rFonts w:cs="FrankRuehl" w:hint="eastAsia"/>
          <w:bCs/>
          <w:spacing w:val="40"/>
          <w:sz w:val="18"/>
          <w:szCs w:val="22"/>
          <w:rtl/>
        </w:rPr>
        <w:t>של</w:t>
      </w:r>
      <w:r w:rsidRPr="00F41E78">
        <w:rPr>
          <w:rFonts w:cs="FrankRuehl"/>
          <w:bCs/>
          <w:spacing w:val="40"/>
          <w:sz w:val="18"/>
          <w:szCs w:val="22"/>
          <w:rtl/>
        </w:rPr>
        <w:t xml:space="preserve"> </w:t>
      </w:r>
      <w:r w:rsidRPr="00F41E78">
        <w:rPr>
          <w:rFonts w:cs="FrankRuehl" w:hint="eastAsia"/>
          <w:bCs/>
          <w:spacing w:val="40"/>
          <w:sz w:val="18"/>
          <w:szCs w:val="22"/>
          <w:rtl/>
        </w:rPr>
        <w:t>משרד הבינוי</w:t>
      </w:r>
      <w:r w:rsidRPr="00F41E78">
        <w:rPr>
          <w:rFonts w:cs="FrankRuehl"/>
          <w:bCs/>
          <w:spacing w:val="40"/>
          <w:sz w:val="18"/>
          <w:szCs w:val="22"/>
          <w:rtl/>
        </w:rPr>
        <w:t>:</w:t>
      </w:r>
      <w:r w:rsidRPr="00F41E78">
        <w:rPr>
          <w:rFonts w:eastAsia="Calibri" w:cs="FrankRuehl"/>
          <w:sz w:val="18"/>
          <w:szCs w:val="22"/>
          <w:rtl/>
          <w:lang w:eastAsia="he-IL"/>
        </w:rPr>
        <w:t xml:space="preserve"> בתכנית העבודה </w:t>
      </w:r>
      <w:r w:rsidRPr="00F41E78">
        <w:rPr>
          <w:rFonts w:eastAsia="Calibri" w:cs="FrankRuehl" w:hint="cs"/>
          <w:sz w:val="18"/>
          <w:szCs w:val="22"/>
          <w:rtl/>
          <w:lang w:eastAsia="he-IL"/>
        </w:rPr>
        <w:t>של המשרד לשנת 2011</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נקבע </w:t>
      </w:r>
      <w:r w:rsidRPr="00F41E78">
        <w:rPr>
          <w:rFonts w:eastAsia="Calibri" w:cs="FrankRuehl"/>
          <w:sz w:val="18"/>
          <w:szCs w:val="22"/>
          <w:rtl/>
          <w:lang w:eastAsia="he-IL"/>
        </w:rPr>
        <w:t xml:space="preserve">כי </w:t>
      </w:r>
      <w:r w:rsidRPr="00F41E78">
        <w:rPr>
          <w:rFonts w:eastAsia="Calibri" w:cs="FrankRuehl" w:hint="cs"/>
          <w:sz w:val="18"/>
          <w:szCs w:val="22"/>
          <w:rtl/>
          <w:lang w:eastAsia="he-IL"/>
        </w:rPr>
        <w:t>יעדי</w:t>
      </w:r>
      <w:r w:rsidRPr="00F41E78">
        <w:rPr>
          <w:rFonts w:eastAsia="Calibri" w:cs="FrankRuehl"/>
          <w:sz w:val="18"/>
          <w:szCs w:val="22"/>
          <w:rtl/>
          <w:lang w:eastAsia="he-IL"/>
        </w:rPr>
        <w:t xml:space="preserve"> המשרד</w:t>
      </w:r>
      <w:r w:rsidRPr="00F41E78">
        <w:rPr>
          <w:rFonts w:eastAsia="Calibri" w:cs="FrankRuehl" w:hint="cs"/>
          <w:sz w:val="18"/>
          <w:szCs w:val="22"/>
          <w:rtl/>
          <w:lang w:eastAsia="he-IL"/>
        </w:rPr>
        <w:t xml:space="preserve"> הם בין היתר</w:t>
      </w:r>
      <w:r w:rsidRPr="00F41E78">
        <w:rPr>
          <w:rFonts w:eastAsia="Calibri" w:cs="FrankRuehl"/>
          <w:sz w:val="18"/>
          <w:szCs w:val="22"/>
          <w:rtl/>
          <w:lang w:eastAsia="he-IL"/>
        </w:rPr>
        <w:t xml:space="preserve"> "הגדלת מלאי הדירות למגורים"</w:t>
      </w:r>
      <w:r w:rsidRPr="00F41E78">
        <w:rPr>
          <w:rFonts w:eastAsia="Calibri" w:cs="FrankRuehl" w:hint="cs"/>
          <w:sz w:val="18"/>
          <w:szCs w:val="22"/>
          <w:rtl/>
          <w:lang w:eastAsia="he-IL"/>
        </w:rPr>
        <w:t xml:space="preserve">, </w:t>
      </w:r>
      <w:r w:rsidRPr="00F41E78">
        <w:rPr>
          <w:rFonts w:eastAsia="Calibri" w:cs="FrankRuehl"/>
          <w:sz w:val="18"/>
          <w:szCs w:val="22"/>
          <w:rtl/>
          <w:lang w:eastAsia="he-IL"/>
        </w:rPr>
        <w:t xml:space="preserve">"הגדלת מלאי התכנון הזמין לשיווק של קרקעות במגזר העירוני" ו"שיווק קרקעות לצורך בנייה למגורים במגזר העירוני". </w:t>
      </w:r>
      <w:r w:rsidRPr="00F41E78">
        <w:rPr>
          <w:rFonts w:eastAsia="Calibri" w:cs="FrankRuehl" w:hint="cs"/>
          <w:sz w:val="18"/>
          <w:szCs w:val="22"/>
          <w:rtl/>
          <w:lang w:eastAsia="he-IL"/>
        </w:rPr>
        <w:t xml:space="preserve">נקבע כי המדד שלפיו תיבחן </w:t>
      </w:r>
      <w:r w:rsidRPr="00F41E78">
        <w:rPr>
          <w:rFonts w:eastAsia="Calibri" w:cs="FrankRuehl"/>
          <w:sz w:val="18"/>
          <w:szCs w:val="22"/>
          <w:rtl/>
          <w:lang w:eastAsia="he-IL"/>
        </w:rPr>
        <w:t xml:space="preserve">ההצלחה </w:t>
      </w:r>
      <w:r w:rsidRPr="00F41E78">
        <w:rPr>
          <w:rFonts w:eastAsia="Calibri" w:cs="FrankRuehl" w:hint="cs"/>
          <w:sz w:val="18"/>
          <w:szCs w:val="22"/>
          <w:rtl/>
          <w:lang w:eastAsia="he-IL"/>
        </w:rPr>
        <w:t xml:space="preserve">בהשגת יעדים אלו הוא </w:t>
      </w:r>
      <w:r w:rsidRPr="00F41E78">
        <w:rPr>
          <w:rFonts w:eastAsia="Calibri" w:cs="FrankRuehl"/>
          <w:sz w:val="18"/>
          <w:szCs w:val="22"/>
          <w:rtl/>
          <w:lang w:eastAsia="he-IL"/>
        </w:rPr>
        <w:t xml:space="preserve">מספר </w:t>
      </w:r>
      <w:r w:rsidRPr="00F41E78">
        <w:rPr>
          <w:rFonts w:eastAsia="Calibri" w:cs="FrankRuehl" w:hint="cs"/>
          <w:sz w:val="18"/>
          <w:szCs w:val="22"/>
          <w:rtl/>
          <w:lang w:eastAsia="he-IL"/>
        </w:rPr>
        <w:t>יחידות הדיור</w:t>
      </w:r>
      <w:r w:rsidRPr="00F41E78">
        <w:rPr>
          <w:rFonts w:eastAsia="Calibri" w:cs="FrankRuehl"/>
          <w:sz w:val="18"/>
          <w:szCs w:val="22"/>
          <w:rtl/>
          <w:lang w:eastAsia="he-IL"/>
        </w:rPr>
        <w:t xml:space="preserve"> שישווקו. </w:t>
      </w:r>
      <w:r w:rsidRPr="00F41E78">
        <w:rPr>
          <w:rFonts w:eastAsia="Calibri" w:cs="FrankRuehl" w:hint="cs"/>
          <w:sz w:val="18"/>
          <w:szCs w:val="22"/>
          <w:rtl/>
          <w:lang w:eastAsia="he-IL"/>
        </w:rPr>
        <w:t>ב</w:t>
      </w:r>
      <w:r w:rsidRPr="00F41E78">
        <w:rPr>
          <w:rFonts w:eastAsia="Calibri" w:cs="FrankRuehl"/>
          <w:sz w:val="18"/>
          <w:szCs w:val="22"/>
          <w:rtl/>
          <w:lang w:eastAsia="he-IL"/>
        </w:rPr>
        <w:t>תכנית העבודה לשנת 2012</w:t>
      </w:r>
      <w:r w:rsidRPr="00F41E78">
        <w:rPr>
          <w:rFonts w:eastAsia="Calibri" w:cs="FrankRuehl" w:hint="cs"/>
          <w:sz w:val="18"/>
          <w:szCs w:val="22"/>
          <w:rtl/>
          <w:lang w:eastAsia="he-IL"/>
        </w:rPr>
        <w:t xml:space="preserve"> קבע המשרד כ</w:t>
      </w:r>
      <w:r w:rsidRPr="00F41E78">
        <w:rPr>
          <w:rFonts w:eastAsia="Calibri" w:cs="FrankRuehl"/>
          <w:sz w:val="18"/>
          <w:szCs w:val="22"/>
          <w:rtl/>
          <w:lang w:eastAsia="he-IL"/>
        </w:rPr>
        <w:t>י בתחום הבנייה למגורים "ימשיך המשרד לפעול להגדלת מלאי הדירות באמצעות תכנון, שיווק ופיתוח קרקעות למגורים וקידום תכניות להתחדשות עירונית"</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יעדים שנקבעו </w:t>
      </w:r>
      <w:r w:rsidRPr="00F41E78">
        <w:rPr>
          <w:rFonts w:eastAsia="Calibri" w:cs="FrankRuehl" w:hint="cs"/>
          <w:sz w:val="18"/>
          <w:szCs w:val="22"/>
          <w:rtl/>
          <w:lang w:eastAsia="he-IL"/>
        </w:rPr>
        <w:t xml:space="preserve">בתכנית </w:t>
      </w:r>
      <w:r w:rsidRPr="00F41E78">
        <w:rPr>
          <w:rFonts w:eastAsia="Calibri" w:cs="FrankRuehl"/>
          <w:sz w:val="18"/>
          <w:szCs w:val="22"/>
          <w:rtl/>
          <w:lang w:eastAsia="he-IL"/>
        </w:rPr>
        <w:t xml:space="preserve">הם "הגדלת מלאי התכנון הזמין לשיווק של קרקעות במגזר העירוני" ו"שיווק קרקעות לצורך בנייה למגורים במגזר העירוני". </w:t>
      </w:r>
    </w:p>
    <w:p w:rsidR="00D22B16" w:rsidRPr="00F41E78" w:rsidP="00D22B16">
      <w:pPr>
        <w:pStyle w:val="RESHET"/>
        <w:keepLines/>
        <w:rPr>
          <w:rFonts w:eastAsia="Calibri"/>
          <w:rtl/>
        </w:rPr>
      </w:pPr>
      <w:r w:rsidRPr="00F41E78">
        <w:rPr>
          <w:rFonts w:eastAsia="Calibri"/>
          <w:rtl/>
        </w:rPr>
        <w:t xml:space="preserve">משרד מבקר המדינה </w:t>
      </w:r>
      <w:r w:rsidRPr="00F41E78">
        <w:rPr>
          <w:rFonts w:eastAsia="Calibri" w:hint="cs"/>
          <w:rtl/>
        </w:rPr>
        <w:t>ה</w:t>
      </w:r>
      <w:r w:rsidRPr="00F41E78">
        <w:rPr>
          <w:rFonts w:eastAsia="Calibri"/>
          <w:rtl/>
        </w:rPr>
        <w:t>עיר למשרד הבינוי</w:t>
      </w:r>
      <w:r w:rsidRPr="00F41E78">
        <w:rPr>
          <w:rFonts w:eastAsia="Calibri" w:hint="cs"/>
          <w:rtl/>
        </w:rPr>
        <w:t xml:space="preserve"> כי </w:t>
      </w:r>
      <w:r w:rsidRPr="00F41E78">
        <w:rPr>
          <w:rFonts w:eastAsia="Calibri"/>
          <w:rtl/>
        </w:rPr>
        <w:t xml:space="preserve">תכניות העבודה שלו לשנים </w:t>
      </w:r>
      <w:r w:rsidRPr="00F41E78">
        <w:rPr>
          <w:rFonts w:eastAsia="Calibri" w:hint="cs"/>
          <w:rtl/>
        </w:rPr>
        <w:t xml:space="preserve">2012-2011 לא התייחסו </w:t>
      </w:r>
      <w:r w:rsidRPr="00F41E78">
        <w:rPr>
          <w:rFonts w:eastAsia="Calibri"/>
          <w:rtl/>
        </w:rPr>
        <w:t>כלל לצורך בדיור בהישג יד</w:t>
      </w:r>
      <w:r w:rsidRPr="00F41E78">
        <w:rPr>
          <w:rFonts w:eastAsia="Calibri" w:hint="cs"/>
          <w:rtl/>
        </w:rPr>
        <w:t>,</w:t>
      </w:r>
      <w:r w:rsidRPr="00F41E78">
        <w:rPr>
          <w:rFonts w:eastAsia="Calibri"/>
          <w:rtl/>
        </w:rPr>
        <w:t xml:space="preserve"> ובכלל זה להשכרה </w:t>
      </w:r>
      <w:r w:rsidRPr="00F41E78">
        <w:rPr>
          <w:rFonts w:eastAsia="Calibri" w:hint="cs"/>
          <w:rtl/>
        </w:rPr>
        <w:t>ל</w:t>
      </w:r>
      <w:r w:rsidRPr="00F41E78">
        <w:rPr>
          <w:rFonts w:eastAsia="Calibri"/>
          <w:rtl/>
        </w:rPr>
        <w:t>טווח</w:t>
      </w:r>
      <w:r w:rsidRPr="00F41E78">
        <w:rPr>
          <w:rFonts w:eastAsia="Calibri" w:hint="cs"/>
          <w:rtl/>
        </w:rPr>
        <w:t xml:space="preserve"> ארוך. זאת ועוד,</w:t>
      </w:r>
      <w:r w:rsidRPr="00F41E78">
        <w:rPr>
          <w:rFonts w:eastAsia="Calibri"/>
          <w:rtl/>
        </w:rPr>
        <w:t xml:space="preserve"> אף שתכנית העבודה של משרד ראש הממשלה </w:t>
      </w:r>
      <w:r w:rsidRPr="00F41E78">
        <w:rPr>
          <w:rFonts w:eastAsia="Calibri" w:hint="cs"/>
          <w:rtl/>
        </w:rPr>
        <w:t xml:space="preserve">קובעת </w:t>
      </w:r>
      <w:r w:rsidRPr="00F41E78">
        <w:rPr>
          <w:rFonts w:eastAsia="Calibri"/>
          <w:rtl/>
        </w:rPr>
        <w:t>יעד מפורש וכמותי</w:t>
      </w:r>
      <w:r w:rsidRPr="00F41E78">
        <w:rPr>
          <w:rFonts w:eastAsia="Calibri" w:hint="cs"/>
          <w:rtl/>
        </w:rPr>
        <w:t xml:space="preserve"> לשיווק 5,000 </w:t>
      </w:r>
      <w:r w:rsidRPr="00F41E78">
        <w:rPr>
          <w:rFonts w:eastAsia="Calibri"/>
          <w:rtl/>
        </w:rPr>
        <w:t xml:space="preserve">דירות קטנות ודירות </w:t>
      </w:r>
      <w:r w:rsidRPr="00F41E78">
        <w:rPr>
          <w:rFonts w:eastAsia="Calibri" w:hint="cs"/>
          <w:rtl/>
        </w:rPr>
        <w:t>בהשכרה ל</w:t>
      </w:r>
      <w:r w:rsidRPr="00F41E78">
        <w:rPr>
          <w:rFonts w:eastAsia="Calibri"/>
          <w:rtl/>
        </w:rPr>
        <w:t>טווח</w:t>
      </w:r>
      <w:r w:rsidRPr="00F41E78">
        <w:rPr>
          <w:rFonts w:eastAsia="Calibri" w:hint="cs"/>
          <w:rtl/>
        </w:rPr>
        <w:t xml:space="preserve"> ארוך,</w:t>
      </w:r>
      <w:r w:rsidRPr="00F41E78">
        <w:rPr>
          <w:rFonts w:eastAsia="Calibri"/>
          <w:rtl/>
        </w:rPr>
        <w:t xml:space="preserve"> הוא לא נתן </w:t>
      </w:r>
      <w:r w:rsidRPr="00F41E78">
        <w:rPr>
          <w:rFonts w:eastAsia="Calibri" w:hint="cs"/>
          <w:rtl/>
        </w:rPr>
        <w:t xml:space="preserve">לכך </w:t>
      </w:r>
      <w:r w:rsidRPr="00F41E78">
        <w:rPr>
          <w:rFonts w:eastAsia="Calibri"/>
          <w:rtl/>
        </w:rPr>
        <w:t>ביטוי בתכניות</w:t>
      </w:r>
      <w:r w:rsidRPr="00F41E78">
        <w:rPr>
          <w:rFonts w:eastAsia="Calibri" w:hint="cs"/>
          <w:rtl/>
        </w:rPr>
        <w:t>יו. משרד הבינוי גם לא התייחס בתכניותיו</w:t>
      </w:r>
      <w:r w:rsidRPr="00F41E78">
        <w:rPr>
          <w:rFonts w:eastAsia="Calibri"/>
          <w:rtl/>
        </w:rPr>
        <w:t xml:space="preserve"> </w:t>
      </w:r>
      <w:r w:rsidRPr="00F41E78">
        <w:rPr>
          <w:rFonts w:eastAsia="Calibri" w:hint="cs"/>
          <w:rtl/>
        </w:rPr>
        <w:t>לא ל</w:t>
      </w:r>
      <w:r w:rsidRPr="00F41E78">
        <w:rPr>
          <w:rFonts w:eastAsia="Calibri"/>
          <w:rtl/>
        </w:rPr>
        <w:t>החלטת ממשלה</w:t>
      </w:r>
      <w:r w:rsidRPr="00F41E78">
        <w:rPr>
          <w:rFonts w:eastAsia="Calibri" w:hint="cs"/>
          <w:rtl/>
        </w:rPr>
        <w:t xml:space="preserve"> מס'</w:t>
      </w:r>
      <w:r w:rsidRPr="00F41E78">
        <w:rPr>
          <w:rFonts w:eastAsia="Calibri"/>
          <w:rtl/>
        </w:rPr>
        <w:t xml:space="preserve"> 2982 מ</w:t>
      </w:r>
      <w:r w:rsidRPr="00F41E78">
        <w:rPr>
          <w:rFonts w:eastAsia="Calibri" w:hint="cs"/>
          <w:rtl/>
        </w:rPr>
        <w:t xml:space="preserve">מרץ 2011 שבה הוטל </w:t>
      </w:r>
      <w:r w:rsidRPr="00F41E78">
        <w:rPr>
          <w:rFonts w:eastAsia="Calibri"/>
          <w:rtl/>
        </w:rPr>
        <w:t>על שר</w:t>
      </w:r>
      <w:r w:rsidRPr="00F41E78">
        <w:rPr>
          <w:rFonts w:eastAsia="Calibri" w:hint="cs"/>
          <w:rtl/>
        </w:rPr>
        <w:t>י</w:t>
      </w:r>
      <w:r w:rsidRPr="00F41E78">
        <w:rPr>
          <w:rFonts w:eastAsia="Calibri"/>
          <w:rtl/>
        </w:rPr>
        <w:t xml:space="preserve"> </w:t>
      </w:r>
      <w:r>
        <w:rPr>
          <w:rFonts w:eastAsia="Calibri" w:hint="cs"/>
          <w:rtl/>
        </w:rPr>
        <w:t>הבינוי</w:t>
      </w:r>
      <w:r w:rsidRPr="00F41E78">
        <w:rPr>
          <w:rFonts w:eastAsia="Calibri"/>
          <w:rtl/>
        </w:rPr>
        <w:t xml:space="preserve"> והאוצר לגבש מתכונת לשיווק קרקע המיועדת לבנייה להשכרה ו</w:t>
      </w:r>
      <w:r w:rsidRPr="00F41E78">
        <w:rPr>
          <w:rFonts w:eastAsia="Calibri" w:hint="cs"/>
          <w:rtl/>
        </w:rPr>
        <w:t xml:space="preserve">לא </w:t>
      </w:r>
      <w:r w:rsidRPr="00F41E78">
        <w:rPr>
          <w:rFonts w:eastAsia="Calibri"/>
          <w:rtl/>
        </w:rPr>
        <w:t>להחלטה</w:t>
      </w:r>
      <w:r w:rsidRPr="00F41E78">
        <w:rPr>
          <w:rFonts w:eastAsia="Calibri" w:hint="cs"/>
          <w:rtl/>
        </w:rPr>
        <w:t xml:space="preserve"> מס'</w:t>
      </w:r>
      <w:r w:rsidRPr="00F41E78">
        <w:rPr>
          <w:rFonts w:eastAsia="Calibri"/>
          <w:rtl/>
        </w:rPr>
        <w:t xml:space="preserve"> 4429 מ</w:t>
      </w:r>
      <w:r w:rsidRPr="00F41E78">
        <w:rPr>
          <w:rFonts w:eastAsia="Calibri" w:hint="cs"/>
          <w:rtl/>
        </w:rPr>
        <w:t>מרץ 2012</w:t>
      </w:r>
      <w:r w:rsidRPr="00F41E78">
        <w:rPr>
          <w:rFonts w:eastAsia="Calibri"/>
          <w:rtl/>
        </w:rPr>
        <w:t xml:space="preserve"> </w:t>
      </w:r>
      <w:r w:rsidRPr="00F41E78">
        <w:rPr>
          <w:rFonts w:eastAsia="Calibri" w:hint="cs"/>
          <w:rtl/>
        </w:rPr>
        <w:t>ל</w:t>
      </w:r>
      <w:r w:rsidRPr="00F41E78">
        <w:rPr>
          <w:rFonts w:eastAsia="Calibri"/>
          <w:rtl/>
        </w:rPr>
        <w:t>הא</w:t>
      </w:r>
      <w:r w:rsidRPr="00F41E78">
        <w:rPr>
          <w:rFonts w:eastAsia="Calibri" w:hint="cs"/>
          <w:rtl/>
        </w:rPr>
        <w:t>יץ את</w:t>
      </w:r>
      <w:r w:rsidRPr="00F41E78">
        <w:rPr>
          <w:rFonts w:eastAsia="Calibri"/>
          <w:rtl/>
        </w:rPr>
        <w:t xml:space="preserve"> פעולות השיווק והפיתוח של קרקעות לבניית 200,000 יח"ד ו</w:t>
      </w:r>
      <w:r w:rsidRPr="00F41E78">
        <w:rPr>
          <w:rFonts w:eastAsia="Calibri" w:hint="cs"/>
          <w:rtl/>
        </w:rPr>
        <w:t>מ</w:t>
      </w:r>
      <w:r w:rsidRPr="00F41E78">
        <w:rPr>
          <w:rFonts w:eastAsia="Calibri"/>
          <w:rtl/>
        </w:rPr>
        <w:t xml:space="preserve">הן </w:t>
      </w:r>
      <w:r w:rsidRPr="00F41E78">
        <w:rPr>
          <w:rFonts w:eastAsia="Calibri" w:hint="cs"/>
          <w:rtl/>
        </w:rPr>
        <w:t>40,000 יח"ד</w:t>
      </w:r>
      <w:r w:rsidRPr="00F41E78">
        <w:rPr>
          <w:rFonts w:eastAsia="Calibri"/>
          <w:rtl/>
        </w:rPr>
        <w:t xml:space="preserve"> המיועדות לדיור בר השגה.</w:t>
      </w:r>
      <w:r w:rsidRPr="00F41E78">
        <w:rPr>
          <w:rFonts w:eastAsia="Calibri" w:hint="cs"/>
          <w:rtl/>
        </w:rPr>
        <w:t xml:space="preserve"> בהתנהלותו זו לא מילא משרד הבינוי את ההוראות שנקבעו בתקנון לעבודת הממשלה ובמדריך התכנון הממשלתי.</w:t>
      </w:r>
    </w:p>
    <w:p w:rsidR="00E97EDA" w:rsidRPr="00F41E78" w:rsidP="003E789E">
      <w:pPr>
        <w:spacing w:before="180" w:after="240" w:line="230" w:lineRule="exact"/>
        <w:jc w:val="both"/>
        <w:rPr>
          <w:rFonts w:cs="FrankRuehl"/>
          <w:sz w:val="18"/>
          <w:szCs w:val="22"/>
          <w:rtl/>
        </w:rPr>
      </w:pPr>
      <w:r w:rsidRPr="00F41E78">
        <w:rPr>
          <w:rFonts w:cs="FrankRuehl"/>
          <w:spacing w:val="40"/>
          <w:sz w:val="18"/>
          <w:szCs w:val="22"/>
          <w:rtl/>
        </w:rPr>
        <w:t>תכנית העבודה של האגף לנכסים ודיור שבמשרד הבינוי:</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הביקורת העלתה כי, שלא כמו בתכניות העבודה של משרד הבינוי שלא הייתה להן כל נגיעה לצורך בדיור בר השגה לרבות דיור בהשכרה לטווח ארוך, </w:t>
      </w:r>
      <w:r w:rsidRPr="00F41E78">
        <w:rPr>
          <w:rFonts w:eastAsia="Calibri" w:cs="FrankRuehl"/>
          <w:sz w:val="18"/>
          <w:szCs w:val="22"/>
          <w:rtl/>
          <w:lang w:eastAsia="he-IL"/>
        </w:rPr>
        <w:t xml:space="preserve">תכנית העבודה של האגף לנכסים ודיור שבמשרד הבינוי לשנת 2012 </w:t>
      </w:r>
      <w:r w:rsidRPr="00F41E78">
        <w:rPr>
          <w:rFonts w:eastAsia="Calibri" w:cs="FrankRuehl" w:hint="cs"/>
          <w:sz w:val="18"/>
          <w:szCs w:val="22"/>
          <w:rtl/>
          <w:lang w:eastAsia="he-IL"/>
        </w:rPr>
        <w:t xml:space="preserve">דווקא עסקה בכך. בתכנית נקבע כי </w:t>
      </w:r>
      <w:r w:rsidRPr="00F41E78">
        <w:rPr>
          <w:rFonts w:eastAsia="Calibri" w:cs="FrankRuehl"/>
          <w:sz w:val="18"/>
          <w:szCs w:val="22"/>
          <w:rtl/>
          <w:lang w:eastAsia="he-IL"/>
        </w:rPr>
        <w:t xml:space="preserve">אחד מיעדי האגף </w:t>
      </w:r>
      <w:r w:rsidRPr="00F41E78">
        <w:rPr>
          <w:rFonts w:eastAsia="Calibri" w:cs="FrankRuehl" w:hint="cs"/>
          <w:sz w:val="18"/>
          <w:szCs w:val="22"/>
          <w:rtl/>
          <w:lang w:eastAsia="he-IL"/>
        </w:rPr>
        <w:t xml:space="preserve">הוא </w:t>
      </w:r>
      <w:r w:rsidRPr="00F41E78">
        <w:rPr>
          <w:rFonts w:eastAsia="Calibri" w:cs="FrankRuehl"/>
          <w:sz w:val="18"/>
          <w:szCs w:val="22"/>
          <w:rtl/>
          <w:lang w:eastAsia="he-IL"/>
        </w:rPr>
        <w:t xml:space="preserve">לייצר מסלולי שיווק ייחודיים </w:t>
      </w:r>
      <w:r w:rsidRPr="00F41E78">
        <w:rPr>
          <w:rFonts w:eastAsia="Calibri" w:cs="FrankRuehl" w:hint="cs"/>
          <w:sz w:val="18"/>
          <w:szCs w:val="22"/>
          <w:rtl/>
          <w:lang w:eastAsia="he-IL"/>
        </w:rPr>
        <w:t>וליישמם</w:t>
      </w:r>
      <w:r w:rsidRPr="00F41E78">
        <w:rPr>
          <w:rFonts w:eastAsia="Calibri" w:cs="FrankRuehl"/>
          <w:sz w:val="18"/>
          <w:szCs w:val="22"/>
          <w:rtl/>
          <w:lang w:eastAsia="he-IL"/>
        </w:rPr>
        <w:t xml:space="preserve"> באמצעות פרסום מכרזים ייחודיים במסגרת דיור בר השגה ומעקב אחר הפעלתם. האגף קבע מדד תפוקה של 11 מכרזים שיפ</w:t>
      </w:r>
      <w:r w:rsidRPr="00F41E78">
        <w:rPr>
          <w:rFonts w:eastAsia="Calibri" w:cs="FrankRuehl" w:hint="cs"/>
          <w:sz w:val="18"/>
          <w:szCs w:val="22"/>
          <w:rtl/>
          <w:lang w:eastAsia="he-IL"/>
        </w:rPr>
        <w:t>ו</w:t>
      </w:r>
      <w:r w:rsidRPr="00F41E78">
        <w:rPr>
          <w:rFonts w:eastAsia="Calibri" w:cs="FrankRuehl"/>
          <w:sz w:val="18"/>
          <w:szCs w:val="22"/>
          <w:rtl/>
          <w:lang w:eastAsia="he-IL"/>
        </w:rPr>
        <w:t>רסמו במסלול השכרה בשנת 2012 ו</w:t>
      </w:r>
      <w:r w:rsidRPr="00F41E78">
        <w:rPr>
          <w:rFonts w:eastAsia="Calibri" w:cs="FrankRuehl" w:hint="cs"/>
          <w:sz w:val="18"/>
          <w:szCs w:val="22"/>
          <w:rtl/>
          <w:lang w:eastAsia="he-IL"/>
        </w:rPr>
        <w:t>-</w:t>
      </w:r>
      <w:r w:rsidRPr="00F41E78">
        <w:rPr>
          <w:rFonts w:eastAsia="Calibri" w:cs="FrankRuehl"/>
          <w:sz w:val="18"/>
          <w:szCs w:val="22"/>
          <w:rtl/>
          <w:lang w:eastAsia="he-IL"/>
        </w:rPr>
        <w:t>13 מכרזים שיפורסמו בשנת 2013.</w:t>
      </w:r>
      <w:r w:rsidRPr="00F41E78">
        <w:rPr>
          <w:rFonts w:eastAsia="Calibri" w:cs="FrankRuehl" w:hint="cs"/>
          <w:sz w:val="18"/>
          <w:szCs w:val="22"/>
          <w:rtl/>
          <w:lang w:eastAsia="he-IL"/>
        </w:rPr>
        <w:t xml:space="preserve"> עם זאת, ב</w:t>
      </w:r>
      <w:r w:rsidRPr="00F41E78">
        <w:rPr>
          <w:rFonts w:eastAsia="Calibri" w:cs="FrankRuehl"/>
          <w:sz w:val="18"/>
          <w:szCs w:val="22"/>
          <w:rtl/>
          <w:lang w:eastAsia="he-IL"/>
        </w:rPr>
        <w:t xml:space="preserve">תכנית העבודה של </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אגף לא </w:t>
      </w:r>
      <w:r w:rsidRPr="00F41E78">
        <w:rPr>
          <w:rFonts w:eastAsia="Calibri" w:cs="FrankRuehl" w:hint="cs"/>
          <w:sz w:val="18"/>
          <w:szCs w:val="22"/>
          <w:rtl/>
          <w:lang w:eastAsia="he-IL"/>
        </w:rPr>
        <w:t>צוין מספר</w:t>
      </w:r>
      <w:r w:rsidRPr="00F41E78">
        <w:rPr>
          <w:rFonts w:eastAsia="Calibri" w:cs="FrankRuehl"/>
          <w:sz w:val="18"/>
          <w:szCs w:val="22"/>
          <w:rtl/>
          <w:lang w:eastAsia="he-IL"/>
        </w:rPr>
        <w:t xml:space="preserve"> </w:t>
      </w:r>
      <w:r w:rsidRPr="00F41E78">
        <w:rPr>
          <w:rFonts w:eastAsia="Calibri" w:cs="FrankRuehl" w:hint="cs"/>
          <w:sz w:val="18"/>
          <w:szCs w:val="22"/>
          <w:rtl/>
          <w:lang w:eastAsia="he-IL"/>
        </w:rPr>
        <w:t>יח</w:t>
      </w:r>
      <w:r w:rsidRPr="00F41E78">
        <w:rPr>
          <w:rFonts w:eastAsia="Calibri" w:cs="FrankRuehl"/>
          <w:sz w:val="18"/>
          <w:szCs w:val="22"/>
          <w:rtl/>
          <w:lang w:eastAsia="he-IL"/>
        </w:rPr>
        <w:t>"ד שי</w:t>
      </w:r>
      <w:r w:rsidRPr="00F41E78">
        <w:rPr>
          <w:rFonts w:eastAsia="Calibri" w:cs="FrankRuehl" w:hint="cs"/>
          <w:sz w:val="18"/>
          <w:szCs w:val="22"/>
          <w:rtl/>
          <w:lang w:eastAsia="he-IL"/>
        </w:rPr>
        <w:t>י</w:t>
      </w:r>
      <w:r w:rsidRPr="00F41E78">
        <w:rPr>
          <w:rFonts w:eastAsia="Calibri" w:cs="FrankRuehl"/>
          <w:sz w:val="18"/>
          <w:szCs w:val="22"/>
          <w:rtl/>
          <w:lang w:eastAsia="he-IL"/>
        </w:rPr>
        <w:t>בנו להשכרה לטווח ארוך</w:t>
      </w:r>
      <w:r w:rsidRPr="00F41E78">
        <w:rPr>
          <w:rFonts w:eastAsia="Calibri" w:cs="FrankRuehl" w:hint="cs"/>
          <w:sz w:val="18"/>
          <w:szCs w:val="22"/>
          <w:rtl/>
          <w:lang w:eastAsia="he-IL"/>
        </w:rPr>
        <w:t xml:space="preserve"> במסגרת המכרזים שהוא עתיד לפרסם</w:t>
      </w:r>
      <w:r w:rsidRPr="00F41E78">
        <w:rPr>
          <w:rFonts w:eastAsia="Calibri" w:cs="FrankRuehl"/>
          <w:sz w:val="18"/>
          <w:szCs w:val="22"/>
          <w:rtl/>
          <w:lang w:eastAsia="he-IL"/>
        </w:rPr>
        <w:t>.</w:t>
      </w:r>
      <w:r w:rsidRPr="00F41E78">
        <w:rPr>
          <w:rFonts w:eastAsia="Calibri" w:cs="FrankRuehl"/>
          <w:b/>
          <w:bCs/>
          <w:sz w:val="18"/>
          <w:szCs w:val="22"/>
          <w:rtl/>
          <w:lang w:eastAsia="he-IL"/>
        </w:rPr>
        <w:t xml:space="preserve"> </w:t>
      </w:r>
    </w:p>
    <w:p w:rsidR="00D22B16" w:rsidRPr="00F41E78" w:rsidP="00D22B16">
      <w:pPr>
        <w:pStyle w:val="RESHET"/>
        <w:keepLines/>
        <w:rPr>
          <w:rFonts w:eastAsia="Calibri"/>
          <w:rtl/>
        </w:rPr>
      </w:pPr>
      <w:r w:rsidRPr="00F41E78">
        <w:rPr>
          <w:rFonts w:eastAsia="Calibri"/>
          <w:rtl/>
        </w:rPr>
        <w:t>לדעת משרד מבקר המדינה</w:t>
      </w:r>
      <w:r w:rsidRPr="00F41E78">
        <w:rPr>
          <w:rFonts w:eastAsia="Calibri" w:hint="cs"/>
          <w:rtl/>
        </w:rPr>
        <w:t>,</w:t>
      </w:r>
      <w:r w:rsidRPr="00F41E78">
        <w:rPr>
          <w:rFonts w:eastAsia="Calibri"/>
          <w:rtl/>
        </w:rPr>
        <w:t xml:space="preserve"> העובדה ש</w:t>
      </w:r>
      <w:r w:rsidRPr="00F41E78">
        <w:rPr>
          <w:rFonts w:eastAsia="Calibri" w:hint="cs"/>
          <w:rtl/>
        </w:rPr>
        <w:t>ה</w:t>
      </w:r>
      <w:r w:rsidRPr="00F41E78">
        <w:rPr>
          <w:rFonts w:eastAsia="Calibri"/>
          <w:rtl/>
        </w:rPr>
        <w:t xml:space="preserve">אגף </w:t>
      </w:r>
      <w:r w:rsidRPr="00F41E78">
        <w:rPr>
          <w:rFonts w:eastAsia="Calibri" w:hint="cs"/>
          <w:rtl/>
        </w:rPr>
        <w:t>ל</w:t>
      </w:r>
      <w:r w:rsidRPr="00F41E78">
        <w:rPr>
          <w:rFonts w:eastAsia="Calibri"/>
          <w:rtl/>
        </w:rPr>
        <w:t xml:space="preserve">נכסים ודיור שילב בתכנית </w:t>
      </w:r>
      <w:r w:rsidRPr="00F41E78">
        <w:rPr>
          <w:rFonts w:eastAsia="Calibri" w:hint="cs"/>
          <w:rtl/>
        </w:rPr>
        <w:t xml:space="preserve">העבודה שלו </w:t>
      </w:r>
      <w:r w:rsidRPr="00F41E78">
        <w:rPr>
          <w:rFonts w:eastAsia="Calibri"/>
          <w:rtl/>
        </w:rPr>
        <w:t>לשנת 2012</w:t>
      </w:r>
      <w:r w:rsidRPr="00F41E78">
        <w:rPr>
          <w:rFonts w:eastAsia="Calibri" w:hint="cs"/>
          <w:rtl/>
        </w:rPr>
        <w:t xml:space="preserve"> </w:t>
      </w:r>
      <w:r w:rsidRPr="00F41E78">
        <w:rPr>
          <w:rFonts w:eastAsia="Calibri"/>
          <w:rtl/>
        </w:rPr>
        <w:t xml:space="preserve">יעד זה, </w:t>
      </w:r>
      <w:r w:rsidRPr="00F41E78">
        <w:rPr>
          <w:rFonts w:eastAsia="Calibri" w:hint="cs"/>
          <w:rtl/>
        </w:rPr>
        <w:t>ש</w:t>
      </w:r>
      <w:r w:rsidRPr="00F41E78">
        <w:rPr>
          <w:rFonts w:eastAsia="Calibri"/>
          <w:rtl/>
        </w:rPr>
        <w:t>לא הוזכר בתכנית העבודה המשרדית</w:t>
      </w:r>
      <w:r w:rsidRPr="00F41E78">
        <w:rPr>
          <w:rFonts w:eastAsia="Calibri" w:hint="cs"/>
          <w:rtl/>
        </w:rPr>
        <w:t xml:space="preserve"> הכוללת</w:t>
      </w:r>
      <w:r w:rsidRPr="00F41E78">
        <w:rPr>
          <w:rFonts w:eastAsia="Calibri"/>
          <w:rtl/>
        </w:rPr>
        <w:t xml:space="preserve">, </w:t>
      </w:r>
      <w:r w:rsidRPr="00F41E78">
        <w:rPr>
          <w:rFonts w:eastAsia="Calibri" w:hint="cs"/>
          <w:rtl/>
        </w:rPr>
        <w:t>מעידה</w:t>
      </w:r>
      <w:r w:rsidRPr="00F41E78">
        <w:rPr>
          <w:rFonts w:eastAsia="Calibri"/>
          <w:rtl/>
        </w:rPr>
        <w:t xml:space="preserve"> </w:t>
      </w:r>
      <w:r w:rsidRPr="00F41E78">
        <w:rPr>
          <w:rFonts w:eastAsia="Calibri" w:hint="cs"/>
          <w:rtl/>
        </w:rPr>
        <w:t xml:space="preserve">על חוסר התאמה בין תכניות העבודה העקרוניות שהנהלת המשרד קובעת ובין התכניות של אגפי הביצוע. יתרה מזאת, הדבר מעיד גם על היעדר </w:t>
      </w:r>
      <w:r w:rsidRPr="00F41E78">
        <w:rPr>
          <w:rFonts w:eastAsia="Calibri"/>
          <w:rtl/>
        </w:rPr>
        <w:t xml:space="preserve">תכנית </w:t>
      </w:r>
      <w:r w:rsidRPr="00F41E78">
        <w:rPr>
          <w:rFonts w:eastAsia="Calibri" w:hint="cs"/>
          <w:rtl/>
        </w:rPr>
        <w:t xml:space="preserve">אסטרטגית כוללת העוסקת ביעדי </w:t>
      </w:r>
      <w:r w:rsidRPr="00F41E78">
        <w:rPr>
          <w:rFonts w:eastAsia="Calibri"/>
          <w:rtl/>
        </w:rPr>
        <w:t xml:space="preserve">שוק </w:t>
      </w:r>
      <w:r w:rsidRPr="00F41E78">
        <w:rPr>
          <w:rFonts w:eastAsia="Calibri" w:hint="cs"/>
          <w:rtl/>
        </w:rPr>
        <w:t>השכירות ובכלים לפיתוחו. תכנית אסטרטגית כזאת היא אחד מהפתרונות המרכזיים למצוקת</w:t>
      </w:r>
      <w:r w:rsidRPr="00F41E78">
        <w:rPr>
          <w:rFonts w:eastAsia="Calibri"/>
          <w:rtl/>
        </w:rPr>
        <w:t xml:space="preserve"> הדיור של </w:t>
      </w:r>
      <w:r w:rsidRPr="00F41E78">
        <w:rPr>
          <w:rFonts w:eastAsia="Calibri" w:hint="cs"/>
          <w:rtl/>
        </w:rPr>
        <w:t>ה</w:t>
      </w:r>
      <w:r w:rsidRPr="00F41E78">
        <w:rPr>
          <w:rFonts w:eastAsia="Calibri"/>
          <w:rtl/>
        </w:rPr>
        <w:t>אוכלוסיי</w:t>
      </w:r>
      <w:r w:rsidRPr="00F41E78">
        <w:rPr>
          <w:rFonts w:eastAsia="Calibri" w:hint="cs"/>
          <w:rtl/>
        </w:rPr>
        <w:t>ה</w:t>
      </w:r>
      <w:r w:rsidRPr="00F41E78">
        <w:rPr>
          <w:rFonts w:eastAsia="Calibri"/>
          <w:rtl/>
        </w:rPr>
        <w:t xml:space="preserve"> </w:t>
      </w:r>
      <w:r w:rsidRPr="00F41E78">
        <w:rPr>
          <w:rFonts w:eastAsia="Calibri" w:hint="cs"/>
          <w:rtl/>
        </w:rPr>
        <w:t>ב</w:t>
      </w:r>
      <w:r w:rsidRPr="00F41E78">
        <w:rPr>
          <w:rFonts w:eastAsia="Calibri"/>
          <w:rtl/>
        </w:rPr>
        <w:t xml:space="preserve">מדינת ישראל. </w:t>
      </w:r>
    </w:p>
    <w:p w:rsidR="00D22B16" w:rsidRPr="00F41E78" w:rsidP="00D22B16">
      <w:pPr>
        <w:pStyle w:val="RESHET"/>
        <w:keepLines/>
        <w:rPr>
          <w:rFonts w:eastAsia="Calibri"/>
          <w:rtl/>
        </w:rPr>
      </w:pPr>
      <w:r w:rsidRPr="00F41E78">
        <w:rPr>
          <w:rFonts w:eastAsia="Calibri"/>
          <w:rtl/>
        </w:rPr>
        <w:t xml:space="preserve">היעדר תכנית עבודה </w:t>
      </w:r>
      <w:r w:rsidRPr="00F41E78">
        <w:rPr>
          <w:rFonts w:eastAsia="Calibri" w:hint="cs"/>
          <w:rtl/>
        </w:rPr>
        <w:t xml:space="preserve">אסטרטגית </w:t>
      </w:r>
      <w:r w:rsidRPr="00F41E78">
        <w:rPr>
          <w:rFonts w:eastAsia="Calibri"/>
          <w:rtl/>
        </w:rPr>
        <w:t>היא כשל של</w:t>
      </w:r>
      <w:r w:rsidRPr="00F41E78">
        <w:rPr>
          <w:rFonts w:eastAsia="Calibri" w:hint="cs"/>
          <w:rtl/>
        </w:rPr>
        <w:t xml:space="preserve"> </w:t>
      </w:r>
      <w:r w:rsidRPr="00F41E78">
        <w:rPr>
          <w:rFonts w:eastAsia="Calibri"/>
          <w:rtl/>
        </w:rPr>
        <w:t xml:space="preserve">משרד הבינוי, </w:t>
      </w:r>
      <w:r w:rsidRPr="00F41E78">
        <w:rPr>
          <w:rFonts w:eastAsia="Calibri" w:hint="cs"/>
          <w:rtl/>
        </w:rPr>
        <w:t xml:space="preserve">כגוף הנושא </w:t>
      </w:r>
      <w:r w:rsidRPr="00F41E78">
        <w:rPr>
          <w:rFonts w:eastAsia="Calibri"/>
          <w:rtl/>
        </w:rPr>
        <w:t xml:space="preserve">באחריות להוביל את תחום הדיור בישראל </w:t>
      </w:r>
      <w:r w:rsidRPr="00F41E78">
        <w:rPr>
          <w:rFonts w:eastAsia="Calibri" w:hint="cs"/>
          <w:rtl/>
        </w:rPr>
        <w:t>ו</w:t>
      </w:r>
      <w:r w:rsidRPr="00F41E78">
        <w:rPr>
          <w:rFonts w:eastAsia="Calibri"/>
          <w:rtl/>
        </w:rPr>
        <w:t>להש</w:t>
      </w:r>
      <w:r w:rsidRPr="00F41E78">
        <w:rPr>
          <w:rFonts w:eastAsia="Calibri" w:hint="cs"/>
          <w:rtl/>
        </w:rPr>
        <w:t>י</w:t>
      </w:r>
      <w:r w:rsidRPr="00F41E78">
        <w:rPr>
          <w:rFonts w:eastAsia="Calibri"/>
          <w:rtl/>
        </w:rPr>
        <w:t>ג</w:t>
      </w:r>
      <w:r w:rsidRPr="00F41E78">
        <w:rPr>
          <w:rFonts w:eastAsia="Calibri" w:hint="cs"/>
          <w:rtl/>
        </w:rPr>
        <w:t xml:space="preserve"> את</w:t>
      </w:r>
      <w:r w:rsidRPr="00F41E78">
        <w:rPr>
          <w:rFonts w:eastAsia="Calibri"/>
          <w:rtl/>
        </w:rPr>
        <w:t xml:space="preserve"> יעדי הממשלה. תכנית </w:t>
      </w:r>
      <w:r w:rsidRPr="00F41E78">
        <w:rPr>
          <w:rFonts w:eastAsia="Calibri" w:hint="cs"/>
          <w:rtl/>
        </w:rPr>
        <w:t>אסטרטגית</w:t>
      </w:r>
      <w:r w:rsidRPr="00F41E78">
        <w:rPr>
          <w:rFonts w:eastAsia="Calibri"/>
          <w:rtl/>
        </w:rPr>
        <w:t xml:space="preserve"> נדרשת גם </w:t>
      </w:r>
      <w:r w:rsidRPr="00F41E78">
        <w:rPr>
          <w:rFonts w:eastAsia="Calibri" w:hint="cs"/>
          <w:rtl/>
        </w:rPr>
        <w:t>ל</w:t>
      </w:r>
      <w:r w:rsidRPr="00F41E78">
        <w:rPr>
          <w:rFonts w:eastAsia="Calibri"/>
          <w:rtl/>
        </w:rPr>
        <w:t>נוכח העובדה שעל פי החלטות קבינט הדיור (החלט</w:t>
      </w:r>
      <w:r w:rsidRPr="00F41E78">
        <w:rPr>
          <w:rFonts w:eastAsia="Calibri" w:hint="cs"/>
          <w:rtl/>
        </w:rPr>
        <w:t xml:space="preserve">ות מס' </w:t>
      </w:r>
      <w:r w:rsidRPr="00F41E78">
        <w:rPr>
          <w:rFonts w:eastAsia="Calibri"/>
          <w:rtl/>
        </w:rPr>
        <w:t>987 ו</w:t>
      </w:r>
      <w:r w:rsidRPr="00F41E78">
        <w:rPr>
          <w:rFonts w:eastAsia="Calibri" w:hint="cs"/>
          <w:rtl/>
        </w:rPr>
        <w:t>-</w:t>
      </w:r>
      <w:r w:rsidRPr="00F41E78">
        <w:rPr>
          <w:rFonts w:eastAsia="Calibri"/>
          <w:rtl/>
        </w:rPr>
        <w:t xml:space="preserve">988 מנובמבר 2013) משרד הבינוי הוא אחד הגורמים שעליו הוטלה האחריות לניהול ולקידום של תכנון הקרקע, </w:t>
      </w:r>
      <w:r w:rsidRPr="00F41E78">
        <w:rPr>
          <w:rFonts w:eastAsia="Calibri" w:hint="cs"/>
          <w:rtl/>
        </w:rPr>
        <w:t>ל</w:t>
      </w:r>
      <w:r w:rsidRPr="00F41E78">
        <w:rPr>
          <w:rFonts w:eastAsia="Calibri"/>
          <w:rtl/>
        </w:rPr>
        <w:t>פיתוחה ו</w:t>
      </w:r>
      <w:r w:rsidRPr="00F41E78">
        <w:rPr>
          <w:rFonts w:eastAsia="Calibri" w:hint="cs"/>
          <w:rtl/>
        </w:rPr>
        <w:t>ל</w:t>
      </w:r>
      <w:r w:rsidRPr="00F41E78">
        <w:rPr>
          <w:rFonts w:eastAsia="Calibri"/>
          <w:rtl/>
        </w:rPr>
        <w:t>הסדרת זמינותה, בשיתוף החברה הממשלתית שתוקם ורמ"י.</w:t>
      </w:r>
    </w:p>
    <w:p w:rsidR="00E97EDA" w:rsidRPr="00F41E78" w:rsidP="00A7557B">
      <w:pPr>
        <w:spacing w:after="120" w:line="230" w:lineRule="exact"/>
        <w:jc w:val="both"/>
        <w:rPr>
          <w:rFonts w:eastAsia="Calibri" w:cs="FrankRuehl"/>
          <w:sz w:val="18"/>
          <w:szCs w:val="22"/>
          <w:lang w:eastAsia="he-IL"/>
        </w:rPr>
      </w:pPr>
    </w:p>
    <w:p w:rsidR="00901FE0" w:rsidRPr="00F41E78" w:rsidP="00A7557B">
      <w:pPr>
        <w:spacing w:after="120" w:line="230" w:lineRule="exact"/>
        <w:jc w:val="both"/>
        <w:rPr>
          <w:rFonts w:eastAsia="Calibri" w:cs="FrankRuehl"/>
          <w:sz w:val="18"/>
          <w:szCs w:val="22"/>
          <w:rtl/>
          <w:lang w:eastAsia="he-IL"/>
        </w:rPr>
      </w:pPr>
    </w:p>
    <w:p w:rsidR="00E97EDA" w:rsidRPr="00FA1F2C" w:rsidP="00A7557B">
      <w:pPr>
        <w:pStyle w:val="KOT4"/>
        <w:rPr>
          <w:rFonts w:eastAsia="Calibri"/>
          <w:rtl/>
          <w:lang w:eastAsia="he-IL"/>
        </w:rPr>
      </w:pPr>
      <w:r w:rsidRPr="00FA1F2C">
        <w:rPr>
          <w:rFonts w:eastAsia="Calibri"/>
          <w:rtl/>
          <w:lang w:eastAsia="he-IL"/>
        </w:rPr>
        <w:t>אי</w:t>
      </w:r>
      <w:r w:rsidRPr="00FA1F2C">
        <w:rPr>
          <w:rFonts w:eastAsia="Calibri" w:hint="cs"/>
          <w:rtl/>
          <w:lang w:eastAsia="he-IL"/>
        </w:rPr>
        <w:t>-</w:t>
      </w:r>
      <w:r w:rsidRPr="00FA1F2C">
        <w:rPr>
          <w:rFonts w:eastAsia="Calibri"/>
          <w:rtl/>
          <w:lang w:eastAsia="he-IL"/>
        </w:rPr>
        <w:t xml:space="preserve">קביעת יעדי שיווק </w:t>
      </w:r>
      <w:r w:rsidRPr="00FA1F2C">
        <w:rPr>
          <w:rFonts w:eastAsia="Calibri" w:hint="cs"/>
          <w:rtl/>
          <w:lang w:eastAsia="he-IL"/>
        </w:rPr>
        <w:t>לבנייה להשכרה לטווח ארוך</w:t>
      </w:r>
    </w:p>
    <w:p w:rsidR="00E97EDA" w:rsidRPr="00F41E78" w:rsidP="003E789E">
      <w:pPr>
        <w:spacing w:after="240" w:line="224" w:lineRule="exact"/>
        <w:jc w:val="both"/>
        <w:rPr>
          <w:rFonts w:eastAsia="Calibri" w:cs="FrankRuehl"/>
          <w:sz w:val="18"/>
          <w:szCs w:val="22"/>
          <w:rtl/>
          <w:lang w:eastAsia="he-IL"/>
        </w:rPr>
      </w:pPr>
      <w:r w:rsidRPr="00F41E78">
        <w:rPr>
          <w:rFonts w:eastAsia="Calibri" w:cs="FrankRuehl"/>
          <w:sz w:val="18"/>
          <w:szCs w:val="22"/>
          <w:rtl/>
          <w:lang w:eastAsia="he-IL"/>
        </w:rPr>
        <w:t>כמ</w:t>
      </w:r>
      <w:r w:rsidRPr="00F41E78">
        <w:rPr>
          <w:rFonts w:eastAsia="Calibri" w:cs="FrankRuehl" w:hint="cs"/>
          <w:sz w:val="18"/>
          <w:szCs w:val="22"/>
          <w:rtl/>
          <w:lang w:eastAsia="he-IL"/>
        </w:rPr>
        <w:t>צוין</w:t>
      </w:r>
      <w:r w:rsidRPr="00F41E78">
        <w:rPr>
          <w:rFonts w:eastAsia="Calibri" w:cs="FrankRuehl"/>
          <w:sz w:val="18"/>
          <w:szCs w:val="22"/>
          <w:rtl/>
          <w:lang w:eastAsia="he-IL"/>
        </w:rPr>
        <w:t xml:space="preserve"> לעיל, </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פעולות להרחבת שוק </w:t>
      </w:r>
      <w:r w:rsidRPr="00F41E78">
        <w:rPr>
          <w:rFonts w:eastAsia="Calibri" w:cs="FrankRuehl" w:hint="cs"/>
          <w:sz w:val="18"/>
          <w:szCs w:val="22"/>
          <w:rtl/>
          <w:lang w:eastAsia="he-IL"/>
        </w:rPr>
        <w:t>ההשכרה 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החלו להתגבש </w:t>
      </w:r>
      <w:r w:rsidRPr="00F41E78">
        <w:rPr>
          <w:rFonts w:eastAsia="Calibri" w:cs="FrankRuehl" w:hint="cs"/>
          <w:sz w:val="18"/>
          <w:szCs w:val="22"/>
          <w:rtl/>
          <w:lang w:eastAsia="he-IL"/>
        </w:rPr>
        <w:t>כבר</w:t>
      </w:r>
      <w:r w:rsidRPr="00F41E78">
        <w:rPr>
          <w:rFonts w:eastAsia="Calibri" w:cs="FrankRuehl"/>
          <w:sz w:val="18"/>
          <w:szCs w:val="22"/>
          <w:rtl/>
          <w:lang w:eastAsia="he-IL"/>
        </w:rPr>
        <w:t xml:space="preserve"> בשנת 1989</w:t>
      </w:r>
      <w:r w:rsidRPr="00F41E78">
        <w:rPr>
          <w:rFonts w:eastAsia="Calibri" w:cs="FrankRuehl" w:hint="cs"/>
          <w:sz w:val="18"/>
          <w:szCs w:val="22"/>
          <w:rtl/>
          <w:lang w:eastAsia="he-IL"/>
        </w:rPr>
        <w:t>,</w:t>
      </w:r>
      <w:r w:rsidRPr="00F41E78">
        <w:rPr>
          <w:rFonts w:eastAsia="Calibri" w:cs="FrankRuehl"/>
          <w:sz w:val="18"/>
          <w:szCs w:val="22"/>
          <w:rtl/>
          <w:lang w:eastAsia="he-IL"/>
        </w:rPr>
        <w:t xml:space="preserve"> עם התיקון לחוק עידוד השקעות הון והתיקון לפקודת מס הכנסה.</w:t>
      </w:r>
      <w:r w:rsidRPr="00F41E78">
        <w:rPr>
          <w:rFonts w:eastAsia="Calibri" w:cs="FrankRuehl"/>
          <w:b/>
          <w:bCs/>
          <w:sz w:val="18"/>
          <w:szCs w:val="22"/>
          <w:rtl/>
          <w:lang w:eastAsia="he-IL"/>
        </w:rPr>
        <w:t xml:space="preserve"> </w:t>
      </w:r>
      <w:r w:rsidRPr="00F41E78">
        <w:rPr>
          <w:rFonts w:eastAsia="Calibri" w:cs="FrankRuehl"/>
          <w:sz w:val="18"/>
          <w:szCs w:val="22"/>
          <w:rtl/>
          <w:lang w:eastAsia="he-IL"/>
        </w:rPr>
        <w:t>מאז</w:t>
      </w:r>
      <w:r w:rsidRPr="00F41E78">
        <w:rPr>
          <w:rFonts w:eastAsia="Calibri" w:cs="FrankRuehl" w:hint="cs"/>
          <w:sz w:val="18"/>
          <w:szCs w:val="22"/>
          <w:rtl/>
          <w:lang w:eastAsia="he-IL"/>
        </w:rPr>
        <w:t xml:space="preserve"> כאמור</w:t>
      </w:r>
      <w:r w:rsidRPr="00F41E78">
        <w:rPr>
          <w:rFonts w:eastAsia="Calibri" w:cs="FrankRuehl"/>
          <w:sz w:val="18"/>
          <w:szCs w:val="22"/>
          <w:rtl/>
          <w:lang w:eastAsia="he-IL"/>
        </w:rPr>
        <w:t xml:space="preserve"> התקבלו בעניין זה החלטות ממשלה וכן החלטות במועצת מקרקעי ישראל.</w:t>
      </w:r>
    </w:p>
    <w:p w:rsidR="00D22B16" w:rsidRPr="00F41E78" w:rsidP="00D22B16">
      <w:pPr>
        <w:pStyle w:val="RESHET"/>
        <w:keepLines/>
        <w:spacing w:line="224" w:lineRule="exact"/>
        <w:rPr>
          <w:rFonts w:eastAsia="Calibri"/>
          <w:rtl/>
        </w:rPr>
      </w:pPr>
      <w:r w:rsidRPr="00F41E78">
        <w:rPr>
          <w:rFonts w:eastAsia="Calibri"/>
          <w:rtl/>
        </w:rPr>
        <w:t xml:space="preserve">הביקורת העלתה </w:t>
      </w:r>
      <w:r w:rsidRPr="00F41E78">
        <w:rPr>
          <w:rFonts w:eastAsia="Calibri" w:hint="cs"/>
          <w:rtl/>
        </w:rPr>
        <w:t xml:space="preserve">שבאף לא אחת </w:t>
      </w:r>
      <w:r w:rsidRPr="00F41E78">
        <w:rPr>
          <w:rFonts w:eastAsia="Calibri"/>
          <w:rtl/>
        </w:rPr>
        <w:t>מההחלטות שהתקבלו נקבעו יעדים כמותיים</w:t>
      </w:r>
      <w:r w:rsidRPr="00F41E78">
        <w:rPr>
          <w:rFonts w:eastAsia="Calibri" w:hint="cs"/>
          <w:rtl/>
        </w:rPr>
        <w:t xml:space="preserve"> כמו </w:t>
      </w:r>
      <w:r w:rsidRPr="00F41E78">
        <w:rPr>
          <w:rFonts w:eastAsia="Calibri"/>
          <w:rtl/>
        </w:rPr>
        <w:t>היקף אוכלוסיי</w:t>
      </w:r>
      <w:r w:rsidRPr="00F41E78">
        <w:rPr>
          <w:rFonts w:eastAsia="Calibri" w:hint="cs"/>
          <w:rtl/>
        </w:rPr>
        <w:t>ת היעד ל</w:t>
      </w:r>
      <w:r w:rsidRPr="00F41E78">
        <w:rPr>
          <w:rFonts w:eastAsia="Calibri"/>
          <w:rtl/>
        </w:rPr>
        <w:t xml:space="preserve">מסלול זה </w:t>
      </w:r>
      <w:r w:rsidRPr="00F41E78">
        <w:rPr>
          <w:rFonts w:eastAsia="Calibri" w:hint="cs"/>
          <w:rtl/>
        </w:rPr>
        <w:t>ו</w:t>
      </w:r>
      <w:r w:rsidRPr="00F41E78">
        <w:rPr>
          <w:rFonts w:eastAsia="Calibri"/>
          <w:rtl/>
        </w:rPr>
        <w:t>היעד הממשלתי לשיווק. רק בעקבות</w:t>
      </w:r>
      <w:r w:rsidRPr="00F41E78">
        <w:rPr>
          <w:rFonts w:eastAsia="Calibri" w:hint="cs"/>
          <w:rtl/>
        </w:rPr>
        <w:t xml:space="preserve"> המלצותיה של </w:t>
      </w:r>
      <w:r w:rsidRPr="00F41E78">
        <w:rPr>
          <w:rFonts w:eastAsia="Calibri"/>
          <w:rtl/>
        </w:rPr>
        <w:t>ועדת טרכטנברג</w:t>
      </w:r>
      <w:r w:rsidRPr="00F41E78">
        <w:rPr>
          <w:rFonts w:eastAsia="Calibri" w:hint="cs"/>
          <w:rtl/>
        </w:rPr>
        <w:t xml:space="preserve"> קבעה הממשלה </w:t>
      </w:r>
      <w:r w:rsidRPr="00F41E78">
        <w:rPr>
          <w:rFonts w:eastAsia="Calibri"/>
          <w:rtl/>
        </w:rPr>
        <w:t>יעדים כמותיים לשיווק.</w:t>
      </w:r>
    </w:p>
    <w:p w:rsidR="00E97EDA" w:rsidRPr="00F41E78" w:rsidP="003D6B99">
      <w:pPr>
        <w:spacing w:before="180" w:after="120" w:line="224" w:lineRule="exact"/>
        <w:jc w:val="both"/>
        <w:rPr>
          <w:rFonts w:eastAsia="Calibri" w:cs="FrankRuehl"/>
          <w:sz w:val="18"/>
          <w:szCs w:val="22"/>
          <w:rtl/>
          <w:lang w:eastAsia="he-IL"/>
        </w:rPr>
      </w:pPr>
      <w:r w:rsidRPr="00F41E78">
        <w:rPr>
          <w:rFonts w:eastAsia="Calibri" w:cs="FrankRuehl"/>
          <w:sz w:val="18"/>
          <w:szCs w:val="22"/>
          <w:rtl/>
          <w:lang w:eastAsia="he-IL"/>
        </w:rPr>
        <w:t xml:space="preserve">ועדת טרכטנברג </w:t>
      </w:r>
      <w:r w:rsidRPr="00F41E78">
        <w:rPr>
          <w:rFonts w:eastAsia="Calibri" w:cs="FrankRuehl" w:hint="cs"/>
          <w:sz w:val="18"/>
          <w:szCs w:val="22"/>
          <w:rtl/>
          <w:lang w:eastAsia="he-IL"/>
        </w:rPr>
        <w:t xml:space="preserve">קבעה </w:t>
      </w:r>
      <w:r w:rsidRPr="00F41E78">
        <w:rPr>
          <w:rFonts w:eastAsia="Calibri" w:cs="FrankRuehl"/>
          <w:sz w:val="18"/>
          <w:szCs w:val="22"/>
          <w:rtl/>
          <w:lang w:eastAsia="he-IL"/>
        </w:rPr>
        <w:t>כי</w:t>
      </w:r>
      <w:r w:rsidRPr="00F41E78">
        <w:rPr>
          <w:rFonts w:eastAsia="Calibri" w:cs="FrankRuehl" w:hint="cs"/>
          <w:sz w:val="18"/>
          <w:szCs w:val="22"/>
          <w:rtl/>
          <w:lang w:eastAsia="he-IL"/>
        </w:rPr>
        <w:t xml:space="preserve"> </w:t>
      </w:r>
      <w:r w:rsidRPr="00F41E78">
        <w:rPr>
          <w:rFonts w:eastAsia="Calibri" w:cs="FrankRuehl"/>
          <w:sz w:val="18"/>
          <w:szCs w:val="22"/>
          <w:rtl/>
          <w:lang w:eastAsia="he-IL"/>
        </w:rPr>
        <w:t xml:space="preserve">רמ"י ומשרד הבינוי </w:t>
      </w:r>
      <w:r w:rsidRPr="00F41E78">
        <w:rPr>
          <w:rFonts w:eastAsia="Calibri" w:cs="FrankRuehl" w:hint="cs"/>
          <w:sz w:val="18"/>
          <w:szCs w:val="22"/>
          <w:rtl/>
          <w:lang w:eastAsia="he-IL"/>
        </w:rPr>
        <w:t xml:space="preserve">ישווקו מדי שנה </w:t>
      </w:r>
      <w:r w:rsidRPr="00F41E78">
        <w:rPr>
          <w:rFonts w:eastAsia="Calibri" w:cs="FrankRuehl"/>
          <w:sz w:val="18"/>
          <w:szCs w:val="22"/>
          <w:rtl/>
          <w:lang w:eastAsia="he-IL"/>
        </w:rPr>
        <w:t xml:space="preserve">קרקעות מדינה המיועדות </w:t>
      </w:r>
      <w:r w:rsidR="00A67889">
        <w:rPr>
          <w:rFonts w:eastAsia="Calibri" w:cs="FrankRuehl" w:hint="cs"/>
          <w:sz w:val="18"/>
          <w:szCs w:val="22"/>
          <w:rtl/>
          <w:lang w:eastAsia="he-IL"/>
        </w:rPr>
        <w:br/>
      </w:r>
      <w:r w:rsidRPr="00F41E78">
        <w:rPr>
          <w:rFonts w:eastAsia="Calibri" w:cs="FrankRuehl"/>
          <w:sz w:val="18"/>
          <w:szCs w:val="22"/>
          <w:rtl/>
          <w:lang w:eastAsia="he-IL"/>
        </w:rPr>
        <w:t>ל-40,000 יח"ד</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ו</w:t>
      </w:r>
      <w:r w:rsidRPr="00F41E78">
        <w:rPr>
          <w:rFonts w:eastAsia="Calibri" w:cs="FrankRuehl"/>
          <w:sz w:val="18"/>
          <w:szCs w:val="22"/>
          <w:rtl/>
          <w:lang w:eastAsia="he-IL"/>
        </w:rPr>
        <w:t>לפחות</w:t>
      </w:r>
      <w:r w:rsidRPr="00F41E78">
        <w:rPr>
          <w:rFonts w:eastAsia="Calibri" w:cs="FrankRuehl" w:hint="cs"/>
          <w:sz w:val="18"/>
          <w:szCs w:val="22"/>
          <w:rtl/>
          <w:lang w:eastAsia="he-IL"/>
        </w:rPr>
        <w:t xml:space="preserve"> 8,000 (</w:t>
      </w:r>
      <w:r w:rsidRPr="00F41E78">
        <w:rPr>
          <w:rFonts w:eastAsia="Calibri" w:cs="FrankRuehl"/>
          <w:sz w:val="18"/>
          <w:szCs w:val="22"/>
          <w:rtl/>
          <w:lang w:eastAsia="he-IL"/>
        </w:rPr>
        <w:t>20%</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מהן ייועדו </w:t>
      </w:r>
      <w:r w:rsidRPr="00F41E78">
        <w:rPr>
          <w:rFonts w:eastAsia="Calibri" w:cs="FrankRuehl"/>
          <w:sz w:val="18"/>
          <w:szCs w:val="22"/>
          <w:rtl/>
          <w:lang w:eastAsia="he-IL"/>
        </w:rPr>
        <w:t xml:space="preserve">לדיור בהישג יד, </w:t>
      </w:r>
      <w:r w:rsidRPr="00F41E78">
        <w:rPr>
          <w:rFonts w:eastAsia="Calibri" w:cs="FrankRuehl" w:hint="cs"/>
          <w:sz w:val="18"/>
          <w:szCs w:val="22"/>
          <w:rtl/>
          <w:lang w:eastAsia="he-IL"/>
        </w:rPr>
        <w:t xml:space="preserve">ועדיפה </w:t>
      </w:r>
      <w:r w:rsidRPr="00F41E78">
        <w:rPr>
          <w:rFonts w:eastAsia="Calibri" w:cs="FrankRuehl"/>
          <w:sz w:val="18"/>
          <w:szCs w:val="22"/>
          <w:rtl/>
          <w:lang w:eastAsia="he-IL"/>
        </w:rPr>
        <w:t xml:space="preserve">שכירות על פני בעלות. </w:t>
      </w:r>
    </w:p>
    <w:p w:rsidR="00E97EDA" w:rsidRPr="00F41E78" w:rsidP="003E789E">
      <w:pPr>
        <w:spacing w:after="120" w:line="224" w:lineRule="exact"/>
        <w:jc w:val="both"/>
        <w:rPr>
          <w:rFonts w:eastAsia="Calibri" w:cs="FrankRuehl"/>
          <w:sz w:val="18"/>
          <w:szCs w:val="22"/>
          <w:rtl/>
          <w:lang w:eastAsia="he-IL"/>
        </w:rPr>
      </w:pPr>
      <w:r w:rsidRPr="00F41E78">
        <w:rPr>
          <w:rFonts w:eastAsia="Calibri" w:cs="FrankRuehl"/>
          <w:sz w:val="18"/>
          <w:szCs w:val="22"/>
          <w:rtl/>
          <w:lang w:eastAsia="he-IL"/>
        </w:rPr>
        <w:t>עוד המליצה ועד</w:t>
      </w:r>
      <w:r w:rsidRPr="00F41E78">
        <w:rPr>
          <w:rFonts w:eastAsia="Calibri" w:cs="FrankRuehl" w:hint="cs"/>
          <w:sz w:val="18"/>
          <w:szCs w:val="22"/>
          <w:rtl/>
          <w:lang w:eastAsia="he-IL"/>
        </w:rPr>
        <w:t>ת טרכטנברג</w:t>
      </w:r>
      <w:r w:rsidRPr="00F41E78">
        <w:rPr>
          <w:rFonts w:eastAsia="Calibri" w:cs="FrankRuehl"/>
          <w:sz w:val="18"/>
          <w:szCs w:val="22"/>
          <w:rtl/>
          <w:lang w:eastAsia="he-IL"/>
        </w:rPr>
        <w:t xml:space="preserve"> כי רמ"י תשלים שיווק של 5,000 יח"ד </w:t>
      </w:r>
      <w:r w:rsidRPr="00F41E78">
        <w:rPr>
          <w:rFonts w:eastAsia="Calibri" w:cs="FrankRuehl" w:hint="cs"/>
          <w:sz w:val="18"/>
          <w:szCs w:val="22"/>
          <w:rtl/>
          <w:lang w:eastAsia="he-IL"/>
        </w:rPr>
        <w:t>להשכרה 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והיא תפעל בטווח המידי</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דהיינו </w:t>
      </w:r>
      <w:r w:rsidRPr="00F41E78">
        <w:rPr>
          <w:rFonts w:eastAsia="Calibri" w:cs="FrankRuehl"/>
          <w:sz w:val="18"/>
          <w:szCs w:val="22"/>
          <w:rtl/>
          <w:lang w:eastAsia="he-IL"/>
        </w:rPr>
        <w:t>בתוך שנה</w:t>
      </w:r>
      <w:r w:rsidRPr="00F41E78">
        <w:rPr>
          <w:rFonts w:eastAsia="Calibri" w:cs="FrankRuehl" w:hint="cs"/>
          <w:sz w:val="18"/>
          <w:szCs w:val="22"/>
          <w:rtl/>
          <w:lang w:eastAsia="he-IL"/>
        </w:rPr>
        <w:t>,</w:t>
      </w:r>
      <w:r w:rsidRPr="00F41E78">
        <w:rPr>
          <w:rFonts w:eastAsia="Calibri" w:cs="FrankRuehl"/>
          <w:sz w:val="18"/>
          <w:szCs w:val="22"/>
          <w:rtl/>
          <w:lang w:eastAsia="he-IL"/>
        </w:rPr>
        <w:t xml:space="preserve"> לקידו</w:t>
      </w:r>
      <w:r w:rsidRPr="00F41E78">
        <w:rPr>
          <w:rFonts w:eastAsia="Calibri" w:cs="FrankRuehl" w:hint="cs"/>
          <w:sz w:val="18"/>
          <w:szCs w:val="22"/>
          <w:rtl/>
          <w:lang w:eastAsia="he-IL"/>
        </w:rPr>
        <w:t>מ</w:t>
      </w:r>
      <w:r w:rsidRPr="00F41E78">
        <w:rPr>
          <w:rFonts w:eastAsia="Calibri" w:cs="FrankRuehl"/>
          <w:sz w:val="18"/>
          <w:szCs w:val="22"/>
          <w:rtl/>
          <w:lang w:eastAsia="he-IL"/>
        </w:rPr>
        <w:t>ם</w:t>
      </w:r>
      <w:r w:rsidRPr="00F41E78">
        <w:rPr>
          <w:rFonts w:eastAsia="Calibri" w:cs="FrankRuehl" w:hint="cs"/>
          <w:sz w:val="18"/>
          <w:szCs w:val="22"/>
          <w:rtl/>
          <w:lang w:eastAsia="he-IL"/>
        </w:rPr>
        <w:t xml:space="preserve"> של</w:t>
      </w:r>
      <w:r w:rsidRPr="00F41E78">
        <w:rPr>
          <w:rFonts w:eastAsia="Calibri" w:cs="FrankRuehl"/>
          <w:sz w:val="18"/>
          <w:szCs w:val="22"/>
          <w:rtl/>
          <w:lang w:eastAsia="he-IL"/>
        </w:rPr>
        <w:t xml:space="preserve"> מכרזי קרקע להשכרה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בהיקף של 2,000 יח"ד.</w:t>
      </w:r>
      <w:r w:rsidRPr="00F41E78">
        <w:rPr>
          <w:rFonts w:eastAsia="Calibri" w:cs="FrankRuehl"/>
          <w:b/>
          <w:bCs/>
          <w:sz w:val="18"/>
          <w:szCs w:val="22"/>
          <w:rtl/>
          <w:lang w:eastAsia="he-IL"/>
        </w:rPr>
        <w:t xml:space="preserve"> </w:t>
      </w:r>
      <w:r w:rsidRPr="00F41E78">
        <w:rPr>
          <w:rFonts w:eastAsia="Calibri" w:cs="FrankRuehl"/>
          <w:sz w:val="18"/>
          <w:szCs w:val="22"/>
          <w:rtl/>
          <w:lang w:eastAsia="he-IL"/>
        </w:rPr>
        <w:t>נוסף</w:t>
      </w:r>
      <w:r w:rsidRPr="00F41E78">
        <w:rPr>
          <w:rFonts w:eastAsia="Calibri" w:cs="FrankRuehl" w:hint="cs"/>
          <w:sz w:val="18"/>
          <w:szCs w:val="22"/>
          <w:rtl/>
          <w:lang w:eastAsia="he-IL"/>
        </w:rPr>
        <w:t xml:space="preserve"> על כך</w:t>
      </w:r>
      <w:r w:rsidRPr="00F41E78">
        <w:rPr>
          <w:rFonts w:eastAsia="Calibri" w:cs="FrankRuehl"/>
          <w:sz w:val="18"/>
          <w:szCs w:val="22"/>
          <w:rtl/>
          <w:lang w:eastAsia="he-IL"/>
        </w:rPr>
        <w:t xml:space="preserve"> המליצה הוועדה לממשלה להציב יעדים כמותיים שהוגדרו לטווח</w:t>
      </w:r>
      <w:r w:rsidRPr="00F41E78">
        <w:rPr>
          <w:rFonts w:eastAsia="Calibri" w:cs="FrankRuehl" w:hint="cs"/>
          <w:sz w:val="18"/>
          <w:szCs w:val="22"/>
          <w:rtl/>
          <w:lang w:eastAsia="he-IL"/>
        </w:rPr>
        <w:t>י</w:t>
      </w:r>
      <w:r w:rsidRPr="00F41E78">
        <w:rPr>
          <w:rFonts w:eastAsia="Calibri" w:cs="FrankRuehl"/>
          <w:sz w:val="18"/>
          <w:szCs w:val="22"/>
          <w:rtl/>
          <w:lang w:eastAsia="he-IL"/>
        </w:rPr>
        <w:t xml:space="preserve"> זמן בינוני וארוך (עד </w:t>
      </w:r>
      <w:r w:rsidRPr="00F41E78">
        <w:rPr>
          <w:rFonts w:eastAsia="Calibri" w:cs="FrankRuehl" w:hint="cs"/>
          <w:sz w:val="18"/>
          <w:szCs w:val="22"/>
          <w:rtl/>
          <w:lang w:eastAsia="he-IL"/>
        </w:rPr>
        <w:t>סוף</w:t>
      </w:r>
      <w:r w:rsidRPr="00F41E78">
        <w:rPr>
          <w:rFonts w:eastAsia="Calibri" w:cs="FrankRuehl"/>
          <w:sz w:val="18"/>
          <w:szCs w:val="22"/>
          <w:rtl/>
          <w:lang w:eastAsia="he-IL"/>
        </w:rPr>
        <w:t xml:space="preserve"> 2012 </w:t>
      </w:r>
      <w:r w:rsidRPr="00F41E78">
        <w:rPr>
          <w:rFonts w:eastAsia="Calibri" w:cs="FrankRuehl" w:hint="cs"/>
          <w:sz w:val="18"/>
          <w:szCs w:val="22"/>
          <w:rtl/>
          <w:lang w:eastAsia="he-IL"/>
        </w:rPr>
        <w:t>ו</w:t>
      </w:r>
      <w:r w:rsidRPr="00F41E78">
        <w:rPr>
          <w:rFonts w:eastAsia="Calibri" w:cs="FrankRuehl"/>
          <w:sz w:val="18"/>
          <w:szCs w:val="22"/>
          <w:rtl/>
          <w:lang w:eastAsia="he-IL"/>
        </w:rPr>
        <w:t>משנת 2013</w:t>
      </w:r>
      <w:r w:rsidRPr="00F41E78">
        <w:rPr>
          <w:rFonts w:eastAsia="Calibri" w:cs="FrankRuehl" w:hint="cs"/>
          <w:sz w:val="18"/>
          <w:szCs w:val="22"/>
          <w:rtl/>
          <w:lang w:eastAsia="he-IL"/>
        </w:rPr>
        <w:t>, בהתאמה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לשיווק</w:t>
      </w:r>
      <w:r w:rsidRPr="00F41E78">
        <w:rPr>
          <w:rFonts w:eastAsia="Calibri" w:cs="FrankRuehl"/>
          <w:sz w:val="18"/>
          <w:szCs w:val="22"/>
          <w:rtl/>
          <w:lang w:eastAsia="he-IL"/>
        </w:rPr>
        <w:t xml:space="preserve"> 30,000 יח"ד במסגרת בנייה להשכרה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על </w:t>
      </w:r>
      <w:r w:rsidRPr="00F41E78">
        <w:rPr>
          <w:rFonts w:eastAsia="Calibri" w:cs="FrankRuehl" w:hint="cs"/>
          <w:sz w:val="18"/>
          <w:szCs w:val="22"/>
          <w:rtl/>
          <w:lang w:eastAsia="he-IL"/>
        </w:rPr>
        <w:t>קרקעות</w:t>
      </w:r>
      <w:r w:rsidRPr="00F41E78">
        <w:rPr>
          <w:rFonts w:eastAsia="Calibri" w:cs="FrankRuehl"/>
          <w:sz w:val="18"/>
          <w:szCs w:val="22"/>
          <w:rtl/>
          <w:lang w:eastAsia="he-IL"/>
        </w:rPr>
        <w:t xml:space="preserve"> מדינה באזורי ביקוש.</w:t>
      </w:r>
    </w:p>
    <w:p w:rsidR="00E97EDA" w:rsidRPr="00F41E78" w:rsidP="003E789E">
      <w:pPr>
        <w:spacing w:after="240" w:line="224" w:lineRule="exact"/>
        <w:jc w:val="both"/>
        <w:rPr>
          <w:rFonts w:eastAsia="Calibri" w:cs="FrankRuehl"/>
          <w:sz w:val="18"/>
          <w:szCs w:val="22"/>
          <w:rtl/>
          <w:lang w:eastAsia="he-IL"/>
        </w:rPr>
      </w:pPr>
      <w:r w:rsidRPr="00F41E78">
        <w:rPr>
          <w:rFonts w:eastAsia="Calibri" w:cs="FrankRuehl"/>
          <w:sz w:val="18"/>
          <w:szCs w:val="22"/>
          <w:rtl/>
          <w:lang w:eastAsia="he-IL"/>
        </w:rPr>
        <w:t>בהחלטת</w:t>
      </w:r>
      <w:r w:rsidRPr="00F41E78">
        <w:rPr>
          <w:rFonts w:eastAsia="Calibri" w:cs="FrankRuehl" w:hint="cs"/>
          <w:sz w:val="18"/>
          <w:szCs w:val="22"/>
          <w:rtl/>
          <w:lang w:eastAsia="he-IL"/>
        </w:rPr>
        <w:t>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מס</w:t>
      </w:r>
      <w:r w:rsidRPr="00F41E78">
        <w:rPr>
          <w:rFonts w:eastAsia="Calibri" w:cs="FrankRuehl"/>
          <w:sz w:val="18"/>
          <w:szCs w:val="22"/>
          <w:rtl/>
          <w:lang w:eastAsia="he-IL"/>
        </w:rPr>
        <w:t>' 4429 מ</w:t>
      </w:r>
      <w:r w:rsidRPr="00F41E78">
        <w:rPr>
          <w:rFonts w:eastAsia="Calibri" w:cs="FrankRuehl" w:hint="cs"/>
          <w:sz w:val="18"/>
          <w:szCs w:val="22"/>
          <w:rtl/>
          <w:lang w:eastAsia="he-IL"/>
        </w:rPr>
        <w:t>מרץ</w:t>
      </w:r>
      <w:r w:rsidRPr="00F41E78">
        <w:rPr>
          <w:rFonts w:eastAsia="Calibri" w:cs="FrankRuehl"/>
          <w:sz w:val="18"/>
          <w:szCs w:val="22"/>
          <w:rtl/>
          <w:lang w:eastAsia="he-IL"/>
        </w:rPr>
        <w:t xml:space="preserve"> 2012 אימצה הממשלה את ההמלצות של ועדת טרכטנברג וקבעה כי על רמ"י ו</w:t>
      </w:r>
      <w:r w:rsidRPr="00F41E78">
        <w:rPr>
          <w:rFonts w:eastAsia="Calibri" w:cs="FrankRuehl" w:hint="cs"/>
          <w:sz w:val="18"/>
          <w:szCs w:val="22"/>
          <w:rtl/>
          <w:lang w:eastAsia="he-IL"/>
        </w:rPr>
        <w:t>על</w:t>
      </w:r>
      <w:r w:rsidRPr="00F41E78">
        <w:rPr>
          <w:rFonts w:eastAsia="Calibri" w:cs="FrankRuehl"/>
          <w:sz w:val="18"/>
          <w:szCs w:val="22"/>
          <w:rtl/>
          <w:lang w:eastAsia="he-IL"/>
        </w:rPr>
        <w:t xml:space="preserve"> משרד הבינוי לשווק 200,000 יח"ד </w:t>
      </w:r>
      <w:r w:rsidRPr="00F41E78">
        <w:rPr>
          <w:rFonts w:eastAsia="Calibri" w:cs="FrankRuehl" w:hint="cs"/>
          <w:sz w:val="18"/>
          <w:szCs w:val="22"/>
          <w:rtl/>
          <w:lang w:eastAsia="he-IL"/>
        </w:rPr>
        <w:t>במשך</w:t>
      </w:r>
      <w:r w:rsidRPr="00F41E78">
        <w:rPr>
          <w:rFonts w:eastAsia="Calibri" w:cs="FrankRuehl"/>
          <w:sz w:val="18"/>
          <w:szCs w:val="22"/>
          <w:rtl/>
          <w:lang w:eastAsia="he-IL"/>
        </w:rPr>
        <w:t xml:space="preserve"> החומש הקרוב (בשנים 2016-2012) </w:t>
      </w:r>
      <w:r w:rsidRPr="00F41E78">
        <w:rPr>
          <w:rFonts w:eastAsia="Calibri" w:cs="FrankRuehl" w:hint="cs"/>
          <w:sz w:val="18"/>
          <w:szCs w:val="22"/>
          <w:rtl/>
          <w:lang w:eastAsia="he-IL"/>
        </w:rPr>
        <w:t>על</w:t>
      </w:r>
      <w:r w:rsidRPr="00F41E78">
        <w:rPr>
          <w:rFonts w:eastAsia="Calibri" w:cs="FrankRuehl"/>
          <w:sz w:val="18"/>
          <w:szCs w:val="22"/>
          <w:rtl/>
          <w:lang w:eastAsia="he-IL"/>
        </w:rPr>
        <w:t xml:space="preserve"> מקרקעי ישראל, </w:t>
      </w:r>
      <w:r w:rsidRPr="00F41E78">
        <w:rPr>
          <w:rFonts w:eastAsia="Calibri" w:cs="FrankRuehl" w:hint="cs"/>
          <w:sz w:val="18"/>
          <w:szCs w:val="22"/>
          <w:rtl/>
          <w:lang w:eastAsia="he-IL"/>
        </w:rPr>
        <w:t>ומהן</w:t>
      </w:r>
      <w:r w:rsidRPr="00F41E78">
        <w:rPr>
          <w:rFonts w:eastAsia="Calibri" w:cs="FrankRuehl"/>
          <w:sz w:val="18"/>
          <w:szCs w:val="22"/>
          <w:rtl/>
          <w:lang w:eastAsia="he-IL"/>
        </w:rPr>
        <w:t xml:space="preserve"> 40,000 יח"ד ל</w:t>
      </w:r>
      <w:r w:rsidRPr="00F41E78">
        <w:rPr>
          <w:rFonts w:eastAsia="Calibri" w:cs="FrankRuehl" w:hint="cs"/>
          <w:sz w:val="18"/>
          <w:szCs w:val="22"/>
          <w:rtl/>
          <w:lang w:eastAsia="he-IL"/>
        </w:rPr>
        <w:t>שכירות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ארוכת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טווח</w:t>
      </w:r>
      <w:r w:rsidRPr="00F41E78">
        <w:rPr>
          <w:rFonts w:eastAsia="Calibri" w:cs="FrankRuehl"/>
          <w:sz w:val="18"/>
          <w:szCs w:val="22"/>
          <w:rtl/>
          <w:lang w:eastAsia="he-IL"/>
        </w:rPr>
        <w:t xml:space="preserve"> או דירות קטנות.</w:t>
      </w:r>
      <w:r w:rsidRPr="00F41E78">
        <w:rPr>
          <w:rFonts w:eastAsia="Calibri" w:cs="FrankRuehl" w:hint="cs"/>
          <w:sz w:val="18"/>
          <w:szCs w:val="22"/>
          <w:rtl/>
          <w:lang w:eastAsia="he-IL"/>
        </w:rPr>
        <w:t xml:space="preserve"> </w:t>
      </w:r>
    </w:p>
    <w:p w:rsidR="00D22B16" w:rsidRPr="003E789E" w:rsidP="00D22B16">
      <w:pPr>
        <w:pStyle w:val="RESHET"/>
        <w:keepLines/>
        <w:spacing w:line="224" w:lineRule="exact"/>
        <w:rPr>
          <w:rFonts w:eastAsia="Calibri"/>
          <w:spacing w:val="-2"/>
          <w:rtl/>
        </w:rPr>
      </w:pPr>
      <w:r w:rsidRPr="003E789E">
        <w:rPr>
          <w:rFonts w:eastAsia="Calibri"/>
          <w:spacing w:val="-2"/>
          <w:rtl/>
        </w:rPr>
        <w:t xml:space="preserve">הביקורת העלתה כי אף </w:t>
      </w:r>
      <w:r w:rsidRPr="003E789E">
        <w:rPr>
          <w:rFonts w:eastAsia="Calibri" w:hint="cs"/>
          <w:spacing w:val="-2"/>
          <w:rtl/>
        </w:rPr>
        <w:t xml:space="preserve">על פי </w:t>
      </w:r>
      <w:r w:rsidRPr="003E789E">
        <w:rPr>
          <w:rFonts w:eastAsia="Calibri"/>
          <w:spacing w:val="-2"/>
          <w:rtl/>
        </w:rPr>
        <w:t>שהממשלה ו</w:t>
      </w:r>
      <w:r w:rsidRPr="003E789E">
        <w:rPr>
          <w:rFonts w:eastAsia="Calibri" w:hint="cs"/>
          <w:spacing w:val="-2"/>
          <w:rtl/>
        </w:rPr>
        <w:t>מועצת מקרקעי ישראל</w:t>
      </w:r>
      <w:r w:rsidRPr="003E789E">
        <w:rPr>
          <w:rFonts w:eastAsia="Calibri"/>
          <w:spacing w:val="-2"/>
          <w:rtl/>
        </w:rPr>
        <w:t xml:space="preserve"> </w:t>
      </w:r>
      <w:r w:rsidRPr="003E789E">
        <w:rPr>
          <w:rFonts w:eastAsia="Calibri" w:hint="cs"/>
          <w:spacing w:val="-2"/>
          <w:rtl/>
        </w:rPr>
        <w:t xml:space="preserve">קבעו מדיניות עקרונית ולפיה </w:t>
      </w:r>
      <w:r w:rsidRPr="003E789E">
        <w:rPr>
          <w:rFonts w:eastAsia="Calibri"/>
          <w:spacing w:val="-2"/>
          <w:rtl/>
        </w:rPr>
        <w:t xml:space="preserve">שוק הדיור </w:t>
      </w:r>
      <w:r w:rsidRPr="003E789E">
        <w:rPr>
          <w:rFonts w:eastAsia="Calibri" w:hint="cs"/>
          <w:spacing w:val="-2"/>
          <w:rtl/>
        </w:rPr>
        <w:t xml:space="preserve">יורחב גם </w:t>
      </w:r>
      <w:r w:rsidRPr="003E789E">
        <w:rPr>
          <w:rFonts w:eastAsia="Calibri"/>
          <w:spacing w:val="-2"/>
          <w:rtl/>
        </w:rPr>
        <w:t xml:space="preserve">באמצעות בניית דירות </w:t>
      </w:r>
      <w:r w:rsidRPr="003E789E">
        <w:rPr>
          <w:rFonts w:eastAsia="Calibri" w:hint="cs"/>
          <w:spacing w:val="-2"/>
          <w:rtl/>
        </w:rPr>
        <w:t>ל</w:t>
      </w:r>
      <w:r w:rsidRPr="003E789E">
        <w:rPr>
          <w:rFonts w:eastAsia="Calibri"/>
          <w:spacing w:val="-2"/>
          <w:rtl/>
        </w:rPr>
        <w:t xml:space="preserve">השכרה </w:t>
      </w:r>
      <w:r w:rsidRPr="003E789E">
        <w:rPr>
          <w:rFonts w:eastAsia="Calibri" w:hint="cs"/>
          <w:spacing w:val="-2"/>
          <w:rtl/>
        </w:rPr>
        <w:t>ל</w:t>
      </w:r>
      <w:r w:rsidRPr="003E789E">
        <w:rPr>
          <w:rFonts w:eastAsia="Calibri"/>
          <w:spacing w:val="-2"/>
          <w:rtl/>
        </w:rPr>
        <w:t>טווח</w:t>
      </w:r>
      <w:r w:rsidRPr="003E789E">
        <w:rPr>
          <w:rFonts w:eastAsia="Calibri" w:hint="cs"/>
          <w:spacing w:val="-2"/>
          <w:rtl/>
        </w:rPr>
        <w:t xml:space="preserve"> ארוך, ואף הטילו על משרד הבינוי</w:t>
      </w:r>
      <w:r w:rsidRPr="003E789E">
        <w:rPr>
          <w:rFonts w:eastAsia="Calibri"/>
          <w:spacing w:val="-2"/>
          <w:rtl/>
        </w:rPr>
        <w:t xml:space="preserve"> ו</w:t>
      </w:r>
      <w:r w:rsidRPr="003E789E">
        <w:rPr>
          <w:rFonts w:eastAsia="Calibri" w:hint="cs"/>
          <w:spacing w:val="-2"/>
          <w:rtl/>
        </w:rPr>
        <w:t xml:space="preserve">על </w:t>
      </w:r>
      <w:r w:rsidRPr="003E789E">
        <w:rPr>
          <w:rFonts w:eastAsia="Calibri"/>
          <w:spacing w:val="-2"/>
          <w:rtl/>
        </w:rPr>
        <w:t>רמ"י</w:t>
      </w:r>
      <w:r w:rsidRPr="003E789E">
        <w:rPr>
          <w:rFonts w:eastAsia="Calibri" w:hint="cs"/>
          <w:spacing w:val="-2"/>
          <w:rtl/>
        </w:rPr>
        <w:t xml:space="preserve"> לגבש תכניות מתאימות, הן </w:t>
      </w:r>
      <w:r w:rsidRPr="003E789E">
        <w:rPr>
          <w:rFonts w:eastAsia="Calibri"/>
          <w:spacing w:val="-2"/>
          <w:rtl/>
        </w:rPr>
        <w:t xml:space="preserve">לא </w:t>
      </w:r>
      <w:r w:rsidRPr="003E789E">
        <w:rPr>
          <w:rFonts w:eastAsia="Calibri" w:hint="cs"/>
          <w:spacing w:val="-2"/>
          <w:rtl/>
        </w:rPr>
        <w:t>פיתחו על סמך</w:t>
      </w:r>
      <w:r w:rsidRPr="003E789E">
        <w:rPr>
          <w:rFonts w:eastAsia="Calibri"/>
          <w:spacing w:val="-2"/>
          <w:rtl/>
        </w:rPr>
        <w:t xml:space="preserve"> המדיניות שנקבעה תכנית </w:t>
      </w:r>
      <w:r w:rsidRPr="003E789E">
        <w:rPr>
          <w:rFonts w:eastAsia="Calibri" w:hint="cs"/>
          <w:spacing w:val="-2"/>
          <w:rtl/>
        </w:rPr>
        <w:t xml:space="preserve">אסטרטגית שלפיה תיקבע המתכונת </w:t>
      </w:r>
      <w:r w:rsidRPr="003E789E">
        <w:rPr>
          <w:rFonts w:eastAsia="Calibri"/>
          <w:spacing w:val="-2"/>
          <w:rtl/>
        </w:rPr>
        <w:t xml:space="preserve">להוצאתה </w:t>
      </w:r>
      <w:r w:rsidRPr="003E789E">
        <w:rPr>
          <w:rFonts w:eastAsia="Calibri" w:hint="cs"/>
          <w:spacing w:val="-2"/>
          <w:rtl/>
        </w:rPr>
        <w:t xml:space="preserve">של מדיניות זו </w:t>
      </w:r>
      <w:r w:rsidRPr="003E789E">
        <w:rPr>
          <w:rFonts w:eastAsia="Calibri"/>
          <w:spacing w:val="-2"/>
          <w:rtl/>
        </w:rPr>
        <w:t>לפועל</w:t>
      </w:r>
      <w:r w:rsidRPr="003E789E">
        <w:rPr>
          <w:rFonts w:eastAsia="Calibri" w:hint="cs"/>
          <w:spacing w:val="-2"/>
          <w:rtl/>
        </w:rPr>
        <w:t>;</w:t>
      </w:r>
      <w:r w:rsidRPr="003E789E">
        <w:rPr>
          <w:rFonts w:eastAsia="Calibri"/>
          <w:spacing w:val="-2"/>
          <w:rtl/>
        </w:rPr>
        <w:t xml:space="preserve"> </w:t>
      </w:r>
      <w:r w:rsidRPr="003E789E">
        <w:rPr>
          <w:rFonts w:eastAsia="Calibri" w:hint="cs"/>
          <w:spacing w:val="-2"/>
          <w:rtl/>
        </w:rPr>
        <w:t xml:space="preserve">לרבות התייחסות </w:t>
      </w:r>
      <w:r w:rsidRPr="003E789E">
        <w:rPr>
          <w:rFonts w:eastAsia="Calibri"/>
          <w:spacing w:val="-2"/>
          <w:rtl/>
        </w:rPr>
        <w:t>ל</w:t>
      </w:r>
      <w:r w:rsidRPr="003E789E">
        <w:rPr>
          <w:rFonts w:eastAsia="Calibri" w:hint="cs"/>
          <w:spacing w:val="-2"/>
          <w:rtl/>
        </w:rPr>
        <w:t>אופן שבו תופעל ה</w:t>
      </w:r>
      <w:r w:rsidRPr="003E789E">
        <w:rPr>
          <w:rFonts w:eastAsia="Calibri"/>
          <w:spacing w:val="-2"/>
          <w:rtl/>
        </w:rPr>
        <w:t>תכנית</w:t>
      </w:r>
      <w:r w:rsidRPr="003E789E">
        <w:rPr>
          <w:rFonts w:eastAsia="Calibri" w:hint="cs"/>
          <w:spacing w:val="-2"/>
          <w:rtl/>
        </w:rPr>
        <w:t>,</w:t>
      </w:r>
      <w:r w:rsidRPr="003E789E">
        <w:rPr>
          <w:rFonts w:eastAsia="Calibri"/>
          <w:spacing w:val="-2"/>
          <w:rtl/>
        </w:rPr>
        <w:t xml:space="preserve"> </w:t>
      </w:r>
      <w:r w:rsidRPr="003E789E">
        <w:rPr>
          <w:rFonts w:eastAsia="Calibri" w:hint="cs"/>
          <w:spacing w:val="-2"/>
          <w:rtl/>
        </w:rPr>
        <w:t>לקביעת תקנות התקציב של התכנית, לאופן איתור הקרקעות שבהן ייתכן שיתאפשר ליישם את התכנית ול</w:t>
      </w:r>
      <w:r w:rsidRPr="003E789E">
        <w:rPr>
          <w:rFonts w:eastAsia="Calibri"/>
          <w:spacing w:val="-2"/>
          <w:rtl/>
        </w:rPr>
        <w:t xml:space="preserve">יעדים </w:t>
      </w:r>
      <w:r w:rsidRPr="003E789E">
        <w:rPr>
          <w:rFonts w:eastAsia="Calibri" w:hint="cs"/>
          <w:spacing w:val="-2"/>
          <w:rtl/>
        </w:rPr>
        <w:t>ה</w:t>
      </w:r>
      <w:r w:rsidRPr="003E789E">
        <w:rPr>
          <w:rFonts w:eastAsia="Calibri"/>
          <w:spacing w:val="-2"/>
          <w:rtl/>
        </w:rPr>
        <w:t xml:space="preserve">כמותיים ולוח </w:t>
      </w:r>
      <w:r w:rsidRPr="003E789E">
        <w:rPr>
          <w:rFonts w:eastAsia="Calibri" w:hint="cs"/>
          <w:spacing w:val="-2"/>
          <w:rtl/>
        </w:rPr>
        <w:t>ה</w:t>
      </w:r>
      <w:r w:rsidRPr="003E789E">
        <w:rPr>
          <w:rFonts w:eastAsia="Calibri"/>
          <w:spacing w:val="-2"/>
          <w:rtl/>
        </w:rPr>
        <w:t>זמנים לשיווק הקרקעות</w:t>
      </w:r>
      <w:r w:rsidRPr="003E789E">
        <w:rPr>
          <w:rFonts w:eastAsia="Calibri" w:hint="cs"/>
          <w:spacing w:val="-2"/>
          <w:rtl/>
        </w:rPr>
        <w:t>.</w:t>
      </w:r>
      <w:r w:rsidRPr="003E789E">
        <w:rPr>
          <w:rFonts w:eastAsia="Calibri"/>
          <w:spacing w:val="-2"/>
          <w:rtl/>
        </w:rPr>
        <w:t xml:space="preserve"> </w:t>
      </w:r>
    </w:p>
    <w:p w:rsidR="00E97EDA" w:rsidRPr="00F41E78" w:rsidP="003E789E">
      <w:pPr>
        <w:spacing w:before="180" w:after="240" w:line="230" w:lineRule="exact"/>
        <w:jc w:val="both"/>
        <w:rPr>
          <w:rFonts w:eastAsia="Calibri" w:cs="FrankRuehl"/>
          <w:sz w:val="18"/>
          <w:szCs w:val="22"/>
          <w:rtl/>
          <w:lang w:eastAsia="he-IL"/>
        </w:rPr>
      </w:pPr>
      <w:r w:rsidRPr="00F41E78">
        <w:rPr>
          <w:rFonts w:eastAsia="Calibri" w:cs="FrankRuehl"/>
          <w:sz w:val="18"/>
          <w:szCs w:val="22"/>
          <w:rtl/>
          <w:lang w:eastAsia="he-IL"/>
        </w:rPr>
        <w:t xml:space="preserve">בתשובתו מסר משרד הבינוי כי </w:t>
      </w:r>
      <w:r w:rsidRPr="00F41E78">
        <w:rPr>
          <w:rFonts w:eastAsia="Calibri" w:cs="FrankRuehl" w:hint="cs"/>
          <w:sz w:val="18"/>
          <w:szCs w:val="22"/>
          <w:rtl/>
          <w:lang w:eastAsia="he-IL"/>
        </w:rPr>
        <w:t xml:space="preserve">בעקבות </w:t>
      </w:r>
      <w:r w:rsidRPr="00F41E78">
        <w:rPr>
          <w:rFonts w:eastAsia="Calibri" w:cs="FrankRuehl"/>
          <w:sz w:val="18"/>
          <w:szCs w:val="22"/>
          <w:rtl/>
          <w:lang w:eastAsia="he-IL"/>
        </w:rPr>
        <w:t>החלט</w:t>
      </w:r>
      <w:r w:rsidRPr="00F41E78">
        <w:rPr>
          <w:rFonts w:eastAsia="Calibri" w:cs="FrankRuehl" w:hint="cs"/>
          <w:sz w:val="18"/>
          <w:szCs w:val="22"/>
          <w:rtl/>
          <w:lang w:eastAsia="he-IL"/>
        </w:rPr>
        <w:t>ו</w:t>
      </w:r>
      <w:r w:rsidRPr="00F41E78">
        <w:rPr>
          <w:rFonts w:eastAsia="Calibri" w:cs="FrankRuehl"/>
          <w:sz w:val="18"/>
          <w:szCs w:val="22"/>
          <w:rtl/>
          <w:lang w:eastAsia="he-IL"/>
        </w:rPr>
        <w:t>ת</w:t>
      </w:r>
      <w:r w:rsidRPr="00F41E78">
        <w:rPr>
          <w:rFonts w:eastAsia="Calibri" w:cs="FrankRuehl" w:hint="cs"/>
          <w:sz w:val="18"/>
          <w:szCs w:val="22"/>
          <w:rtl/>
          <w:lang w:eastAsia="he-IL"/>
        </w:rPr>
        <w:t>יהן של</w:t>
      </w:r>
      <w:r w:rsidRPr="00F41E78">
        <w:rPr>
          <w:rFonts w:eastAsia="Calibri" w:cs="FrankRuehl"/>
          <w:sz w:val="18"/>
          <w:szCs w:val="22"/>
          <w:rtl/>
          <w:lang w:eastAsia="he-IL"/>
        </w:rPr>
        <w:t xml:space="preserve"> הממשלה </w:t>
      </w:r>
      <w:r w:rsidRPr="00F41E78">
        <w:rPr>
          <w:rFonts w:eastAsia="Calibri" w:cs="FrankRuehl" w:hint="cs"/>
          <w:sz w:val="18"/>
          <w:szCs w:val="22"/>
          <w:rtl/>
          <w:lang w:eastAsia="he-IL"/>
        </w:rPr>
        <w:t>ושל מועצת מקרקעי ישראל הוא פרסם</w:t>
      </w:r>
      <w:r w:rsidRPr="00F41E78">
        <w:rPr>
          <w:rFonts w:eastAsia="Calibri" w:cs="FrankRuehl"/>
          <w:sz w:val="18"/>
          <w:szCs w:val="22"/>
          <w:rtl/>
          <w:lang w:eastAsia="he-IL"/>
        </w:rPr>
        <w:t xml:space="preserve"> בשנת 2012</w:t>
      </w:r>
      <w:r w:rsidRPr="00F41E78">
        <w:rPr>
          <w:rFonts w:eastAsia="Calibri" w:cs="FrankRuehl" w:hint="cs"/>
          <w:sz w:val="18"/>
          <w:szCs w:val="22"/>
          <w:rtl/>
          <w:lang w:eastAsia="he-IL"/>
        </w:rPr>
        <w:t xml:space="preserve">, בשיתוף עם </w:t>
      </w:r>
      <w:r w:rsidRPr="00F41E78">
        <w:rPr>
          <w:rFonts w:eastAsia="Calibri" w:cs="FrankRuehl"/>
          <w:sz w:val="18"/>
          <w:szCs w:val="22"/>
          <w:rtl/>
          <w:lang w:eastAsia="he-IL"/>
        </w:rPr>
        <w:t>רמ"י</w:t>
      </w:r>
      <w:r w:rsidRPr="00F41E78">
        <w:rPr>
          <w:rFonts w:eastAsia="Calibri" w:cs="FrankRuehl" w:hint="cs"/>
          <w:sz w:val="18"/>
          <w:szCs w:val="22"/>
          <w:rtl/>
          <w:lang w:eastAsia="he-IL"/>
        </w:rPr>
        <w:t>,</w:t>
      </w:r>
      <w:r w:rsidRPr="00F41E78">
        <w:rPr>
          <w:rFonts w:eastAsia="Calibri" w:cs="FrankRuehl"/>
          <w:sz w:val="18"/>
          <w:szCs w:val="22"/>
          <w:rtl/>
          <w:lang w:eastAsia="he-IL"/>
        </w:rPr>
        <w:t xml:space="preserve"> כ-1,300 יח"ד להשכרה בתשעה מכרזים ובכך </w:t>
      </w:r>
      <w:r w:rsidRPr="00F41E78">
        <w:rPr>
          <w:rFonts w:eastAsia="Calibri" w:cs="FrankRuehl" w:hint="cs"/>
          <w:sz w:val="18"/>
          <w:szCs w:val="22"/>
          <w:rtl/>
          <w:lang w:eastAsia="he-IL"/>
        </w:rPr>
        <w:t>"</w:t>
      </w:r>
      <w:r w:rsidRPr="00F41E78">
        <w:rPr>
          <w:rFonts w:eastAsia="Calibri" w:cs="FrankRuehl"/>
          <w:sz w:val="18"/>
          <w:szCs w:val="22"/>
          <w:rtl/>
          <w:lang w:eastAsia="he-IL"/>
        </w:rPr>
        <w:t>יישמו, גם אם באופן חלקי</w:t>
      </w:r>
      <w:r w:rsidRPr="00F41E78">
        <w:rPr>
          <w:rFonts w:eastAsia="Calibri" w:cs="FrankRuehl" w:hint="cs"/>
          <w:sz w:val="18"/>
          <w:szCs w:val="22"/>
          <w:rtl/>
          <w:lang w:eastAsia="he-IL"/>
        </w:rPr>
        <w:t>,</w:t>
      </w:r>
      <w:r w:rsidRPr="00F41E78">
        <w:rPr>
          <w:rFonts w:eastAsia="Calibri" w:cs="FrankRuehl"/>
          <w:sz w:val="18"/>
          <w:szCs w:val="22"/>
          <w:rtl/>
          <w:lang w:eastAsia="he-IL"/>
        </w:rPr>
        <w:t xml:space="preserve"> את החלטות הממשלה והמועצה</w:t>
      </w:r>
      <w:r w:rsidRPr="00F41E78">
        <w:rPr>
          <w:rFonts w:eastAsia="Calibri" w:cs="FrankRuehl" w:hint="cs"/>
          <w:sz w:val="18"/>
          <w:szCs w:val="22"/>
          <w:rtl/>
          <w:lang w:eastAsia="he-IL"/>
        </w:rPr>
        <w:t>"</w:t>
      </w:r>
      <w:r w:rsidRPr="00F41E78">
        <w:rPr>
          <w:rFonts w:eastAsia="Calibri" w:cs="FrankRuehl"/>
          <w:sz w:val="18"/>
          <w:szCs w:val="22"/>
          <w:rtl/>
          <w:lang w:eastAsia="he-IL"/>
        </w:rPr>
        <w:t>.</w:t>
      </w:r>
    </w:p>
    <w:p w:rsidR="00D22B16" w:rsidRPr="00F41E78" w:rsidP="00D22B16">
      <w:pPr>
        <w:pStyle w:val="RESHET"/>
        <w:keepLines/>
        <w:rPr>
          <w:rFonts w:eastAsia="Calibri"/>
          <w:rtl/>
        </w:rPr>
      </w:pPr>
      <w:r w:rsidRPr="00F41E78">
        <w:rPr>
          <w:rFonts w:eastAsia="Calibri"/>
          <w:rtl/>
        </w:rPr>
        <w:t xml:space="preserve">משרד מבקר המדינה מעיר </w:t>
      </w:r>
      <w:r w:rsidRPr="00F41E78">
        <w:rPr>
          <w:rFonts w:eastAsia="Calibri" w:hint="cs"/>
          <w:rtl/>
        </w:rPr>
        <w:t xml:space="preserve">למשרד הבינוי ולרמ"י </w:t>
      </w:r>
      <w:r w:rsidRPr="00F41E78">
        <w:rPr>
          <w:rFonts w:eastAsia="Calibri"/>
          <w:rtl/>
        </w:rPr>
        <w:t>כי מהות החלטות</w:t>
      </w:r>
      <w:r w:rsidRPr="00F41E78">
        <w:rPr>
          <w:rFonts w:eastAsia="Calibri" w:hint="cs"/>
          <w:rtl/>
        </w:rPr>
        <w:t>יהן של</w:t>
      </w:r>
      <w:r w:rsidRPr="00F41E78">
        <w:rPr>
          <w:rFonts w:eastAsia="Calibri"/>
          <w:rtl/>
        </w:rPr>
        <w:t xml:space="preserve"> הממשלה </w:t>
      </w:r>
      <w:r w:rsidRPr="00F41E78">
        <w:rPr>
          <w:rFonts w:eastAsia="Calibri" w:hint="cs"/>
          <w:rtl/>
        </w:rPr>
        <w:t>ושל מועצת מקרקעי ישראל הייתה לייצר שוק חדש בתחום הדיור - שוק השכרה לטווח ארוך - שיתבסס על גורמים עסקיים ומוסדיים ויסייע לחולל תפנית חיובית במחירי הדיור</w:t>
      </w:r>
      <w:r w:rsidRPr="00F41E78">
        <w:rPr>
          <w:rFonts w:eastAsia="Calibri"/>
          <w:rtl/>
        </w:rPr>
        <w:t xml:space="preserve">. </w:t>
      </w:r>
      <w:r w:rsidRPr="00F41E78">
        <w:rPr>
          <w:rFonts w:eastAsia="Calibri" w:hint="cs"/>
          <w:rtl/>
        </w:rPr>
        <w:t xml:space="preserve">אולם </w:t>
      </w:r>
      <w:r w:rsidRPr="00F41E78">
        <w:rPr>
          <w:rFonts w:eastAsia="Calibri"/>
          <w:rtl/>
        </w:rPr>
        <w:t>פעולותיהם של משרד הבינוי ו</w:t>
      </w:r>
      <w:r w:rsidRPr="00F41E78">
        <w:rPr>
          <w:rFonts w:eastAsia="Calibri" w:hint="cs"/>
          <w:rtl/>
        </w:rPr>
        <w:t xml:space="preserve">של </w:t>
      </w:r>
      <w:r w:rsidRPr="00F41E78">
        <w:rPr>
          <w:rFonts w:eastAsia="Calibri"/>
          <w:rtl/>
        </w:rPr>
        <w:t xml:space="preserve">רמ"י למימוש </w:t>
      </w:r>
      <w:r w:rsidRPr="00F41E78">
        <w:rPr>
          <w:rFonts w:eastAsia="Calibri" w:hint="cs"/>
          <w:rtl/>
        </w:rPr>
        <w:t>ה</w:t>
      </w:r>
      <w:r w:rsidRPr="00F41E78">
        <w:rPr>
          <w:rFonts w:eastAsia="Calibri"/>
          <w:rtl/>
        </w:rPr>
        <w:t xml:space="preserve">החלטות היו מינוריות </w:t>
      </w:r>
      <w:r w:rsidRPr="00F41E78">
        <w:rPr>
          <w:rFonts w:eastAsia="Calibri" w:hint="cs"/>
          <w:rtl/>
        </w:rPr>
        <w:t xml:space="preserve">ובלתי מתוכננות, ולפיכך לא היה בכוחן </w:t>
      </w:r>
      <w:r w:rsidRPr="00F41E78">
        <w:rPr>
          <w:rFonts w:eastAsia="Calibri"/>
          <w:rtl/>
        </w:rPr>
        <w:t>להשפיע על השוק.</w:t>
      </w:r>
    </w:p>
    <w:p w:rsidR="00D22B16" w:rsidRPr="00F41E78" w:rsidP="00D22B16">
      <w:pPr>
        <w:pStyle w:val="RESHET"/>
        <w:keepLines/>
        <w:rPr>
          <w:rFonts w:eastAsia="Calibri"/>
          <w:rtl/>
        </w:rPr>
      </w:pPr>
      <w:r w:rsidRPr="00F41E78">
        <w:rPr>
          <w:rFonts w:eastAsia="Calibri"/>
          <w:rtl/>
        </w:rPr>
        <w:t xml:space="preserve">רק ביוני 2013 </w:t>
      </w:r>
      <w:r w:rsidRPr="00F41E78">
        <w:rPr>
          <w:rFonts w:eastAsia="Calibri" w:hint="cs"/>
          <w:rtl/>
        </w:rPr>
        <w:t>קבע</w:t>
      </w:r>
      <w:r w:rsidRPr="00F41E78">
        <w:rPr>
          <w:rFonts w:eastAsia="Calibri"/>
          <w:rtl/>
        </w:rPr>
        <w:t xml:space="preserve"> קבינט הדיור יעדים כמותיים ולוח זמנים לתכנית הבנייה להשכרה </w:t>
      </w:r>
      <w:r w:rsidRPr="00F41E78">
        <w:rPr>
          <w:rFonts w:eastAsia="Calibri" w:hint="cs"/>
          <w:rtl/>
        </w:rPr>
        <w:t>ל</w:t>
      </w:r>
      <w:r w:rsidRPr="00F41E78">
        <w:rPr>
          <w:rFonts w:eastAsia="Calibri"/>
          <w:rtl/>
        </w:rPr>
        <w:t>טווח</w:t>
      </w:r>
      <w:r w:rsidRPr="00F41E78">
        <w:rPr>
          <w:rFonts w:eastAsia="Calibri" w:hint="cs"/>
          <w:rtl/>
        </w:rPr>
        <w:t xml:space="preserve"> הארוך; החלטות אלו קיבלו תוקף של החלטות ממשלה.</w:t>
      </w:r>
    </w:p>
    <w:p w:rsidR="00E97EDA" w:rsidRPr="00F41E78" w:rsidP="00B63589">
      <w:pPr>
        <w:spacing w:before="180" w:after="12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1</w:t>
      </w:r>
      <w:r w:rsidRPr="00F41E78">
        <w:rPr>
          <w:rFonts w:eastAsia="Calibri" w:cs="FrankRuehl"/>
          <w:sz w:val="18"/>
          <w:szCs w:val="22"/>
          <w:rtl/>
          <w:lang w:eastAsia="he-IL"/>
        </w:rPr>
        <w:t>.</w:t>
      </w:r>
      <w:r w:rsidRPr="00F41E78">
        <w:rPr>
          <w:rFonts w:eastAsia="Calibri" w:cs="FrankRuehl"/>
          <w:sz w:val="18"/>
          <w:szCs w:val="22"/>
          <w:rtl/>
          <w:lang w:eastAsia="he-IL"/>
        </w:rPr>
        <w:tab/>
        <w:t>בהחלטת הממשלה</w:t>
      </w:r>
      <w:r w:rsidRPr="00F41E78">
        <w:rPr>
          <w:rFonts w:eastAsia="Calibri" w:cs="FrankRuehl" w:hint="cs"/>
          <w:sz w:val="18"/>
          <w:szCs w:val="22"/>
          <w:rtl/>
          <w:lang w:eastAsia="he-IL"/>
        </w:rPr>
        <w:t xml:space="preserve"> מס'</w:t>
      </w:r>
      <w:r w:rsidRPr="00F41E78">
        <w:rPr>
          <w:rFonts w:eastAsia="Calibri" w:cs="FrankRuehl"/>
          <w:sz w:val="18"/>
          <w:szCs w:val="22"/>
          <w:rtl/>
          <w:lang w:eastAsia="he-IL"/>
        </w:rPr>
        <w:t xml:space="preserve"> 301 מ</w:t>
      </w:r>
      <w:r w:rsidRPr="00F41E78">
        <w:rPr>
          <w:rFonts w:eastAsia="Calibri" w:cs="FrankRuehl" w:hint="cs"/>
          <w:sz w:val="18"/>
          <w:szCs w:val="22"/>
          <w:rtl/>
          <w:lang w:eastAsia="he-IL"/>
        </w:rPr>
        <w:t xml:space="preserve">מאי 2013 </w:t>
      </w:r>
      <w:r w:rsidRPr="00F41E78">
        <w:rPr>
          <w:rFonts w:eastAsia="Calibri" w:cs="FrankRuehl"/>
          <w:sz w:val="18"/>
          <w:szCs w:val="22"/>
          <w:rtl/>
          <w:lang w:eastAsia="he-IL"/>
        </w:rPr>
        <w:t xml:space="preserve">שעניינה פרויקט דיור לאומי הוחלט להרחיב את היצע הדירות באמצעות </w:t>
      </w:r>
      <w:r w:rsidRPr="00F41E78">
        <w:rPr>
          <w:rFonts w:eastAsia="Calibri" w:cs="FrankRuehl" w:hint="cs"/>
          <w:sz w:val="18"/>
          <w:szCs w:val="22"/>
          <w:rtl/>
          <w:lang w:eastAsia="he-IL"/>
        </w:rPr>
        <w:t xml:space="preserve">בנייה של </w:t>
      </w:r>
      <w:r w:rsidRPr="00F41E78">
        <w:rPr>
          <w:rFonts w:eastAsia="Calibri" w:cs="FrankRuehl"/>
          <w:sz w:val="18"/>
          <w:szCs w:val="22"/>
          <w:rtl/>
          <w:lang w:eastAsia="he-IL"/>
        </w:rPr>
        <w:t>דירות להשכרה</w:t>
      </w:r>
      <w:r w:rsidRPr="00F41E78">
        <w:rPr>
          <w:rFonts w:eastAsia="Calibri" w:cs="FrankRuehl" w:hint="cs"/>
          <w:sz w:val="18"/>
          <w:szCs w:val="22"/>
          <w:rtl/>
          <w:lang w:eastAsia="he-IL"/>
        </w:rPr>
        <w:t>. עוד</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הוחלט </w:t>
      </w:r>
      <w:r w:rsidRPr="00F41E78">
        <w:rPr>
          <w:rFonts w:eastAsia="Calibri" w:cs="FrankRuehl"/>
          <w:sz w:val="18"/>
          <w:szCs w:val="22"/>
          <w:rtl/>
          <w:lang w:eastAsia="he-IL"/>
        </w:rPr>
        <w:t xml:space="preserve">כי </w:t>
      </w:r>
      <w:r w:rsidRPr="00F41E78">
        <w:rPr>
          <w:rFonts w:eastAsia="Calibri" w:cs="FrankRuehl" w:hint="cs"/>
          <w:sz w:val="18"/>
          <w:szCs w:val="22"/>
          <w:rtl/>
          <w:lang w:eastAsia="he-IL"/>
        </w:rPr>
        <w:t xml:space="preserve">בתוך כעשר שנים ייבנו </w:t>
      </w:r>
      <w:r w:rsidR="00B63589">
        <w:rPr>
          <w:rFonts w:eastAsia="Calibri" w:cs="FrankRuehl"/>
          <w:sz w:val="18"/>
          <w:szCs w:val="22"/>
          <w:rtl/>
          <w:lang w:eastAsia="he-IL"/>
        </w:rPr>
        <w:br/>
      </w:r>
      <w:r w:rsidRPr="00F41E78">
        <w:rPr>
          <w:rFonts w:eastAsia="Calibri" w:cs="FrankRuehl"/>
          <w:sz w:val="18"/>
          <w:szCs w:val="22"/>
          <w:rtl/>
          <w:lang w:eastAsia="he-IL"/>
        </w:rPr>
        <w:t>כ</w:t>
      </w:r>
      <w:r w:rsidRPr="00F41E78">
        <w:rPr>
          <w:rFonts w:eastAsia="Calibri" w:cs="FrankRuehl" w:hint="cs"/>
          <w:sz w:val="18"/>
          <w:szCs w:val="22"/>
          <w:rtl/>
          <w:lang w:eastAsia="he-IL"/>
        </w:rPr>
        <w:t>-</w:t>
      </w:r>
      <w:r w:rsidRPr="00F41E78">
        <w:rPr>
          <w:rFonts w:eastAsia="Calibri" w:cs="FrankRuehl"/>
          <w:sz w:val="18"/>
          <w:szCs w:val="22"/>
          <w:rtl/>
          <w:lang w:eastAsia="he-IL"/>
        </w:rPr>
        <w:t xml:space="preserve">150,000 </w:t>
      </w:r>
      <w:r w:rsidRPr="00F41E78">
        <w:rPr>
          <w:rFonts w:eastAsia="Calibri" w:cs="FrankRuehl" w:hint="cs"/>
          <w:sz w:val="18"/>
          <w:szCs w:val="22"/>
          <w:rtl/>
          <w:lang w:eastAsia="he-IL"/>
        </w:rPr>
        <w:t>יח"ד שייועדו להשכרה</w:t>
      </w:r>
      <w:r w:rsidRPr="00F41E78">
        <w:rPr>
          <w:rFonts w:eastAsia="Calibri" w:cs="FrankRuehl"/>
          <w:sz w:val="18"/>
          <w:szCs w:val="22"/>
          <w:rtl/>
          <w:lang w:eastAsia="he-IL"/>
        </w:rPr>
        <w:t>.</w:t>
      </w:r>
    </w:p>
    <w:p w:rsidR="00E97EDA" w:rsidRPr="00F41E78" w:rsidP="00B63589">
      <w:pPr>
        <w:spacing w:after="24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2</w:t>
      </w:r>
      <w:r w:rsidRPr="00F41E78">
        <w:rPr>
          <w:rFonts w:eastAsia="Calibri" w:cs="FrankRuehl"/>
          <w:sz w:val="18"/>
          <w:szCs w:val="22"/>
          <w:rtl/>
          <w:lang w:eastAsia="he-IL"/>
        </w:rPr>
        <w:t>.</w:t>
      </w:r>
      <w:r w:rsidRPr="00F41E78">
        <w:rPr>
          <w:rFonts w:eastAsia="Calibri" w:cs="FrankRuehl"/>
          <w:sz w:val="18"/>
          <w:szCs w:val="22"/>
          <w:rtl/>
          <w:lang w:eastAsia="he-IL"/>
        </w:rPr>
        <w:tab/>
        <w:t>בהחלטת ממשלה</w:t>
      </w:r>
      <w:r w:rsidRPr="00F41E78">
        <w:rPr>
          <w:rFonts w:eastAsia="Calibri" w:cs="FrankRuehl" w:hint="cs"/>
          <w:sz w:val="18"/>
          <w:szCs w:val="22"/>
          <w:rtl/>
          <w:lang w:eastAsia="he-IL"/>
        </w:rPr>
        <w:t xml:space="preserve"> מס'</w:t>
      </w:r>
      <w:r w:rsidRPr="00F41E78">
        <w:rPr>
          <w:rFonts w:eastAsia="Calibri" w:cs="FrankRuehl"/>
          <w:sz w:val="18"/>
          <w:szCs w:val="22"/>
          <w:rtl/>
          <w:lang w:eastAsia="he-IL"/>
        </w:rPr>
        <w:t xml:space="preserve"> 372 מ</w:t>
      </w:r>
      <w:r w:rsidRPr="00F41E78">
        <w:rPr>
          <w:rFonts w:eastAsia="Calibri" w:cs="FrankRuehl" w:hint="cs"/>
          <w:sz w:val="18"/>
          <w:szCs w:val="22"/>
          <w:rtl/>
          <w:lang w:eastAsia="he-IL"/>
        </w:rPr>
        <w:t xml:space="preserve">יוני 2013 </w:t>
      </w:r>
      <w:r w:rsidRPr="00F41E78">
        <w:rPr>
          <w:rFonts w:eastAsia="Calibri" w:cs="FrankRuehl"/>
          <w:sz w:val="18"/>
          <w:szCs w:val="22"/>
          <w:rtl/>
          <w:lang w:eastAsia="he-IL"/>
        </w:rPr>
        <w:t>שעניינה הסרת חסמים בבני</w:t>
      </w:r>
      <w:r w:rsidRPr="00F41E78">
        <w:rPr>
          <w:rFonts w:eastAsia="Calibri" w:cs="FrankRuehl" w:hint="cs"/>
          <w:sz w:val="18"/>
          <w:szCs w:val="22"/>
          <w:rtl/>
          <w:lang w:eastAsia="he-IL"/>
        </w:rPr>
        <w:t>י</w:t>
      </w:r>
      <w:r w:rsidRPr="00F41E78">
        <w:rPr>
          <w:rFonts w:eastAsia="Calibri" w:cs="FrankRuehl"/>
          <w:sz w:val="18"/>
          <w:szCs w:val="22"/>
          <w:rtl/>
          <w:lang w:eastAsia="he-IL"/>
        </w:rPr>
        <w:t xml:space="preserve">ה להשכרה הוחלט שהיעד לשנים </w:t>
      </w:r>
      <w:r w:rsidRPr="00F41E78">
        <w:rPr>
          <w:rFonts w:eastAsia="Calibri" w:cs="FrankRuehl" w:hint="cs"/>
          <w:sz w:val="18"/>
          <w:szCs w:val="22"/>
          <w:rtl/>
          <w:lang w:eastAsia="he-IL"/>
        </w:rPr>
        <w:t>2014-2013</w:t>
      </w:r>
      <w:r w:rsidRPr="00F41E78">
        <w:rPr>
          <w:rFonts w:eastAsia="Calibri" w:cs="FrankRuehl"/>
          <w:sz w:val="18"/>
          <w:szCs w:val="22"/>
          <w:rtl/>
          <w:lang w:eastAsia="he-IL"/>
        </w:rPr>
        <w:t xml:space="preserve"> </w:t>
      </w:r>
      <w:r w:rsidRPr="00F41E78">
        <w:rPr>
          <w:rFonts w:eastAsia="Calibri" w:cs="FrankRuehl" w:hint="cs"/>
          <w:sz w:val="18"/>
          <w:szCs w:val="22"/>
          <w:rtl/>
          <w:lang w:eastAsia="he-IL"/>
        </w:rPr>
        <w:t>יהיה שיווק של</w:t>
      </w:r>
      <w:r w:rsidRPr="00F41E78">
        <w:rPr>
          <w:rFonts w:eastAsia="Calibri" w:cs="FrankRuehl"/>
          <w:sz w:val="18"/>
          <w:szCs w:val="22"/>
          <w:rtl/>
          <w:lang w:eastAsia="he-IL"/>
        </w:rPr>
        <w:t xml:space="preserve"> 5,832 יח"ד להשכרה לטווח ארוך (3,916 ו</w:t>
      </w:r>
      <w:r w:rsidRPr="00F41E78">
        <w:rPr>
          <w:rFonts w:eastAsia="Calibri" w:cs="FrankRuehl" w:hint="cs"/>
          <w:sz w:val="18"/>
          <w:szCs w:val="22"/>
          <w:rtl/>
          <w:lang w:eastAsia="he-IL"/>
        </w:rPr>
        <w:t>-</w:t>
      </w:r>
      <w:r w:rsidRPr="00F41E78">
        <w:rPr>
          <w:rFonts w:eastAsia="Calibri" w:cs="FrankRuehl"/>
          <w:sz w:val="18"/>
          <w:szCs w:val="22"/>
          <w:rtl/>
          <w:lang w:eastAsia="he-IL"/>
        </w:rPr>
        <w:t>1,916</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בהתאמה</w:t>
      </w:r>
      <w:r w:rsidRPr="00F41E78">
        <w:rPr>
          <w:rFonts w:eastAsia="Calibri" w:cs="FrankRuehl"/>
          <w:sz w:val="18"/>
          <w:szCs w:val="22"/>
          <w:rtl/>
          <w:lang w:eastAsia="he-IL"/>
        </w:rPr>
        <w:t>).</w:t>
      </w:r>
    </w:p>
    <w:p w:rsidR="00D22B16" w:rsidRPr="00F41E78" w:rsidP="00D22B16">
      <w:pPr>
        <w:pStyle w:val="RESHET"/>
        <w:keepLines/>
        <w:rPr>
          <w:rFonts w:eastAsia="Calibri"/>
          <w:rtl/>
        </w:rPr>
      </w:pPr>
      <w:r w:rsidRPr="00F41E78">
        <w:rPr>
          <w:rFonts w:eastAsia="Calibri" w:hint="cs"/>
          <w:rtl/>
        </w:rPr>
        <w:t>הו</w:t>
      </w:r>
      <w:r w:rsidRPr="00F41E78">
        <w:rPr>
          <w:rFonts w:eastAsia="Calibri"/>
          <w:rtl/>
        </w:rPr>
        <w:t xml:space="preserve">עלה כי היעדים הכמותיים שקבעה הממשלה למשרד הבינוי ולרמ"י לא </w:t>
      </w:r>
      <w:r w:rsidRPr="00F41E78">
        <w:rPr>
          <w:rFonts w:eastAsia="Calibri" w:hint="cs"/>
          <w:rtl/>
        </w:rPr>
        <w:t>התבססו על</w:t>
      </w:r>
      <w:r w:rsidRPr="00F41E78">
        <w:rPr>
          <w:rFonts w:eastAsia="Calibri"/>
          <w:rtl/>
        </w:rPr>
        <w:t xml:space="preserve"> עבודת מטה לבחינת הצרכים העתידיים של מדינת ישראל </w:t>
      </w:r>
      <w:r w:rsidRPr="00F41E78">
        <w:rPr>
          <w:rFonts w:eastAsia="Calibri" w:hint="cs"/>
          <w:rtl/>
        </w:rPr>
        <w:t xml:space="preserve">בנוגע להיקף </w:t>
      </w:r>
      <w:r w:rsidRPr="00F41E78">
        <w:rPr>
          <w:rFonts w:eastAsia="Calibri"/>
          <w:rtl/>
        </w:rPr>
        <w:t>יח</w:t>
      </w:r>
      <w:r w:rsidRPr="00F41E78">
        <w:rPr>
          <w:rFonts w:eastAsia="Calibri" w:hint="cs"/>
          <w:rtl/>
        </w:rPr>
        <w:t xml:space="preserve">"ד </w:t>
      </w:r>
      <w:r w:rsidRPr="00F41E78">
        <w:rPr>
          <w:rFonts w:eastAsia="Calibri"/>
          <w:rtl/>
        </w:rPr>
        <w:t xml:space="preserve">שיידרשו להשכרה </w:t>
      </w:r>
      <w:r w:rsidRPr="00F41E78">
        <w:rPr>
          <w:rFonts w:eastAsia="Calibri" w:hint="cs"/>
          <w:rtl/>
        </w:rPr>
        <w:t>ל</w:t>
      </w:r>
      <w:r w:rsidRPr="00F41E78">
        <w:rPr>
          <w:rFonts w:eastAsia="Calibri"/>
          <w:rtl/>
        </w:rPr>
        <w:t>טווח</w:t>
      </w:r>
      <w:r w:rsidRPr="00F41E78">
        <w:rPr>
          <w:rFonts w:eastAsia="Calibri" w:hint="cs"/>
          <w:rtl/>
        </w:rPr>
        <w:t xml:space="preserve"> ארוך</w:t>
      </w:r>
      <w:r w:rsidRPr="00F41E78">
        <w:rPr>
          <w:rFonts w:eastAsia="Calibri"/>
          <w:rtl/>
        </w:rPr>
        <w:t xml:space="preserve">, </w:t>
      </w:r>
      <w:r w:rsidRPr="00F41E78">
        <w:rPr>
          <w:rFonts w:eastAsia="Calibri" w:hint="cs"/>
          <w:rtl/>
        </w:rPr>
        <w:t>ל</w:t>
      </w:r>
      <w:r w:rsidRPr="00F41E78">
        <w:rPr>
          <w:rFonts w:eastAsia="Calibri"/>
          <w:rtl/>
        </w:rPr>
        <w:t>היק</w:t>
      </w:r>
      <w:r w:rsidRPr="00F41E78">
        <w:rPr>
          <w:rFonts w:eastAsia="Calibri" w:hint="cs"/>
          <w:rtl/>
        </w:rPr>
        <w:t>פה של</w:t>
      </w:r>
      <w:r w:rsidRPr="00F41E78">
        <w:rPr>
          <w:rFonts w:eastAsia="Calibri"/>
          <w:rtl/>
        </w:rPr>
        <w:t xml:space="preserve"> אוכלוסיי</w:t>
      </w:r>
      <w:r w:rsidRPr="00F41E78">
        <w:rPr>
          <w:rFonts w:eastAsia="Calibri" w:hint="cs"/>
          <w:rtl/>
        </w:rPr>
        <w:t>ת היעד</w:t>
      </w:r>
      <w:r w:rsidRPr="00F41E78">
        <w:rPr>
          <w:rFonts w:eastAsia="Calibri"/>
          <w:rtl/>
        </w:rPr>
        <w:t xml:space="preserve"> ו</w:t>
      </w:r>
      <w:r w:rsidRPr="00F41E78">
        <w:rPr>
          <w:rFonts w:eastAsia="Calibri" w:hint="cs"/>
          <w:rtl/>
        </w:rPr>
        <w:t>ל</w:t>
      </w:r>
      <w:r w:rsidRPr="00F41E78">
        <w:rPr>
          <w:rFonts w:eastAsia="Calibri"/>
          <w:rtl/>
        </w:rPr>
        <w:t xml:space="preserve">תמהיל יחידות הדיור </w:t>
      </w:r>
      <w:r w:rsidRPr="00F41E78">
        <w:rPr>
          <w:rFonts w:eastAsia="Calibri" w:hint="cs"/>
          <w:rtl/>
        </w:rPr>
        <w:t>ה</w:t>
      </w:r>
      <w:r w:rsidRPr="00F41E78">
        <w:rPr>
          <w:rFonts w:eastAsia="Calibri"/>
          <w:rtl/>
        </w:rPr>
        <w:t xml:space="preserve">נדרש </w:t>
      </w:r>
      <w:r w:rsidRPr="00F41E78">
        <w:rPr>
          <w:rFonts w:eastAsia="Calibri" w:hint="cs"/>
          <w:rtl/>
        </w:rPr>
        <w:t xml:space="preserve">לפי </w:t>
      </w:r>
      <w:r w:rsidRPr="00F41E78">
        <w:rPr>
          <w:rFonts w:eastAsia="Calibri"/>
          <w:rtl/>
        </w:rPr>
        <w:t>אפיון הצרכים</w:t>
      </w:r>
      <w:r w:rsidRPr="00F41E78">
        <w:rPr>
          <w:rFonts w:eastAsia="Calibri" w:hint="cs"/>
          <w:rtl/>
        </w:rPr>
        <w:t>.</w:t>
      </w:r>
      <w:r w:rsidRPr="00F41E78">
        <w:rPr>
          <w:rFonts w:eastAsia="Calibri"/>
          <w:rtl/>
        </w:rPr>
        <w:t xml:space="preserve"> </w:t>
      </w:r>
    </w:p>
    <w:p w:rsidR="00D22B16" w:rsidRPr="00F41E78" w:rsidP="00D22B16">
      <w:pPr>
        <w:pStyle w:val="RESHET"/>
        <w:keepLines/>
        <w:rPr>
          <w:rFonts w:eastAsia="Calibri"/>
          <w:rtl/>
        </w:rPr>
      </w:pPr>
      <w:r w:rsidRPr="00F41E78">
        <w:rPr>
          <w:rFonts w:eastAsia="Calibri" w:hint="cs"/>
          <w:rtl/>
        </w:rPr>
        <w:t xml:space="preserve">לא זו אף זו, </w:t>
      </w:r>
      <w:r w:rsidRPr="00F41E78">
        <w:rPr>
          <w:rFonts w:eastAsia="Calibri"/>
          <w:rtl/>
        </w:rPr>
        <w:t xml:space="preserve">היעדים שנקבעו </w:t>
      </w:r>
      <w:r w:rsidRPr="00F41E78">
        <w:rPr>
          <w:rFonts w:eastAsia="Calibri" w:hint="cs"/>
          <w:rtl/>
        </w:rPr>
        <w:t xml:space="preserve">בהחלטות </w:t>
      </w:r>
      <w:r w:rsidRPr="00F41E78">
        <w:rPr>
          <w:rFonts w:eastAsia="Calibri"/>
          <w:rtl/>
        </w:rPr>
        <w:t>אינם עקביים ולא ברור אם יש ביניהם קשר כלשהו</w:t>
      </w:r>
      <w:r w:rsidRPr="00F41E78">
        <w:rPr>
          <w:rFonts w:eastAsia="Calibri" w:hint="cs"/>
          <w:rtl/>
        </w:rPr>
        <w:t>.</w:t>
      </w:r>
      <w:r w:rsidRPr="00F41E78">
        <w:rPr>
          <w:rFonts w:eastAsia="Calibri"/>
          <w:rtl/>
        </w:rPr>
        <w:t xml:space="preserve"> למשל</w:t>
      </w:r>
      <w:r w:rsidRPr="00F41E78">
        <w:rPr>
          <w:rFonts w:eastAsia="Calibri" w:hint="cs"/>
          <w:rtl/>
        </w:rPr>
        <w:t>,</w:t>
      </w:r>
      <w:r w:rsidRPr="00F41E78">
        <w:rPr>
          <w:rFonts w:eastAsia="Calibri"/>
          <w:rtl/>
        </w:rPr>
        <w:t xml:space="preserve"> אם היעד </w:t>
      </w:r>
      <w:r w:rsidRPr="00F41E78">
        <w:rPr>
          <w:rFonts w:eastAsia="Calibri" w:hint="cs"/>
          <w:rtl/>
        </w:rPr>
        <w:t xml:space="preserve">לשווק </w:t>
      </w:r>
      <w:r w:rsidRPr="00F41E78">
        <w:rPr>
          <w:rFonts w:eastAsia="Calibri"/>
          <w:rtl/>
        </w:rPr>
        <w:t xml:space="preserve">5,832 יח"ד </w:t>
      </w:r>
      <w:r w:rsidRPr="00F41E78">
        <w:rPr>
          <w:rFonts w:eastAsia="Calibri" w:hint="cs"/>
          <w:rtl/>
        </w:rPr>
        <w:t>ב</w:t>
      </w:r>
      <w:r w:rsidRPr="00F41E78">
        <w:rPr>
          <w:rFonts w:eastAsia="Calibri"/>
          <w:rtl/>
        </w:rPr>
        <w:t xml:space="preserve">השכרה </w:t>
      </w:r>
      <w:r w:rsidRPr="00F41E78">
        <w:rPr>
          <w:rFonts w:eastAsia="Calibri" w:hint="cs"/>
          <w:rtl/>
        </w:rPr>
        <w:t>ל</w:t>
      </w:r>
      <w:r w:rsidRPr="00F41E78">
        <w:rPr>
          <w:rFonts w:eastAsia="Calibri"/>
          <w:rtl/>
        </w:rPr>
        <w:t>טווח</w:t>
      </w:r>
      <w:r w:rsidRPr="00F41E78">
        <w:rPr>
          <w:rFonts w:eastAsia="Calibri" w:hint="cs"/>
          <w:rtl/>
        </w:rPr>
        <w:t xml:space="preserve"> ארוך</w:t>
      </w:r>
      <w:r w:rsidRPr="00F41E78">
        <w:rPr>
          <w:rFonts w:eastAsia="Calibri"/>
          <w:rtl/>
        </w:rPr>
        <w:t xml:space="preserve"> בשנים </w:t>
      </w:r>
      <w:r w:rsidRPr="00F41E78">
        <w:rPr>
          <w:rFonts w:eastAsia="Calibri" w:hint="cs"/>
          <w:rtl/>
        </w:rPr>
        <w:t xml:space="preserve">2014-2013 נכלל במסגרת </w:t>
      </w:r>
      <w:r w:rsidRPr="00F41E78">
        <w:rPr>
          <w:rFonts w:eastAsia="Calibri"/>
          <w:rtl/>
        </w:rPr>
        <w:t xml:space="preserve">היעד </w:t>
      </w:r>
      <w:r w:rsidRPr="00F41E78">
        <w:rPr>
          <w:rFonts w:eastAsia="Calibri" w:hint="cs"/>
          <w:rtl/>
        </w:rPr>
        <w:t xml:space="preserve">שלפיו ישווקו </w:t>
      </w:r>
      <w:r w:rsidRPr="00F41E78">
        <w:rPr>
          <w:rFonts w:eastAsia="Calibri"/>
          <w:rtl/>
        </w:rPr>
        <w:t>150,000 יח"ד בעשור הקרוב</w:t>
      </w:r>
      <w:r w:rsidRPr="00F41E78">
        <w:rPr>
          <w:rFonts w:eastAsia="Calibri" w:hint="cs"/>
          <w:rtl/>
        </w:rPr>
        <w:t xml:space="preserve">. גם לא ברור </w:t>
      </w:r>
      <w:r w:rsidRPr="00F41E78">
        <w:rPr>
          <w:rFonts w:eastAsia="Calibri"/>
          <w:rtl/>
        </w:rPr>
        <w:t>אם היעד לשווק 150,000 יח"ד להשכרה</w:t>
      </w:r>
      <w:r w:rsidRPr="00F41E78">
        <w:rPr>
          <w:rFonts w:eastAsia="Calibri" w:hint="cs"/>
          <w:rtl/>
        </w:rPr>
        <w:t xml:space="preserve"> עולה בקנה אחד עם </w:t>
      </w:r>
      <w:r w:rsidRPr="00F41E78">
        <w:rPr>
          <w:rFonts w:eastAsia="Calibri"/>
          <w:rtl/>
        </w:rPr>
        <w:t>ההחלטה מ</w:t>
      </w:r>
      <w:r w:rsidRPr="00F41E78">
        <w:rPr>
          <w:rFonts w:eastAsia="Calibri" w:hint="cs"/>
          <w:rtl/>
        </w:rPr>
        <w:t xml:space="preserve">שנת </w:t>
      </w:r>
      <w:r w:rsidRPr="00F41E78">
        <w:rPr>
          <w:rFonts w:eastAsia="Calibri"/>
          <w:rtl/>
        </w:rPr>
        <w:t xml:space="preserve">2012 </w:t>
      </w:r>
      <w:r w:rsidRPr="00F41E78">
        <w:rPr>
          <w:rFonts w:eastAsia="Calibri" w:hint="cs"/>
          <w:rtl/>
        </w:rPr>
        <w:t>ולפיה</w:t>
      </w:r>
      <w:r w:rsidRPr="00F41E78">
        <w:rPr>
          <w:rFonts w:eastAsia="Calibri"/>
          <w:rtl/>
        </w:rPr>
        <w:t xml:space="preserve"> </w:t>
      </w:r>
      <w:r w:rsidRPr="00F41E78">
        <w:rPr>
          <w:rFonts w:eastAsia="Calibri" w:hint="cs"/>
          <w:rtl/>
        </w:rPr>
        <w:t>ישווקו</w:t>
      </w:r>
      <w:r w:rsidRPr="00F41E78">
        <w:rPr>
          <w:rFonts w:eastAsia="Calibri"/>
          <w:rtl/>
        </w:rPr>
        <w:t xml:space="preserve"> 200,000 יח"ד </w:t>
      </w:r>
      <w:r w:rsidRPr="00F41E78">
        <w:rPr>
          <w:rFonts w:eastAsia="Calibri" w:hint="cs"/>
          <w:rtl/>
        </w:rPr>
        <w:t>ב</w:t>
      </w:r>
      <w:r w:rsidRPr="00F41E78">
        <w:rPr>
          <w:rFonts w:eastAsia="Calibri"/>
          <w:rtl/>
        </w:rPr>
        <w:t xml:space="preserve">חומש הקרוב (בשנים 2016-2012), </w:t>
      </w:r>
      <w:r w:rsidRPr="00F41E78">
        <w:rPr>
          <w:rFonts w:eastAsia="Calibri" w:hint="cs"/>
          <w:rtl/>
        </w:rPr>
        <w:t>ו</w:t>
      </w:r>
      <w:r w:rsidRPr="00F41E78">
        <w:rPr>
          <w:rFonts w:eastAsia="Calibri"/>
          <w:rtl/>
        </w:rPr>
        <w:t>מתוכן 40,000 יח"ד להשכרה לטווח ארוך או דירות קטנות</w:t>
      </w:r>
      <w:r w:rsidRPr="00F41E78">
        <w:rPr>
          <w:rFonts w:eastAsia="Calibri" w:hint="cs"/>
          <w:rtl/>
        </w:rPr>
        <w:t>, או שמא הוא מבטל החלטה זו</w:t>
      </w:r>
      <w:r w:rsidRPr="00F41E78">
        <w:rPr>
          <w:rFonts w:eastAsia="Calibri"/>
          <w:rtl/>
        </w:rPr>
        <w:t xml:space="preserve">. </w:t>
      </w:r>
    </w:p>
    <w:p w:rsidR="00D22B16" w:rsidRPr="00F41E78" w:rsidP="00D22B16">
      <w:pPr>
        <w:pStyle w:val="RESHET"/>
        <w:keepLines/>
        <w:rPr>
          <w:rFonts w:eastAsia="Calibri"/>
          <w:rtl/>
        </w:rPr>
      </w:pPr>
      <w:r w:rsidRPr="00F41E78">
        <w:rPr>
          <w:rFonts w:eastAsia="Calibri" w:hint="cs"/>
          <w:rtl/>
        </w:rPr>
        <w:t>ב</w:t>
      </w:r>
      <w:r w:rsidRPr="00F41E78">
        <w:rPr>
          <w:rFonts w:eastAsia="Calibri"/>
          <w:rtl/>
        </w:rPr>
        <w:t>ב</w:t>
      </w:r>
      <w:r w:rsidRPr="00F41E78">
        <w:rPr>
          <w:rFonts w:eastAsia="Calibri" w:hint="cs"/>
          <w:rtl/>
        </w:rPr>
        <w:t>יקורת נמצא</w:t>
      </w:r>
      <w:r w:rsidRPr="00F41E78">
        <w:rPr>
          <w:rFonts w:eastAsia="Calibri"/>
          <w:rtl/>
        </w:rPr>
        <w:t xml:space="preserve"> חוסר הלימה בין יעדי השיווק </w:t>
      </w:r>
      <w:r w:rsidRPr="00F41E78">
        <w:rPr>
          <w:rFonts w:eastAsia="Calibri" w:hint="cs"/>
          <w:rtl/>
        </w:rPr>
        <w:t>ו</w:t>
      </w:r>
      <w:r w:rsidRPr="00F41E78">
        <w:rPr>
          <w:rFonts w:eastAsia="Calibri"/>
          <w:rtl/>
        </w:rPr>
        <w:t xml:space="preserve">לוח הזמנים </w:t>
      </w:r>
      <w:r w:rsidRPr="00F41E78">
        <w:rPr>
          <w:rFonts w:eastAsia="Calibri" w:hint="cs"/>
          <w:rtl/>
        </w:rPr>
        <w:t>לשנים 2014-2013 שקבעה הממשלה בהחלטותיה ו</w:t>
      </w:r>
      <w:r w:rsidRPr="00F41E78">
        <w:rPr>
          <w:rFonts w:eastAsia="Calibri"/>
          <w:rtl/>
        </w:rPr>
        <w:t xml:space="preserve">בין המלאי התכנוני הזמין המתאים לשיווק קרקע לבנייה להשכרה </w:t>
      </w:r>
      <w:r w:rsidRPr="00F41E78">
        <w:rPr>
          <w:rFonts w:eastAsia="Calibri" w:hint="cs"/>
          <w:rtl/>
        </w:rPr>
        <w:t>ל</w:t>
      </w:r>
      <w:r w:rsidRPr="00F41E78">
        <w:rPr>
          <w:rFonts w:eastAsia="Calibri"/>
          <w:rtl/>
        </w:rPr>
        <w:t>טווח</w:t>
      </w:r>
      <w:r w:rsidRPr="00F41E78">
        <w:rPr>
          <w:rFonts w:eastAsia="Calibri" w:hint="cs"/>
          <w:rtl/>
        </w:rPr>
        <w:t xml:space="preserve"> ארוך. לפי הנתונים הנכונים ל</w:t>
      </w:r>
      <w:r w:rsidRPr="00F41E78">
        <w:rPr>
          <w:rFonts w:eastAsia="Calibri"/>
          <w:rtl/>
        </w:rPr>
        <w:t>מועד סיום הביקורת</w:t>
      </w:r>
      <w:r w:rsidRPr="00F41E78">
        <w:rPr>
          <w:rFonts w:eastAsia="Calibri" w:hint="cs"/>
          <w:rtl/>
        </w:rPr>
        <w:t>,</w:t>
      </w:r>
      <w:r w:rsidRPr="00F41E78">
        <w:rPr>
          <w:rFonts w:eastAsia="Calibri"/>
          <w:rtl/>
        </w:rPr>
        <w:t xml:space="preserve"> תכנית השיווק של רמ"י לשנים</w:t>
      </w:r>
      <w:r w:rsidRPr="00F41E78">
        <w:rPr>
          <w:rFonts w:eastAsia="Calibri" w:hint="cs"/>
          <w:rtl/>
        </w:rPr>
        <w:t xml:space="preserve"> אלו התבססה על </w:t>
      </w:r>
      <w:r w:rsidRPr="00F41E78">
        <w:rPr>
          <w:rFonts w:eastAsia="Calibri"/>
          <w:rtl/>
        </w:rPr>
        <w:t xml:space="preserve">מלאי תכנוני זמין לשיווק קרקע </w:t>
      </w:r>
      <w:r w:rsidRPr="00F41E78">
        <w:rPr>
          <w:rFonts w:eastAsia="Calibri" w:hint="cs"/>
          <w:rtl/>
        </w:rPr>
        <w:t xml:space="preserve">שיאפשר </w:t>
      </w:r>
      <w:r w:rsidRPr="00F41E78">
        <w:rPr>
          <w:rFonts w:eastAsia="Calibri"/>
          <w:rtl/>
        </w:rPr>
        <w:t>בנייה להשכרה של 743 יח"ד בלבד. מדובר במלאי תכנוני מצומצם מא</w:t>
      </w:r>
      <w:r w:rsidRPr="00F41E78">
        <w:rPr>
          <w:rFonts w:eastAsia="Calibri" w:hint="cs"/>
          <w:rtl/>
        </w:rPr>
        <w:t>ו</w:t>
      </w:r>
      <w:r w:rsidRPr="00F41E78">
        <w:rPr>
          <w:rFonts w:eastAsia="Calibri"/>
          <w:rtl/>
        </w:rPr>
        <w:t xml:space="preserve">ד וקטן </w:t>
      </w:r>
      <w:r w:rsidRPr="00F41E78">
        <w:rPr>
          <w:rFonts w:eastAsia="Calibri" w:hint="cs"/>
          <w:rtl/>
        </w:rPr>
        <w:t>בהרבה מהמלאי של אלפי יח"ד שנקבע</w:t>
      </w:r>
      <w:r w:rsidRPr="00F41E78">
        <w:rPr>
          <w:rFonts w:eastAsia="Calibri"/>
          <w:rtl/>
        </w:rPr>
        <w:t xml:space="preserve"> </w:t>
      </w:r>
      <w:r w:rsidRPr="00F41E78">
        <w:rPr>
          <w:rFonts w:eastAsia="Calibri" w:hint="cs"/>
          <w:rtl/>
        </w:rPr>
        <w:t>ב</w:t>
      </w:r>
      <w:r w:rsidRPr="00F41E78">
        <w:rPr>
          <w:rFonts w:eastAsia="Calibri"/>
          <w:rtl/>
        </w:rPr>
        <w:t xml:space="preserve">יעדי הממשלה. היעדר ההלימה </w:t>
      </w:r>
      <w:r w:rsidRPr="00F41E78">
        <w:rPr>
          <w:rFonts w:eastAsia="Calibri" w:hint="cs"/>
          <w:rtl/>
        </w:rPr>
        <w:t>בין יעדי השיווק ובין המלאי הזמין באותה עת מקורו בעובדה</w:t>
      </w:r>
      <w:r w:rsidRPr="00F41E78">
        <w:rPr>
          <w:rFonts w:eastAsia="Calibri"/>
          <w:rtl/>
        </w:rPr>
        <w:t xml:space="preserve"> שרמ"י ומשרד הבינוי לא הכינו תכניות ייעודיות לשיווק קרקע לבניית דירות להשכרה ו</w:t>
      </w:r>
      <w:r w:rsidRPr="00F41E78">
        <w:rPr>
          <w:rFonts w:eastAsia="Calibri" w:hint="cs"/>
          <w:rtl/>
        </w:rPr>
        <w:t>התכניות המפורטות</w:t>
      </w:r>
      <w:r w:rsidRPr="00F41E78">
        <w:rPr>
          <w:rFonts w:eastAsia="Calibri"/>
          <w:rtl/>
        </w:rPr>
        <w:t xml:space="preserve"> </w:t>
      </w:r>
      <w:r w:rsidRPr="00F41E78">
        <w:rPr>
          <w:rFonts w:eastAsia="Calibri" w:hint="cs"/>
          <w:rtl/>
        </w:rPr>
        <w:t>שהיו תקפות באותה עת</w:t>
      </w:r>
      <w:r w:rsidRPr="00F41E78">
        <w:rPr>
          <w:rFonts w:eastAsia="Calibri"/>
          <w:rtl/>
        </w:rPr>
        <w:t xml:space="preserve"> </w:t>
      </w:r>
      <w:r w:rsidRPr="00F41E78">
        <w:rPr>
          <w:rFonts w:eastAsia="Calibri" w:hint="cs"/>
          <w:rtl/>
        </w:rPr>
        <w:t>חלו על</w:t>
      </w:r>
      <w:r w:rsidRPr="00F41E78">
        <w:rPr>
          <w:rFonts w:eastAsia="Calibri"/>
          <w:rtl/>
        </w:rPr>
        <w:t xml:space="preserve"> דירות </w:t>
      </w:r>
      <w:r w:rsidRPr="00F41E78">
        <w:rPr>
          <w:rFonts w:eastAsia="Calibri" w:hint="cs"/>
          <w:rtl/>
        </w:rPr>
        <w:t>ששטחן היה גדול משטחן המרבי של הדירות הנכללות במסלול השכרה לטווח ארוך על פי ההגבלות שנקבעו בהחלטת מועצת מקרקעי ישראל בנוגע למסלול זה.</w:t>
      </w:r>
    </w:p>
    <w:p w:rsidR="00E97EDA" w:rsidRPr="00F41E78" w:rsidP="00B63589">
      <w:pPr>
        <w:spacing w:before="180" w:after="120" w:line="230" w:lineRule="exact"/>
        <w:jc w:val="both"/>
        <w:rPr>
          <w:rFonts w:eastAsia="Calibri" w:cs="FrankRuehl"/>
          <w:sz w:val="18"/>
          <w:szCs w:val="22"/>
          <w:lang w:eastAsia="he-IL"/>
        </w:rPr>
      </w:pPr>
      <w:r w:rsidRPr="00F41E78">
        <w:rPr>
          <w:rFonts w:eastAsia="Calibri" w:cs="FrankRuehl"/>
          <w:sz w:val="18"/>
          <w:szCs w:val="22"/>
          <w:rtl/>
          <w:lang w:eastAsia="he-IL"/>
        </w:rPr>
        <w:t>בתשובתו מסר אג</w:t>
      </w:r>
      <w:r w:rsidRPr="00F41E78">
        <w:rPr>
          <w:rFonts w:eastAsia="Calibri" w:cs="FrankRuehl" w:hint="cs"/>
          <w:sz w:val="18"/>
          <w:szCs w:val="22"/>
          <w:rtl/>
          <w:lang w:eastAsia="he-IL"/>
        </w:rPr>
        <w:t xml:space="preserve">"ת </w:t>
      </w:r>
      <w:r w:rsidRPr="00F41E78">
        <w:rPr>
          <w:rFonts w:eastAsia="Calibri" w:cs="FrankRuehl"/>
          <w:sz w:val="18"/>
          <w:szCs w:val="22"/>
          <w:rtl/>
          <w:lang w:eastAsia="he-IL"/>
        </w:rPr>
        <w:t xml:space="preserve">כי </w:t>
      </w:r>
      <w:r w:rsidRPr="00F41E78">
        <w:rPr>
          <w:rFonts w:eastAsia="Calibri" w:cs="FrankRuehl" w:hint="cs"/>
          <w:sz w:val="18"/>
          <w:szCs w:val="22"/>
          <w:rtl/>
          <w:lang w:eastAsia="he-IL"/>
        </w:rPr>
        <w:t>הוא מסכים עם עמדת משרד מבקר המדינה וציין כי היקף התכניות המפורטות המתאימות כיום להשכרה לטווח ארוך מצומצם, ו</w:t>
      </w:r>
      <w:r w:rsidRPr="00F41E78">
        <w:rPr>
          <w:rFonts w:eastAsia="Calibri" w:cs="FrankRuehl"/>
          <w:sz w:val="18"/>
          <w:szCs w:val="22"/>
          <w:rtl/>
          <w:lang w:eastAsia="he-IL"/>
        </w:rPr>
        <w:t xml:space="preserve">התכנון בישראל תואם באופיו </w:t>
      </w:r>
      <w:r w:rsidRPr="00F41E78">
        <w:rPr>
          <w:rFonts w:eastAsia="Calibri" w:cs="FrankRuehl" w:hint="cs"/>
          <w:sz w:val="18"/>
          <w:szCs w:val="22"/>
          <w:rtl/>
          <w:lang w:eastAsia="he-IL"/>
        </w:rPr>
        <w:t>בעיקר ל</w:t>
      </w:r>
      <w:r w:rsidRPr="00F41E78">
        <w:rPr>
          <w:rFonts w:eastAsia="Calibri" w:cs="FrankRuehl"/>
          <w:sz w:val="18"/>
          <w:szCs w:val="22"/>
          <w:rtl/>
          <w:lang w:eastAsia="he-IL"/>
        </w:rPr>
        <w:t xml:space="preserve">בניית בתים למגורים </w:t>
      </w:r>
      <w:r w:rsidRPr="00F41E78">
        <w:rPr>
          <w:rFonts w:eastAsia="Calibri" w:cs="FrankRuehl" w:hint="cs"/>
          <w:sz w:val="18"/>
          <w:szCs w:val="22"/>
          <w:rtl/>
          <w:lang w:eastAsia="he-IL"/>
        </w:rPr>
        <w:t>ב</w:t>
      </w:r>
      <w:r w:rsidRPr="00F41E78">
        <w:rPr>
          <w:rFonts w:eastAsia="Calibri" w:cs="FrankRuehl"/>
          <w:sz w:val="18"/>
          <w:szCs w:val="22"/>
          <w:rtl/>
          <w:lang w:eastAsia="he-IL"/>
        </w:rPr>
        <w:t xml:space="preserve">בעלות </w:t>
      </w:r>
      <w:r w:rsidRPr="00F41E78">
        <w:rPr>
          <w:rFonts w:eastAsia="Calibri" w:cs="FrankRuehl" w:hint="cs"/>
          <w:sz w:val="18"/>
          <w:szCs w:val="22"/>
          <w:rtl/>
          <w:lang w:eastAsia="he-IL"/>
        </w:rPr>
        <w:t>ולא לבניית בתים</w:t>
      </w:r>
      <w:r w:rsidRPr="00F41E78">
        <w:rPr>
          <w:rFonts w:eastAsia="Calibri" w:cs="FrankRuehl"/>
          <w:sz w:val="18"/>
          <w:szCs w:val="22"/>
          <w:rtl/>
          <w:lang w:eastAsia="he-IL"/>
        </w:rPr>
        <w:t xml:space="preserve"> להשכרה</w:t>
      </w:r>
      <w:r w:rsidRPr="00F41E78">
        <w:rPr>
          <w:rFonts w:eastAsia="Calibri" w:cs="FrankRuehl" w:hint="cs"/>
          <w:sz w:val="18"/>
          <w:szCs w:val="22"/>
          <w:rtl/>
          <w:lang w:eastAsia="he-IL"/>
        </w:rPr>
        <w:t>.</w:t>
      </w:r>
      <w:r w:rsidRPr="00F41E78">
        <w:rPr>
          <w:rFonts w:eastAsia="Calibri" w:cs="FrankRuehl"/>
          <w:sz w:val="18"/>
          <w:szCs w:val="22"/>
          <w:rtl/>
          <w:lang w:eastAsia="he-IL"/>
        </w:rPr>
        <w:t xml:space="preserve"> לפיכך</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המליץ </w:t>
      </w:r>
      <w:r w:rsidRPr="00F41E78">
        <w:rPr>
          <w:rFonts w:eastAsia="Calibri" w:cs="FrankRuehl"/>
          <w:sz w:val="18"/>
          <w:szCs w:val="22"/>
          <w:rtl/>
          <w:lang w:eastAsia="he-IL"/>
        </w:rPr>
        <w:t>צוות 90</w:t>
      </w:r>
      <w:r w:rsidRPr="00F41E78">
        <w:rPr>
          <w:rFonts w:eastAsia="Calibri" w:cs="FrankRuehl" w:hint="cs"/>
          <w:sz w:val="18"/>
          <w:szCs w:val="22"/>
          <w:rtl/>
          <w:lang w:eastAsia="he-IL"/>
        </w:rPr>
        <w:t xml:space="preserve"> </w:t>
      </w:r>
      <w:r w:rsidRPr="00F41E78">
        <w:rPr>
          <w:rFonts w:eastAsia="Calibri" w:cs="FrankRuehl"/>
          <w:sz w:val="18"/>
          <w:szCs w:val="22"/>
          <w:rtl/>
          <w:lang w:eastAsia="he-IL"/>
        </w:rPr>
        <w:t>הימים</w:t>
      </w:r>
      <w:r>
        <w:rPr>
          <w:rFonts w:eastAsia="Calibri" w:cs="FrankRuehl"/>
          <w:sz w:val="18"/>
          <w:szCs w:val="22"/>
          <w:vertAlign w:val="superscript"/>
          <w:rtl/>
          <w:lang w:eastAsia="he-IL"/>
        </w:rPr>
        <w:footnoteReference w:id="302"/>
      </w:r>
      <w:r w:rsidRPr="00F41E78">
        <w:rPr>
          <w:rFonts w:eastAsia="Calibri" w:cs="FrankRuehl"/>
          <w:sz w:val="18"/>
          <w:szCs w:val="22"/>
          <w:rtl/>
          <w:lang w:eastAsia="he-IL"/>
        </w:rPr>
        <w:t xml:space="preserve"> </w:t>
      </w:r>
      <w:r w:rsidRPr="00F41E78">
        <w:rPr>
          <w:rFonts w:eastAsia="Calibri" w:cs="FrankRuehl" w:hint="cs"/>
          <w:sz w:val="18"/>
          <w:szCs w:val="22"/>
          <w:rtl/>
          <w:lang w:eastAsia="he-IL"/>
        </w:rPr>
        <w:t>להקים</w:t>
      </w:r>
      <w:r w:rsidRPr="00F41E78">
        <w:rPr>
          <w:rFonts w:eastAsia="Calibri" w:cs="FrankRuehl"/>
          <w:sz w:val="18"/>
          <w:szCs w:val="22"/>
          <w:rtl/>
          <w:lang w:eastAsia="he-IL"/>
        </w:rPr>
        <w:t xml:space="preserve"> גוף תכנון ייעודי ו</w:t>
      </w:r>
      <w:r w:rsidRPr="00F41E78">
        <w:rPr>
          <w:rFonts w:eastAsia="Calibri" w:cs="FrankRuehl" w:hint="cs"/>
          <w:sz w:val="18"/>
          <w:szCs w:val="22"/>
          <w:rtl/>
          <w:lang w:eastAsia="he-IL"/>
        </w:rPr>
        <w:t xml:space="preserve">לגבש </w:t>
      </w:r>
      <w:r w:rsidRPr="00F41E78">
        <w:rPr>
          <w:rFonts w:eastAsia="Calibri" w:cs="FrankRuehl"/>
          <w:sz w:val="18"/>
          <w:szCs w:val="22"/>
          <w:rtl/>
          <w:lang w:eastAsia="he-IL"/>
        </w:rPr>
        <w:t>כלים ייעודי</w:t>
      </w:r>
      <w:r w:rsidRPr="00F41E78">
        <w:rPr>
          <w:rFonts w:eastAsia="Calibri" w:cs="FrankRuehl" w:hint="cs"/>
          <w:sz w:val="18"/>
          <w:szCs w:val="22"/>
          <w:rtl/>
          <w:lang w:eastAsia="he-IL"/>
        </w:rPr>
        <w:t>י</w:t>
      </w:r>
      <w:r w:rsidRPr="00F41E78">
        <w:rPr>
          <w:rFonts w:eastAsia="Calibri" w:cs="FrankRuehl"/>
          <w:sz w:val="18"/>
          <w:szCs w:val="22"/>
          <w:rtl/>
          <w:lang w:eastAsia="he-IL"/>
        </w:rPr>
        <w:t xml:space="preserve">ם שמטרתם להגדיל את מלאי הדירות </w:t>
      </w:r>
      <w:r w:rsidRPr="00F41E78">
        <w:rPr>
          <w:rFonts w:eastAsia="Calibri" w:cs="FrankRuehl" w:hint="cs"/>
          <w:sz w:val="18"/>
          <w:szCs w:val="22"/>
          <w:rtl/>
          <w:lang w:eastAsia="he-IL"/>
        </w:rPr>
        <w:t>בכלל</w:t>
      </w:r>
      <w:r w:rsidRPr="00F41E78">
        <w:rPr>
          <w:rFonts w:eastAsia="Calibri" w:cs="FrankRuehl"/>
          <w:sz w:val="18"/>
          <w:szCs w:val="22"/>
          <w:rtl/>
          <w:lang w:eastAsia="he-IL"/>
        </w:rPr>
        <w:t xml:space="preserve"> ואת מלאי הדירות להשכרה בפרט</w:t>
      </w:r>
      <w:r w:rsidRPr="00F41E78">
        <w:rPr>
          <w:rFonts w:eastAsia="Calibri" w:cs="FrankRuehl" w:hint="cs"/>
          <w:sz w:val="18"/>
          <w:szCs w:val="22"/>
          <w:rtl/>
          <w:lang w:eastAsia="he-IL"/>
        </w:rPr>
        <w:t>.</w:t>
      </w:r>
    </w:p>
    <w:p w:rsidR="00995D25" w:rsidRPr="00F41E78" w:rsidP="00A7557B">
      <w:pPr>
        <w:spacing w:after="120" w:line="230" w:lineRule="exact"/>
        <w:jc w:val="both"/>
        <w:rPr>
          <w:rFonts w:eastAsia="Calibri" w:cs="FrankRuehl"/>
          <w:sz w:val="18"/>
          <w:szCs w:val="22"/>
          <w:lang w:eastAsia="he-IL"/>
        </w:rPr>
      </w:pPr>
    </w:p>
    <w:p w:rsidR="00995D25" w:rsidRPr="00F41E78" w:rsidP="00A7557B">
      <w:pPr>
        <w:spacing w:after="120" w:line="230" w:lineRule="exact"/>
        <w:jc w:val="both"/>
        <w:rPr>
          <w:rFonts w:eastAsia="Calibri" w:cs="FrankRuehl"/>
          <w:sz w:val="18"/>
          <w:szCs w:val="22"/>
          <w:rtl/>
          <w:lang w:eastAsia="he-IL"/>
        </w:rPr>
      </w:pPr>
    </w:p>
    <w:p w:rsidR="00E97EDA" w:rsidRPr="00FA1F2C" w:rsidP="00A7557B">
      <w:pPr>
        <w:pStyle w:val="KOT4"/>
        <w:rPr>
          <w:rFonts w:eastAsia="Calibri"/>
          <w:rtl/>
          <w:lang w:eastAsia="he-IL"/>
        </w:rPr>
      </w:pPr>
      <w:r w:rsidRPr="00FA1F2C">
        <w:rPr>
          <w:rFonts w:eastAsia="Calibri" w:hint="cs"/>
          <w:rtl/>
          <w:lang w:eastAsia="he-IL"/>
        </w:rPr>
        <w:t>ליקויים</w:t>
      </w:r>
      <w:r w:rsidRPr="00FA1F2C">
        <w:rPr>
          <w:rFonts w:eastAsia="Calibri"/>
          <w:rtl/>
          <w:lang w:eastAsia="he-IL"/>
        </w:rPr>
        <w:t xml:space="preserve"> בתקצוב הנחות על הקרקע עבור בנייה להשכרה </w:t>
      </w:r>
      <w:r w:rsidRPr="00FA1F2C">
        <w:rPr>
          <w:rFonts w:eastAsia="Calibri" w:hint="cs"/>
          <w:rtl/>
          <w:lang w:eastAsia="he-IL"/>
        </w:rPr>
        <w:t>ל</w:t>
      </w:r>
      <w:r w:rsidRPr="00FA1F2C">
        <w:rPr>
          <w:rFonts w:eastAsia="Calibri"/>
          <w:rtl/>
          <w:lang w:eastAsia="he-IL"/>
        </w:rPr>
        <w:t>טווח</w:t>
      </w:r>
      <w:r w:rsidRPr="00FA1F2C">
        <w:rPr>
          <w:rFonts w:eastAsia="Calibri" w:hint="cs"/>
          <w:rtl/>
          <w:lang w:eastAsia="he-IL"/>
        </w:rPr>
        <w:t xml:space="preserve"> ארוך</w:t>
      </w:r>
    </w:p>
    <w:p w:rsidR="00E97EDA" w:rsidRPr="00F41E78" w:rsidP="00B63589">
      <w:pPr>
        <w:spacing w:after="12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1.</w:t>
      </w:r>
      <w:r w:rsidR="00B63589">
        <w:rPr>
          <w:rFonts w:eastAsia="Calibri" w:cs="FrankRuehl"/>
          <w:sz w:val="18"/>
          <w:szCs w:val="22"/>
          <w:rtl/>
          <w:lang w:eastAsia="he-IL"/>
        </w:rPr>
        <w:tab/>
      </w:r>
      <w:r w:rsidRPr="00F41E78">
        <w:rPr>
          <w:rFonts w:eastAsia="Calibri" w:cs="FrankRuehl"/>
          <w:sz w:val="18"/>
          <w:szCs w:val="22"/>
          <w:rtl/>
          <w:lang w:eastAsia="he-IL"/>
        </w:rPr>
        <w:t xml:space="preserve">מסלול להשכרה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מאפשר מתן הנחות </w:t>
      </w:r>
      <w:r w:rsidRPr="00F41E78">
        <w:rPr>
          <w:rFonts w:eastAsia="Calibri" w:cs="FrankRuehl" w:hint="cs"/>
          <w:sz w:val="18"/>
          <w:szCs w:val="22"/>
          <w:rtl/>
          <w:lang w:eastAsia="he-IL"/>
        </w:rPr>
        <w:t xml:space="preserve">בשכר דירה </w:t>
      </w:r>
      <w:r w:rsidRPr="00F41E78">
        <w:rPr>
          <w:rFonts w:eastAsia="Calibri" w:cs="FrankRuehl"/>
          <w:sz w:val="18"/>
          <w:szCs w:val="22"/>
          <w:rtl/>
          <w:lang w:eastAsia="he-IL"/>
        </w:rPr>
        <w:t xml:space="preserve">לזכאים ומבטיח להם תנאי שכירות נוחים. ההנחה </w:t>
      </w:r>
      <w:r w:rsidRPr="00F41E78">
        <w:rPr>
          <w:rFonts w:eastAsia="Calibri" w:cs="FrankRuehl" w:hint="cs"/>
          <w:sz w:val="18"/>
          <w:szCs w:val="22"/>
          <w:rtl/>
          <w:lang w:eastAsia="he-IL"/>
        </w:rPr>
        <w:t>ב</w:t>
      </w:r>
      <w:r w:rsidRPr="00F41E78">
        <w:rPr>
          <w:rFonts w:eastAsia="Calibri" w:cs="FrankRuehl"/>
          <w:sz w:val="18"/>
          <w:szCs w:val="22"/>
          <w:rtl/>
          <w:lang w:eastAsia="he-IL"/>
        </w:rPr>
        <w:t xml:space="preserve">שכר הדירה מתאפשרת </w:t>
      </w:r>
      <w:r w:rsidRPr="00F41E78">
        <w:rPr>
          <w:rFonts w:eastAsia="Calibri" w:cs="FrankRuehl" w:hint="cs"/>
          <w:sz w:val="18"/>
          <w:szCs w:val="22"/>
          <w:rtl/>
          <w:lang w:eastAsia="he-IL"/>
        </w:rPr>
        <w:t xml:space="preserve">בזכות </w:t>
      </w:r>
      <w:r w:rsidRPr="00F41E78">
        <w:rPr>
          <w:rFonts w:eastAsia="Calibri" w:cs="FrankRuehl"/>
          <w:sz w:val="18"/>
          <w:szCs w:val="22"/>
          <w:rtl/>
          <w:lang w:eastAsia="he-IL"/>
        </w:rPr>
        <w:t xml:space="preserve">הנחה </w:t>
      </w:r>
      <w:r w:rsidRPr="00F41E78">
        <w:rPr>
          <w:rFonts w:eastAsia="Calibri" w:cs="FrankRuehl" w:hint="cs"/>
          <w:sz w:val="18"/>
          <w:szCs w:val="22"/>
          <w:rtl/>
          <w:lang w:eastAsia="he-IL"/>
        </w:rPr>
        <w:t>ב</w:t>
      </w:r>
      <w:r w:rsidRPr="00F41E78">
        <w:rPr>
          <w:rFonts w:eastAsia="Calibri" w:cs="FrankRuehl"/>
          <w:sz w:val="18"/>
          <w:szCs w:val="22"/>
          <w:rtl/>
          <w:lang w:eastAsia="he-IL"/>
        </w:rPr>
        <w:t>מחיר הקרקע שרמ"י מעניק</w:t>
      </w:r>
      <w:r w:rsidRPr="00F41E78">
        <w:rPr>
          <w:rFonts w:eastAsia="Calibri" w:cs="FrankRuehl" w:hint="cs"/>
          <w:sz w:val="18"/>
          <w:szCs w:val="22"/>
          <w:rtl/>
          <w:lang w:eastAsia="he-IL"/>
        </w:rPr>
        <w:t>ה</w:t>
      </w:r>
      <w:r w:rsidRPr="00F41E78">
        <w:rPr>
          <w:rFonts w:eastAsia="Calibri" w:cs="FrankRuehl"/>
          <w:sz w:val="18"/>
          <w:szCs w:val="22"/>
          <w:rtl/>
          <w:lang w:eastAsia="he-IL"/>
        </w:rPr>
        <w:t xml:space="preserve"> ליזמים</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הנחה זו</w:t>
      </w:r>
      <w:r w:rsidRPr="00F41E78">
        <w:rPr>
          <w:rFonts w:eastAsia="Calibri" w:cs="FrankRuehl"/>
          <w:sz w:val="18"/>
          <w:szCs w:val="22"/>
          <w:rtl/>
          <w:lang w:eastAsia="he-IL"/>
        </w:rPr>
        <w:t xml:space="preserve"> מגלמת </w:t>
      </w:r>
      <w:r w:rsidRPr="00F41E78">
        <w:rPr>
          <w:rFonts w:eastAsia="Calibri" w:cs="FrankRuehl" w:hint="cs"/>
          <w:sz w:val="18"/>
          <w:szCs w:val="22"/>
          <w:rtl/>
          <w:lang w:eastAsia="he-IL"/>
        </w:rPr>
        <w:t xml:space="preserve">בתוכה </w:t>
      </w:r>
      <w:r w:rsidRPr="00F41E78">
        <w:rPr>
          <w:rFonts w:eastAsia="Calibri" w:cs="FrankRuehl"/>
          <w:sz w:val="18"/>
          <w:szCs w:val="22"/>
          <w:rtl/>
          <w:lang w:eastAsia="he-IL"/>
        </w:rPr>
        <w:t>קיטון בהכנסות המדינה הצפויות להתקבל ממכירת</w:t>
      </w:r>
      <w:r w:rsidRPr="00F41E78">
        <w:rPr>
          <w:rFonts w:eastAsia="Calibri" w:cs="FrankRuehl" w:hint="cs"/>
          <w:sz w:val="18"/>
          <w:szCs w:val="22"/>
          <w:rtl/>
          <w:lang w:eastAsia="he-IL"/>
        </w:rPr>
        <w:t xml:space="preserve"> הקרקע</w:t>
      </w:r>
      <w:r w:rsidRPr="00F41E78">
        <w:rPr>
          <w:rFonts w:eastAsia="Calibri" w:cs="FrankRuehl"/>
          <w:sz w:val="18"/>
          <w:szCs w:val="22"/>
          <w:rtl/>
          <w:lang w:eastAsia="he-IL"/>
        </w:rPr>
        <w:t xml:space="preserve"> ליזמים</w:t>
      </w:r>
      <w:r w:rsidRPr="00F41E78">
        <w:rPr>
          <w:rFonts w:eastAsia="Calibri" w:cs="FrankRuehl" w:hint="cs"/>
          <w:sz w:val="18"/>
          <w:szCs w:val="22"/>
          <w:rtl/>
          <w:lang w:eastAsia="he-IL"/>
        </w:rPr>
        <w:t>.</w:t>
      </w:r>
    </w:p>
    <w:p w:rsidR="00E97EDA" w:rsidRPr="00F41E78" w:rsidP="00B63589">
      <w:pPr>
        <w:spacing w:after="120" w:line="230" w:lineRule="exact"/>
        <w:ind w:left="340" w:hanging="340"/>
        <w:jc w:val="both"/>
        <w:rPr>
          <w:rFonts w:eastAsia="Calibri" w:cs="FrankRuehl"/>
          <w:sz w:val="18"/>
          <w:szCs w:val="22"/>
          <w:rtl/>
          <w:lang w:eastAsia="he-IL"/>
        </w:rPr>
      </w:pPr>
      <w:r>
        <w:rPr>
          <w:rFonts w:eastAsia="Calibri" w:cs="FrankRuehl" w:hint="cs"/>
          <w:sz w:val="18"/>
          <w:szCs w:val="22"/>
          <w:rtl/>
          <w:lang w:eastAsia="he-IL"/>
        </w:rPr>
        <w:tab/>
      </w:r>
      <w:r w:rsidR="00FF1578">
        <w:rPr>
          <w:rFonts w:eastAsia="Calibri" w:cs="FrankRuehl" w:hint="cs"/>
          <w:sz w:val="18"/>
          <w:szCs w:val="22"/>
          <w:rtl/>
          <w:lang w:eastAsia="he-IL"/>
        </w:rPr>
        <w:t xml:space="preserve">כאמור, </w:t>
      </w:r>
      <w:r w:rsidRPr="00F41E78">
        <w:rPr>
          <w:rFonts w:eastAsia="Calibri" w:cs="FrankRuehl"/>
          <w:sz w:val="18"/>
          <w:szCs w:val="22"/>
          <w:rtl/>
          <w:lang w:eastAsia="he-IL"/>
        </w:rPr>
        <w:t>סעיף 40(ב) לחוק יסודות התקציב קובע כי "תקנות או הוראות מינהל שבביצוען כרוכה הפחתה של הכנסות המדינה לעומת התחזית שצורפה... לא יותקנו אלא אם כן הופעלה במקביל דרך מימון, בסכום האומדן של הפחתת הכנסות המדינה כאמור".</w:t>
      </w:r>
    </w:p>
    <w:p w:rsidR="00E97EDA" w:rsidRPr="00F41E78" w:rsidP="00B63589">
      <w:pPr>
        <w:spacing w:after="120" w:line="230" w:lineRule="exact"/>
        <w:ind w:left="340" w:hanging="340"/>
        <w:jc w:val="both"/>
        <w:rPr>
          <w:rFonts w:eastAsia="Calibri" w:cs="FrankRuehl"/>
          <w:sz w:val="18"/>
          <w:szCs w:val="22"/>
          <w:rtl/>
          <w:lang w:eastAsia="he-IL"/>
        </w:rPr>
      </w:pPr>
      <w:r>
        <w:rPr>
          <w:rFonts w:eastAsia="Calibri" w:cs="FrankRuehl" w:hint="cs"/>
          <w:sz w:val="18"/>
          <w:szCs w:val="22"/>
          <w:rtl/>
          <w:lang w:eastAsia="he-IL"/>
        </w:rPr>
        <w:tab/>
      </w:r>
      <w:r w:rsidRPr="00F41E78">
        <w:rPr>
          <w:rFonts w:eastAsia="Calibri" w:cs="FrankRuehl"/>
          <w:sz w:val="18"/>
          <w:szCs w:val="22"/>
          <w:rtl/>
          <w:lang w:eastAsia="he-IL"/>
        </w:rPr>
        <w:t>סעיף 40(ג) לחוק יסודות התקציב קובע כי "החלטות של מועצת מקרקעי ישראל בדבר הדרך והשיטה לקביעת דמי חכירה או בדבר מועדי תשלום דמי חכירה, שבביצוען כרוכות הפחתה של דמי החכירה או דחיית מועד תשלומן, וכתוצאה מכך הפחתה של הכנסות המדינה לכל תקופה שהיא, טעונות אישור שר האוצר".</w:t>
      </w:r>
    </w:p>
    <w:p w:rsidR="00E97EDA" w:rsidRPr="00F41E78" w:rsidP="00B63589">
      <w:pPr>
        <w:spacing w:after="12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2.</w:t>
      </w:r>
      <w:r w:rsidRPr="00F41E78">
        <w:rPr>
          <w:rFonts w:eastAsia="Calibri" w:cs="FrankRuehl"/>
          <w:sz w:val="18"/>
          <w:szCs w:val="22"/>
          <w:rtl/>
          <w:lang w:eastAsia="he-IL"/>
        </w:rPr>
        <w:tab/>
        <w:t>סגן הממונה על התקציבים לשעבר וסגן בכיר לחשבת הכללית פנו ב</w:t>
      </w:r>
      <w:r w:rsidRPr="00F41E78">
        <w:rPr>
          <w:rFonts w:eastAsia="Calibri" w:cs="FrankRuehl" w:hint="cs"/>
          <w:sz w:val="18"/>
          <w:szCs w:val="22"/>
          <w:rtl/>
          <w:lang w:eastAsia="he-IL"/>
        </w:rPr>
        <w:t xml:space="preserve">מרץ 2012 </w:t>
      </w:r>
      <w:r w:rsidRPr="00F41E78">
        <w:rPr>
          <w:rFonts w:eastAsia="Calibri" w:cs="FrankRuehl"/>
          <w:sz w:val="18"/>
          <w:szCs w:val="22"/>
          <w:rtl/>
          <w:lang w:eastAsia="he-IL"/>
        </w:rPr>
        <w:t xml:space="preserve">למנכ"ל משרד הבינוי </w:t>
      </w:r>
      <w:r w:rsidRPr="00F41E78">
        <w:rPr>
          <w:rFonts w:eastAsia="Calibri" w:cs="FrankRuehl" w:hint="cs"/>
          <w:sz w:val="18"/>
          <w:szCs w:val="22"/>
          <w:rtl/>
          <w:lang w:eastAsia="he-IL"/>
        </w:rPr>
        <w:t xml:space="preserve">מר מרדכי מרדכי </w:t>
      </w:r>
      <w:r w:rsidRPr="00F41E78">
        <w:rPr>
          <w:rFonts w:eastAsia="Calibri" w:cs="FrankRuehl"/>
          <w:sz w:val="18"/>
          <w:szCs w:val="22"/>
          <w:rtl/>
          <w:lang w:eastAsia="he-IL"/>
        </w:rPr>
        <w:t>ולמנ</w:t>
      </w:r>
      <w:r w:rsidRPr="00F41E78">
        <w:rPr>
          <w:rFonts w:eastAsia="Calibri" w:cs="FrankRuehl" w:hint="cs"/>
          <w:sz w:val="18"/>
          <w:szCs w:val="22"/>
          <w:rtl/>
          <w:lang w:eastAsia="he-IL"/>
        </w:rPr>
        <w:t>הל</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רמ"י מר בנצי ליברמן </w:t>
      </w:r>
      <w:r w:rsidRPr="00F41E78">
        <w:rPr>
          <w:rFonts w:eastAsia="Calibri" w:cs="FrankRuehl"/>
          <w:sz w:val="18"/>
          <w:szCs w:val="22"/>
          <w:rtl/>
          <w:lang w:eastAsia="he-IL"/>
        </w:rPr>
        <w:t>בבקשה לקבל אומדן תקציבי למימון ההנחות ב</w:t>
      </w:r>
      <w:r w:rsidRPr="00F41E78">
        <w:rPr>
          <w:rFonts w:eastAsia="Calibri" w:cs="FrankRuehl" w:hint="cs"/>
          <w:sz w:val="18"/>
          <w:szCs w:val="22"/>
          <w:rtl/>
          <w:lang w:eastAsia="he-IL"/>
        </w:rPr>
        <w:t xml:space="preserve">מחיר </w:t>
      </w:r>
      <w:r w:rsidRPr="00F41E78">
        <w:rPr>
          <w:rFonts w:eastAsia="Calibri" w:cs="FrankRuehl"/>
          <w:sz w:val="18"/>
          <w:szCs w:val="22"/>
          <w:rtl/>
          <w:lang w:eastAsia="he-IL"/>
        </w:rPr>
        <w:t xml:space="preserve">קרקע </w:t>
      </w:r>
      <w:r w:rsidRPr="00F41E78">
        <w:rPr>
          <w:rFonts w:eastAsia="Calibri" w:cs="FrankRuehl" w:hint="cs"/>
          <w:sz w:val="18"/>
          <w:szCs w:val="22"/>
          <w:rtl/>
          <w:lang w:eastAsia="he-IL"/>
        </w:rPr>
        <w:t xml:space="preserve">בהתבסס על </w:t>
      </w:r>
      <w:r w:rsidRPr="00F41E78">
        <w:rPr>
          <w:rFonts w:eastAsia="Calibri" w:cs="FrankRuehl"/>
          <w:sz w:val="18"/>
          <w:szCs w:val="22"/>
          <w:rtl/>
          <w:lang w:eastAsia="he-IL"/>
        </w:rPr>
        <w:t>החלטות</w:t>
      </w:r>
      <w:r w:rsidRPr="00F41E78">
        <w:rPr>
          <w:rFonts w:eastAsia="Calibri" w:cs="FrankRuehl" w:hint="cs"/>
          <w:sz w:val="18"/>
          <w:szCs w:val="22"/>
          <w:rtl/>
          <w:lang w:eastAsia="he-IL"/>
        </w:rPr>
        <w:t xml:space="preserve"> מס'</w:t>
      </w:r>
      <w:r w:rsidRPr="00F41E78">
        <w:rPr>
          <w:rFonts w:eastAsia="Calibri" w:cs="FrankRuehl"/>
          <w:sz w:val="18"/>
          <w:szCs w:val="22"/>
          <w:rtl/>
          <w:lang w:eastAsia="he-IL"/>
        </w:rPr>
        <w:t xml:space="preserve"> </w:t>
      </w:r>
      <w:r w:rsidRPr="00F41E78">
        <w:rPr>
          <w:rFonts w:eastAsia="Calibri" w:cs="FrankRuehl" w:hint="cs"/>
          <w:sz w:val="18"/>
          <w:szCs w:val="22"/>
          <w:rtl/>
          <w:lang w:eastAsia="he-IL"/>
        </w:rPr>
        <w:t>1248 ו-1249 של מועצת מקרקעי ישראל</w:t>
      </w:r>
      <w:r w:rsidRPr="00F41E78">
        <w:rPr>
          <w:rFonts w:eastAsia="Calibri" w:cs="FrankRuehl"/>
          <w:sz w:val="18"/>
          <w:szCs w:val="22"/>
          <w:rtl/>
          <w:lang w:eastAsia="he-IL"/>
        </w:rPr>
        <w:t>.</w:t>
      </w:r>
    </w:p>
    <w:p w:rsidR="00E97EDA" w:rsidRPr="00F41E78" w:rsidP="00B63589">
      <w:pPr>
        <w:spacing w:after="240" w:line="230" w:lineRule="exact"/>
        <w:ind w:left="340" w:hanging="340"/>
        <w:jc w:val="both"/>
        <w:rPr>
          <w:rFonts w:eastAsia="Calibri" w:cs="FrankRuehl"/>
          <w:sz w:val="18"/>
          <w:szCs w:val="22"/>
          <w:rtl/>
          <w:lang w:eastAsia="he-IL"/>
        </w:rPr>
      </w:pPr>
      <w:r>
        <w:rPr>
          <w:rFonts w:eastAsia="Calibri" w:cs="FrankRuehl" w:hint="cs"/>
          <w:sz w:val="18"/>
          <w:szCs w:val="22"/>
          <w:rtl/>
          <w:lang w:eastAsia="he-IL"/>
        </w:rPr>
        <w:tab/>
      </w:r>
      <w:r w:rsidRPr="00F41E78">
        <w:rPr>
          <w:rFonts w:eastAsia="Calibri" w:cs="FrankRuehl"/>
          <w:sz w:val="18"/>
          <w:szCs w:val="22"/>
          <w:rtl/>
          <w:lang w:eastAsia="he-IL"/>
        </w:rPr>
        <w:t>ב</w:t>
      </w:r>
      <w:r w:rsidRPr="00F41E78">
        <w:rPr>
          <w:rFonts w:eastAsia="Calibri" w:cs="FrankRuehl" w:hint="cs"/>
          <w:sz w:val="18"/>
          <w:szCs w:val="22"/>
          <w:rtl/>
          <w:lang w:eastAsia="he-IL"/>
        </w:rPr>
        <w:t xml:space="preserve">מאי 2012 </w:t>
      </w:r>
      <w:r w:rsidRPr="00F41E78">
        <w:rPr>
          <w:rFonts w:eastAsia="Calibri" w:cs="FrankRuehl"/>
          <w:sz w:val="18"/>
          <w:szCs w:val="22"/>
          <w:rtl/>
          <w:lang w:eastAsia="he-IL"/>
        </w:rPr>
        <w:t>ה</w:t>
      </w:r>
      <w:r w:rsidRPr="00F41E78">
        <w:rPr>
          <w:rFonts w:eastAsia="Calibri" w:cs="FrankRuehl" w:hint="cs"/>
          <w:sz w:val="18"/>
          <w:szCs w:val="22"/>
          <w:rtl/>
          <w:lang w:eastAsia="he-IL"/>
        </w:rPr>
        <w:t xml:space="preserve">ציגה </w:t>
      </w:r>
      <w:r w:rsidRPr="00F41E78">
        <w:rPr>
          <w:rFonts w:eastAsia="Calibri" w:cs="FrankRuehl"/>
          <w:sz w:val="18"/>
          <w:szCs w:val="22"/>
          <w:rtl/>
          <w:lang w:eastAsia="he-IL"/>
        </w:rPr>
        <w:t xml:space="preserve">החשבת הכללית גב' מיכל עבאדי בויאנג'ו </w:t>
      </w:r>
      <w:r w:rsidRPr="00F41E78">
        <w:rPr>
          <w:rFonts w:eastAsia="Calibri" w:cs="FrankRuehl" w:hint="cs"/>
          <w:sz w:val="18"/>
          <w:szCs w:val="22"/>
          <w:rtl/>
          <w:lang w:eastAsia="he-IL"/>
        </w:rPr>
        <w:t>ל</w:t>
      </w:r>
      <w:r w:rsidRPr="00F41E78">
        <w:rPr>
          <w:rFonts w:eastAsia="Calibri" w:cs="FrankRuehl"/>
          <w:sz w:val="18"/>
          <w:szCs w:val="22"/>
          <w:rtl/>
          <w:lang w:eastAsia="he-IL"/>
        </w:rPr>
        <w:t>שר השיכון דאז ח"כ אריאל אטיאס</w:t>
      </w:r>
      <w:r w:rsidRPr="00F41E78">
        <w:rPr>
          <w:rFonts w:eastAsia="Calibri" w:cs="FrankRuehl" w:hint="cs"/>
          <w:sz w:val="18"/>
          <w:szCs w:val="22"/>
          <w:rtl/>
          <w:lang w:eastAsia="he-IL"/>
        </w:rPr>
        <w:t>,</w:t>
      </w:r>
      <w:r w:rsidRPr="00F41E78">
        <w:rPr>
          <w:rFonts w:eastAsia="Calibri" w:cs="FrankRuehl"/>
          <w:sz w:val="18"/>
          <w:szCs w:val="22"/>
          <w:rtl/>
          <w:lang w:eastAsia="he-IL"/>
        </w:rPr>
        <w:t xml:space="preserve"> ששימש גם יו"ר מועצת מקרקעי ישראל, את עמדתה בעניין תקצוב </w:t>
      </w:r>
      <w:r w:rsidRPr="00F41E78">
        <w:rPr>
          <w:rFonts w:eastAsia="Calibri" w:cs="FrankRuehl" w:hint="cs"/>
          <w:sz w:val="18"/>
          <w:szCs w:val="22"/>
          <w:rtl/>
          <w:lang w:eastAsia="he-IL"/>
        </w:rPr>
        <w:t>ה</w:t>
      </w:r>
      <w:r w:rsidRPr="00F41E78">
        <w:rPr>
          <w:rFonts w:eastAsia="Calibri" w:cs="FrankRuehl"/>
          <w:sz w:val="18"/>
          <w:szCs w:val="22"/>
          <w:rtl/>
          <w:lang w:eastAsia="he-IL"/>
        </w:rPr>
        <w:t>הנחות הניתנות מכוח החלטות מועצת מקרקעי ישראל</w:t>
      </w:r>
      <w:r w:rsidRPr="00F41E78">
        <w:rPr>
          <w:rFonts w:eastAsia="Calibri" w:cs="FrankRuehl" w:hint="cs"/>
          <w:sz w:val="18"/>
          <w:szCs w:val="22"/>
          <w:rtl/>
          <w:lang w:eastAsia="he-IL"/>
        </w:rPr>
        <w:t>. היא</w:t>
      </w:r>
      <w:r w:rsidRPr="00F41E78">
        <w:rPr>
          <w:rFonts w:eastAsia="Calibri" w:cs="FrankRuehl"/>
          <w:sz w:val="18"/>
          <w:szCs w:val="22"/>
          <w:rtl/>
          <w:lang w:eastAsia="he-IL"/>
        </w:rPr>
        <w:t xml:space="preserve"> ציינה כי "החלטות שיש בהן קביעת סדרי עדיפות ושהמקור הכספי לביצוען הוא הקטנת ערך הקרקע שיתקבל על ידי המדינה... ראוי שיתקבלו תוך מתן ביטוי לגובה ההנחה ולהשפעתה על הכנסות רשות מקרקעי ישראל וכתוצאה מכך על תקציב המדינה. יתרה מזו עמדתי היא שככל שהמועצה מחליטה החלטה כאמור, יש לתת ביטוי תקציבי למקורות הכספיים שלה (הניתנים כאמור מתוך ערך הקרקע) שישקף את החלטות המועצה"</w:t>
      </w:r>
      <w:r w:rsidRPr="00F41E78">
        <w:rPr>
          <w:rFonts w:eastAsia="Calibri" w:cs="FrankRuehl" w:hint="cs"/>
          <w:sz w:val="18"/>
          <w:szCs w:val="22"/>
          <w:rtl/>
          <w:lang w:eastAsia="he-IL"/>
        </w:rPr>
        <w:t>.</w:t>
      </w:r>
    </w:p>
    <w:p w:rsidR="00D22B16" w:rsidRPr="00F41E78" w:rsidP="00D22B16">
      <w:pPr>
        <w:pStyle w:val="RESHET"/>
        <w:keepLines/>
        <w:rPr>
          <w:rtl/>
        </w:rPr>
      </w:pPr>
      <w:r w:rsidRPr="00F41E78">
        <w:rPr>
          <w:rtl/>
        </w:rPr>
        <w:t>בדיקת משרד מבקר המדינה העלתה כי</w:t>
      </w:r>
      <w:r w:rsidRPr="00F41E78">
        <w:rPr>
          <w:rFonts w:hint="cs"/>
          <w:rtl/>
        </w:rPr>
        <w:t xml:space="preserve"> על אף הוראות חוק יסודות התקציב</w:t>
      </w:r>
      <w:r w:rsidRPr="00F41E78">
        <w:rPr>
          <w:rtl/>
        </w:rPr>
        <w:t xml:space="preserve"> לא הכינה רמ"י אומדן תקציבי שישקף את היקף ההנחות במחיר הקרקע </w:t>
      </w:r>
      <w:r w:rsidRPr="00F41E78">
        <w:rPr>
          <w:rFonts w:hint="cs"/>
          <w:rtl/>
        </w:rPr>
        <w:t>ש</w:t>
      </w:r>
      <w:r w:rsidRPr="00F41E78">
        <w:rPr>
          <w:rtl/>
        </w:rPr>
        <w:t xml:space="preserve">תשווק </w:t>
      </w:r>
      <w:r w:rsidRPr="00F41E78">
        <w:rPr>
          <w:rFonts w:hint="cs"/>
          <w:rtl/>
        </w:rPr>
        <w:t>להשכרה לטווח ארוך</w:t>
      </w:r>
      <w:r w:rsidRPr="00F41E78">
        <w:rPr>
          <w:rtl/>
        </w:rPr>
        <w:t xml:space="preserve">. </w:t>
      </w:r>
      <w:r w:rsidRPr="00F41E78">
        <w:rPr>
          <w:rFonts w:hint="cs"/>
          <w:rtl/>
        </w:rPr>
        <w:t>לכן,</w:t>
      </w:r>
      <w:r w:rsidRPr="00F41E78">
        <w:rPr>
          <w:rtl/>
        </w:rPr>
        <w:t xml:space="preserve"> ההמלצה של אג</w:t>
      </w:r>
      <w:r w:rsidRPr="00F41E78">
        <w:rPr>
          <w:rFonts w:hint="cs"/>
          <w:rtl/>
        </w:rPr>
        <w:t xml:space="preserve">"ת </w:t>
      </w:r>
      <w:r w:rsidRPr="00F41E78">
        <w:rPr>
          <w:rtl/>
        </w:rPr>
        <w:t xml:space="preserve">לשר האוצר, בדבר אישור ההפחתה הצפויה בהכנסות המדינה, התקבלה שלא על בסיס נתונים מחושבים ואמינים. בהמשך לכך </w:t>
      </w:r>
      <w:r w:rsidRPr="00F41E78">
        <w:rPr>
          <w:rFonts w:eastAsia="Calibri" w:hint="cs"/>
          <w:rtl/>
        </w:rPr>
        <w:t>לא</w:t>
      </w:r>
      <w:r w:rsidRPr="00F41E78">
        <w:rPr>
          <w:rFonts w:eastAsia="Calibri"/>
          <w:rtl/>
        </w:rPr>
        <w:t xml:space="preserve"> </w:t>
      </w:r>
      <w:r w:rsidRPr="00F41E78">
        <w:rPr>
          <w:rFonts w:eastAsia="Calibri" w:hint="cs"/>
          <w:rtl/>
        </w:rPr>
        <w:t>התקין אג"ת</w:t>
      </w:r>
      <w:r w:rsidRPr="00F41E78">
        <w:rPr>
          <w:rFonts w:eastAsia="Calibri"/>
          <w:rtl/>
        </w:rPr>
        <w:t xml:space="preserve"> תקנה תקציבית בתקציבה של </w:t>
      </w:r>
      <w:r w:rsidRPr="00F41E78">
        <w:rPr>
          <w:rFonts w:eastAsia="Calibri" w:hint="cs"/>
          <w:rtl/>
        </w:rPr>
        <w:t>רמ</w:t>
      </w:r>
      <w:r w:rsidRPr="00F41E78">
        <w:rPr>
          <w:rFonts w:eastAsia="Calibri"/>
          <w:rtl/>
        </w:rPr>
        <w:t>"י למימון הנחות אלו לשנים 201</w:t>
      </w:r>
      <w:r w:rsidRPr="00F41E78">
        <w:rPr>
          <w:rFonts w:eastAsia="Calibri" w:hint="cs"/>
          <w:rtl/>
        </w:rPr>
        <w:t>3-</w:t>
      </w:r>
      <w:r w:rsidRPr="00F41E78">
        <w:rPr>
          <w:rFonts w:eastAsia="Calibri"/>
          <w:rtl/>
        </w:rPr>
        <w:t>201</w:t>
      </w:r>
      <w:r w:rsidRPr="00F41E78">
        <w:rPr>
          <w:rFonts w:eastAsia="Calibri" w:hint="cs"/>
          <w:rtl/>
        </w:rPr>
        <w:t>2 כפי שעשה זאת בנוגע למימון ההנחות בקרקע במסלול מחיר דירה למשתכן</w:t>
      </w:r>
      <w:r w:rsidRPr="00F41E78">
        <w:rPr>
          <w:rFonts w:eastAsia="Calibri"/>
          <w:rtl/>
        </w:rPr>
        <w:t xml:space="preserve">. </w:t>
      </w:r>
    </w:p>
    <w:p w:rsidR="00D22B16" w:rsidRPr="00F41E78" w:rsidP="00D22B16">
      <w:pPr>
        <w:pStyle w:val="RESHET"/>
        <w:keepLines/>
        <w:rPr>
          <w:rFonts w:eastAsia="Calibri"/>
          <w:rtl/>
        </w:rPr>
      </w:pPr>
      <w:r w:rsidRPr="00F41E78">
        <w:rPr>
          <w:rFonts w:eastAsia="Calibri"/>
          <w:rtl/>
        </w:rPr>
        <w:t>משרד מבקר המדינה מעיר למועצת מקרקעי ישראל כי הצגת ההחלטות לאישור</w:t>
      </w:r>
      <w:r w:rsidRPr="00F41E78">
        <w:rPr>
          <w:rFonts w:eastAsia="Calibri" w:hint="cs"/>
          <w:rtl/>
        </w:rPr>
        <w:t>ו של</w:t>
      </w:r>
      <w:r w:rsidRPr="00F41E78">
        <w:rPr>
          <w:rFonts w:eastAsia="Calibri"/>
          <w:rtl/>
        </w:rPr>
        <w:t xml:space="preserve"> שר האוצר </w:t>
      </w:r>
      <w:r w:rsidRPr="00F41E78">
        <w:rPr>
          <w:rFonts w:eastAsia="Calibri" w:hint="cs"/>
          <w:rtl/>
        </w:rPr>
        <w:t xml:space="preserve">בלי להציג לפניו את משמעותן, </w:t>
      </w:r>
      <w:r w:rsidRPr="00F41E78">
        <w:rPr>
          <w:rFonts w:eastAsia="Calibri"/>
          <w:rtl/>
        </w:rPr>
        <w:t xml:space="preserve">לרבות הפחתה בהכנסות המדינה, </w:t>
      </w:r>
      <w:r w:rsidRPr="00F41E78">
        <w:rPr>
          <w:rFonts w:eastAsia="Calibri" w:hint="cs"/>
          <w:rtl/>
        </w:rPr>
        <w:t xml:space="preserve">אינה מאפשרת </w:t>
      </w:r>
      <w:r w:rsidRPr="00F41E78">
        <w:rPr>
          <w:rFonts w:eastAsia="Calibri"/>
          <w:rtl/>
        </w:rPr>
        <w:t xml:space="preserve">לתת </w:t>
      </w:r>
      <w:r w:rsidRPr="00F41E78">
        <w:rPr>
          <w:rFonts w:eastAsia="Calibri" w:hint="cs"/>
          <w:rtl/>
        </w:rPr>
        <w:t xml:space="preserve">לזה </w:t>
      </w:r>
      <w:r w:rsidRPr="00F41E78">
        <w:rPr>
          <w:rFonts w:eastAsia="Calibri"/>
          <w:rtl/>
        </w:rPr>
        <w:t xml:space="preserve">ביטוי </w:t>
      </w:r>
      <w:r w:rsidRPr="00F41E78">
        <w:rPr>
          <w:rFonts w:eastAsia="Calibri" w:hint="cs"/>
          <w:rtl/>
        </w:rPr>
        <w:t>ב</w:t>
      </w:r>
      <w:r w:rsidRPr="00F41E78">
        <w:rPr>
          <w:rFonts w:eastAsia="Calibri"/>
          <w:rtl/>
        </w:rPr>
        <w:t>תקציב</w:t>
      </w:r>
      <w:r w:rsidRPr="00F41E78">
        <w:rPr>
          <w:rFonts w:eastAsia="Calibri" w:hint="cs"/>
          <w:rtl/>
        </w:rPr>
        <w:t xml:space="preserve"> המדינה ו</w:t>
      </w:r>
      <w:r w:rsidRPr="00F41E78">
        <w:rPr>
          <w:rFonts w:eastAsia="Calibri"/>
          <w:rtl/>
        </w:rPr>
        <w:t>פוגעת ביכולת</w:t>
      </w:r>
      <w:r w:rsidRPr="00F41E78">
        <w:rPr>
          <w:rFonts w:eastAsia="Calibri" w:hint="cs"/>
          <w:rtl/>
        </w:rPr>
        <w:t>ו</w:t>
      </w:r>
      <w:r w:rsidRPr="00F41E78">
        <w:rPr>
          <w:rFonts w:eastAsia="Calibri"/>
          <w:rtl/>
        </w:rPr>
        <w:t xml:space="preserve"> </w:t>
      </w:r>
      <w:r w:rsidRPr="00F41E78">
        <w:rPr>
          <w:rFonts w:eastAsia="Calibri" w:hint="cs"/>
          <w:rtl/>
        </w:rPr>
        <w:t xml:space="preserve">של משרד האוצר </w:t>
      </w:r>
      <w:r w:rsidRPr="00F41E78">
        <w:rPr>
          <w:rFonts w:eastAsia="Calibri"/>
          <w:rtl/>
        </w:rPr>
        <w:t xml:space="preserve">לעמוד על עלות ההשקעה הממשלתית </w:t>
      </w:r>
      <w:r w:rsidRPr="00F41E78">
        <w:rPr>
          <w:rFonts w:eastAsia="Calibri" w:hint="cs"/>
          <w:rtl/>
        </w:rPr>
        <w:t>ביחס</w:t>
      </w:r>
      <w:r w:rsidRPr="00F41E78">
        <w:rPr>
          <w:rFonts w:eastAsia="Calibri"/>
          <w:rtl/>
        </w:rPr>
        <w:t xml:space="preserve"> לתפוקות שיתקבלו ולכלל סדרי העדיפויות הלאומיים.</w:t>
      </w:r>
    </w:p>
    <w:p w:rsidR="00E97EDA" w:rsidRPr="00F41E78" w:rsidP="00B63589">
      <w:pPr>
        <w:spacing w:before="180" w:after="240" w:line="230" w:lineRule="exact"/>
        <w:ind w:left="-1"/>
        <w:jc w:val="both"/>
        <w:rPr>
          <w:rFonts w:eastAsia="Calibri" w:cs="FrankRuehl"/>
          <w:sz w:val="18"/>
          <w:szCs w:val="22"/>
          <w:rtl/>
          <w:lang w:eastAsia="he-IL"/>
        </w:rPr>
      </w:pPr>
      <w:r w:rsidRPr="00F41E78">
        <w:rPr>
          <w:rFonts w:eastAsia="Calibri" w:cs="FrankRuehl" w:hint="cs"/>
          <w:sz w:val="18"/>
          <w:szCs w:val="22"/>
          <w:rtl/>
          <w:lang w:eastAsia="he-IL"/>
        </w:rPr>
        <w:t>בתשובתו מסר אג"ת כי "לעניין תקצוב הנחות עמדתנו הינה כי בעת קביעת המדיניות יש לאמוד את אובדן ההכנסות היחסי בקרקע לעומת שיווק מכרז רגיל למכירת קרקע למגורים, על מנת להבין את עלות הכלכלית של הצעד. עם התקדמות הפרויקט יתוקצבו ההנחות בהתאם למצבו הנוכחי של שוק הדיור בבעלות ובהינתן כלל ההנחות הרלוונטיות בעת השיווק".</w:t>
      </w:r>
    </w:p>
    <w:p w:rsidR="00D22B16" w:rsidRPr="00F41E78" w:rsidP="00D22B16">
      <w:pPr>
        <w:pStyle w:val="RESHET"/>
        <w:keepLines/>
        <w:rPr>
          <w:rFonts w:eastAsia="Calibri"/>
          <w:rtl/>
        </w:rPr>
      </w:pPr>
      <w:r w:rsidRPr="00F41E78">
        <w:rPr>
          <w:rFonts w:eastAsia="Calibri"/>
          <w:rtl/>
        </w:rPr>
        <w:t xml:space="preserve">משרד מבקר המדינה מעיר </w:t>
      </w:r>
      <w:r w:rsidRPr="00F41E78">
        <w:rPr>
          <w:rFonts w:eastAsia="Calibri" w:hint="cs"/>
          <w:rtl/>
        </w:rPr>
        <w:t xml:space="preserve">לאג"ת כי לפני הגשת בקשה לשר האוצר לאשר את ההפחתות הצפויות בהכנסות המדינה מירידת ההכנסות מהקרקע, היה </w:t>
      </w:r>
      <w:r w:rsidRPr="00F41E78">
        <w:rPr>
          <w:rFonts w:eastAsia="Calibri"/>
          <w:rtl/>
        </w:rPr>
        <w:t>על</w:t>
      </w:r>
      <w:r w:rsidRPr="00F41E78">
        <w:rPr>
          <w:rFonts w:eastAsia="Calibri" w:hint="cs"/>
          <w:rtl/>
        </w:rPr>
        <w:t>יו</w:t>
      </w:r>
      <w:r w:rsidRPr="00F41E78">
        <w:rPr>
          <w:rFonts w:eastAsia="Calibri"/>
          <w:rtl/>
        </w:rPr>
        <w:t xml:space="preserve"> לעמוד על כך שרמ"י תמציא אומדן תקציבי </w:t>
      </w:r>
      <w:r w:rsidRPr="00F41E78">
        <w:rPr>
          <w:rFonts w:eastAsia="Calibri" w:hint="cs"/>
          <w:rtl/>
        </w:rPr>
        <w:t xml:space="preserve">של </w:t>
      </w:r>
      <w:r w:rsidRPr="00F41E78">
        <w:rPr>
          <w:rFonts w:eastAsia="Calibri"/>
          <w:rtl/>
        </w:rPr>
        <w:t>ההנחות ב</w:t>
      </w:r>
      <w:r w:rsidRPr="00F41E78">
        <w:rPr>
          <w:rFonts w:eastAsia="Calibri" w:hint="cs"/>
          <w:rtl/>
        </w:rPr>
        <w:t>מחיר ה</w:t>
      </w:r>
      <w:r w:rsidRPr="00F41E78">
        <w:rPr>
          <w:rFonts w:eastAsia="Calibri"/>
          <w:rtl/>
        </w:rPr>
        <w:t>קרקע</w:t>
      </w:r>
      <w:r w:rsidRPr="00F41E78">
        <w:rPr>
          <w:rFonts w:eastAsia="Calibri" w:hint="cs"/>
          <w:rtl/>
        </w:rPr>
        <w:t xml:space="preserve">, </w:t>
      </w:r>
      <w:r w:rsidRPr="00F41E78">
        <w:rPr>
          <w:rFonts w:eastAsia="Calibri"/>
          <w:rtl/>
        </w:rPr>
        <w:t xml:space="preserve">כדי שניתן יהיה לעדכן את הוראות תקציב המדינה </w:t>
      </w:r>
      <w:r w:rsidRPr="00F41E78">
        <w:rPr>
          <w:rFonts w:eastAsia="Calibri" w:hint="cs"/>
          <w:rtl/>
        </w:rPr>
        <w:t xml:space="preserve">ואת סדר העדיפות הלאומי </w:t>
      </w:r>
      <w:r w:rsidRPr="00F41E78">
        <w:rPr>
          <w:rFonts w:eastAsia="Calibri"/>
          <w:rtl/>
        </w:rPr>
        <w:t>בהתאם</w:t>
      </w:r>
      <w:r w:rsidRPr="00F41E78">
        <w:rPr>
          <w:rFonts w:eastAsia="Calibri" w:hint="cs"/>
          <w:rtl/>
        </w:rPr>
        <w:t xml:space="preserve"> לכך.</w:t>
      </w:r>
    </w:p>
    <w:p w:rsidR="00E97EDA" w:rsidRPr="00F41E78" w:rsidP="00A7557B">
      <w:pPr>
        <w:spacing w:after="120" w:line="230" w:lineRule="exact"/>
        <w:ind w:left="-1"/>
        <w:jc w:val="both"/>
        <w:rPr>
          <w:rFonts w:eastAsia="Calibri" w:cs="FrankRuehl"/>
          <w:sz w:val="18"/>
          <w:szCs w:val="22"/>
          <w:lang w:eastAsia="he-IL"/>
        </w:rPr>
      </w:pPr>
    </w:p>
    <w:p w:rsidR="00995D25" w:rsidRPr="00F41E78" w:rsidP="00A7557B">
      <w:pPr>
        <w:spacing w:after="120" w:line="230" w:lineRule="exact"/>
        <w:ind w:left="-1"/>
        <w:jc w:val="both"/>
        <w:rPr>
          <w:rFonts w:eastAsia="Calibri" w:cs="FrankRuehl"/>
          <w:sz w:val="18"/>
          <w:szCs w:val="22"/>
          <w:rtl/>
          <w:lang w:eastAsia="he-IL"/>
        </w:rPr>
      </w:pPr>
    </w:p>
    <w:p w:rsidR="00E97EDA" w:rsidRPr="00FA1F2C" w:rsidP="00A7557B">
      <w:pPr>
        <w:pStyle w:val="KOT4"/>
        <w:rPr>
          <w:rFonts w:eastAsia="Calibri"/>
          <w:rtl/>
          <w:lang w:eastAsia="he-IL"/>
        </w:rPr>
      </w:pPr>
      <w:r w:rsidRPr="00FA1F2C">
        <w:rPr>
          <w:rFonts w:eastAsia="Calibri"/>
          <w:rtl/>
          <w:lang w:eastAsia="he-IL"/>
        </w:rPr>
        <w:t>הביצוע בפועל - שיווק קרקע למגורים להשכרה לטווח ארוך</w:t>
      </w:r>
    </w:p>
    <w:p w:rsidR="00E97EDA" w:rsidRPr="00FA1F2C" w:rsidP="00A7557B">
      <w:pPr>
        <w:pStyle w:val="KOT5"/>
        <w:rPr>
          <w:rFonts w:eastAsia="Calibri"/>
          <w:rtl/>
          <w:lang w:eastAsia="he-IL"/>
        </w:rPr>
      </w:pPr>
      <w:r w:rsidRPr="00FA1F2C">
        <w:rPr>
          <w:rFonts w:eastAsia="Calibri"/>
          <w:rtl/>
          <w:lang w:eastAsia="he-IL"/>
        </w:rPr>
        <w:t xml:space="preserve">תמונת מצב - יח"ד להשכרה </w:t>
      </w:r>
      <w:r w:rsidRPr="00FA1F2C">
        <w:rPr>
          <w:rFonts w:eastAsia="Calibri" w:hint="cs"/>
          <w:rtl/>
          <w:lang w:eastAsia="he-IL"/>
        </w:rPr>
        <w:t>ל</w:t>
      </w:r>
      <w:r w:rsidRPr="00FA1F2C">
        <w:rPr>
          <w:rFonts w:eastAsia="Calibri"/>
          <w:rtl/>
          <w:lang w:eastAsia="he-IL"/>
        </w:rPr>
        <w:t>טווח</w:t>
      </w:r>
      <w:r w:rsidRPr="00FA1F2C">
        <w:rPr>
          <w:rFonts w:eastAsia="Calibri" w:hint="cs"/>
          <w:rtl/>
          <w:lang w:eastAsia="he-IL"/>
        </w:rPr>
        <w:t xml:space="preserve"> ארוך</w:t>
      </w:r>
      <w:r w:rsidRPr="00FA1F2C">
        <w:rPr>
          <w:rFonts w:eastAsia="Calibri"/>
          <w:rtl/>
          <w:lang w:eastAsia="he-IL"/>
        </w:rPr>
        <w:t xml:space="preserve"> שי</w:t>
      </w:r>
      <w:r w:rsidRPr="00FA1F2C">
        <w:rPr>
          <w:rFonts w:eastAsia="Calibri" w:hint="cs"/>
          <w:rtl/>
          <w:lang w:eastAsia="he-IL"/>
        </w:rPr>
        <w:t>י</w:t>
      </w:r>
      <w:r w:rsidRPr="00FA1F2C">
        <w:rPr>
          <w:rFonts w:eastAsia="Calibri"/>
          <w:rtl/>
          <w:lang w:eastAsia="he-IL"/>
        </w:rPr>
        <w:t xml:space="preserve">צר המגזר העסקי </w:t>
      </w:r>
    </w:p>
    <w:p w:rsidR="00E97EDA" w:rsidRPr="00F41E78" w:rsidP="00A7557B">
      <w:pPr>
        <w:spacing w:after="120" w:line="230" w:lineRule="exact"/>
        <w:jc w:val="both"/>
        <w:rPr>
          <w:rFonts w:eastAsia="Calibri" w:cs="FrankRuehl"/>
          <w:sz w:val="18"/>
          <w:szCs w:val="22"/>
          <w:rtl/>
          <w:lang w:eastAsia="he-IL"/>
        </w:rPr>
      </w:pPr>
      <w:r w:rsidRPr="00F41E78">
        <w:rPr>
          <w:rFonts w:cs="FrankRuehl" w:hint="eastAsia"/>
          <w:bCs/>
          <w:spacing w:val="40"/>
          <w:sz w:val="18"/>
          <w:szCs w:val="22"/>
          <w:rtl/>
        </w:rPr>
        <w:t>חוק</w:t>
      </w:r>
      <w:r w:rsidRPr="00F41E78">
        <w:rPr>
          <w:rFonts w:cs="FrankRuehl"/>
          <w:bCs/>
          <w:spacing w:val="40"/>
          <w:sz w:val="18"/>
          <w:szCs w:val="22"/>
          <w:rtl/>
        </w:rPr>
        <w:t xml:space="preserve"> לעידוד השקעות הון:</w:t>
      </w:r>
      <w:r w:rsidRPr="00F41E78">
        <w:rPr>
          <w:rFonts w:cs="FrankRuehl"/>
          <w:sz w:val="18"/>
          <w:szCs w:val="22"/>
          <w:rtl/>
          <w:lang w:eastAsia="he-IL"/>
        </w:rPr>
        <w:t xml:space="preserve"> </w:t>
      </w:r>
      <w:r w:rsidRPr="00F41E78">
        <w:rPr>
          <w:rFonts w:eastAsia="Calibri" w:cs="FrankRuehl" w:hint="cs"/>
          <w:sz w:val="18"/>
          <w:szCs w:val="22"/>
          <w:rtl/>
          <w:lang w:eastAsia="he-IL"/>
        </w:rPr>
        <w:t>מ</w:t>
      </w:r>
      <w:r w:rsidRPr="00F41E78">
        <w:rPr>
          <w:rFonts w:eastAsia="Calibri" w:cs="FrankRuehl"/>
          <w:sz w:val="18"/>
          <w:szCs w:val="22"/>
          <w:rtl/>
          <w:lang w:eastAsia="he-IL"/>
        </w:rPr>
        <w:t xml:space="preserve">נתוני מרכז ההשקעות </w:t>
      </w:r>
      <w:r w:rsidRPr="00F41E78">
        <w:rPr>
          <w:rFonts w:eastAsia="Calibri" w:cs="FrankRuehl" w:hint="cs"/>
          <w:sz w:val="18"/>
          <w:szCs w:val="22"/>
          <w:rtl/>
          <w:lang w:eastAsia="he-IL"/>
        </w:rPr>
        <w:t>שב</w:t>
      </w:r>
      <w:r w:rsidRPr="00F41E78">
        <w:rPr>
          <w:rFonts w:eastAsia="Calibri" w:cs="FrankRuehl"/>
          <w:sz w:val="18"/>
          <w:szCs w:val="22"/>
          <w:rtl/>
          <w:lang w:eastAsia="he-IL"/>
        </w:rPr>
        <w:t xml:space="preserve">משרד הכלכלה, </w:t>
      </w:r>
      <w:r w:rsidRPr="00F41E78">
        <w:rPr>
          <w:rFonts w:eastAsia="Calibri" w:cs="FrankRuehl" w:hint="cs"/>
          <w:sz w:val="18"/>
          <w:szCs w:val="22"/>
          <w:rtl/>
          <w:lang w:eastAsia="he-IL"/>
        </w:rPr>
        <w:t>המעודכנים ל</w:t>
      </w:r>
      <w:r w:rsidRPr="00F41E78">
        <w:rPr>
          <w:rFonts w:eastAsia="Calibri" w:cs="FrankRuehl"/>
          <w:sz w:val="18"/>
          <w:szCs w:val="22"/>
          <w:rtl/>
          <w:lang w:eastAsia="he-IL"/>
        </w:rPr>
        <w:t xml:space="preserve">מאי 2013, </w:t>
      </w:r>
      <w:r w:rsidRPr="00F41E78">
        <w:rPr>
          <w:rFonts w:eastAsia="Calibri" w:cs="FrankRuehl" w:hint="cs"/>
          <w:sz w:val="18"/>
          <w:szCs w:val="22"/>
          <w:rtl/>
          <w:lang w:eastAsia="he-IL"/>
        </w:rPr>
        <w:t>עלה ש</w:t>
      </w:r>
      <w:r w:rsidRPr="00F41E78">
        <w:rPr>
          <w:rFonts w:eastAsia="Calibri" w:cs="FrankRuehl"/>
          <w:sz w:val="18"/>
          <w:szCs w:val="22"/>
          <w:rtl/>
          <w:lang w:eastAsia="he-IL"/>
        </w:rPr>
        <w:t>בשנים 2013-2006 אישר מרכז ההשקעות 82 פרויקטים</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לפי ה</w:t>
      </w:r>
      <w:r w:rsidRPr="00F41E78">
        <w:rPr>
          <w:rFonts w:eastAsia="Calibri" w:cs="FrankRuehl"/>
          <w:sz w:val="18"/>
          <w:szCs w:val="22"/>
          <w:rtl/>
          <w:lang w:eastAsia="he-IL"/>
        </w:rPr>
        <w:t>חוק לעידוד השקעות הון</w:t>
      </w:r>
      <w:r w:rsidRPr="00F41E78">
        <w:rPr>
          <w:rFonts w:eastAsia="Calibri" w:cs="FrankRuehl" w:hint="cs"/>
          <w:sz w:val="18"/>
          <w:szCs w:val="22"/>
          <w:rtl/>
          <w:lang w:eastAsia="he-IL"/>
        </w:rPr>
        <w:t>,</w:t>
      </w:r>
      <w:r w:rsidRPr="00F41E78">
        <w:rPr>
          <w:rFonts w:eastAsia="Calibri" w:cs="FrankRuehl"/>
          <w:sz w:val="18"/>
          <w:szCs w:val="22"/>
          <w:rtl/>
          <w:lang w:eastAsia="he-IL"/>
        </w:rPr>
        <w:t xml:space="preserve"> ובהם רק 2,315 יח"ד המיועדות להשכרה </w:t>
      </w:r>
      <w:r w:rsidRPr="00F41E78">
        <w:rPr>
          <w:rFonts w:eastAsia="Calibri" w:cs="FrankRuehl" w:hint="cs"/>
          <w:sz w:val="18"/>
          <w:szCs w:val="22"/>
          <w:rtl/>
          <w:lang w:eastAsia="he-IL"/>
        </w:rPr>
        <w:t>ל</w:t>
      </w:r>
      <w:r w:rsidRPr="00F41E78">
        <w:rPr>
          <w:rFonts w:eastAsia="Calibri" w:cs="FrankRuehl"/>
          <w:sz w:val="18"/>
          <w:szCs w:val="22"/>
          <w:rtl/>
          <w:lang w:eastAsia="he-IL"/>
        </w:rPr>
        <w:t xml:space="preserve">זכאים. </w:t>
      </w:r>
      <w:r w:rsidRPr="00F41E78">
        <w:rPr>
          <w:rFonts w:eastAsia="Calibri" w:cs="FrankRuehl" w:hint="cs"/>
          <w:sz w:val="18"/>
          <w:szCs w:val="22"/>
          <w:rtl/>
          <w:lang w:eastAsia="he-IL"/>
        </w:rPr>
        <w:t>בשנים 2010-2006</w:t>
      </w:r>
      <w:r w:rsidRPr="00F41E78">
        <w:rPr>
          <w:rFonts w:eastAsia="Calibri" w:cs="FrankRuehl"/>
          <w:sz w:val="18"/>
          <w:szCs w:val="22"/>
          <w:rtl/>
          <w:lang w:eastAsia="he-IL"/>
        </w:rPr>
        <w:t xml:space="preserve"> אושרו 24 פרויקטים שכללו 757 (33%) </w:t>
      </w:r>
      <w:r w:rsidRPr="00F41E78">
        <w:rPr>
          <w:rFonts w:eastAsia="Calibri" w:cs="FrankRuehl" w:hint="cs"/>
          <w:sz w:val="18"/>
          <w:szCs w:val="22"/>
          <w:rtl/>
          <w:lang w:eastAsia="he-IL"/>
        </w:rPr>
        <w:t xml:space="preserve">יח"ד. </w:t>
      </w:r>
      <w:r w:rsidRPr="00F41E78">
        <w:rPr>
          <w:rFonts w:eastAsia="Calibri" w:cs="FrankRuehl"/>
          <w:sz w:val="18"/>
          <w:szCs w:val="22"/>
          <w:rtl/>
          <w:lang w:eastAsia="he-IL"/>
        </w:rPr>
        <w:t xml:space="preserve">58 </w:t>
      </w:r>
      <w:r w:rsidRPr="00F41E78">
        <w:rPr>
          <w:rFonts w:eastAsia="Calibri" w:cs="FrankRuehl" w:hint="cs"/>
          <w:sz w:val="18"/>
          <w:szCs w:val="22"/>
          <w:rtl/>
          <w:lang w:eastAsia="he-IL"/>
        </w:rPr>
        <w:t>ה</w:t>
      </w:r>
      <w:r w:rsidRPr="00F41E78">
        <w:rPr>
          <w:rFonts w:eastAsia="Calibri" w:cs="FrankRuehl"/>
          <w:sz w:val="18"/>
          <w:szCs w:val="22"/>
          <w:rtl/>
          <w:lang w:eastAsia="he-IL"/>
        </w:rPr>
        <w:t>פרויקטים</w:t>
      </w:r>
      <w:r w:rsidRPr="00F41E78">
        <w:rPr>
          <w:rFonts w:eastAsia="Calibri" w:cs="FrankRuehl" w:hint="cs"/>
          <w:sz w:val="18"/>
          <w:szCs w:val="22"/>
          <w:rtl/>
          <w:lang w:eastAsia="he-IL"/>
        </w:rPr>
        <w:t xml:space="preserve"> האחרים</w:t>
      </w:r>
      <w:r w:rsidRPr="00F41E78">
        <w:rPr>
          <w:rFonts w:eastAsia="Calibri" w:cs="FrankRuehl"/>
          <w:sz w:val="18"/>
          <w:szCs w:val="22"/>
          <w:rtl/>
          <w:lang w:eastAsia="he-IL"/>
        </w:rPr>
        <w:t xml:space="preserve"> שכללו 1,558 יח"ד אושרו בשנים 2013-2011</w:t>
      </w:r>
      <w:r w:rsidRPr="00F41E78">
        <w:rPr>
          <w:rFonts w:eastAsia="Calibri" w:cs="FrankRuehl" w:hint="cs"/>
          <w:sz w:val="18"/>
          <w:szCs w:val="22"/>
          <w:rtl/>
          <w:lang w:eastAsia="he-IL"/>
        </w:rPr>
        <w:t>,</w:t>
      </w:r>
      <w:r w:rsidRPr="00F41E78">
        <w:rPr>
          <w:rFonts w:eastAsia="Calibri" w:cs="FrankRuehl"/>
          <w:sz w:val="18"/>
          <w:szCs w:val="22"/>
          <w:rtl/>
          <w:lang w:eastAsia="he-IL"/>
        </w:rPr>
        <w:t xml:space="preserve"> לאחר </w:t>
      </w:r>
      <w:r w:rsidRPr="00F41E78">
        <w:rPr>
          <w:rFonts w:eastAsia="Calibri" w:cs="FrankRuehl" w:hint="cs"/>
          <w:sz w:val="18"/>
          <w:szCs w:val="22"/>
          <w:rtl/>
          <w:lang w:eastAsia="he-IL"/>
        </w:rPr>
        <w:t>ש</w:t>
      </w:r>
      <w:r w:rsidRPr="00F41E78">
        <w:rPr>
          <w:rFonts w:eastAsia="Calibri" w:cs="FrankRuehl"/>
          <w:sz w:val="18"/>
          <w:szCs w:val="22"/>
          <w:rtl/>
          <w:lang w:eastAsia="he-IL"/>
        </w:rPr>
        <w:t>בינואר 2011</w:t>
      </w:r>
      <w:r>
        <w:rPr>
          <w:rFonts w:eastAsia="Calibri" w:cs="FrankRuehl"/>
          <w:sz w:val="18"/>
          <w:szCs w:val="22"/>
          <w:vertAlign w:val="superscript"/>
          <w:rtl/>
          <w:lang w:eastAsia="he-IL"/>
        </w:rPr>
        <w:footnoteReference w:id="303"/>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עודכנו </w:t>
      </w:r>
      <w:r w:rsidRPr="00F41E78">
        <w:rPr>
          <w:rFonts w:eastAsia="Calibri" w:cs="FrankRuehl"/>
          <w:sz w:val="18"/>
          <w:szCs w:val="22"/>
          <w:rtl/>
          <w:lang w:eastAsia="he-IL"/>
        </w:rPr>
        <w:t xml:space="preserve">המגבלות על דמי השכירות </w:t>
      </w:r>
      <w:r w:rsidRPr="00F41E78">
        <w:rPr>
          <w:rFonts w:eastAsia="Calibri" w:cs="FrankRuehl" w:hint="cs"/>
          <w:sz w:val="18"/>
          <w:szCs w:val="22"/>
          <w:rtl/>
          <w:lang w:eastAsia="he-IL"/>
        </w:rPr>
        <w:t xml:space="preserve">המתירות את </w:t>
      </w:r>
      <w:r w:rsidRPr="00F41E78">
        <w:rPr>
          <w:rFonts w:eastAsia="Calibri" w:cs="FrankRuehl"/>
          <w:sz w:val="18"/>
          <w:szCs w:val="22"/>
          <w:rtl/>
          <w:lang w:eastAsia="he-IL"/>
        </w:rPr>
        <w:t>קבלת ההטבות</w:t>
      </w:r>
      <w:r w:rsidRPr="00F41E78">
        <w:rPr>
          <w:rFonts w:eastAsia="Calibri" w:cs="FrankRuehl" w:hint="cs"/>
          <w:sz w:val="18"/>
          <w:szCs w:val="22"/>
          <w:rtl/>
          <w:lang w:eastAsia="he-IL"/>
        </w:rPr>
        <w:t xml:space="preserve">. </w:t>
      </w:r>
      <w:r w:rsidRPr="00F41E78">
        <w:rPr>
          <w:rFonts w:eastAsia="Calibri" w:cs="FrankRuehl"/>
          <w:sz w:val="18"/>
          <w:szCs w:val="22"/>
          <w:rtl/>
          <w:lang w:eastAsia="he-IL"/>
        </w:rPr>
        <w:t>היקף ההשקעה המדווח של היזמים ב</w:t>
      </w:r>
      <w:r w:rsidRPr="00F41E78">
        <w:rPr>
          <w:rFonts w:eastAsia="Calibri" w:cs="FrankRuehl" w:hint="cs"/>
          <w:sz w:val="18"/>
          <w:szCs w:val="22"/>
          <w:rtl/>
          <w:lang w:eastAsia="he-IL"/>
        </w:rPr>
        <w:t>כל ה</w:t>
      </w:r>
      <w:r w:rsidRPr="00F41E78">
        <w:rPr>
          <w:rFonts w:eastAsia="Calibri" w:cs="FrankRuehl"/>
          <w:sz w:val="18"/>
          <w:szCs w:val="22"/>
          <w:rtl/>
          <w:lang w:eastAsia="he-IL"/>
        </w:rPr>
        <w:t>פרויקטים</w:t>
      </w:r>
      <w:r w:rsidRPr="00F41E78">
        <w:rPr>
          <w:rFonts w:eastAsia="Calibri" w:cs="FrankRuehl" w:hint="cs"/>
          <w:sz w:val="18"/>
          <w:szCs w:val="22"/>
          <w:rtl/>
          <w:lang w:eastAsia="he-IL"/>
        </w:rPr>
        <w:t xml:space="preserve"> בשנים 2013-2006</w:t>
      </w:r>
      <w:r w:rsidRPr="00F41E78">
        <w:rPr>
          <w:rFonts w:eastAsia="Calibri" w:cs="FrankRuehl"/>
          <w:sz w:val="18"/>
          <w:szCs w:val="22"/>
          <w:rtl/>
          <w:lang w:eastAsia="he-IL"/>
        </w:rPr>
        <w:t xml:space="preserve"> נאמד בכ-1.7 מיליארד </w:t>
      </w:r>
      <w:r w:rsidRPr="00F41E78">
        <w:rPr>
          <w:rFonts w:eastAsia="Calibri" w:cs="FrankRuehl" w:hint="cs"/>
          <w:sz w:val="18"/>
          <w:szCs w:val="22"/>
          <w:rtl/>
          <w:lang w:eastAsia="he-IL"/>
        </w:rPr>
        <w:t>ש"ח.</w:t>
      </w:r>
    </w:p>
    <w:p w:rsidR="00E97EDA" w:rsidRPr="00F41E78" w:rsidP="00B63589">
      <w:pPr>
        <w:spacing w:after="240" w:line="230" w:lineRule="exact"/>
        <w:jc w:val="both"/>
        <w:rPr>
          <w:rFonts w:eastAsia="Calibri" w:cs="FrankRuehl"/>
          <w:b/>
          <w:bCs/>
          <w:sz w:val="18"/>
          <w:szCs w:val="22"/>
          <w:rtl/>
          <w:lang w:eastAsia="he-IL"/>
        </w:rPr>
      </w:pPr>
      <w:r w:rsidRPr="00F41E78">
        <w:rPr>
          <w:rFonts w:cs="FrankRuehl"/>
          <w:bCs/>
          <w:spacing w:val="40"/>
          <w:sz w:val="18"/>
          <w:szCs w:val="22"/>
          <w:rtl/>
        </w:rPr>
        <w:t>חוק לעידוד בניית דירות להשכרה:</w:t>
      </w:r>
      <w:r w:rsidRPr="00F41E78">
        <w:rPr>
          <w:rFonts w:cs="FrankRuehl"/>
          <w:sz w:val="18"/>
          <w:szCs w:val="22"/>
          <w:rtl/>
        </w:rPr>
        <w:t xml:space="preserve"> </w:t>
      </w:r>
      <w:r w:rsidRPr="00F41E78">
        <w:rPr>
          <w:rFonts w:eastAsia="Calibri" w:cs="FrankRuehl"/>
          <w:sz w:val="18"/>
          <w:szCs w:val="22"/>
          <w:rtl/>
          <w:lang w:eastAsia="he-IL"/>
        </w:rPr>
        <w:t xml:space="preserve">בביקורת עלה </w:t>
      </w:r>
      <w:r w:rsidRPr="00F41E78">
        <w:rPr>
          <w:rFonts w:eastAsia="Calibri" w:cs="FrankRuehl" w:hint="cs"/>
          <w:sz w:val="18"/>
          <w:szCs w:val="22"/>
          <w:rtl/>
          <w:lang w:eastAsia="he-IL"/>
        </w:rPr>
        <w:t>כי יזמים לא בנו</w:t>
      </w:r>
      <w:r w:rsidRPr="00F41E78">
        <w:rPr>
          <w:rFonts w:eastAsia="Calibri" w:cs="FrankRuehl"/>
          <w:sz w:val="18"/>
          <w:szCs w:val="22"/>
          <w:rtl/>
          <w:lang w:eastAsia="he-IL"/>
        </w:rPr>
        <w:t xml:space="preserve"> בניינים להשכרה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 במסגרת חוק זה.</w:t>
      </w:r>
    </w:p>
    <w:p w:rsidR="00D22B16" w:rsidRPr="00F41E78" w:rsidP="00D22B16">
      <w:pPr>
        <w:pStyle w:val="RESHET"/>
        <w:keepLines/>
        <w:rPr>
          <w:rFonts w:eastAsia="Calibri"/>
        </w:rPr>
      </w:pPr>
      <w:r w:rsidRPr="00F41E78">
        <w:rPr>
          <w:rFonts w:eastAsia="Calibri"/>
          <w:rtl/>
        </w:rPr>
        <w:t xml:space="preserve">מהאמור לעיל עולה </w:t>
      </w:r>
      <w:r w:rsidRPr="00F41E78">
        <w:rPr>
          <w:rFonts w:eastAsia="Calibri" w:hint="cs"/>
          <w:rtl/>
        </w:rPr>
        <w:t xml:space="preserve">כי התפוקות שהושגו במסלול השכרה לטווח ארוך היו דלות ביותר, דהיינו רק 2,315 יח"ד במהלך שמונה שנים. הגופים העסקיים מיעטו להיכנס לשוק זה, והגופים העסקיים המוסדיים נעדרו ממנו לחלוטין. יוצא אפוא שהיעד שעניינו פיתוח שוק השכירות על בסיס החוקים האמורים שיזמה הממשלה לא הושג. שוק השכירות העסקי והמוסדי לא התפתח ומאגר הדירות להשכרה מוסדרת לא הורחב. הגידול העיקרי והבלעדי בשוק השכירות נוצר בשל גידול בהיקף ההשקעות הפרטיות בשוק הדיור. </w:t>
      </w:r>
    </w:p>
    <w:p w:rsidR="00E97EDA" w:rsidRPr="00A67889" w:rsidP="00A67889">
      <w:pPr>
        <w:spacing w:after="120" w:line="230" w:lineRule="exact"/>
        <w:jc w:val="both"/>
        <w:rPr>
          <w:rFonts w:eastAsia="Calibri" w:cs="FrankRuehl"/>
          <w:sz w:val="18"/>
          <w:szCs w:val="22"/>
          <w:rtl/>
          <w:lang w:eastAsia="he-IL"/>
        </w:rPr>
      </w:pPr>
    </w:p>
    <w:p w:rsidR="00E97EDA" w:rsidRPr="00FA1F2C" w:rsidP="00A7557B">
      <w:pPr>
        <w:pStyle w:val="KOT5"/>
        <w:rPr>
          <w:rFonts w:eastAsia="Calibri"/>
          <w:rtl/>
          <w:lang w:eastAsia="he-IL"/>
        </w:rPr>
      </w:pPr>
      <w:r w:rsidRPr="00FA1F2C">
        <w:rPr>
          <w:rFonts w:eastAsia="Calibri"/>
          <w:rtl/>
          <w:lang w:eastAsia="he-IL"/>
        </w:rPr>
        <w:t xml:space="preserve">שיווק בפועל של קרקעות מדינה לבנייה להשכרה </w:t>
      </w:r>
      <w:r w:rsidRPr="00FA1F2C">
        <w:rPr>
          <w:rFonts w:eastAsia="Calibri" w:hint="cs"/>
          <w:rtl/>
          <w:lang w:eastAsia="he-IL"/>
        </w:rPr>
        <w:t>ל</w:t>
      </w:r>
      <w:r w:rsidRPr="00FA1F2C">
        <w:rPr>
          <w:rFonts w:eastAsia="Calibri"/>
          <w:rtl/>
          <w:lang w:eastAsia="he-IL"/>
        </w:rPr>
        <w:t>טווח</w:t>
      </w:r>
      <w:r w:rsidRPr="00FA1F2C">
        <w:rPr>
          <w:rFonts w:eastAsia="Calibri" w:hint="cs"/>
          <w:rtl/>
          <w:lang w:eastAsia="he-IL"/>
        </w:rPr>
        <w:t xml:space="preserve"> ארוך</w:t>
      </w:r>
      <w:r w:rsidRPr="00FA1F2C">
        <w:rPr>
          <w:rFonts w:eastAsia="Calibri"/>
          <w:rtl/>
          <w:lang w:eastAsia="he-IL"/>
        </w:rPr>
        <w:t xml:space="preserve"> </w:t>
      </w:r>
      <w:r w:rsidRPr="00FA1F2C">
        <w:rPr>
          <w:rFonts w:eastAsia="Calibri" w:hint="cs"/>
          <w:rtl/>
          <w:lang w:eastAsia="he-IL"/>
        </w:rPr>
        <w:t>בשנים 2013-2010</w:t>
      </w:r>
    </w:p>
    <w:p w:rsidR="00E97EDA" w:rsidRPr="00F41E78" w:rsidP="00A7557B">
      <w:pPr>
        <w:spacing w:after="120" w:line="230" w:lineRule="exact"/>
        <w:jc w:val="both"/>
        <w:rPr>
          <w:rFonts w:eastAsia="Calibri" w:cs="FrankRuehl"/>
          <w:sz w:val="18"/>
          <w:szCs w:val="22"/>
          <w:rtl/>
          <w:lang w:eastAsia="he-IL"/>
        </w:rPr>
      </w:pPr>
      <w:r w:rsidRPr="00F41E78">
        <w:rPr>
          <w:rFonts w:eastAsia="Calibri" w:cs="FrankRuehl" w:hint="cs"/>
          <w:sz w:val="18"/>
          <w:szCs w:val="22"/>
          <w:rtl/>
          <w:lang w:eastAsia="he-IL"/>
        </w:rPr>
        <w:t xml:space="preserve">כאמור, </w:t>
      </w:r>
      <w:r w:rsidRPr="00F41E78">
        <w:rPr>
          <w:rFonts w:eastAsia="Calibri" w:cs="FrankRuehl"/>
          <w:sz w:val="18"/>
          <w:szCs w:val="22"/>
          <w:rtl/>
          <w:lang w:eastAsia="he-IL"/>
        </w:rPr>
        <w:t>על אף החלטות מועצ</w:t>
      </w:r>
      <w:r w:rsidRPr="00F41E78">
        <w:rPr>
          <w:rFonts w:eastAsia="Calibri" w:cs="FrankRuehl" w:hint="cs"/>
          <w:sz w:val="18"/>
          <w:szCs w:val="22"/>
          <w:rtl/>
          <w:lang w:eastAsia="he-IL"/>
        </w:rPr>
        <w:t xml:space="preserve">ת מקרקעי ישראל מהשנים </w:t>
      </w:r>
      <w:r w:rsidRPr="00F41E78">
        <w:rPr>
          <w:rFonts w:eastAsia="Calibri" w:cs="FrankRuehl"/>
          <w:sz w:val="18"/>
          <w:szCs w:val="22"/>
          <w:rtl/>
          <w:lang w:eastAsia="he-IL"/>
        </w:rPr>
        <w:t>2007 ו</w:t>
      </w:r>
      <w:r w:rsidRPr="00F41E78">
        <w:rPr>
          <w:rFonts w:eastAsia="Calibri" w:cs="FrankRuehl" w:hint="cs"/>
          <w:sz w:val="18"/>
          <w:szCs w:val="22"/>
          <w:rtl/>
          <w:lang w:eastAsia="he-IL"/>
        </w:rPr>
        <w:t>-</w:t>
      </w:r>
      <w:r w:rsidRPr="00F41E78">
        <w:rPr>
          <w:rFonts w:eastAsia="Calibri" w:cs="FrankRuehl"/>
          <w:sz w:val="18"/>
          <w:szCs w:val="22"/>
          <w:rtl/>
          <w:lang w:eastAsia="he-IL"/>
        </w:rPr>
        <w:t xml:space="preserve">2009 בעניין דיור </w:t>
      </w:r>
      <w:r w:rsidRPr="00F41E78">
        <w:rPr>
          <w:rFonts w:eastAsia="Calibri" w:cs="FrankRuehl" w:hint="cs"/>
          <w:sz w:val="18"/>
          <w:szCs w:val="22"/>
          <w:rtl/>
          <w:lang w:eastAsia="he-IL"/>
        </w:rPr>
        <w:t>ב</w:t>
      </w:r>
      <w:r w:rsidRPr="00F41E78">
        <w:rPr>
          <w:rFonts w:eastAsia="Calibri" w:cs="FrankRuehl"/>
          <w:sz w:val="18"/>
          <w:szCs w:val="22"/>
          <w:rtl/>
          <w:lang w:eastAsia="he-IL"/>
        </w:rPr>
        <w:t xml:space="preserve">השכרה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עד 2009 </w:t>
      </w:r>
      <w:r w:rsidRPr="00F41E78">
        <w:rPr>
          <w:rFonts w:eastAsia="Calibri" w:cs="FrankRuehl"/>
          <w:sz w:val="18"/>
          <w:szCs w:val="22"/>
          <w:rtl/>
          <w:lang w:eastAsia="he-IL"/>
        </w:rPr>
        <w:t>לא פרסמו ר</w:t>
      </w:r>
      <w:r w:rsidRPr="00F41E78">
        <w:rPr>
          <w:rFonts w:eastAsia="Calibri" w:cs="FrankRuehl" w:hint="cs"/>
          <w:sz w:val="18"/>
          <w:szCs w:val="22"/>
          <w:rtl/>
          <w:lang w:eastAsia="he-IL"/>
        </w:rPr>
        <w:t xml:space="preserve">מ"י </w:t>
      </w:r>
      <w:r w:rsidRPr="00F41E78">
        <w:rPr>
          <w:rFonts w:eastAsia="Calibri" w:cs="FrankRuehl"/>
          <w:sz w:val="18"/>
          <w:szCs w:val="22"/>
          <w:rtl/>
          <w:lang w:eastAsia="he-IL"/>
        </w:rPr>
        <w:t xml:space="preserve">ומשרד הבינוי </w:t>
      </w:r>
      <w:r w:rsidRPr="00F41E78">
        <w:rPr>
          <w:rFonts w:eastAsia="Calibri" w:cs="FrankRuehl" w:hint="cs"/>
          <w:sz w:val="18"/>
          <w:szCs w:val="22"/>
          <w:rtl/>
          <w:lang w:eastAsia="he-IL"/>
        </w:rPr>
        <w:t>אף לא מ</w:t>
      </w:r>
      <w:r w:rsidRPr="00F41E78">
        <w:rPr>
          <w:rFonts w:eastAsia="Calibri" w:cs="FrankRuehl"/>
          <w:sz w:val="18"/>
          <w:szCs w:val="22"/>
          <w:rtl/>
          <w:lang w:eastAsia="he-IL"/>
        </w:rPr>
        <w:t>כרז</w:t>
      </w:r>
      <w:r w:rsidRPr="00F41E78">
        <w:rPr>
          <w:rFonts w:eastAsia="Calibri" w:cs="FrankRuehl" w:hint="cs"/>
          <w:sz w:val="18"/>
          <w:szCs w:val="22"/>
          <w:rtl/>
          <w:lang w:eastAsia="he-IL"/>
        </w:rPr>
        <w:t xml:space="preserve"> אחד</w:t>
      </w:r>
      <w:r w:rsidRPr="00F41E78">
        <w:rPr>
          <w:rFonts w:eastAsia="Calibri" w:cs="FrankRuehl"/>
          <w:sz w:val="18"/>
          <w:szCs w:val="22"/>
          <w:rtl/>
          <w:lang w:eastAsia="he-IL"/>
        </w:rPr>
        <w:t xml:space="preserve"> </w:t>
      </w:r>
      <w:r w:rsidRPr="00F41E78">
        <w:rPr>
          <w:rFonts w:eastAsia="Calibri" w:cs="FrankRuehl" w:hint="cs"/>
          <w:sz w:val="18"/>
          <w:szCs w:val="22"/>
          <w:rtl/>
          <w:lang w:eastAsia="he-IL"/>
        </w:rPr>
        <w:t>ל</w:t>
      </w:r>
      <w:r w:rsidRPr="00F41E78">
        <w:rPr>
          <w:rFonts w:eastAsia="Calibri" w:cs="FrankRuehl"/>
          <w:sz w:val="18"/>
          <w:szCs w:val="22"/>
          <w:rtl/>
          <w:lang w:eastAsia="he-IL"/>
        </w:rPr>
        <w:t>שיווק קרקעות</w:t>
      </w:r>
      <w:r w:rsidRPr="00F41E78">
        <w:rPr>
          <w:rFonts w:eastAsia="Calibri" w:cs="FrankRuehl" w:hint="cs"/>
          <w:sz w:val="18"/>
          <w:szCs w:val="22"/>
          <w:rtl/>
          <w:lang w:eastAsia="he-IL"/>
        </w:rPr>
        <w:t xml:space="preserve"> מדינה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במסלול זה</w:t>
      </w:r>
      <w:r w:rsidRPr="00F41E78">
        <w:rPr>
          <w:rFonts w:eastAsia="Calibri" w:cs="FrankRuehl"/>
          <w:sz w:val="18"/>
          <w:szCs w:val="22"/>
          <w:rtl/>
          <w:lang w:eastAsia="he-IL"/>
        </w:rPr>
        <w:t>.</w:t>
      </w:r>
      <w:r w:rsidRPr="00F41E78">
        <w:rPr>
          <w:rFonts w:eastAsia="Calibri" w:cs="FrankRuehl" w:hint="cs"/>
          <w:sz w:val="18"/>
          <w:szCs w:val="22"/>
          <w:rtl/>
          <w:lang w:eastAsia="he-IL"/>
        </w:rPr>
        <w:t xml:space="preserve"> </w:t>
      </w:r>
    </w:p>
    <w:p w:rsidR="00E97EDA" w:rsidRPr="00F41E78" w:rsidP="00A7557B">
      <w:pPr>
        <w:spacing w:after="120" w:line="230" w:lineRule="exact"/>
        <w:jc w:val="both"/>
        <w:rPr>
          <w:rFonts w:eastAsia="Calibri" w:cs="FrankRuehl"/>
          <w:sz w:val="18"/>
          <w:szCs w:val="22"/>
          <w:rtl/>
          <w:lang w:eastAsia="he-IL"/>
        </w:rPr>
      </w:pPr>
      <w:r w:rsidRPr="00F41E78">
        <w:rPr>
          <w:rFonts w:eastAsia="Calibri" w:cs="FrankRuehl"/>
          <w:sz w:val="18"/>
          <w:szCs w:val="22"/>
          <w:rtl/>
          <w:lang w:eastAsia="he-IL"/>
        </w:rPr>
        <w:t xml:space="preserve">משרד מבקר המדינה בדק את היקף </w:t>
      </w:r>
      <w:r w:rsidRPr="00F41E78">
        <w:rPr>
          <w:rFonts w:eastAsia="Calibri" w:cs="FrankRuehl" w:hint="cs"/>
          <w:sz w:val="18"/>
          <w:szCs w:val="22"/>
          <w:rtl/>
          <w:lang w:eastAsia="he-IL"/>
        </w:rPr>
        <w:t>יחידות הדיור</w:t>
      </w:r>
      <w:r w:rsidRPr="00F41E78">
        <w:rPr>
          <w:rFonts w:eastAsia="Calibri" w:cs="FrankRuehl"/>
          <w:sz w:val="18"/>
          <w:szCs w:val="22"/>
          <w:rtl/>
          <w:lang w:eastAsia="he-IL"/>
        </w:rPr>
        <w:t xml:space="preserve"> שמשרד הבינוי ורמ"י ש</w:t>
      </w:r>
      <w:r w:rsidRPr="00F41E78">
        <w:rPr>
          <w:rFonts w:eastAsia="Calibri" w:cs="FrankRuehl" w:hint="cs"/>
          <w:sz w:val="18"/>
          <w:szCs w:val="22"/>
          <w:rtl/>
          <w:lang w:eastAsia="he-IL"/>
        </w:rPr>
        <w:t>י</w:t>
      </w:r>
      <w:r w:rsidRPr="00F41E78">
        <w:rPr>
          <w:rFonts w:eastAsia="Calibri" w:cs="FrankRuehl"/>
          <w:sz w:val="18"/>
          <w:szCs w:val="22"/>
          <w:rtl/>
          <w:lang w:eastAsia="he-IL"/>
        </w:rPr>
        <w:t>ווקו במסלול</w:t>
      </w:r>
      <w:r w:rsidRPr="00F41E78">
        <w:rPr>
          <w:rFonts w:eastAsia="Calibri" w:cs="FrankRuehl" w:hint="cs"/>
          <w:sz w:val="18"/>
          <w:szCs w:val="22"/>
          <w:rtl/>
          <w:lang w:eastAsia="he-IL"/>
        </w:rPr>
        <w:t xml:space="preserve"> זה בחודשים ינואר </w:t>
      </w:r>
      <w:r w:rsidRPr="00F41E78">
        <w:rPr>
          <w:rFonts w:eastAsia="Calibri" w:cs="FrankRuehl"/>
          <w:sz w:val="18"/>
          <w:szCs w:val="22"/>
          <w:rtl/>
          <w:lang w:eastAsia="he-IL"/>
        </w:rPr>
        <w:t>2010</w:t>
      </w:r>
      <w:r w:rsidRPr="00F41E78">
        <w:rPr>
          <w:rFonts w:eastAsia="Calibri" w:cs="FrankRuehl" w:hint="cs"/>
          <w:sz w:val="18"/>
          <w:szCs w:val="22"/>
          <w:rtl/>
          <w:lang w:eastAsia="he-IL"/>
        </w:rPr>
        <w:t>-</w:t>
      </w:r>
      <w:r w:rsidRPr="00F41E78">
        <w:rPr>
          <w:rFonts w:eastAsia="Calibri" w:cs="FrankRuehl"/>
          <w:sz w:val="18"/>
          <w:szCs w:val="22"/>
          <w:rtl/>
          <w:lang w:eastAsia="he-IL"/>
        </w:rPr>
        <w:t>אוגוסט 2013</w:t>
      </w:r>
      <w:r w:rsidRPr="00F41E78">
        <w:rPr>
          <w:rFonts w:eastAsia="Calibri" w:cs="FrankRuehl" w:hint="cs"/>
          <w:sz w:val="18"/>
          <w:szCs w:val="22"/>
          <w:rtl/>
          <w:lang w:eastAsia="he-IL"/>
        </w:rPr>
        <w:t xml:space="preserve">, </w:t>
      </w:r>
      <w:r w:rsidRPr="00F41E78">
        <w:rPr>
          <w:rFonts w:eastAsia="Calibri" w:cs="FrankRuehl"/>
          <w:sz w:val="18"/>
          <w:szCs w:val="22"/>
          <w:rtl/>
          <w:lang w:eastAsia="he-IL"/>
        </w:rPr>
        <w:t>וזאת על בסיס הנתונים שהתקבלו מ</w:t>
      </w:r>
      <w:r w:rsidRPr="00F41E78">
        <w:rPr>
          <w:rFonts w:eastAsia="Calibri" w:cs="FrankRuehl" w:hint="cs"/>
          <w:sz w:val="18"/>
          <w:szCs w:val="22"/>
          <w:rtl/>
          <w:lang w:eastAsia="he-IL"/>
        </w:rPr>
        <w:t>הם.</w:t>
      </w:r>
      <w:r w:rsidR="00FF1578">
        <w:rPr>
          <w:rFonts w:eastAsia="Calibri" w:cs="FrankRuehl" w:hint="cs"/>
          <w:sz w:val="18"/>
          <w:szCs w:val="22"/>
          <w:rtl/>
          <w:lang w:eastAsia="he-IL"/>
        </w:rPr>
        <w:t xml:space="preserve"> להלן פרטים:</w:t>
      </w:r>
    </w:p>
    <w:p w:rsidR="00E97EDA" w:rsidRPr="00F41E78" w:rsidP="00A7557B">
      <w:pPr>
        <w:spacing w:after="120" w:line="230" w:lineRule="exact"/>
        <w:jc w:val="both"/>
        <w:rPr>
          <w:rFonts w:eastAsia="Calibri" w:cs="FrankRuehl"/>
          <w:sz w:val="18"/>
          <w:szCs w:val="22"/>
          <w:rtl/>
          <w:lang w:eastAsia="he-IL"/>
        </w:rPr>
      </w:pPr>
      <w:r w:rsidRPr="00F41E78">
        <w:rPr>
          <w:rFonts w:cs="FrankRuehl"/>
          <w:bCs/>
          <w:spacing w:val="40"/>
          <w:sz w:val="18"/>
          <w:szCs w:val="22"/>
          <w:rtl/>
        </w:rPr>
        <w:t>שיווקים בשנת 2010:</w:t>
      </w:r>
      <w:r w:rsidRPr="00F41E78">
        <w:rPr>
          <w:rFonts w:eastAsia="Calibri" w:cs="FrankRuehl"/>
          <w:sz w:val="18"/>
          <w:szCs w:val="22"/>
          <w:rtl/>
          <w:lang w:eastAsia="he-IL"/>
        </w:rPr>
        <w:t xml:space="preserve"> בשנת 2010 ש</w:t>
      </w:r>
      <w:r w:rsidRPr="00F41E78">
        <w:rPr>
          <w:rFonts w:eastAsia="Calibri" w:cs="FrankRuehl" w:hint="cs"/>
          <w:sz w:val="18"/>
          <w:szCs w:val="22"/>
          <w:rtl/>
          <w:lang w:eastAsia="he-IL"/>
        </w:rPr>
        <w:t>י</w:t>
      </w:r>
      <w:r w:rsidRPr="00F41E78">
        <w:rPr>
          <w:rFonts w:eastAsia="Calibri" w:cs="FrankRuehl"/>
          <w:sz w:val="18"/>
          <w:szCs w:val="22"/>
          <w:rtl/>
          <w:lang w:eastAsia="he-IL"/>
        </w:rPr>
        <w:t xml:space="preserve">ווק בהצלחה משרד הבינוי שני מכרזי קרקע </w:t>
      </w:r>
      <w:r w:rsidRPr="00F41E78">
        <w:rPr>
          <w:rFonts w:eastAsia="Calibri" w:cs="FrankRuehl" w:hint="cs"/>
          <w:sz w:val="18"/>
          <w:szCs w:val="22"/>
          <w:rtl/>
          <w:lang w:eastAsia="he-IL"/>
        </w:rPr>
        <w:t xml:space="preserve">שכללו </w:t>
      </w:r>
      <w:r w:rsidRPr="00F41E78">
        <w:rPr>
          <w:rFonts w:eastAsia="Calibri" w:cs="FrankRuehl"/>
          <w:sz w:val="18"/>
          <w:szCs w:val="22"/>
          <w:rtl/>
          <w:lang w:eastAsia="he-IL"/>
        </w:rPr>
        <w:t>237 יח"ד</w:t>
      </w:r>
      <w:r w:rsidRPr="00F41E78">
        <w:rPr>
          <w:rFonts w:eastAsia="Calibri" w:cs="FrankRuehl" w:hint="cs"/>
          <w:sz w:val="18"/>
          <w:szCs w:val="22"/>
          <w:rtl/>
          <w:lang w:eastAsia="he-IL"/>
        </w:rPr>
        <w:t xml:space="preserve"> -</w:t>
      </w:r>
      <w:r w:rsidRPr="00F41E78">
        <w:rPr>
          <w:rFonts w:eastAsia="Calibri" w:cs="FrankRuehl"/>
          <w:sz w:val="18"/>
          <w:szCs w:val="22"/>
          <w:rtl/>
          <w:lang w:eastAsia="he-IL"/>
        </w:rPr>
        <w:t xml:space="preserve"> 81 יח"ד באשדוד ו-156 יח"ד בירושלים</w:t>
      </w:r>
      <w:r w:rsidRPr="00F41E78">
        <w:rPr>
          <w:rFonts w:eastAsia="Calibri" w:cs="FrankRuehl" w:hint="cs"/>
          <w:sz w:val="18"/>
          <w:szCs w:val="22"/>
          <w:rtl/>
          <w:lang w:eastAsia="he-IL"/>
        </w:rPr>
        <w:t>, וכחצי מהן מיועדות להשכרה.</w:t>
      </w:r>
      <w:r w:rsidRPr="00F41E78">
        <w:rPr>
          <w:rFonts w:eastAsia="Calibri" w:cs="FrankRuehl"/>
          <w:sz w:val="18"/>
          <w:szCs w:val="22"/>
          <w:rtl/>
          <w:lang w:eastAsia="he-IL"/>
        </w:rPr>
        <w:t xml:space="preserve"> יצוין כי </w:t>
      </w:r>
      <w:r w:rsidRPr="00F41E78">
        <w:rPr>
          <w:rFonts w:cs="FrankRuehl" w:hint="cs"/>
          <w:sz w:val="18"/>
          <w:szCs w:val="22"/>
          <w:rtl/>
          <w:lang w:eastAsia="he-IL"/>
        </w:rPr>
        <w:t>באותה עת לא נקבעו יעדים לשיווק של יח"ד להשכרה והמכרזים בוצעו על פי הכללים שנקבעו בהחלטת מועצת מקרקעי ישראל מדצמבר 2009, כלומר ללא מחיר מינימום לקרקע.</w:t>
      </w:r>
      <w:r w:rsidRPr="00F41E78">
        <w:rPr>
          <w:rFonts w:eastAsia="Calibri" w:cs="FrankRuehl" w:hint="cs"/>
          <w:sz w:val="18"/>
          <w:szCs w:val="22"/>
          <w:rtl/>
          <w:lang w:eastAsia="he-IL"/>
        </w:rPr>
        <w:t xml:space="preserve"> </w:t>
      </w:r>
      <w:r w:rsidRPr="00F41E78">
        <w:rPr>
          <w:rFonts w:eastAsia="Calibri" w:cs="FrankRuehl"/>
          <w:sz w:val="18"/>
          <w:szCs w:val="22"/>
          <w:rtl/>
          <w:lang w:eastAsia="he-IL"/>
        </w:rPr>
        <w:t>היזמים שזכו במכרזים חויבו</w:t>
      </w:r>
      <w:r>
        <w:rPr>
          <w:rFonts w:eastAsia="Calibri" w:cs="FrankRuehl"/>
          <w:sz w:val="18"/>
          <w:szCs w:val="22"/>
          <w:vertAlign w:val="superscript"/>
          <w:rtl/>
          <w:lang w:eastAsia="he-IL"/>
        </w:rPr>
        <w:footnoteReference w:id="304"/>
      </w:r>
      <w:r w:rsidRPr="00F41E78">
        <w:rPr>
          <w:rFonts w:eastAsia="Calibri" w:cs="FrankRuehl"/>
          <w:sz w:val="18"/>
          <w:szCs w:val="22"/>
          <w:rtl/>
          <w:lang w:eastAsia="he-IL"/>
        </w:rPr>
        <w:t xml:space="preserve"> להשכיר </w:t>
      </w:r>
      <w:r w:rsidRPr="00F41E78">
        <w:rPr>
          <w:rFonts w:eastAsia="Calibri" w:cs="FrankRuehl" w:hint="cs"/>
          <w:sz w:val="18"/>
          <w:szCs w:val="22"/>
          <w:rtl/>
          <w:lang w:eastAsia="he-IL"/>
        </w:rPr>
        <w:t>את הדירות</w:t>
      </w:r>
      <w:r w:rsidRPr="00F41E78">
        <w:rPr>
          <w:rFonts w:eastAsia="Calibri" w:cs="FrankRuehl"/>
          <w:sz w:val="18"/>
          <w:szCs w:val="22"/>
          <w:rtl/>
          <w:lang w:eastAsia="he-IL"/>
        </w:rPr>
        <w:t xml:space="preserve"> לתקופה ממוצעת של חמש שנים לפחות</w:t>
      </w:r>
      <w:r w:rsidRPr="00F41E78">
        <w:rPr>
          <w:rFonts w:eastAsia="Calibri" w:cs="FrankRuehl" w:hint="cs"/>
          <w:sz w:val="18"/>
          <w:szCs w:val="22"/>
          <w:rtl/>
          <w:lang w:eastAsia="he-IL"/>
        </w:rPr>
        <w:t xml:space="preserve"> </w:t>
      </w:r>
      <w:r w:rsidRPr="00F41E78">
        <w:rPr>
          <w:rFonts w:eastAsia="Calibri" w:cs="FrankRuehl"/>
          <w:sz w:val="18"/>
          <w:szCs w:val="22"/>
          <w:rtl/>
          <w:lang w:eastAsia="he-IL"/>
        </w:rPr>
        <w:t>מתוך שבע השנים שלאחר תום הבנייה.</w:t>
      </w:r>
    </w:p>
    <w:p w:rsidR="00E97EDA" w:rsidRPr="00F41E78" w:rsidP="00A7557B">
      <w:pPr>
        <w:spacing w:after="120" w:line="230" w:lineRule="exact"/>
        <w:jc w:val="both"/>
        <w:rPr>
          <w:rFonts w:eastAsia="Calibri" w:cs="FrankRuehl"/>
          <w:sz w:val="18"/>
          <w:szCs w:val="22"/>
          <w:rtl/>
          <w:lang w:eastAsia="he-IL"/>
        </w:rPr>
      </w:pPr>
      <w:r w:rsidRPr="00F41E78">
        <w:rPr>
          <w:rFonts w:cs="FrankRuehl"/>
          <w:bCs/>
          <w:spacing w:val="40"/>
          <w:sz w:val="18"/>
          <w:szCs w:val="22"/>
          <w:rtl/>
        </w:rPr>
        <w:t xml:space="preserve">שיווקים בשנת 2011: </w:t>
      </w:r>
      <w:r w:rsidRPr="00F41E78">
        <w:rPr>
          <w:rFonts w:eastAsia="Calibri" w:cs="FrankRuehl"/>
          <w:sz w:val="18"/>
          <w:szCs w:val="22"/>
          <w:rtl/>
          <w:lang w:eastAsia="he-IL"/>
        </w:rPr>
        <w:t xml:space="preserve">בשנת 2011 לא </w:t>
      </w:r>
      <w:r w:rsidRPr="00F41E78">
        <w:rPr>
          <w:rFonts w:eastAsia="Calibri" w:cs="FrankRuehl" w:hint="cs"/>
          <w:sz w:val="18"/>
          <w:szCs w:val="22"/>
          <w:rtl/>
          <w:lang w:eastAsia="he-IL"/>
        </w:rPr>
        <w:t>נקבעו יעדים</w:t>
      </w:r>
      <w:r w:rsidRPr="00F41E78">
        <w:rPr>
          <w:rFonts w:eastAsia="Calibri" w:cs="FrankRuehl"/>
          <w:sz w:val="18"/>
          <w:szCs w:val="22"/>
          <w:rtl/>
          <w:lang w:eastAsia="he-IL"/>
        </w:rPr>
        <w:t xml:space="preserve"> לשיווק של קרקעות לבנייה להשכרה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 </w:t>
      </w:r>
      <w:r w:rsidRPr="00F41E78">
        <w:rPr>
          <w:rFonts w:eastAsia="Calibri" w:cs="FrankRuehl"/>
          <w:sz w:val="18"/>
          <w:szCs w:val="22"/>
          <w:rtl/>
          <w:lang w:eastAsia="he-IL"/>
        </w:rPr>
        <w:t>בשנ</w:t>
      </w:r>
      <w:r w:rsidRPr="00F41E78">
        <w:rPr>
          <w:rFonts w:eastAsia="Calibri" w:cs="FrankRuehl" w:hint="cs"/>
          <w:sz w:val="18"/>
          <w:szCs w:val="22"/>
          <w:rtl/>
          <w:lang w:eastAsia="he-IL"/>
        </w:rPr>
        <w:t xml:space="preserve">ה זו </w:t>
      </w:r>
      <w:r w:rsidRPr="00F41E78">
        <w:rPr>
          <w:rFonts w:eastAsia="Calibri" w:cs="FrankRuehl"/>
          <w:sz w:val="18"/>
          <w:szCs w:val="22"/>
          <w:rtl/>
          <w:lang w:eastAsia="he-IL"/>
        </w:rPr>
        <w:t>משרד הבינוי ורמ"י לא פרסמו ו</w:t>
      </w:r>
      <w:r w:rsidRPr="00F41E78">
        <w:rPr>
          <w:rFonts w:eastAsia="Calibri" w:cs="FrankRuehl" w:hint="cs"/>
          <w:sz w:val="18"/>
          <w:szCs w:val="22"/>
          <w:rtl/>
          <w:lang w:eastAsia="he-IL"/>
        </w:rPr>
        <w:t xml:space="preserve">לא </w:t>
      </w:r>
      <w:r w:rsidRPr="00F41E78">
        <w:rPr>
          <w:rFonts w:eastAsia="Calibri" w:cs="FrankRuehl"/>
          <w:sz w:val="18"/>
          <w:szCs w:val="22"/>
          <w:rtl/>
          <w:lang w:eastAsia="he-IL"/>
        </w:rPr>
        <w:t xml:space="preserve">שיווקו מכרזי קרקע לבנייה להשכרה. </w:t>
      </w:r>
    </w:p>
    <w:p w:rsidR="00E97EDA" w:rsidRPr="00582A43" w:rsidP="00FB78D4">
      <w:pPr>
        <w:spacing w:after="120" w:line="230" w:lineRule="exact"/>
        <w:jc w:val="both"/>
        <w:rPr>
          <w:rFonts w:eastAsia="Calibri" w:cs="FrankRuehl"/>
          <w:sz w:val="18"/>
          <w:szCs w:val="22"/>
          <w:rtl/>
          <w:lang w:eastAsia="he-IL"/>
        </w:rPr>
      </w:pPr>
      <w:r w:rsidRPr="00582A43">
        <w:rPr>
          <w:rFonts w:cs="FrankRuehl"/>
          <w:bCs/>
          <w:spacing w:val="40"/>
          <w:sz w:val="18"/>
          <w:szCs w:val="22"/>
          <w:rtl/>
        </w:rPr>
        <w:t xml:space="preserve">שיווקים בשנת 2012: </w:t>
      </w:r>
      <w:r w:rsidRPr="00582A43">
        <w:rPr>
          <w:rFonts w:eastAsia="Calibri" w:cs="FrankRuehl"/>
          <w:sz w:val="18"/>
          <w:szCs w:val="22"/>
          <w:rtl/>
          <w:lang w:eastAsia="he-IL"/>
        </w:rPr>
        <w:t xml:space="preserve">בשנה זו </w:t>
      </w:r>
      <w:r w:rsidRPr="00582A43">
        <w:rPr>
          <w:rFonts w:eastAsia="Calibri" w:cs="FrankRuehl" w:hint="cs"/>
          <w:sz w:val="18"/>
          <w:szCs w:val="22"/>
          <w:rtl/>
          <w:lang w:eastAsia="he-IL"/>
        </w:rPr>
        <w:t>התקבלה</w:t>
      </w:r>
      <w:r w:rsidRPr="00582A43">
        <w:rPr>
          <w:rFonts w:eastAsia="Calibri" w:cs="FrankRuehl"/>
          <w:sz w:val="18"/>
          <w:szCs w:val="22"/>
          <w:rtl/>
          <w:lang w:eastAsia="he-IL"/>
        </w:rPr>
        <w:t xml:space="preserve"> החלטת ממשלה</w:t>
      </w:r>
      <w:r w:rsidRPr="00582A43">
        <w:rPr>
          <w:rFonts w:eastAsia="Calibri" w:cs="FrankRuehl" w:hint="cs"/>
          <w:sz w:val="18"/>
          <w:szCs w:val="22"/>
          <w:rtl/>
          <w:lang w:eastAsia="he-IL"/>
        </w:rPr>
        <w:t xml:space="preserve"> מס'</w:t>
      </w:r>
      <w:r w:rsidRPr="00582A43">
        <w:rPr>
          <w:rFonts w:eastAsia="Calibri" w:cs="FrankRuehl"/>
          <w:sz w:val="18"/>
          <w:szCs w:val="22"/>
          <w:rtl/>
          <w:lang w:eastAsia="he-IL"/>
        </w:rPr>
        <w:t xml:space="preserve"> 4429</w:t>
      </w:r>
      <w:r w:rsidRPr="00582A43">
        <w:rPr>
          <w:rFonts w:eastAsia="Calibri" w:cs="FrankRuehl" w:hint="cs"/>
          <w:sz w:val="18"/>
          <w:szCs w:val="22"/>
          <w:rtl/>
          <w:lang w:eastAsia="he-IL"/>
        </w:rPr>
        <w:t>, ו</w:t>
      </w:r>
      <w:r w:rsidRPr="00582A43">
        <w:rPr>
          <w:rFonts w:eastAsia="Calibri" w:cs="FrankRuehl"/>
          <w:sz w:val="18"/>
          <w:szCs w:val="22"/>
          <w:rtl/>
          <w:lang w:eastAsia="he-IL"/>
        </w:rPr>
        <w:t>לפיה על רמ"י ו</w:t>
      </w:r>
      <w:r w:rsidRPr="00582A43">
        <w:rPr>
          <w:rFonts w:eastAsia="Calibri" w:cs="FrankRuehl" w:hint="cs"/>
          <w:sz w:val="18"/>
          <w:szCs w:val="22"/>
          <w:rtl/>
          <w:lang w:eastAsia="he-IL"/>
        </w:rPr>
        <w:t xml:space="preserve">על </w:t>
      </w:r>
      <w:r w:rsidRPr="00582A43">
        <w:rPr>
          <w:rFonts w:eastAsia="Calibri" w:cs="FrankRuehl"/>
          <w:sz w:val="18"/>
          <w:szCs w:val="22"/>
          <w:rtl/>
          <w:lang w:eastAsia="he-IL"/>
        </w:rPr>
        <w:t xml:space="preserve">משרד הבינוי לשווק </w:t>
      </w:r>
      <w:r w:rsidRPr="00582A43">
        <w:rPr>
          <w:rFonts w:eastAsia="Calibri" w:cs="FrankRuehl" w:hint="cs"/>
          <w:sz w:val="18"/>
          <w:szCs w:val="22"/>
          <w:rtl/>
          <w:lang w:eastAsia="he-IL"/>
        </w:rPr>
        <w:t>במשך</w:t>
      </w:r>
      <w:r w:rsidRPr="00582A43">
        <w:rPr>
          <w:rFonts w:eastAsia="Calibri" w:cs="FrankRuehl"/>
          <w:sz w:val="18"/>
          <w:szCs w:val="22"/>
          <w:rtl/>
          <w:lang w:eastAsia="he-IL"/>
        </w:rPr>
        <w:t xml:space="preserve"> החומש הקרוב (בשנים 2016-2012) 40,000 יח"ד להשכרה לטווח ארוך או דירות. על פי נתוני </w:t>
      </w:r>
      <w:r w:rsidRPr="00582A43">
        <w:rPr>
          <w:rFonts w:eastAsia="Calibri" w:cs="FrankRuehl" w:hint="cs"/>
          <w:sz w:val="18"/>
          <w:szCs w:val="22"/>
          <w:rtl/>
          <w:lang w:eastAsia="he-IL"/>
        </w:rPr>
        <w:t xml:space="preserve">משרד הבינוי, בשנת 2012 הוא </w:t>
      </w:r>
      <w:r w:rsidRPr="00582A43">
        <w:rPr>
          <w:rFonts w:eastAsia="Calibri" w:cs="FrankRuehl"/>
          <w:sz w:val="18"/>
          <w:szCs w:val="22"/>
          <w:rtl/>
          <w:lang w:eastAsia="he-IL"/>
        </w:rPr>
        <w:t>ש</w:t>
      </w:r>
      <w:r w:rsidRPr="00582A43">
        <w:rPr>
          <w:rFonts w:eastAsia="Calibri" w:cs="FrankRuehl" w:hint="cs"/>
          <w:sz w:val="18"/>
          <w:szCs w:val="22"/>
          <w:rtl/>
          <w:lang w:eastAsia="he-IL"/>
        </w:rPr>
        <w:t>י</w:t>
      </w:r>
      <w:r w:rsidRPr="00582A43">
        <w:rPr>
          <w:rFonts w:eastAsia="Calibri" w:cs="FrankRuehl"/>
          <w:sz w:val="18"/>
          <w:szCs w:val="22"/>
          <w:rtl/>
          <w:lang w:eastAsia="he-IL"/>
        </w:rPr>
        <w:t>ווק בהצלחה</w:t>
      </w:r>
      <w:r w:rsidRPr="00582A43">
        <w:rPr>
          <w:rFonts w:eastAsia="Calibri" w:cs="FrankRuehl" w:hint="cs"/>
          <w:sz w:val="18"/>
          <w:szCs w:val="22"/>
          <w:rtl/>
          <w:lang w:eastAsia="he-IL"/>
        </w:rPr>
        <w:t xml:space="preserve"> </w:t>
      </w:r>
      <w:r w:rsidRPr="00582A43">
        <w:rPr>
          <w:rFonts w:eastAsia="Calibri" w:cs="FrankRuehl"/>
          <w:sz w:val="18"/>
          <w:szCs w:val="22"/>
          <w:rtl/>
          <w:lang w:eastAsia="he-IL"/>
        </w:rPr>
        <w:t xml:space="preserve">406 יח"ד בלבד </w:t>
      </w:r>
      <w:r w:rsidRPr="00582A43">
        <w:rPr>
          <w:rFonts w:eastAsia="Calibri" w:cs="FrankRuehl" w:hint="cs"/>
          <w:sz w:val="18"/>
          <w:szCs w:val="22"/>
          <w:rtl/>
          <w:lang w:eastAsia="he-IL"/>
        </w:rPr>
        <w:t>במסגרת השכרה לטווח ארוך (20-10 שנים) -</w:t>
      </w:r>
      <w:r w:rsidRPr="00582A43">
        <w:rPr>
          <w:rFonts w:eastAsia="Calibri" w:cs="FrankRuehl"/>
          <w:sz w:val="18"/>
          <w:szCs w:val="22"/>
          <w:rtl/>
          <w:lang w:eastAsia="he-IL"/>
        </w:rPr>
        <w:t xml:space="preserve"> 238 ברעננה, </w:t>
      </w:r>
      <w:r w:rsidRPr="00582A43" w:rsidR="00FB78D4">
        <w:rPr>
          <w:rFonts w:eastAsia="Calibri" w:cs="FrankRuehl" w:hint="cs"/>
          <w:sz w:val="18"/>
          <w:szCs w:val="22"/>
          <w:rtl/>
          <w:lang w:eastAsia="he-IL"/>
        </w:rPr>
        <w:t>15</w:t>
      </w:r>
      <w:r w:rsidRPr="00582A43">
        <w:rPr>
          <w:rFonts w:eastAsia="Calibri" w:cs="FrankRuehl"/>
          <w:sz w:val="18"/>
          <w:szCs w:val="22"/>
          <w:rtl/>
          <w:lang w:eastAsia="he-IL"/>
        </w:rPr>
        <w:t xml:space="preserve"> בכפר סבא, 94 באשדוד </w:t>
      </w:r>
      <w:r w:rsidRPr="00582A43">
        <w:rPr>
          <w:rFonts w:eastAsia="Calibri" w:cs="FrankRuehl" w:hint="cs"/>
          <w:sz w:val="18"/>
          <w:szCs w:val="22"/>
          <w:rtl/>
          <w:lang w:eastAsia="he-IL"/>
        </w:rPr>
        <w:t>ו-</w:t>
      </w:r>
      <w:r w:rsidRPr="00582A43" w:rsidR="00FB78D4">
        <w:rPr>
          <w:rFonts w:eastAsia="Calibri" w:cs="FrankRuehl" w:hint="cs"/>
          <w:sz w:val="18"/>
          <w:szCs w:val="22"/>
          <w:rtl/>
          <w:lang w:eastAsia="he-IL"/>
        </w:rPr>
        <w:t>3</w:t>
      </w:r>
      <w:r w:rsidRPr="00582A43">
        <w:rPr>
          <w:rFonts w:eastAsia="Calibri" w:cs="FrankRuehl"/>
          <w:sz w:val="18"/>
          <w:szCs w:val="22"/>
          <w:rtl/>
          <w:lang w:eastAsia="he-IL"/>
        </w:rPr>
        <w:t>0 בירושלים.</w:t>
      </w:r>
      <w:r w:rsidRPr="00582A43">
        <w:rPr>
          <w:rFonts w:eastAsia="Calibri" w:cs="FrankRuehl" w:hint="cs"/>
          <w:sz w:val="18"/>
          <w:szCs w:val="22"/>
          <w:rtl/>
          <w:lang w:eastAsia="he-IL"/>
        </w:rPr>
        <w:t xml:space="preserve"> 29 יחידות הדיור הנותרות שווקו למכירה.</w:t>
      </w:r>
    </w:p>
    <w:p w:rsidR="00E97EDA" w:rsidRPr="00F41E78" w:rsidP="00B63589">
      <w:pPr>
        <w:spacing w:after="240" w:line="230" w:lineRule="exact"/>
        <w:jc w:val="both"/>
        <w:rPr>
          <w:rFonts w:eastAsia="Calibri" w:cs="FrankRuehl"/>
          <w:sz w:val="18"/>
          <w:szCs w:val="22"/>
          <w:rtl/>
          <w:lang w:eastAsia="he-IL"/>
        </w:rPr>
      </w:pPr>
      <w:r w:rsidRPr="00F41E78">
        <w:rPr>
          <w:rFonts w:cs="FrankRuehl"/>
          <w:bCs/>
          <w:spacing w:val="40"/>
          <w:sz w:val="18"/>
          <w:szCs w:val="22"/>
          <w:rtl/>
        </w:rPr>
        <w:t>שיווקים בשנת 2013:</w:t>
      </w:r>
      <w:r w:rsidRPr="00F41E78">
        <w:rPr>
          <w:rFonts w:cs="FrankRuehl"/>
          <w:sz w:val="18"/>
          <w:szCs w:val="22"/>
          <w:rtl/>
          <w:lang w:eastAsia="he-IL"/>
        </w:rPr>
        <w:t xml:space="preserve"> </w:t>
      </w:r>
      <w:r w:rsidRPr="00F41E78">
        <w:rPr>
          <w:rFonts w:eastAsia="Calibri" w:cs="FrankRuehl"/>
          <w:sz w:val="18"/>
          <w:szCs w:val="22"/>
          <w:rtl/>
          <w:lang w:eastAsia="he-IL"/>
        </w:rPr>
        <w:t xml:space="preserve">בשנה זו הייתה בתוקף החלטת קבינט הדיור </w:t>
      </w:r>
      <w:r w:rsidRPr="00F41E78">
        <w:rPr>
          <w:rFonts w:eastAsia="Calibri" w:cs="FrankRuehl" w:hint="cs"/>
          <w:sz w:val="18"/>
          <w:szCs w:val="22"/>
          <w:rtl/>
          <w:lang w:eastAsia="he-IL"/>
        </w:rPr>
        <w:t>ו</w:t>
      </w:r>
      <w:r w:rsidRPr="00F41E78">
        <w:rPr>
          <w:rFonts w:eastAsia="Calibri" w:cs="FrankRuehl"/>
          <w:sz w:val="18"/>
          <w:szCs w:val="22"/>
          <w:rtl/>
          <w:lang w:eastAsia="he-IL"/>
        </w:rPr>
        <w:t xml:space="preserve">לפיה היעד לשיווק יח"ד להשכרה </w:t>
      </w:r>
      <w:r w:rsidRPr="00F41E78">
        <w:rPr>
          <w:rFonts w:eastAsia="Calibri" w:cs="FrankRuehl" w:hint="cs"/>
          <w:sz w:val="18"/>
          <w:szCs w:val="22"/>
          <w:rtl/>
          <w:lang w:eastAsia="he-IL"/>
        </w:rPr>
        <w:t>ב</w:t>
      </w:r>
      <w:r w:rsidRPr="00F41E78">
        <w:rPr>
          <w:rFonts w:eastAsia="Calibri" w:cs="FrankRuehl"/>
          <w:sz w:val="18"/>
          <w:szCs w:val="22"/>
          <w:rtl/>
          <w:lang w:eastAsia="he-IL"/>
        </w:rPr>
        <w:t xml:space="preserve">שנים </w:t>
      </w:r>
      <w:r w:rsidRPr="00F41E78">
        <w:rPr>
          <w:rFonts w:eastAsia="Calibri" w:cs="FrankRuehl" w:hint="cs"/>
          <w:sz w:val="18"/>
          <w:szCs w:val="22"/>
          <w:rtl/>
          <w:lang w:eastAsia="he-IL"/>
        </w:rPr>
        <w:t xml:space="preserve">2014-2013 יהיה </w:t>
      </w:r>
      <w:r w:rsidRPr="00F41E78">
        <w:rPr>
          <w:rFonts w:eastAsia="Calibri" w:cs="FrankRuehl"/>
          <w:sz w:val="18"/>
          <w:szCs w:val="22"/>
          <w:rtl/>
          <w:lang w:eastAsia="he-IL"/>
        </w:rPr>
        <w:t>3,916 יח"ד ו-1,916</w:t>
      </w:r>
      <w:r w:rsidRPr="00F41E78">
        <w:rPr>
          <w:rFonts w:eastAsia="Calibri" w:cs="FrankRuehl" w:hint="cs"/>
          <w:sz w:val="18"/>
          <w:szCs w:val="22"/>
          <w:rtl/>
          <w:lang w:eastAsia="he-IL"/>
        </w:rPr>
        <w:t xml:space="preserve"> יח"ד,</w:t>
      </w:r>
      <w:r w:rsidRPr="00F41E78">
        <w:rPr>
          <w:rFonts w:eastAsia="Calibri" w:cs="FrankRuehl"/>
          <w:sz w:val="18"/>
          <w:szCs w:val="22"/>
          <w:rtl/>
          <w:lang w:eastAsia="he-IL"/>
        </w:rPr>
        <w:t xml:space="preserve"> </w:t>
      </w:r>
      <w:r w:rsidRPr="00F41E78">
        <w:rPr>
          <w:rFonts w:eastAsia="Calibri" w:cs="FrankRuehl" w:hint="cs"/>
          <w:sz w:val="18"/>
          <w:szCs w:val="22"/>
          <w:rtl/>
          <w:lang w:eastAsia="he-IL"/>
        </w:rPr>
        <w:t>בהתאמה.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החלטה תקפה נוספת הייתה </w:t>
      </w:r>
      <w:r w:rsidRPr="00F41E78">
        <w:rPr>
          <w:rFonts w:eastAsia="Calibri" w:cs="FrankRuehl"/>
          <w:sz w:val="18"/>
          <w:szCs w:val="22"/>
          <w:rtl/>
          <w:lang w:eastAsia="he-IL"/>
        </w:rPr>
        <w:t>החלטת ממשלה</w:t>
      </w:r>
      <w:r w:rsidRPr="00F41E78">
        <w:rPr>
          <w:rFonts w:eastAsia="Calibri" w:cs="FrankRuehl" w:hint="cs"/>
          <w:sz w:val="18"/>
          <w:szCs w:val="22"/>
          <w:rtl/>
          <w:lang w:eastAsia="he-IL"/>
        </w:rPr>
        <w:t xml:space="preserve"> מס'</w:t>
      </w:r>
      <w:r w:rsidRPr="00F41E78">
        <w:rPr>
          <w:rFonts w:eastAsia="Calibri" w:cs="FrankRuehl"/>
          <w:sz w:val="18"/>
          <w:szCs w:val="22"/>
          <w:rtl/>
          <w:lang w:eastAsia="he-IL"/>
        </w:rPr>
        <w:t xml:space="preserve"> 4429</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ו</w:t>
      </w:r>
      <w:r w:rsidRPr="00F41E78">
        <w:rPr>
          <w:rFonts w:eastAsia="Calibri" w:cs="FrankRuehl"/>
          <w:sz w:val="18"/>
          <w:szCs w:val="22"/>
          <w:rtl/>
          <w:lang w:eastAsia="he-IL"/>
        </w:rPr>
        <w:t>לפיה על רמ"י ו</w:t>
      </w:r>
      <w:r w:rsidRPr="00F41E78">
        <w:rPr>
          <w:rFonts w:eastAsia="Calibri" w:cs="FrankRuehl" w:hint="cs"/>
          <w:sz w:val="18"/>
          <w:szCs w:val="22"/>
          <w:rtl/>
          <w:lang w:eastAsia="he-IL"/>
        </w:rPr>
        <w:t xml:space="preserve">על </w:t>
      </w:r>
      <w:r w:rsidRPr="00F41E78">
        <w:rPr>
          <w:rFonts w:eastAsia="Calibri" w:cs="FrankRuehl"/>
          <w:sz w:val="18"/>
          <w:szCs w:val="22"/>
          <w:rtl/>
          <w:lang w:eastAsia="he-IL"/>
        </w:rPr>
        <w:t xml:space="preserve">משרד הבינוי לשווק </w:t>
      </w:r>
      <w:r w:rsidRPr="00F41E78">
        <w:rPr>
          <w:rFonts w:eastAsia="Calibri" w:cs="FrankRuehl" w:hint="cs"/>
          <w:sz w:val="18"/>
          <w:szCs w:val="22"/>
          <w:rtl/>
          <w:lang w:eastAsia="he-IL"/>
        </w:rPr>
        <w:t>ב</w:t>
      </w:r>
      <w:r w:rsidRPr="00F41E78">
        <w:rPr>
          <w:rFonts w:eastAsia="Calibri" w:cs="FrankRuehl"/>
          <w:sz w:val="18"/>
          <w:szCs w:val="22"/>
          <w:rtl/>
          <w:lang w:eastAsia="he-IL"/>
        </w:rPr>
        <w:t>חומש הקרוב (בשנים 2016-2012) 40,000 יח"ד להשכרה לטווח ארוך או דירות קטנות.</w:t>
      </w:r>
    </w:p>
    <w:p w:rsidR="00D22B16" w:rsidRPr="00F41E78" w:rsidP="00D22B16">
      <w:pPr>
        <w:pStyle w:val="RESHET"/>
        <w:keepLines/>
        <w:rPr>
          <w:rFonts w:eastAsia="Calibri"/>
          <w:rtl/>
        </w:rPr>
      </w:pPr>
      <w:r w:rsidRPr="00F41E78">
        <w:rPr>
          <w:rFonts w:eastAsia="Calibri" w:hint="cs"/>
          <w:rtl/>
        </w:rPr>
        <w:t xml:space="preserve">הביקורת העלתה כי מינואר 2013 עד מועד סיום הביקורת פסקו משרד הבינוי </w:t>
      </w:r>
      <w:r w:rsidRPr="00F41E78">
        <w:rPr>
          <w:rFonts w:eastAsia="Calibri"/>
          <w:rtl/>
        </w:rPr>
        <w:t xml:space="preserve">ורמ"י </w:t>
      </w:r>
      <w:r w:rsidRPr="00F41E78">
        <w:rPr>
          <w:rFonts w:eastAsia="Calibri" w:hint="cs"/>
          <w:rtl/>
        </w:rPr>
        <w:t>מ</w:t>
      </w:r>
      <w:r w:rsidRPr="00F41E78">
        <w:rPr>
          <w:rFonts w:eastAsia="Calibri"/>
          <w:rtl/>
        </w:rPr>
        <w:t xml:space="preserve">לשווק קרקעות לבנייה להשכרה לטווח ארוך. לטענת משרד הבינוי, </w:t>
      </w:r>
      <w:r w:rsidRPr="00F41E78">
        <w:rPr>
          <w:rFonts w:eastAsia="Calibri" w:hint="cs"/>
          <w:rtl/>
        </w:rPr>
        <w:t xml:space="preserve">הם פסקו מלעשות זאת בעטיין של </w:t>
      </w:r>
      <w:r w:rsidRPr="00F41E78">
        <w:rPr>
          <w:rFonts w:eastAsia="Calibri"/>
          <w:rtl/>
        </w:rPr>
        <w:t xml:space="preserve">עתירות משפטיות שהגישו ארגונים וגופים ציבוריים </w:t>
      </w:r>
      <w:r w:rsidRPr="00F41E78">
        <w:rPr>
          <w:rFonts w:eastAsia="Calibri" w:hint="cs"/>
          <w:rtl/>
        </w:rPr>
        <w:t>בנוגע</w:t>
      </w:r>
      <w:r w:rsidRPr="00F41E78">
        <w:rPr>
          <w:rFonts w:eastAsia="Calibri"/>
          <w:rtl/>
        </w:rPr>
        <w:t xml:space="preserve"> לתבחיני הזכאות לדיור בר השגה</w:t>
      </w:r>
      <w:r w:rsidRPr="00F41E78">
        <w:rPr>
          <w:rFonts w:eastAsia="Calibri" w:hint="cs"/>
          <w:rtl/>
        </w:rPr>
        <w:t>,</w:t>
      </w:r>
      <w:r w:rsidRPr="00F41E78">
        <w:rPr>
          <w:rFonts w:eastAsia="Calibri"/>
          <w:rtl/>
        </w:rPr>
        <w:t xml:space="preserve"> ובעיקר הדרישה </w:t>
      </w:r>
      <w:r w:rsidRPr="00F41E78">
        <w:rPr>
          <w:rFonts w:eastAsia="Calibri" w:hint="cs"/>
          <w:rtl/>
        </w:rPr>
        <w:t xml:space="preserve">לכלול בתבחיני הזכאות </w:t>
      </w:r>
      <w:r w:rsidRPr="00F41E78">
        <w:rPr>
          <w:rFonts w:eastAsia="Calibri"/>
          <w:rtl/>
        </w:rPr>
        <w:t xml:space="preserve">קריטריון </w:t>
      </w:r>
      <w:r w:rsidRPr="00F41E78">
        <w:rPr>
          <w:rFonts w:eastAsia="Calibri" w:hint="cs"/>
          <w:rtl/>
        </w:rPr>
        <w:t xml:space="preserve">בדבר </w:t>
      </w:r>
      <w:r w:rsidRPr="00F41E78">
        <w:rPr>
          <w:rFonts w:eastAsia="Calibri"/>
          <w:rtl/>
        </w:rPr>
        <w:t>מיצוי כושר השתכרות.</w:t>
      </w:r>
    </w:p>
    <w:p w:rsidR="00D22B16" w:rsidRPr="00FA1F2C" w:rsidP="00D22B16">
      <w:pPr>
        <w:pStyle w:val="RESHET"/>
        <w:keepLines/>
        <w:rPr>
          <w:szCs w:val="20"/>
          <w:rtl/>
        </w:rPr>
      </w:pPr>
      <w:r w:rsidRPr="00F41E78">
        <w:rPr>
          <w:rFonts w:eastAsia="Calibri" w:hint="cs"/>
          <w:rtl/>
        </w:rPr>
        <w:t>מהאמור</w:t>
      </w:r>
      <w:r w:rsidRPr="00F41E78">
        <w:rPr>
          <w:rFonts w:eastAsia="Calibri"/>
          <w:rtl/>
        </w:rPr>
        <w:t xml:space="preserve"> עולה כי </w:t>
      </w:r>
      <w:r w:rsidRPr="00F41E78">
        <w:rPr>
          <w:rFonts w:eastAsia="Calibri" w:hint="cs"/>
          <w:rtl/>
        </w:rPr>
        <w:t>בחודשים ינואר</w:t>
      </w:r>
      <w:r w:rsidRPr="00F41E78">
        <w:rPr>
          <w:rFonts w:eastAsia="Calibri"/>
          <w:rtl/>
        </w:rPr>
        <w:t xml:space="preserve"> 2010</w:t>
      </w:r>
      <w:r w:rsidRPr="00F41E78">
        <w:rPr>
          <w:rFonts w:eastAsia="Calibri" w:hint="cs"/>
          <w:rtl/>
        </w:rPr>
        <w:t>-</w:t>
      </w:r>
      <w:r w:rsidRPr="00F41E78">
        <w:rPr>
          <w:rFonts w:eastAsia="Calibri"/>
          <w:rtl/>
        </w:rPr>
        <w:t>אוגוסט 2013 שיווקו רמ"י ומשרד הבינוי קרקע ל-377 יח"ד בלבד שיועדו להשכרה לטווח ארוך</w:t>
      </w:r>
      <w:r w:rsidRPr="00F41E78">
        <w:rPr>
          <w:rFonts w:eastAsia="Calibri" w:hint="cs"/>
          <w:rtl/>
        </w:rPr>
        <w:t xml:space="preserve"> (נוסף לכך, בשנת 2010 שווקו 50% </w:t>
      </w:r>
      <w:r w:rsidR="00A67889">
        <w:rPr>
          <w:rFonts w:eastAsia="Calibri"/>
          <w:rtl/>
        </w:rPr>
        <w:br/>
      </w:r>
      <w:r w:rsidRPr="00F41E78">
        <w:rPr>
          <w:rFonts w:eastAsia="Calibri" w:hint="cs"/>
          <w:rtl/>
        </w:rPr>
        <w:t>מ-237 יח"ד שייעודן הוגדר כהשכרה לחמש שנים לפחות)</w:t>
      </w:r>
      <w:r w:rsidRPr="00F41E78">
        <w:rPr>
          <w:rFonts w:eastAsia="Calibri"/>
          <w:rtl/>
        </w:rPr>
        <w:t>.</w:t>
      </w:r>
      <w:r w:rsidRPr="00F41E78">
        <w:rPr>
          <w:rFonts w:eastAsia="Calibri" w:hint="cs"/>
          <w:rtl/>
        </w:rPr>
        <w:t xml:space="preserve"> עקב התנהלות זו כשלה הממשלה ביצירת מלאי של יח"ד להשכרה כפי שהגדירה כיעד בהחלטותיה. כמות יחידות הדיור ששווקה הייתה</w:t>
      </w:r>
      <w:r w:rsidRPr="00F41E78">
        <w:rPr>
          <w:rFonts w:eastAsia="Calibri"/>
          <w:rtl/>
        </w:rPr>
        <w:t xml:space="preserve"> בהיקף שולי ש</w:t>
      </w:r>
      <w:r w:rsidRPr="00F41E78">
        <w:rPr>
          <w:rFonts w:eastAsia="Calibri" w:hint="cs"/>
          <w:rtl/>
        </w:rPr>
        <w:t>ל</w:t>
      </w:r>
      <w:r w:rsidRPr="00F41E78">
        <w:rPr>
          <w:rFonts w:eastAsia="Calibri"/>
          <w:rtl/>
        </w:rPr>
        <w:t>א</w:t>
      </w:r>
      <w:r w:rsidRPr="00F41E78">
        <w:rPr>
          <w:rFonts w:eastAsia="Calibri" w:hint="cs"/>
          <w:rtl/>
        </w:rPr>
        <w:t xml:space="preserve"> היה </w:t>
      </w:r>
      <w:r w:rsidRPr="00F41E78">
        <w:rPr>
          <w:rFonts w:eastAsia="Calibri"/>
          <w:rtl/>
        </w:rPr>
        <w:t xml:space="preserve">בכוחו לתרום לשינוי </w:t>
      </w:r>
      <w:r w:rsidRPr="00F41E78">
        <w:rPr>
          <w:rFonts w:eastAsia="Calibri" w:hint="cs"/>
          <w:rtl/>
        </w:rPr>
        <w:t>ב</w:t>
      </w:r>
      <w:r w:rsidRPr="00F41E78">
        <w:rPr>
          <w:rFonts w:eastAsia="Calibri"/>
          <w:rtl/>
        </w:rPr>
        <w:t>שוק הדיור בכלל ו</w:t>
      </w:r>
      <w:r w:rsidRPr="00F41E78">
        <w:rPr>
          <w:rFonts w:eastAsia="Calibri" w:hint="cs"/>
          <w:rtl/>
        </w:rPr>
        <w:t>ל</w:t>
      </w:r>
      <w:r w:rsidRPr="00F41E78">
        <w:rPr>
          <w:rFonts w:eastAsia="Calibri"/>
          <w:rtl/>
        </w:rPr>
        <w:t>מתן פתרונות דיור ב</w:t>
      </w:r>
      <w:r w:rsidRPr="00F41E78">
        <w:rPr>
          <w:rFonts w:eastAsia="Calibri" w:hint="cs"/>
          <w:rtl/>
        </w:rPr>
        <w:t>ר השגה לאוכלוסיית היעד בפרט. חמור מ</w:t>
      </w:r>
      <w:r w:rsidRPr="00F41E78">
        <w:rPr>
          <w:rFonts w:eastAsia="Calibri"/>
          <w:rtl/>
        </w:rPr>
        <w:t xml:space="preserve">כך </w:t>
      </w:r>
      <w:r w:rsidRPr="00F41E78">
        <w:rPr>
          <w:rFonts w:eastAsia="Calibri" w:hint="cs"/>
          <w:rtl/>
        </w:rPr>
        <w:t xml:space="preserve">הוא </w:t>
      </w:r>
      <w:r w:rsidRPr="00F41E78">
        <w:rPr>
          <w:rFonts w:eastAsia="Calibri"/>
          <w:rtl/>
        </w:rPr>
        <w:t>ה</w:t>
      </w:r>
      <w:r w:rsidRPr="00F41E78">
        <w:rPr>
          <w:rFonts w:eastAsia="Calibri" w:hint="cs"/>
          <w:rtl/>
        </w:rPr>
        <w:t>י</w:t>
      </w:r>
      <w:r w:rsidRPr="00F41E78">
        <w:rPr>
          <w:rFonts w:eastAsia="Calibri"/>
          <w:rtl/>
        </w:rPr>
        <w:t xml:space="preserve">עדר </w:t>
      </w:r>
      <w:r w:rsidRPr="00F41E78">
        <w:rPr>
          <w:rFonts w:eastAsia="Calibri" w:hint="cs"/>
          <w:rtl/>
        </w:rPr>
        <w:t>התכנון ה</w:t>
      </w:r>
      <w:r w:rsidRPr="00F41E78">
        <w:rPr>
          <w:rFonts w:eastAsia="Calibri"/>
          <w:rtl/>
        </w:rPr>
        <w:t xml:space="preserve">אסטרטגי ליישום מדיניות הממשלה </w:t>
      </w:r>
      <w:r w:rsidRPr="00F41E78">
        <w:rPr>
          <w:rFonts w:eastAsia="Calibri" w:hint="cs"/>
          <w:rtl/>
        </w:rPr>
        <w:t>בתחום</w:t>
      </w:r>
      <w:r w:rsidRPr="00F41E78">
        <w:rPr>
          <w:rFonts w:eastAsia="Calibri"/>
          <w:rtl/>
        </w:rPr>
        <w:t xml:space="preserve"> </w:t>
      </w:r>
      <w:r w:rsidRPr="00F41E78">
        <w:rPr>
          <w:rFonts w:eastAsia="Calibri" w:hint="cs"/>
          <w:rtl/>
        </w:rPr>
        <w:t>ה</w:t>
      </w:r>
      <w:r w:rsidRPr="00F41E78">
        <w:rPr>
          <w:rFonts w:eastAsia="Calibri"/>
          <w:rtl/>
        </w:rPr>
        <w:t xml:space="preserve">דיור בר </w:t>
      </w:r>
      <w:r w:rsidRPr="00F41E78">
        <w:rPr>
          <w:rFonts w:eastAsia="Calibri" w:hint="cs"/>
          <w:rtl/>
        </w:rPr>
        <w:t>ה</w:t>
      </w:r>
      <w:r w:rsidRPr="00F41E78">
        <w:rPr>
          <w:rFonts w:eastAsia="Calibri"/>
          <w:rtl/>
        </w:rPr>
        <w:t xml:space="preserve">השגה באמצעות השכרה </w:t>
      </w:r>
      <w:r w:rsidRPr="00F41E78">
        <w:rPr>
          <w:rFonts w:eastAsia="Calibri" w:hint="cs"/>
          <w:rtl/>
        </w:rPr>
        <w:t>ל</w:t>
      </w:r>
      <w:r w:rsidRPr="00F41E78">
        <w:rPr>
          <w:rFonts w:eastAsia="Calibri"/>
          <w:rtl/>
        </w:rPr>
        <w:t>טווח</w:t>
      </w:r>
      <w:r w:rsidRPr="00F41E78">
        <w:rPr>
          <w:rFonts w:eastAsia="Calibri" w:hint="cs"/>
          <w:rtl/>
        </w:rPr>
        <w:t xml:space="preserve"> ארוך</w:t>
      </w:r>
      <w:r w:rsidRPr="00F41E78">
        <w:rPr>
          <w:rFonts w:eastAsia="Calibri"/>
          <w:rtl/>
        </w:rPr>
        <w:t>.</w:t>
      </w:r>
    </w:p>
    <w:p w:rsidR="00E97EDA" w:rsidRPr="00F41E78" w:rsidP="00B63589">
      <w:pPr>
        <w:spacing w:before="180" w:after="240" w:line="230" w:lineRule="exact"/>
        <w:jc w:val="both"/>
        <w:rPr>
          <w:rFonts w:eastAsia="Calibri" w:cs="FrankRuehl"/>
          <w:sz w:val="18"/>
          <w:szCs w:val="22"/>
          <w:rtl/>
          <w:lang w:eastAsia="he-IL"/>
        </w:rPr>
      </w:pPr>
      <w:r w:rsidRPr="00F41E78">
        <w:rPr>
          <w:rFonts w:eastAsia="Calibri" w:cs="FrankRuehl" w:hint="cs"/>
          <w:sz w:val="18"/>
          <w:szCs w:val="22"/>
          <w:rtl/>
          <w:lang w:eastAsia="he-IL"/>
        </w:rPr>
        <w:t>בתשובתו ציין</w:t>
      </w:r>
      <w:r w:rsidRPr="00F41E78">
        <w:rPr>
          <w:rFonts w:eastAsia="Calibri" w:cs="FrankRuehl"/>
          <w:sz w:val="18"/>
          <w:szCs w:val="22"/>
          <w:rtl/>
          <w:lang w:eastAsia="he-IL"/>
        </w:rPr>
        <w:t xml:space="preserve"> משרד הבינוי כי "היקפי השיווק המצומצמים לא נבעו מהיעדרה של אסטרטגיה בנושא אלא מהיעדרן של תכניות בנין עיר מתאימות ומחוסר הסכמתם של ראשי רשויות לפרסום מכרזי בנייה להשכרה בתחומם"</w:t>
      </w:r>
      <w:r w:rsidRPr="00F41E78">
        <w:rPr>
          <w:rFonts w:eastAsia="Calibri" w:cs="FrankRuehl" w:hint="cs"/>
          <w:sz w:val="18"/>
          <w:szCs w:val="22"/>
          <w:rtl/>
          <w:lang w:eastAsia="he-IL"/>
        </w:rPr>
        <w:t>.</w:t>
      </w:r>
    </w:p>
    <w:p w:rsidR="00D22B16" w:rsidRPr="00F41E78" w:rsidP="00D22B16">
      <w:pPr>
        <w:pStyle w:val="RESHET"/>
        <w:keepLines/>
        <w:rPr>
          <w:rFonts w:eastAsia="Calibri"/>
          <w:rtl/>
        </w:rPr>
      </w:pPr>
      <w:r w:rsidRPr="00F41E78">
        <w:rPr>
          <w:rFonts w:eastAsia="Calibri"/>
          <w:rtl/>
        </w:rPr>
        <w:t xml:space="preserve">משרד מבקר המדינה </w:t>
      </w:r>
      <w:r w:rsidRPr="00F41E78">
        <w:rPr>
          <w:rFonts w:eastAsia="Calibri" w:hint="cs"/>
          <w:rtl/>
        </w:rPr>
        <w:t xml:space="preserve">מציין כי </w:t>
      </w:r>
      <w:r w:rsidRPr="00F41E78">
        <w:rPr>
          <w:rFonts w:eastAsia="Calibri"/>
          <w:rtl/>
        </w:rPr>
        <w:t xml:space="preserve">ראוי </w:t>
      </w:r>
      <w:r w:rsidRPr="00F41E78">
        <w:rPr>
          <w:rFonts w:eastAsia="Calibri" w:hint="cs"/>
          <w:rtl/>
        </w:rPr>
        <w:t xml:space="preserve">היה שבטרם תקבע </w:t>
      </w:r>
      <w:r w:rsidRPr="00F41E78">
        <w:rPr>
          <w:rFonts w:eastAsia="Calibri"/>
          <w:rtl/>
        </w:rPr>
        <w:t xml:space="preserve">הממשלה </w:t>
      </w:r>
      <w:r w:rsidRPr="00F41E78">
        <w:rPr>
          <w:rFonts w:eastAsia="Calibri" w:hint="cs"/>
          <w:rtl/>
        </w:rPr>
        <w:t xml:space="preserve">את יעדי השיווק לבנייה להשכרה לטווח ארוך, היא תבחן אם </w:t>
      </w:r>
      <w:r w:rsidRPr="00F41E78">
        <w:rPr>
          <w:rFonts w:eastAsia="Calibri"/>
          <w:rtl/>
        </w:rPr>
        <w:t xml:space="preserve">הגופים המבצעים </w:t>
      </w:r>
      <w:r w:rsidRPr="00F41E78">
        <w:rPr>
          <w:rFonts w:eastAsia="Calibri" w:hint="cs"/>
          <w:rtl/>
        </w:rPr>
        <w:t xml:space="preserve">אכן יכולים </w:t>
      </w:r>
      <w:r w:rsidRPr="00F41E78">
        <w:rPr>
          <w:rFonts w:eastAsia="Calibri"/>
          <w:rtl/>
        </w:rPr>
        <w:t>ל</w:t>
      </w:r>
      <w:r w:rsidRPr="00F41E78">
        <w:rPr>
          <w:rFonts w:eastAsia="Calibri" w:hint="cs"/>
          <w:rtl/>
        </w:rPr>
        <w:t>עמוד ביעדים אלו. הגופים המבצעים - רמ"י ומשרד הבינוי והנהלותיהם - היו צריכים לעמוד על כך שמדובר ביעדים בלתי סבירים ולמנוע קבלת החלטות שאינן ריאליות. יצוין בנוגע לכך כי גם מנכ"ל משרד ראש הממשלה ציין</w:t>
      </w:r>
      <w:r w:rsidRPr="00F41E78">
        <w:rPr>
          <w:rFonts w:eastAsia="Calibri"/>
          <w:rtl/>
        </w:rPr>
        <w:t xml:space="preserve"> </w:t>
      </w:r>
      <w:r w:rsidRPr="00F41E78">
        <w:rPr>
          <w:rFonts w:eastAsia="Calibri" w:hint="cs"/>
          <w:rtl/>
        </w:rPr>
        <w:t>במכתבו מדצמבר 2013 למשרד מבקר המדינה כי התברר למשרד ראש הממשלה, במסגרת המעקב אחר יישום החלטות ועדת טרכטנברג, כי היעדים שנקבעו למשרד הבינוי ורמ"י אינם ריאליים. הדבר מעורר חשש שהחלטות הממשלה התקבלו אף על פי שהיכולת ליישמן הייתה מוטלת בספק.</w:t>
      </w:r>
    </w:p>
    <w:p w:rsidR="00E97EDA" w:rsidRPr="00F41E78" w:rsidP="00B63589">
      <w:pPr>
        <w:spacing w:before="180" w:after="120" w:line="230" w:lineRule="exact"/>
        <w:jc w:val="both"/>
        <w:rPr>
          <w:rFonts w:cs="FrankRuehl"/>
          <w:sz w:val="18"/>
          <w:szCs w:val="22"/>
          <w:rtl/>
          <w:lang w:eastAsia="he-IL"/>
        </w:rPr>
      </w:pPr>
      <w:r w:rsidRPr="00F41E78">
        <w:rPr>
          <w:rFonts w:cs="FrankRuehl" w:hint="cs"/>
          <w:sz w:val="18"/>
          <w:szCs w:val="22"/>
          <w:rtl/>
          <w:lang w:eastAsia="he-IL"/>
        </w:rPr>
        <w:t xml:space="preserve">במהלך 2014, לאחר מועד סיום הביקורת, הוקמה </w:t>
      </w:r>
      <w:r w:rsidRPr="00F41E78">
        <w:rPr>
          <w:rFonts w:cs="FrankRuehl"/>
          <w:sz w:val="18"/>
          <w:szCs w:val="22"/>
          <w:rtl/>
          <w:lang w:eastAsia="he-IL"/>
        </w:rPr>
        <w:t>ועדת מכרזים בי</w:t>
      </w:r>
      <w:r w:rsidRPr="00F41E78">
        <w:rPr>
          <w:rFonts w:cs="FrankRuehl" w:hint="cs"/>
          <w:sz w:val="18"/>
          <w:szCs w:val="22"/>
          <w:rtl/>
          <w:lang w:eastAsia="he-IL"/>
        </w:rPr>
        <w:t>ן-</w:t>
      </w:r>
      <w:r w:rsidRPr="00F41E78">
        <w:rPr>
          <w:rFonts w:cs="FrankRuehl"/>
          <w:sz w:val="18"/>
          <w:szCs w:val="22"/>
          <w:rtl/>
          <w:lang w:eastAsia="he-IL"/>
        </w:rPr>
        <w:t>משרדית</w:t>
      </w:r>
      <w:r>
        <w:rPr>
          <w:rFonts w:cs="FrankRuehl"/>
          <w:sz w:val="18"/>
          <w:szCs w:val="22"/>
          <w:vertAlign w:val="superscript"/>
          <w:rtl/>
          <w:lang w:eastAsia="he-IL"/>
        </w:rPr>
        <w:footnoteReference w:id="305"/>
      </w:r>
      <w:r w:rsidRPr="00F41E78">
        <w:rPr>
          <w:rFonts w:cs="FrankRuehl" w:hint="cs"/>
          <w:sz w:val="18"/>
          <w:szCs w:val="22"/>
          <w:rtl/>
          <w:lang w:eastAsia="he-IL"/>
        </w:rPr>
        <w:t xml:space="preserve"> שתפקידה לפרסם </w:t>
      </w:r>
      <w:r w:rsidRPr="00F41E78">
        <w:rPr>
          <w:rFonts w:cs="FrankRuehl"/>
          <w:sz w:val="18"/>
          <w:szCs w:val="22"/>
          <w:rtl/>
          <w:lang w:eastAsia="he-IL"/>
        </w:rPr>
        <w:t xml:space="preserve">מכרזי דיור להשכרה </w:t>
      </w:r>
      <w:r w:rsidRPr="00F41E78">
        <w:rPr>
          <w:rFonts w:cs="FrankRuehl" w:hint="cs"/>
          <w:sz w:val="18"/>
          <w:szCs w:val="22"/>
          <w:rtl/>
          <w:lang w:eastAsia="he-IL"/>
        </w:rPr>
        <w:t>ל</w:t>
      </w:r>
      <w:r w:rsidRPr="00F41E78">
        <w:rPr>
          <w:rFonts w:cs="FrankRuehl"/>
          <w:sz w:val="18"/>
          <w:szCs w:val="22"/>
          <w:rtl/>
          <w:lang w:eastAsia="he-IL"/>
        </w:rPr>
        <w:t>טווח</w:t>
      </w:r>
      <w:r w:rsidRPr="00F41E78">
        <w:rPr>
          <w:rFonts w:cs="FrankRuehl" w:hint="cs"/>
          <w:sz w:val="18"/>
          <w:szCs w:val="22"/>
          <w:rtl/>
          <w:lang w:eastAsia="he-IL"/>
        </w:rPr>
        <w:t xml:space="preserve"> ארוך. בוועדה ישבו נציגים מ</w:t>
      </w:r>
      <w:r w:rsidRPr="00F41E78">
        <w:rPr>
          <w:rFonts w:cs="FrankRuehl"/>
          <w:sz w:val="18"/>
          <w:szCs w:val="22"/>
          <w:rtl/>
          <w:lang w:eastAsia="he-IL"/>
        </w:rPr>
        <w:t>החשב הכללי</w:t>
      </w:r>
      <w:r w:rsidRPr="00F41E78">
        <w:rPr>
          <w:rFonts w:cs="FrankRuehl" w:hint="cs"/>
          <w:sz w:val="18"/>
          <w:szCs w:val="22"/>
          <w:rtl/>
          <w:lang w:eastAsia="he-IL"/>
        </w:rPr>
        <w:t>,</w:t>
      </w:r>
      <w:r w:rsidRPr="00F41E78">
        <w:rPr>
          <w:rFonts w:cs="FrankRuehl"/>
          <w:sz w:val="18"/>
          <w:szCs w:val="22"/>
          <w:rtl/>
          <w:lang w:eastAsia="he-IL"/>
        </w:rPr>
        <w:t xml:space="preserve"> </w:t>
      </w:r>
      <w:r w:rsidRPr="00F41E78">
        <w:rPr>
          <w:rFonts w:cs="FrankRuehl" w:hint="cs"/>
          <w:sz w:val="18"/>
          <w:szCs w:val="22"/>
          <w:rtl/>
          <w:lang w:eastAsia="he-IL"/>
        </w:rPr>
        <w:t>מ</w:t>
      </w:r>
      <w:r w:rsidRPr="00F41E78">
        <w:rPr>
          <w:rFonts w:cs="FrankRuehl"/>
          <w:sz w:val="18"/>
          <w:szCs w:val="22"/>
          <w:rtl/>
          <w:lang w:eastAsia="he-IL"/>
        </w:rPr>
        <w:t>משרד הבינוי ו</w:t>
      </w:r>
      <w:r w:rsidRPr="00F41E78">
        <w:rPr>
          <w:rFonts w:cs="FrankRuehl" w:hint="cs"/>
          <w:sz w:val="18"/>
          <w:szCs w:val="22"/>
          <w:rtl/>
          <w:lang w:eastAsia="he-IL"/>
        </w:rPr>
        <w:t>מרמ"י.</w:t>
      </w:r>
      <w:r w:rsidRPr="00F41E78">
        <w:rPr>
          <w:rFonts w:cs="FrankRuehl"/>
          <w:sz w:val="18"/>
          <w:szCs w:val="22"/>
          <w:rtl/>
          <w:lang w:eastAsia="he-IL"/>
        </w:rPr>
        <w:t xml:space="preserve"> </w:t>
      </w:r>
      <w:r w:rsidRPr="00F41E78">
        <w:rPr>
          <w:rFonts w:cs="FrankRuehl" w:hint="cs"/>
          <w:sz w:val="18"/>
          <w:szCs w:val="22"/>
          <w:rtl/>
          <w:lang w:eastAsia="he-IL"/>
        </w:rPr>
        <w:t>עד אוגוסט 2014 פרסמה הוועדה שלושה מכרזים, ברמת השרון, בהרצליה ובחיפה</w:t>
      </w:r>
      <w:r>
        <w:rPr>
          <w:rFonts w:cs="FrankRuehl"/>
          <w:sz w:val="18"/>
          <w:szCs w:val="22"/>
          <w:vertAlign w:val="superscript"/>
          <w:rtl/>
          <w:lang w:eastAsia="he-IL"/>
        </w:rPr>
        <w:footnoteReference w:id="306"/>
      </w:r>
      <w:r w:rsidRPr="00F41E78">
        <w:rPr>
          <w:rFonts w:cs="FrankRuehl" w:hint="cs"/>
          <w:sz w:val="18"/>
          <w:szCs w:val="22"/>
          <w:rtl/>
          <w:lang w:eastAsia="he-IL"/>
        </w:rPr>
        <w:t>, לבניית פרויקטים של מגורים להשכרה ולהפעלתם למשך עשרים שנה. בשלושת הפרויקטים נכללו 661 יח"ד. המכרזים ברמת השרון ובהרצליה שווקו בהצלחה ואילו המכרז בחיפה נכשל מכיוון שלא הוגשה אף לא הצעה אחת.</w:t>
      </w:r>
    </w:p>
    <w:p w:rsidR="00E97EDA" w:rsidRPr="00F41E78" w:rsidP="00A7557B">
      <w:pPr>
        <w:spacing w:after="120" w:line="230" w:lineRule="exact"/>
        <w:jc w:val="both"/>
        <w:rPr>
          <w:rFonts w:cs="FrankRuehl"/>
          <w:sz w:val="18"/>
          <w:szCs w:val="22"/>
          <w:rtl/>
          <w:lang w:eastAsia="he-IL"/>
        </w:rPr>
      </w:pPr>
    </w:p>
    <w:p w:rsidR="00E97EDA" w:rsidRPr="00FA1F2C" w:rsidP="00A7557B">
      <w:pPr>
        <w:pStyle w:val="KOT5"/>
        <w:rPr>
          <w:rFonts w:eastAsia="Calibri"/>
          <w:rtl/>
          <w:lang w:eastAsia="he-IL"/>
        </w:rPr>
      </w:pPr>
      <w:r w:rsidRPr="00FA1F2C">
        <w:rPr>
          <w:rFonts w:eastAsia="Calibri"/>
          <w:rtl/>
          <w:lang w:eastAsia="he-IL"/>
        </w:rPr>
        <w:t xml:space="preserve">עלות ההשקעה הממשלתית במסלול השכרה </w:t>
      </w:r>
      <w:r w:rsidRPr="00FA1F2C">
        <w:rPr>
          <w:rFonts w:eastAsia="Calibri" w:hint="cs"/>
          <w:rtl/>
          <w:lang w:eastAsia="he-IL"/>
        </w:rPr>
        <w:t>ל</w:t>
      </w:r>
      <w:r w:rsidRPr="00FA1F2C">
        <w:rPr>
          <w:rFonts w:eastAsia="Calibri"/>
          <w:rtl/>
          <w:lang w:eastAsia="he-IL"/>
        </w:rPr>
        <w:t>טווח</w:t>
      </w:r>
      <w:r w:rsidRPr="00FA1F2C">
        <w:rPr>
          <w:rFonts w:eastAsia="Calibri" w:hint="cs"/>
          <w:rtl/>
          <w:lang w:eastAsia="he-IL"/>
        </w:rPr>
        <w:t xml:space="preserve"> ארוך</w:t>
      </w:r>
      <w:r w:rsidRPr="00FA1F2C">
        <w:rPr>
          <w:rFonts w:eastAsia="Calibri"/>
          <w:rtl/>
          <w:lang w:eastAsia="he-IL"/>
        </w:rPr>
        <w:t xml:space="preserve"> בשנת 2012</w:t>
      </w:r>
    </w:p>
    <w:p w:rsidR="00E97EDA" w:rsidRPr="00F41E78" w:rsidP="00784814">
      <w:pPr>
        <w:spacing w:after="240" w:line="230" w:lineRule="exact"/>
        <w:jc w:val="both"/>
        <w:rPr>
          <w:rFonts w:eastAsia="Calibri" w:cs="FrankRuehl"/>
          <w:sz w:val="18"/>
          <w:szCs w:val="22"/>
          <w:rtl/>
          <w:lang w:eastAsia="he-IL"/>
        </w:rPr>
      </w:pPr>
      <w:r w:rsidRPr="00F41E78">
        <w:rPr>
          <w:rFonts w:eastAsia="Calibri" w:cs="FrankRuehl" w:hint="cs"/>
          <w:sz w:val="18"/>
          <w:szCs w:val="22"/>
          <w:rtl/>
          <w:lang w:eastAsia="he-IL"/>
        </w:rPr>
        <w:t xml:space="preserve">בשנת </w:t>
      </w:r>
      <w:r w:rsidRPr="00F41E78">
        <w:rPr>
          <w:rFonts w:eastAsia="Calibri" w:cs="FrankRuehl"/>
          <w:sz w:val="18"/>
          <w:szCs w:val="22"/>
          <w:rtl/>
          <w:lang w:eastAsia="he-IL"/>
        </w:rPr>
        <w:t xml:space="preserve">2012 פרסם משרד הבינוי עשרה מכרזים לשיווק קרקע במסלול </w:t>
      </w:r>
      <w:r w:rsidRPr="00F41E78">
        <w:rPr>
          <w:rFonts w:eastAsia="Calibri" w:cs="FrankRuehl" w:hint="cs"/>
          <w:sz w:val="18"/>
          <w:szCs w:val="22"/>
          <w:rtl/>
          <w:lang w:eastAsia="he-IL"/>
        </w:rPr>
        <w:t xml:space="preserve">השכרה לטווח ארוך </w:t>
      </w:r>
      <w:r w:rsidRPr="00F41E78">
        <w:rPr>
          <w:rFonts w:eastAsia="Calibri" w:cs="FrankRuehl"/>
          <w:sz w:val="18"/>
          <w:szCs w:val="22"/>
          <w:rtl/>
          <w:lang w:eastAsia="he-IL"/>
        </w:rPr>
        <w:t>לבניית</w:t>
      </w:r>
      <w:r w:rsidRPr="00F41E78">
        <w:rPr>
          <w:rFonts w:eastAsia="Calibri" w:cs="FrankRuehl" w:hint="cs"/>
          <w:sz w:val="18"/>
          <w:szCs w:val="22"/>
          <w:rtl/>
          <w:lang w:eastAsia="he-IL"/>
        </w:rPr>
        <w:t>ן של</w:t>
      </w:r>
      <w:r w:rsidRPr="00F41E78">
        <w:rPr>
          <w:rFonts w:eastAsia="Calibri" w:cs="FrankRuehl"/>
          <w:sz w:val="18"/>
          <w:szCs w:val="22"/>
          <w:rtl/>
          <w:lang w:eastAsia="he-IL"/>
        </w:rPr>
        <w:t xml:space="preserve"> 1,412 יח"ד</w:t>
      </w:r>
      <w:r w:rsidRPr="00F41E78">
        <w:rPr>
          <w:rFonts w:eastAsia="Calibri" w:cs="FrankRuehl" w:hint="cs"/>
          <w:sz w:val="18"/>
          <w:szCs w:val="22"/>
          <w:rtl/>
          <w:lang w:eastAsia="he-IL"/>
        </w:rPr>
        <w:t>.</w:t>
      </w:r>
      <w:r w:rsidRPr="00F41E78">
        <w:rPr>
          <w:rFonts w:eastAsia="Calibri" w:cs="FrankRuehl"/>
          <w:sz w:val="18"/>
          <w:szCs w:val="22"/>
          <w:rtl/>
          <w:lang w:eastAsia="he-IL"/>
        </w:rPr>
        <w:t xml:space="preserve"> שבעה מהם פורסמו על פי </w:t>
      </w:r>
      <w:r w:rsidRPr="00F41E78">
        <w:rPr>
          <w:rFonts w:eastAsia="Calibri" w:cs="FrankRuehl" w:hint="cs"/>
          <w:sz w:val="18"/>
          <w:szCs w:val="22"/>
          <w:rtl/>
          <w:lang w:eastAsia="he-IL"/>
        </w:rPr>
        <w:t>מסלול א שבו התחרות היא על דמי השכירות הנמוכים ביותר למ"ר עבור הזכאים ושלוש</w:t>
      </w:r>
      <w:r w:rsidR="00FF1578">
        <w:rPr>
          <w:rFonts w:eastAsia="Calibri" w:cs="FrankRuehl" w:hint="cs"/>
          <w:sz w:val="18"/>
          <w:szCs w:val="22"/>
          <w:rtl/>
          <w:lang w:eastAsia="he-IL"/>
        </w:rPr>
        <w:t>ה</w:t>
      </w:r>
      <w:r w:rsidRPr="00F41E78">
        <w:rPr>
          <w:rFonts w:eastAsia="Calibri" w:cs="FrankRuehl" w:hint="cs"/>
          <w:sz w:val="18"/>
          <w:szCs w:val="22"/>
          <w:rtl/>
          <w:lang w:eastAsia="he-IL"/>
        </w:rPr>
        <w:t xml:space="preserve"> על פי מסלול ב שבו התחרות היא מחיר הקרקע שלא יהיה יותר מ-75% מערך הקרקע שקבע השמאי הממשלתי.</w:t>
      </w:r>
    </w:p>
    <w:p w:rsidR="00E97EDA" w:rsidRPr="00F41E78" w:rsidP="00784814">
      <w:pPr>
        <w:pStyle w:val="RESHET"/>
        <w:rPr>
          <w:rFonts w:eastAsia="Calibri"/>
          <w:rtl/>
        </w:rPr>
      </w:pPr>
      <w:r w:rsidRPr="00F41E78">
        <w:rPr>
          <w:rFonts w:eastAsia="Calibri"/>
          <w:rtl/>
        </w:rPr>
        <w:t xml:space="preserve">הביקורת העלתה כי רק </w:t>
      </w:r>
      <w:r w:rsidRPr="00F41E78">
        <w:rPr>
          <w:rFonts w:eastAsia="Calibri" w:hint="cs"/>
          <w:rtl/>
        </w:rPr>
        <w:t>4</w:t>
      </w:r>
      <w:r w:rsidRPr="00F41E78">
        <w:rPr>
          <w:rFonts w:eastAsia="Calibri"/>
          <w:rtl/>
        </w:rPr>
        <w:t xml:space="preserve"> </w:t>
      </w:r>
      <w:r w:rsidRPr="00F41E78">
        <w:rPr>
          <w:rFonts w:eastAsia="Calibri" w:hint="cs"/>
          <w:rtl/>
        </w:rPr>
        <w:t>מ-10</w:t>
      </w:r>
      <w:r w:rsidRPr="00F41E78">
        <w:rPr>
          <w:rFonts w:eastAsia="Calibri"/>
          <w:rtl/>
        </w:rPr>
        <w:t xml:space="preserve"> המכרזים שפורסמו הסתיימו בהצלחה (אחד מהם באופן חלקי)</w:t>
      </w:r>
      <w:r w:rsidRPr="00F41E78">
        <w:rPr>
          <w:rFonts w:eastAsia="Calibri" w:hint="cs"/>
          <w:rtl/>
        </w:rPr>
        <w:t>;</w:t>
      </w:r>
      <w:r w:rsidRPr="00F41E78">
        <w:rPr>
          <w:rFonts w:eastAsia="Calibri"/>
          <w:rtl/>
        </w:rPr>
        <w:t xml:space="preserve"> </w:t>
      </w:r>
      <w:r w:rsidRPr="00F41E78">
        <w:rPr>
          <w:rFonts w:eastAsia="Calibri" w:hint="cs"/>
          <w:rtl/>
        </w:rPr>
        <w:t>בכל מסלול</w:t>
      </w:r>
      <w:r w:rsidRPr="00F41E78">
        <w:rPr>
          <w:rFonts w:eastAsia="Calibri"/>
          <w:rtl/>
        </w:rPr>
        <w:t xml:space="preserve"> שווקו בהצלחה </w:t>
      </w:r>
      <w:r w:rsidRPr="00F41E78">
        <w:rPr>
          <w:rFonts w:eastAsia="Calibri" w:hint="cs"/>
          <w:rtl/>
        </w:rPr>
        <w:t>2</w:t>
      </w:r>
      <w:r w:rsidRPr="00F41E78">
        <w:rPr>
          <w:rFonts w:eastAsia="Calibri"/>
          <w:rtl/>
        </w:rPr>
        <w:t xml:space="preserve"> מכרזים</w:t>
      </w:r>
      <w:r w:rsidRPr="00F41E78">
        <w:rPr>
          <w:rFonts w:eastAsia="Calibri" w:hint="cs"/>
          <w:rtl/>
        </w:rPr>
        <w:t xml:space="preserve"> מתוך אלו שפורסמו, דהיינו</w:t>
      </w:r>
      <w:r w:rsidRPr="00F41E78">
        <w:rPr>
          <w:rFonts w:eastAsia="Calibri"/>
          <w:rtl/>
        </w:rPr>
        <w:t xml:space="preserve"> </w:t>
      </w:r>
      <w:r w:rsidRPr="00F41E78">
        <w:rPr>
          <w:rFonts w:eastAsia="Calibri" w:hint="cs"/>
          <w:rtl/>
        </w:rPr>
        <w:t>שווקו</w:t>
      </w:r>
      <w:r w:rsidRPr="00F41E78">
        <w:rPr>
          <w:rFonts w:eastAsia="Calibri"/>
          <w:rtl/>
        </w:rPr>
        <w:t xml:space="preserve"> בהצלחה 406 </w:t>
      </w:r>
      <w:r w:rsidRPr="00F41E78">
        <w:rPr>
          <w:rFonts w:eastAsia="Calibri" w:hint="cs"/>
          <w:rtl/>
        </w:rPr>
        <w:t xml:space="preserve">מ-1,412 </w:t>
      </w:r>
      <w:r w:rsidRPr="00F41E78">
        <w:rPr>
          <w:rFonts w:eastAsia="Calibri"/>
          <w:rtl/>
        </w:rPr>
        <w:t xml:space="preserve">יח"ד (29%) שפורסמו. </w:t>
      </w:r>
    </w:p>
    <w:p w:rsidR="00E97EDA" w:rsidRPr="00F41E78" w:rsidP="00784814">
      <w:pPr>
        <w:spacing w:before="180" w:after="120" w:line="230" w:lineRule="exact"/>
        <w:jc w:val="both"/>
        <w:rPr>
          <w:rFonts w:eastAsia="Calibri" w:cs="FrankRuehl"/>
          <w:sz w:val="18"/>
          <w:szCs w:val="22"/>
          <w:rtl/>
          <w:lang w:eastAsia="he-IL"/>
        </w:rPr>
      </w:pPr>
      <w:r w:rsidRPr="00F41E78">
        <w:rPr>
          <w:rFonts w:eastAsia="Calibri" w:cs="FrankRuehl"/>
          <w:sz w:val="18"/>
          <w:szCs w:val="22"/>
          <w:rtl/>
          <w:lang w:eastAsia="he-IL"/>
        </w:rPr>
        <w:t>להלן הפרטים בנוגע לארבעת המכרזים שפורסמו ושווקו בהצלחה</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p>
    <w:p w:rsidR="00E97EDA" w:rsidRPr="00FA1F2C" w:rsidP="00F07DDA">
      <w:pPr>
        <w:pStyle w:val="tab-name"/>
        <w:rPr>
          <w:rFonts w:eastAsia="Calibri"/>
          <w:rtl/>
          <w:lang w:eastAsia="he-IL"/>
        </w:rPr>
      </w:pPr>
      <w:r w:rsidRPr="00994AD3">
        <w:rPr>
          <w:rFonts w:eastAsia="Calibri"/>
          <w:b w:val="0"/>
          <w:bCs w:val="0"/>
          <w:sz w:val="20"/>
          <w:szCs w:val="20"/>
          <w:rtl/>
          <w:lang w:eastAsia="he-IL"/>
        </w:rPr>
        <w:t xml:space="preserve">לוח </w:t>
      </w:r>
      <w:r w:rsidRPr="00994AD3">
        <w:rPr>
          <w:rFonts w:eastAsia="Calibri" w:hint="cs"/>
          <w:b w:val="0"/>
          <w:bCs w:val="0"/>
          <w:sz w:val="20"/>
          <w:szCs w:val="20"/>
          <w:rtl/>
          <w:lang w:eastAsia="he-IL"/>
        </w:rPr>
        <w:t>1</w:t>
      </w:r>
      <w:r w:rsidRPr="00994AD3" w:rsidR="00994AD3">
        <w:rPr>
          <w:rFonts w:eastAsia="Calibri"/>
          <w:b w:val="0"/>
          <w:bCs w:val="0"/>
          <w:sz w:val="20"/>
          <w:szCs w:val="20"/>
          <w:lang w:eastAsia="he-IL"/>
        </w:rPr>
        <w:br/>
      </w:r>
      <w:r w:rsidRPr="00FA1F2C">
        <w:rPr>
          <w:rFonts w:eastAsia="Calibri"/>
          <w:rtl/>
          <w:lang w:eastAsia="he-IL"/>
        </w:rPr>
        <w:t>מכרזים ששווקו בהצלחה</w:t>
      </w:r>
      <w:r>
        <w:rPr>
          <w:rFonts w:eastAsia="Calibri" w:hint="cs"/>
          <w:rtl/>
          <w:lang w:eastAsia="he-IL"/>
        </w:rPr>
        <w:t>,</w:t>
      </w:r>
      <w:r w:rsidRPr="00FA1F2C">
        <w:rPr>
          <w:rFonts w:eastAsia="Calibri"/>
          <w:rtl/>
          <w:lang w:eastAsia="he-IL"/>
        </w:rPr>
        <w:t xml:space="preserve"> 2012</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CellMar>
          <w:left w:w="57" w:type="dxa"/>
          <w:right w:w="57" w:type="dxa"/>
        </w:tblCellMar>
        <w:tblLook w:val="01E0"/>
      </w:tblPr>
      <w:tblGrid>
        <w:gridCol w:w="956"/>
        <w:gridCol w:w="644"/>
        <w:gridCol w:w="736"/>
        <w:gridCol w:w="736"/>
        <w:gridCol w:w="736"/>
        <w:gridCol w:w="669"/>
        <w:gridCol w:w="669"/>
        <w:gridCol w:w="735"/>
        <w:gridCol w:w="810"/>
      </w:tblGrid>
      <w:tr w:rsidTr="003E339F">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CellMar>
            <w:left w:w="57" w:type="dxa"/>
            <w:right w:w="57" w:type="dxa"/>
          </w:tblCellMar>
          <w:tblLook w:val="01E0"/>
        </w:tblPrEx>
        <w:trPr>
          <w:jc w:val="center"/>
        </w:trPr>
        <w:tc>
          <w:tcPr>
            <w:tcW w:w="0" w:type="auto"/>
            <w:tcBorders>
              <w:top w:val="single" w:sz="12" w:space="0" w:color="auto"/>
              <w:bottom w:val="single" w:sz="12" w:space="0" w:color="auto"/>
            </w:tcBorders>
            <w:shd w:val="pct10" w:color="auto" w:fill="auto"/>
            <w:vAlign w:val="bottom"/>
          </w:tcPr>
          <w:p w:rsidR="00E97EDA" w:rsidRPr="008D2A84" w:rsidP="00F07DDA">
            <w:pPr>
              <w:keepNext/>
              <w:spacing w:before="40" w:after="40" w:line="200" w:lineRule="exact"/>
              <w:jc w:val="center"/>
              <w:rPr>
                <w:rFonts w:ascii="FrankRuehl" w:eastAsia="Calibri" w:hAnsi="FrankRuehl" w:cs="FrankRuehl"/>
                <w:b/>
                <w:bCs/>
                <w:sz w:val="20"/>
                <w:szCs w:val="20"/>
                <w:lang w:eastAsia="he-IL"/>
              </w:rPr>
            </w:pPr>
          </w:p>
        </w:tc>
        <w:tc>
          <w:tcPr>
            <w:tcW w:w="0" w:type="auto"/>
            <w:tcBorders>
              <w:top w:val="single" w:sz="12" w:space="0" w:color="auto"/>
              <w:bottom w:val="single" w:sz="12" w:space="0" w:color="auto"/>
            </w:tcBorders>
            <w:shd w:val="pct10" w:color="auto" w:fill="auto"/>
            <w:vAlign w:val="bottom"/>
          </w:tcPr>
          <w:p w:rsidR="00E97EDA" w:rsidRPr="008D2A84" w:rsidP="00F07DDA">
            <w:pPr>
              <w:keepNext/>
              <w:spacing w:before="40" w:after="40" w:line="200" w:lineRule="exact"/>
              <w:jc w:val="center"/>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 xml:space="preserve">מסלול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 xml:space="preserve">שיווק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השכרה</w:t>
            </w:r>
          </w:p>
        </w:tc>
        <w:tc>
          <w:tcPr>
            <w:tcW w:w="0" w:type="auto"/>
            <w:tcBorders>
              <w:top w:val="single" w:sz="12" w:space="0" w:color="auto"/>
              <w:bottom w:val="single" w:sz="12" w:space="0" w:color="auto"/>
            </w:tcBorders>
            <w:shd w:val="pct10" w:color="auto" w:fill="auto"/>
            <w:vAlign w:val="bottom"/>
          </w:tcPr>
          <w:p w:rsidR="00E97EDA" w:rsidRPr="008D2A84" w:rsidP="00F07DDA">
            <w:pPr>
              <w:keepNext/>
              <w:spacing w:before="40" w:after="40" w:line="200" w:lineRule="exact"/>
              <w:jc w:val="center"/>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 xml:space="preserve">יח"ד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 xml:space="preserve">להשכרה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 xml:space="preserve">מחיר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מפוקח</w:t>
            </w:r>
          </w:p>
        </w:tc>
        <w:tc>
          <w:tcPr>
            <w:tcW w:w="0" w:type="auto"/>
            <w:tcBorders>
              <w:top w:val="single" w:sz="12" w:space="0" w:color="auto"/>
              <w:bottom w:val="single" w:sz="12" w:space="0" w:color="auto"/>
              <w:right w:val="double" w:sz="4" w:space="0" w:color="auto"/>
            </w:tcBorders>
            <w:shd w:val="pct10" w:color="auto" w:fill="auto"/>
            <w:vAlign w:val="bottom"/>
          </w:tcPr>
          <w:p w:rsidR="00E97EDA" w:rsidRPr="008D2A84" w:rsidP="00F07DDA">
            <w:pPr>
              <w:keepNext/>
              <w:spacing w:before="40" w:after="40" w:line="200" w:lineRule="exact"/>
              <w:jc w:val="center"/>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 xml:space="preserve">יח"ד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 xml:space="preserve">להשכרה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 xml:space="preserve">מחיר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שוק</w:t>
            </w:r>
          </w:p>
        </w:tc>
        <w:tc>
          <w:tcPr>
            <w:tcW w:w="0" w:type="auto"/>
            <w:tcBorders>
              <w:top w:val="single" w:sz="12" w:space="0" w:color="auto"/>
              <w:left w:val="double" w:sz="4" w:space="0" w:color="auto"/>
              <w:bottom w:val="single" w:sz="12" w:space="0" w:color="auto"/>
            </w:tcBorders>
            <w:shd w:val="pct10" w:color="auto" w:fill="auto"/>
            <w:vAlign w:val="bottom"/>
          </w:tcPr>
          <w:p w:rsidR="00E97EDA" w:rsidRPr="008D2A84" w:rsidP="00F07DDA">
            <w:pPr>
              <w:keepNext/>
              <w:spacing w:before="40" w:after="40" w:line="200" w:lineRule="exact"/>
              <w:jc w:val="center"/>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 xml:space="preserve">סה"כ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 xml:space="preserve">יח"ד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להשכרה</w:t>
            </w:r>
          </w:p>
        </w:tc>
        <w:tc>
          <w:tcPr>
            <w:tcW w:w="0" w:type="auto"/>
            <w:tcBorders>
              <w:top w:val="single" w:sz="12" w:space="0" w:color="auto"/>
              <w:bottom w:val="single" w:sz="12" w:space="0" w:color="auto"/>
            </w:tcBorders>
            <w:shd w:val="pct10" w:color="auto" w:fill="auto"/>
            <w:vAlign w:val="bottom"/>
          </w:tcPr>
          <w:p w:rsidR="00E97EDA" w:rsidRPr="008D2A84" w:rsidP="00F07DDA">
            <w:pPr>
              <w:keepNext/>
              <w:spacing w:before="40" w:after="40" w:line="200" w:lineRule="exact"/>
              <w:jc w:val="center"/>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 xml:space="preserve">יח"ד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למכירה</w:t>
            </w:r>
          </w:p>
        </w:tc>
        <w:tc>
          <w:tcPr>
            <w:tcW w:w="0" w:type="auto"/>
            <w:tcBorders>
              <w:top w:val="single" w:sz="12" w:space="0" w:color="auto"/>
              <w:bottom w:val="single" w:sz="12" w:space="0" w:color="auto"/>
              <w:right w:val="double" w:sz="4" w:space="0" w:color="auto"/>
            </w:tcBorders>
            <w:shd w:val="pct10" w:color="auto" w:fill="auto"/>
            <w:vAlign w:val="bottom"/>
          </w:tcPr>
          <w:p w:rsidR="00E97EDA" w:rsidRPr="008D2A84" w:rsidP="00F07DDA">
            <w:pPr>
              <w:keepNext/>
              <w:spacing w:before="40" w:after="40" w:line="200" w:lineRule="exact"/>
              <w:jc w:val="center"/>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 xml:space="preserve">סה"כ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יח"ד</w:t>
            </w:r>
            <w:r w:rsidRPr="008D2A84">
              <w:rPr>
                <w:rFonts w:ascii="FrankRuehl" w:eastAsia="Calibri" w:hAnsi="FrankRuehl" w:cs="FrankRuehl" w:hint="cs"/>
                <w:b/>
                <w:bCs/>
                <w:sz w:val="20"/>
                <w:szCs w:val="20"/>
                <w:rtl/>
                <w:lang w:eastAsia="he-IL"/>
              </w:rPr>
              <w:t xml:space="preserve">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hint="cs"/>
                <w:b/>
                <w:bCs/>
                <w:sz w:val="20"/>
                <w:szCs w:val="20"/>
                <w:rtl/>
                <w:lang w:eastAsia="he-IL"/>
              </w:rPr>
              <w:t>ששווקו</w:t>
            </w:r>
          </w:p>
        </w:tc>
        <w:tc>
          <w:tcPr>
            <w:tcW w:w="0" w:type="auto"/>
            <w:tcBorders>
              <w:top w:val="single" w:sz="12" w:space="0" w:color="auto"/>
              <w:left w:val="double" w:sz="4" w:space="0" w:color="auto"/>
              <w:bottom w:val="single" w:sz="12" w:space="0" w:color="auto"/>
            </w:tcBorders>
            <w:shd w:val="pct10" w:color="auto" w:fill="auto"/>
            <w:vAlign w:val="bottom"/>
          </w:tcPr>
          <w:p w:rsidR="00E97EDA" w:rsidRPr="008D2A84" w:rsidP="00F07DDA">
            <w:pPr>
              <w:keepNext/>
              <w:spacing w:before="40" w:after="40" w:line="200" w:lineRule="exact"/>
              <w:jc w:val="center"/>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 xml:space="preserve">סה"כ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 xml:space="preserve">הנחה </w:t>
            </w:r>
            <w:r w:rsidRPr="008D2A84" w:rsidR="00F07DDA">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 xml:space="preserve">על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הקרקע</w:t>
            </w:r>
            <w:r w:rsidRPr="008D2A84">
              <w:rPr>
                <w:rFonts w:ascii="FrankRuehl" w:eastAsia="Calibri" w:hAnsi="FrankRuehl" w:cs="FrankRuehl" w:hint="cs"/>
                <w:b/>
                <w:bCs/>
                <w:sz w:val="20"/>
                <w:szCs w:val="20"/>
                <w:rtl/>
                <w:lang w:eastAsia="he-IL"/>
              </w:rPr>
              <w:t xml:space="preserve">*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hint="cs"/>
                <w:b/>
                <w:bCs/>
                <w:sz w:val="20"/>
                <w:szCs w:val="20"/>
                <w:rtl/>
                <w:lang w:eastAsia="he-IL"/>
              </w:rPr>
              <w:t>(</w:t>
            </w:r>
            <w:r w:rsidRPr="008D2A84">
              <w:rPr>
                <w:rFonts w:ascii="FrankRuehl" w:eastAsia="Calibri" w:hAnsi="FrankRuehl" w:cs="FrankRuehl"/>
                <w:b/>
                <w:bCs/>
                <w:sz w:val="20"/>
                <w:szCs w:val="20"/>
                <w:rtl/>
                <w:lang w:eastAsia="he-IL"/>
              </w:rPr>
              <w:t>בא</w:t>
            </w:r>
            <w:r w:rsidRPr="008D2A84">
              <w:rPr>
                <w:rFonts w:ascii="FrankRuehl" w:eastAsia="Calibri" w:hAnsi="FrankRuehl" w:cs="FrankRuehl" w:hint="cs"/>
                <w:b/>
                <w:bCs/>
                <w:sz w:val="20"/>
                <w:szCs w:val="20"/>
                <w:rtl/>
                <w:lang w:eastAsia="he-IL"/>
              </w:rPr>
              <w:t>לפי</w:t>
            </w:r>
            <w:r w:rsidRPr="008D2A84">
              <w:rPr>
                <w:rFonts w:ascii="FrankRuehl" w:eastAsia="Calibri" w:hAnsi="FrankRuehl" w:cs="FrankRuehl"/>
                <w:b/>
                <w:bCs/>
                <w:sz w:val="20"/>
                <w:szCs w:val="20"/>
                <w:rtl/>
                <w:lang w:eastAsia="he-IL"/>
              </w:rPr>
              <w:t xml:space="preserve"> </w:t>
            </w:r>
            <w:r w:rsidRPr="008D2A84" w:rsidR="00F07DDA">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ש"ח</w:t>
            </w:r>
            <w:r w:rsidRPr="008D2A84">
              <w:rPr>
                <w:rFonts w:ascii="FrankRuehl" w:eastAsia="Calibri" w:hAnsi="FrankRuehl" w:cs="FrankRuehl" w:hint="cs"/>
                <w:b/>
                <w:bCs/>
                <w:sz w:val="20"/>
                <w:szCs w:val="20"/>
                <w:rtl/>
                <w:lang w:eastAsia="he-IL"/>
              </w:rPr>
              <w:t>)</w:t>
            </w:r>
          </w:p>
        </w:tc>
        <w:tc>
          <w:tcPr>
            <w:tcW w:w="0" w:type="auto"/>
            <w:tcBorders>
              <w:top w:val="single" w:sz="12" w:space="0" w:color="auto"/>
              <w:bottom w:val="single" w:sz="12" w:space="0" w:color="auto"/>
            </w:tcBorders>
            <w:shd w:val="pct10" w:color="auto" w:fill="auto"/>
            <w:vAlign w:val="bottom"/>
          </w:tcPr>
          <w:p w:rsidR="00E97EDA" w:rsidRPr="008D2A84" w:rsidP="00F07DDA">
            <w:pPr>
              <w:keepNext/>
              <w:spacing w:before="40" w:after="40" w:line="200" w:lineRule="exact"/>
              <w:jc w:val="center"/>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 xml:space="preserve">ההנחה </w:t>
            </w:r>
            <w:r w:rsidRPr="008D2A84" w:rsidR="00F07DDA">
              <w:rPr>
                <w:rFonts w:ascii="FrankRuehl" w:eastAsia="Calibri" w:hAnsi="FrankRuehl" w:cs="FrankRuehl"/>
                <w:b/>
                <w:bCs/>
                <w:sz w:val="20"/>
                <w:szCs w:val="20"/>
                <w:lang w:eastAsia="he-IL"/>
              </w:rPr>
              <w:br/>
            </w:r>
            <w:r w:rsidRPr="008D2A84">
              <w:rPr>
                <w:rFonts w:ascii="FrankRuehl" w:eastAsia="Calibri" w:hAnsi="FrankRuehl" w:cs="FrankRuehl" w:hint="cs"/>
                <w:b/>
                <w:bCs/>
                <w:sz w:val="20"/>
                <w:szCs w:val="20"/>
                <w:rtl/>
                <w:lang w:eastAsia="he-IL"/>
              </w:rPr>
              <w:t>הממוצעת</w:t>
            </w:r>
            <w:r w:rsidRPr="008D2A84">
              <w:rPr>
                <w:rFonts w:ascii="FrankRuehl" w:eastAsia="Calibri" w:hAnsi="FrankRuehl" w:cs="FrankRuehl"/>
                <w:b/>
                <w:bCs/>
                <w:sz w:val="20"/>
                <w:szCs w:val="20"/>
                <w:rtl/>
                <w:lang w:eastAsia="he-IL"/>
              </w:rPr>
              <w:t xml:space="preserve"> </w:t>
            </w:r>
            <w:r w:rsidRPr="008D2A84" w:rsidR="00F07DDA">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 xml:space="preserve">עבור </w:t>
            </w:r>
            <w:r w:rsidRPr="008D2A84" w:rsidR="00F07DDA">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 xml:space="preserve">דירה </w:t>
            </w:r>
            <w:r w:rsidRPr="008D2A84" w:rsidR="00F07DDA">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 xml:space="preserve">אחת </w:t>
            </w:r>
            <w:r w:rsidRPr="008D2A84" w:rsidR="00F07DDA">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 xml:space="preserve">להשכרה </w:t>
            </w:r>
            <w:r w:rsidRPr="008D2A84" w:rsidR="00994AD3">
              <w:rPr>
                <w:rFonts w:ascii="FrankRuehl" w:eastAsia="Calibri" w:hAnsi="FrankRuehl" w:cs="FrankRuehl"/>
                <w:b/>
                <w:bCs/>
                <w:sz w:val="20"/>
                <w:szCs w:val="20"/>
                <w:lang w:eastAsia="he-IL"/>
              </w:rPr>
              <w:br/>
            </w:r>
            <w:r w:rsidRPr="008D2A84">
              <w:rPr>
                <w:rFonts w:ascii="FrankRuehl" w:eastAsia="Calibri" w:hAnsi="FrankRuehl" w:cs="FrankRuehl" w:hint="cs"/>
                <w:b/>
                <w:bCs/>
                <w:sz w:val="20"/>
                <w:szCs w:val="20"/>
                <w:rtl/>
                <w:lang w:eastAsia="he-IL"/>
              </w:rPr>
              <w:t>(</w:t>
            </w:r>
            <w:r w:rsidRPr="008D2A84">
              <w:rPr>
                <w:rFonts w:ascii="FrankRuehl" w:eastAsia="Calibri" w:hAnsi="FrankRuehl" w:cs="FrankRuehl"/>
                <w:b/>
                <w:bCs/>
                <w:sz w:val="20"/>
                <w:szCs w:val="20"/>
                <w:rtl/>
                <w:lang w:eastAsia="he-IL"/>
              </w:rPr>
              <w:t>בא</w:t>
            </w:r>
            <w:r w:rsidRPr="008D2A84">
              <w:rPr>
                <w:rFonts w:ascii="FrankRuehl" w:eastAsia="Calibri" w:hAnsi="FrankRuehl" w:cs="FrankRuehl" w:hint="cs"/>
                <w:b/>
                <w:bCs/>
                <w:sz w:val="20"/>
                <w:szCs w:val="20"/>
                <w:rtl/>
                <w:lang w:eastAsia="he-IL"/>
              </w:rPr>
              <w:t>לפי</w:t>
            </w:r>
            <w:r w:rsidRPr="008D2A84">
              <w:rPr>
                <w:rFonts w:ascii="FrankRuehl" w:eastAsia="Calibri" w:hAnsi="FrankRuehl" w:cs="FrankRuehl"/>
                <w:b/>
                <w:bCs/>
                <w:sz w:val="20"/>
                <w:szCs w:val="20"/>
                <w:rtl/>
                <w:lang w:eastAsia="he-IL"/>
              </w:rPr>
              <w:t xml:space="preserve"> </w:t>
            </w:r>
            <w:r w:rsidRPr="008D2A84" w:rsidR="00F07DDA">
              <w:rPr>
                <w:rFonts w:ascii="FrankRuehl" w:eastAsia="Calibri" w:hAnsi="FrankRuehl" w:cs="FrankRuehl"/>
                <w:b/>
                <w:bCs/>
                <w:sz w:val="20"/>
                <w:szCs w:val="20"/>
                <w:lang w:eastAsia="he-IL"/>
              </w:rPr>
              <w:br/>
            </w:r>
            <w:r w:rsidRPr="008D2A84">
              <w:rPr>
                <w:rFonts w:ascii="FrankRuehl" w:eastAsia="Calibri" w:hAnsi="FrankRuehl" w:cs="FrankRuehl"/>
                <w:b/>
                <w:bCs/>
                <w:sz w:val="20"/>
                <w:szCs w:val="20"/>
                <w:rtl/>
                <w:lang w:eastAsia="he-IL"/>
              </w:rPr>
              <w:t>ש"ח</w:t>
            </w:r>
            <w:r w:rsidRPr="008D2A84">
              <w:rPr>
                <w:rFonts w:ascii="FrankRuehl" w:eastAsia="Calibri" w:hAnsi="FrankRuehl" w:cs="FrankRuehl" w:hint="cs"/>
                <w:b/>
                <w:bCs/>
                <w:sz w:val="20"/>
                <w:szCs w:val="20"/>
                <w:rtl/>
                <w:lang w:eastAsia="he-IL"/>
              </w:rPr>
              <w:t>)</w:t>
            </w:r>
          </w:p>
        </w:tc>
      </w:tr>
      <w:tr w:rsidTr="003E339F">
        <w:tblPrEx>
          <w:tblW w:w="6691" w:type="dxa"/>
          <w:jc w:val="center"/>
          <w:tblCellMar>
            <w:left w:w="57" w:type="dxa"/>
            <w:right w:w="57" w:type="dxa"/>
          </w:tblCellMar>
          <w:tblLook w:val="01E0"/>
        </w:tblPrEx>
        <w:trPr>
          <w:jc w:val="center"/>
        </w:trPr>
        <w:tc>
          <w:tcPr>
            <w:tcW w:w="0" w:type="auto"/>
            <w:tcBorders>
              <w:top w:val="single" w:sz="12" w:space="0" w:color="auto"/>
            </w:tcBorders>
          </w:tcPr>
          <w:p w:rsidR="00E97EDA" w:rsidRPr="008D2A84" w:rsidP="00F07DDA">
            <w:pPr>
              <w:pStyle w:val="CommentText"/>
              <w:keepNext/>
              <w:spacing w:before="40" w:after="40" w:line="200" w:lineRule="exact"/>
              <w:rPr>
                <w:rFonts w:ascii="FrankRuehl" w:eastAsia="Calibri" w:hAnsi="FrankRuehl" w:cs="FrankRuehl"/>
                <w:lang w:eastAsia="he-IL"/>
              </w:rPr>
            </w:pPr>
            <w:r w:rsidRPr="008D2A84">
              <w:rPr>
                <w:rFonts w:ascii="FrankRuehl" w:eastAsia="Calibri" w:hAnsi="FrankRuehl" w:cs="FrankRuehl"/>
                <w:rtl/>
                <w:lang w:eastAsia="he-IL"/>
              </w:rPr>
              <w:t>רעננה</w:t>
            </w:r>
          </w:p>
        </w:tc>
        <w:tc>
          <w:tcPr>
            <w:tcW w:w="0" w:type="auto"/>
            <w:tcBorders>
              <w:top w:val="single" w:sz="12" w:space="0" w:color="auto"/>
            </w:tcBorders>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ב</w:t>
            </w:r>
          </w:p>
        </w:tc>
        <w:tc>
          <w:tcPr>
            <w:tcW w:w="0" w:type="auto"/>
            <w:tcBorders>
              <w:top w:val="single" w:sz="12" w:space="0" w:color="auto"/>
            </w:tcBorders>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60</w:t>
            </w:r>
          </w:p>
        </w:tc>
        <w:tc>
          <w:tcPr>
            <w:tcW w:w="0" w:type="auto"/>
            <w:tcBorders>
              <w:top w:val="single" w:sz="12" w:space="0" w:color="auto"/>
              <w:right w:val="double" w:sz="4" w:space="0" w:color="auto"/>
            </w:tcBorders>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178</w:t>
            </w:r>
          </w:p>
        </w:tc>
        <w:tc>
          <w:tcPr>
            <w:tcW w:w="0" w:type="auto"/>
            <w:tcBorders>
              <w:top w:val="single" w:sz="12" w:space="0" w:color="auto"/>
              <w:left w:val="double" w:sz="4" w:space="0" w:color="auto"/>
            </w:tcBorders>
          </w:tcPr>
          <w:p w:rsidR="00E97EDA" w:rsidRPr="008D2A84" w:rsidP="00F07DDA">
            <w:pPr>
              <w:keepNext/>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238</w:t>
            </w:r>
          </w:p>
        </w:tc>
        <w:tc>
          <w:tcPr>
            <w:tcW w:w="0" w:type="auto"/>
            <w:tcBorders>
              <w:top w:val="single" w:sz="12" w:space="0" w:color="auto"/>
            </w:tcBorders>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0</w:t>
            </w:r>
          </w:p>
        </w:tc>
        <w:tc>
          <w:tcPr>
            <w:tcW w:w="0" w:type="auto"/>
            <w:tcBorders>
              <w:top w:val="single" w:sz="12" w:space="0" w:color="auto"/>
              <w:right w:val="double" w:sz="4" w:space="0" w:color="auto"/>
            </w:tcBorders>
          </w:tcPr>
          <w:p w:rsidR="00E97EDA" w:rsidRPr="008D2A84" w:rsidP="00F07DDA">
            <w:pPr>
              <w:keepNext/>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238</w:t>
            </w:r>
          </w:p>
        </w:tc>
        <w:tc>
          <w:tcPr>
            <w:tcW w:w="0" w:type="auto"/>
            <w:tcBorders>
              <w:top w:val="single" w:sz="12" w:space="0" w:color="auto"/>
              <w:left w:val="double" w:sz="4" w:space="0" w:color="auto"/>
            </w:tcBorders>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157,501</w:t>
            </w:r>
          </w:p>
        </w:tc>
        <w:tc>
          <w:tcPr>
            <w:tcW w:w="0" w:type="auto"/>
            <w:tcBorders>
              <w:top w:val="single" w:sz="12" w:space="0" w:color="auto"/>
            </w:tcBorders>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662</w:t>
            </w:r>
          </w:p>
        </w:tc>
      </w:tr>
      <w:tr w:rsidTr="003E339F">
        <w:tblPrEx>
          <w:tblW w:w="6691" w:type="dxa"/>
          <w:jc w:val="center"/>
          <w:tblCellMar>
            <w:left w:w="57" w:type="dxa"/>
            <w:right w:w="57" w:type="dxa"/>
          </w:tblCellMar>
          <w:tblLook w:val="01E0"/>
        </w:tblPrEx>
        <w:trPr>
          <w:jc w:val="center"/>
        </w:trPr>
        <w:tc>
          <w:tcPr>
            <w:tcW w:w="0" w:type="auto"/>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אשדוד</w:t>
            </w:r>
          </w:p>
        </w:tc>
        <w:tc>
          <w:tcPr>
            <w:tcW w:w="0" w:type="auto"/>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ב</w:t>
            </w:r>
          </w:p>
        </w:tc>
        <w:tc>
          <w:tcPr>
            <w:tcW w:w="0" w:type="auto"/>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24</w:t>
            </w:r>
          </w:p>
        </w:tc>
        <w:tc>
          <w:tcPr>
            <w:tcW w:w="0" w:type="auto"/>
            <w:tcBorders>
              <w:right w:val="double" w:sz="4" w:space="0" w:color="auto"/>
            </w:tcBorders>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70</w:t>
            </w:r>
          </w:p>
        </w:tc>
        <w:tc>
          <w:tcPr>
            <w:tcW w:w="0" w:type="auto"/>
            <w:tcBorders>
              <w:left w:val="double" w:sz="4" w:space="0" w:color="auto"/>
            </w:tcBorders>
          </w:tcPr>
          <w:p w:rsidR="00E97EDA" w:rsidRPr="008D2A84" w:rsidP="00F07DDA">
            <w:pPr>
              <w:keepNext/>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94</w:t>
            </w:r>
          </w:p>
        </w:tc>
        <w:tc>
          <w:tcPr>
            <w:tcW w:w="0" w:type="auto"/>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0</w:t>
            </w:r>
          </w:p>
        </w:tc>
        <w:tc>
          <w:tcPr>
            <w:tcW w:w="0" w:type="auto"/>
            <w:tcBorders>
              <w:right w:val="double" w:sz="4" w:space="0" w:color="auto"/>
            </w:tcBorders>
          </w:tcPr>
          <w:p w:rsidR="00E97EDA" w:rsidRPr="008D2A84" w:rsidP="00F07DDA">
            <w:pPr>
              <w:keepNext/>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94</w:t>
            </w:r>
          </w:p>
        </w:tc>
        <w:tc>
          <w:tcPr>
            <w:tcW w:w="0" w:type="auto"/>
            <w:tcBorders>
              <w:left w:val="double" w:sz="4" w:space="0" w:color="auto"/>
            </w:tcBorders>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27,083</w:t>
            </w:r>
          </w:p>
        </w:tc>
        <w:tc>
          <w:tcPr>
            <w:tcW w:w="0" w:type="auto"/>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288</w:t>
            </w:r>
          </w:p>
        </w:tc>
      </w:tr>
      <w:tr w:rsidTr="003E339F">
        <w:tblPrEx>
          <w:tblW w:w="6691" w:type="dxa"/>
          <w:jc w:val="center"/>
          <w:tblCellMar>
            <w:left w:w="57" w:type="dxa"/>
            <w:right w:w="57" w:type="dxa"/>
          </w:tblCellMar>
          <w:tblLook w:val="01E0"/>
        </w:tblPrEx>
        <w:trPr>
          <w:jc w:val="center"/>
        </w:trPr>
        <w:tc>
          <w:tcPr>
            <w:tcW w:w="0" w:type="auto"/>
          </w:tcPr>
          <w:p w:rsidR="00E97EDA" w:rsidRPr="008D2A84" w:rsidP="00F07DDA">
            <w:pPr>
              <w:keepNext/>
              <w:spacing w:before="40" w:after="40" w:line="200" w:lineRule="exact"/>
              <w:rPr>
                <w:rFonts w:ascii="FrankRuehl" w:eastAsia="Calibri" w:hAnsi="FrankRuehl" w:cs="FrankRuehl"/>
                <w:sz w:val="20"/>
                <w:szCs w:val="20"/>
                <w:highlight w:val="green"/>
                <w:lang w:eastAsia="he-IL"/>
              </w:rPr>
            </w:pPr>
            <w:r w:rsidRPr="008D2A84">
              <w:rPr>
                <w:rFonts w:ascii="FrankRuehl" w:eastAsia="Calibri" w:hAnsi="FrankRuehl" w:cs="FrankRuehl"/>
                <w:sz w:val="20"/>
                <w:szCs w:val="20"/>
                <w:rtl/>
                <w:lang w:eastAsia="he-IL"/>
              </w:rPr>
              <w:t xml:space="preserve">ירושלים - </w:t>
            </w:r>
            <w:r w:rsidRPr="008D2A84" w:rsidR="00F07DDA">
              <w:rPr>
                <w:rFonts w:ascii="FrankRuehl" w:eastAsia="Calibri" w:hAnsi="FrankRuehl" w:cs="FrankRuehl"/>
                <w:sz w:val="20"/>
                <w:szCs w:val="20"/>
                <w:lang w:eastAsia="he-IL"/>
              </w:rPr>
              <w:br/>
            </w:r>
            <w:r w:rsidRPr="008D2A84">
              <w:rPr>
                <w:rFonts w:ascii="FrankRuehl" w:eastAsia="Calibri" w:hAnsi="FrankRuehl" w:cs="FrankRuehl"/>
                <w:sz w:val="20"/>
                <w:szCs w:val="20"/>
                <w:rtl/>
                <w:lang w:eastAsia="he-IL"/>
              </w:rPr>
              <w:t>הר חומה</w:t>
            </w:r>
            <w:r w:rsidRPr="008D2A84">
              <w:rPr>
                <w:rFonts w:ascii="FrankRuehl" w:eastAsia="Calibri" w:hAnsi="FrankRuehl" w:cs="FrankRuehl" w:hint="cs"/>
                <w:spacing w:val="-2"/>
                <w:sz w:val="20"/>
                <w:szCs w:val="20"/>
                <w:rtl/>
                <w:lang w:eastAsia="he-IL"/>
              </w:rPr>
              <w:t>**</w:t>
            </w:r>
          </w:p>
        </w:tc>
        <w:tc>
          <w:tcPr>
            <w:tcW w:w="0" w:type="auto"/>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א</w:t>
            </w:r>
          </w:p>
        </w:tc>
        <w:tc>
          <w:tcPr>
            <w:tcW w:w="0" w:type="auto"/>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20</w:t>
            </w:r>
          </w:p>
        </w:tc>
        <w:tc>
          <w:tcPr>
            <w:tcW w:w="0" w:type="auto"/>
            <w:tcBorders>
              <w:right w:val="double" w:sz="4" w:space="0" w:color="auto"/>
            </w:tcBorders>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10</w:t>
            </w:r>
          </w:p>
        </w:tc>
        <w:tc>
          <w:tcPr>
            <w:tcW w:w="0" w:type="auto"/>
            <w:tcBorders>
              <w:left w:val="double" w:sz="4" w:space="0" w:color="auto"/>
            </w:tcBorders>
          </w:tcPr>
          <w:p w:rsidR="00E97EDA" w:rsidRPr="008D2A84" w:rsidP="00F07DDA">
            <w:pPr>
              <w:keepNext/>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30</w:t>
            </w:r>
          </w:p>
        </w:tc>
        <w:tc>
          <w:tcPr>
            <w:tcW w:w="0" w:type="auto"/>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20</w:t>
            </w:r>
          </w:p>
        </w:tc>
        <w:tc>
          <w:tcPr>
            <w:tcW w:w="0" w:type="auto"/>
            <w:tcBorders>
              <w:right w:val="double" w:sz="4" w:space="0" w:color="auto"/>
            </w:tcBorders>
          </w:tcPr>
          <w:p w:rsidR="00E97EDA" w:rsidRPr="008D2A84" w:rsidP="00F07DDA">
            <w:pPr>
              <w:keepNext/>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50</w:t>
            </w:r>
          </w:p>
        </w:tc>
        <w:tc>
          <w:tcPr>
            <w:tcW w:w="0" w:type="auto"/>
            <w:tcBorders>
              <w:left w:val="double" w:sz="4" w:space="0" w:color="auto"/>
            </w:tcBorders>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2,471</w:t>
            </w:r>
          </w:p>
        </w:tc>
        <w:tc>
          <w:tcPr>
            <w:tcW w:w="0" w:type="auto"/>
          </w:tcPr>
          <w:p w:rsidR="00E97EDA" w:rsidRPr="008D2A84" w:rsidP="00F07DDA">
            <w:pPr>
              <w:keepNext/>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82</w:t>
            </w:r>
          </w:p>
        </w:tc>
      </w:tr>
      <w:tr w:rsidTr="003E339F">
        <w:tblPrEx>
          <w:tblW w:w="6691" w:type="dxa"/>
          <w:jc w:val="center"/>
          <w:tblCellMar>
            <w:left w:w="57" w:type="dxa"/>
            <w:right w:w="57" w:type="dxa"/>
          </w:tblCellMar>
          <w:tblLook w:val="01E0"/>
        </w:tblPrEx>
        <w:trPr>
          <w:jc w:val="center"/>
        </w:trPr>
        <w:tc>
          <w:tcPr>
            <w:tcW w:w="0" w:type="auto"/>
            <w:tcBorders>
              <w:bottom w:val="single" w:sz="12" w:space="0" w:color="auto"/>
            </w:tcBorders>
          </w:tcPr>
          <w:p w:rsidR="00E97EDA" w:rsidRPr="008D2A84" w:rsidP="00994AD3">
            <w:pPr>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כפר סבא</w:t>
            </w:r>
          </w:p>
        </w:tc>
        <w:tc>
          <w:tcPr>
            <w:tcW w:w="0" w:type="auto"/>
            <w:tcBorders>
              <w:bottom w:val="single" w:sz="12" w:space="0" w:color="auto"/>
            </w:tcBorders>
          </w:tcPr>
          <w:p w:rsidR="00E97EDA" w:rsidRPr="008D2A84" w:rsidP="00994AD3">
            <w:pPr>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א</w:t>
            </w:r>
          </w:p>
        </w:tc>
        <w:tc>
          <w:tcPr>
            <w:tcW w:w="0" w:type="auto"/>
            <w:tcBorders>
              <w:bottom w:val="single" w:sz="12" w:space="0" w:color="auto"/>
            </w:tcBorders>
          </w:tcPr>
          <w:p w:rsidR="00E97EDA" w:rsidRPr="008D2A84" w:rsidP="00994AD3">
            <w:pPr>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10</w:t>
            </w:r>
          </w:p>
        </w:tc>
        <w:tc>
          <w:tcPr>
            <w:tcW w:w="0" w:type="auto"/>
            <w:tcBorders>
              <w:bottom w:val="single" w:sz="12" w:space="0" w:color="auto"/>
              <w:right w:val="double" w:sz="4" w:space="0" w:color="auto"/>
            </w:tcBorders>
          </w:tcPr>
          <w:p w:rsidR="00E97EDA" w:rsidRPr="008D2A84" w:rsidP="00994AD3">
            <w:pPr>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5</w:t>
            </w:r>
          </w:p>
        </w:tc>
        <w:tc>
          <w:tcPr>
            <w:tcW w:w="0" w:type="auto"/>
            <w:tcBorders>
              <w:left w:val="double" w:sz="4" w:space="0" w:color="auto"/>
              <w:bottom w:val="single" w:sz="12" w:space="0" w:color="auto"/>
            </w:tcBorders>
          </w:tcPr>
          <w:p w:rsidR="00E97EDA" w:rsidRPr="008D2A84" w:rsidP="00994AD3">
            <w:pPr>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15</w:t>
            </w:r>
          </w:p>
        </w:tc>
        <w:tc>
          <w:tcPr>
            <w:tcW w:w="0" w:type="auto"/>
            <w:tcBorders>
              <w:bottom w:val="single" w:sz="12" w:space="0" w:color="auto"/>
            </w:tcBorders>
          </w:tcPr>
          <w:p w:rsidR="00E97EDA" w:rsidRPr="008D2A84" w:rsidP="00994AD3">
            <w:pPr>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9</w:t>
            </w:r>
          </w:p>
        </w:tc>
        <w:tc>
          <w:tcPr>
            <w:tcW w:w="0" w:type="auto"/>
            <w:tcBorders>
              <w:bottom w:val="single" w:sz="12" w:space="0" w:color="auto"/>
              <w:right w:val="double" w:sz="4" w:space="0" w:color="auto"/>
            </w:tcBorders>
          </w:tcPr>
          <w:p w:rsidR="00E97EDA" w:rsidRPr="008D2A84" w:rsidP="00994AD3">
            <w:pPr>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24</w:t>
            </w:r>
          </w:p>
        </w:tc>
        <w:tc>
          <w:tcPr>
            <w:tcW w:w="0" w:type="auto"/>
            <w:tcBorders>
              <w:left w:val="double" w:sz="4" w:space="0" w:color="auto"/>
              <w:bottom w:val="single" w:sz="12" w:space="0" w:color="auto"/>
            </w:tcBorders>
          </w:tcPr>
          <w:p w:rsidR="00E97EDA" w:rsidRPr="008D2A84" w:rsidP="00994AD3">
            <w:pPr>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9,838</w:t>
            </w:r>
          </w:p>
        </w:tc>
        <w:tc>
          <w:tcPr>
            <w:tcW w:w="0" w:type="auto"/>
            <w:tcBorders>
              <w:bottom w:val="single" w:sz="12" w:space="0" w:color="auto"/>
            </w:tcBorders>
          </w:tcPr>
          <w:p w:rsidR="00E97EDA" w:rsidRPr="008D2A84" w:rsidP="00994AD3">
            <w:pPr>
              <w:spacing w:before="40" w:after="40" w:line="200" w:lineRule="exact"/>
              <w:rPr>
                <w:rFonts w:ascii="FrankRuehl" w:eastAsia="Calibri" w:hAnsi="FrankRuehl" w:cs="FrankRuehl"/>
                <w:sz w:val="20"/>
                <w:szCs w:val="20"/>
                <w:lang w:eastAsia="he-IL"/>
              </w:rPr>
            </w:pPr>
            <w:r w:rsidRPr="008D2A84">
              <w:rPr>
                <w:rFonts w:ascii="FrankRuehl" w:eastAsia="Calibri" w:hAnsi="FrankRuehl" w:cs="FrankRuehl"/>
                <w:sz w:val="20"/>
                <w:szCs w:val="20"/>
                <w:rtl/>
                <w:lang w:eastAsia="he-IL"/>
              </w:rPr>
              <w:t>655</w:t>
            </w:r>
          </w:p>
        </w:tc>
      </w:tr>
      <w:tr w:rsidTr="003E339F">
        <w:tblPrEx>
          <w:tblW w:w="6691" w:type="dxa"/>
          <w:jc w:val="center"/>
          <w:tblCellMar>
            <w:left w:w="57" w:type="dxa"/>
            <w:right w:w="57" w:type="dxa"/>
          </w:tblCellMar>
          <w:tblLook w:val="01E0"/>
        </w:tblPrEx>
        <w:trPr>
          <w:jc w:val="center"/>
        </w:trPr>
        <w:tc>
          <w:tcPr>
            <w:tcW w:w="0" w:type="auto"/>
            <w:tcBorders>
              <w:top w:val="single" w:sz="12" w:space="0" w:color="auto"/>
              <w:bottom w:val="single" w:sz="12" w:space="0" w:color="auto"/>
            </w:tcBorders>
            <w:shd w:val="pct10" w:color="auto" w:fill="auto"/>
          </w:tcPr>
          <w:p w:rsidR="00E97EDA" w:rsidRPr="008D2A84" w:rsidP="00F07DDA">
            <w:pPr>
              <w:spacing w:before="40" w:after="40" w:line="200" w:lineRule="exact"/>
              <w:jc w:val="right"/>
              <w:rPr>
                <w:rFonts w:ascii="FrankRuehl" w:eastAsia="Calibri" w:hAnsi="FrankRuehl" w:cs="FrankRuehl"/>
                <w:b/>
                <w:bCs/>
                <w:sz w:val="20"/>
                <w:szCs w:val="20"/>
                <w:lang w:eastAsia="he-IL"/>
              </w:rPr>
            </w:pPr>
            <w:r w:rsidRPr="008D2A84">
              <w:rPr>
                <w:rFonts w:ascii="FrankRuehl" w:eastAsia="Calibri" w:hAnsi="FrankRuehl" w:cs="FrankRuehl" w:hint="cs"/>
                <w:b/>
                <w:bCs/>
                <w:sz w:val="20"/>
                <w:szCs w:val="20"/>
                <w:rtl/>
                <w:lang w:eastAsia="he-IL"/>
              </w:rPr>
              <w:t>סך הכול</w:t>
            </w:r>
          </w:p>
        </w:tc>
        <w:tc>
          <w:tcPr>
            <w:tcW w:w="0" w:type="auto"/>
            <w:tcBorders>
              <w:top w:val="single" w:sz="12" w:space="0" w:color="auto"/>
              <w:bottom w:val="single" w:sz="12" w:space="0" w:color="auto"/>
            </w:tcBorders>
            <w:shd w:val="pct10" w:color="auto" w:fill="auto"/>
          </w:tcPr>
          <w:p w:rsidR="00E97EDA" w:rsidRPr="008D2A84" w:rsidP="00994AD3">
            <w:pPr>
              <w:spacing w:before="40" w:after="40" w:line="200" w:lineRule="exact"/>
              <w:rPr>
                <w:rFonts w:ascii="FrankRuehl" w:eastAsia="Calibri" w:hAnsi="FrankRuehl" w:cs="FrankRuehl"/>
                <w:b/>
                <w:bCs/>
                <w:sz w:val="20"/>
                <w:szCs w:val="20"/>
                <w:lang w:eastAsia="he-IL"/>
              </w:rPr>
            </w:pPr>
          </w:p>
        </w:tc>
        <w:tc>
          <w:tcPr>
            <w:tcW w:w="0" w:type="auto"/>
            <w:tcBorders>
              <w:top w:val="single" w:sz="12" w:space="0" w:color="auto"/>
              <w:bottom w:val="single" w:sz="12" w:space="0" w:color="auto"/>
            </w:tcBorders>
            <w:shd w:val="pct10" w:color="auto" w:fill="auto"/>
          </w:tcPr>
          <w:p w:rsidR="00E97EDA" w:rsidRPr="008D2A84" w:rsidP="00994AD3">
            <w:pPr>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noProof/>
                <w:sz w:val="20"/>
                <w:szCs w:val="20"/>
                <w:rtl/>
                <w:lang w:eastAsia="he-IL"/>
              </w:rPr>
              <w:t>114</w:t>
            </w:r>
          </w:p>
        </w:tc>
        <w:tc>
          <w:tcPr>
            <w:tcW w:w="0" w:type="auto"/>
            <w:tcBorders>
              <w:top w:val="single" w:sz="12" w:space="0" w:color="auto"/>
              <w:bottom w:val="single" w:sz="12" w:space="0" w:color="auto"/>
              <w:right w:val="double" w:sz="4" w:space="0" w:color="auto"/>
            </w:tcBorders>
            <w:shd w:val="pct10" w:color="auto" w:fill="auto"/>
          </w:tcPr>
          <w:p w:rsidR="00E97EDA" w:rsidRPr="008D2A84" w:rsidP="00994AD3">
            <w:pPr>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noProof/>
                <w:sz w:val="20"/>
                <w:szCs w:val="20"/>
                <w:rtl/>
                <w:lang w:eastAsia="he-IL"/>
              </w:rPr>
              <w:t>263</w:t>
            </w:r>
          </w:p>
        </w:tc>
        <w:tc>
          <w:tcPr>
            <w:tcW w:w="0" w:type="auto"/>
            <w:tcBorders>
              <w:top w:val="single" w:sz="12" w:space="0" w:color="auto"/>
              <w:left w:val="double" w:sz="4" w:space="0" w:color="auto"/>
              <w:bottom w:val="single" w:sz="12" w:space="0" w:color="auto"/>
            </w:tcBorders>
            <w:shd w:val="pct10" w:color="auto" w:fill="auto"/>
          </w:tcPr>
          <w:p w:rsidR="00E97EDA" w:rsidRPr="008D2A84" w:rsidP="00994AD3">
            <w:pPr>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377</w:t>
            </w:r>
          </w:p>
        </w:tc>
        <w:tc>
          <w:tcPr>
            <w:tcW w:w="0" w:type="auto"/>
            <w:tcBorders>
              <w:top w:val="single" w:sz="12" w:space="0" w:color="auto"/>
              <w:bottom w:val="single" w:sz="12" w:space="0" w:color="auto"/>
            </w:tcBorders>
            <w:shd w:val="pct10" w:color="auto" w:fill="auto"/>
          </w:tcPr>
          <w:p w:rsidR="00E97EDA" w:rsidRPr="008D2A84" w:rsidP="00994AD3">
            <w:pPr>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noProof/>
                <w:sz w:val="20"/>
                <w:szCs w:val="20"/>
                <w:rtl/>
                <w:lang w:eastAsia="he-IL"/>
              </w:rPr>
              <w:t>29</w:t>
            </w:r>
          </w:p>
        </w:tc>
        <w:tc>
          <w:tcPr>
            <w:tcW w:w="0" w:type="auto"/>
            <w:tcBorders>
              <w:top w:val="single" w:sz="12" w:space="0" w:color="auto"/>
              <w:bottom w:val="single" w:sz="12" w:space="0" w:color="auto"/>
              <w:right w:val="double" w:sz="4" w:space="0" w:color="auto"/>
            </w:tcBorders>
            <w:shd w:val="pct10" w:color="auto" w:fill="auto"/>
          </w:tcPr>
          <w:p w:rsidR="00E97EDA" w:rsidRPr="008D2A84" w:rsidP="00994AD3">
            <w:pPr>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noProof/>
                <w:sz w:val="20"/>
                <w:szCs w:val="20"/>
                <w:rtl/>
                <w:lang w:eastAsia="he-IL"/>
              </w:rPr>
              <w:t>406</w:t>
            </w:r>
          </w:p>
        </w:tc>
        <w:tc>
          <w:tcPr>
            <w:tcW w:w="0" w:type="auto"/>
            <w:tcBorders>
              <w:top w:val="single" w:sz="12" w:space="0" w:color="auto"/>
              <w:left w:val="double" w:sz="4" w:space="0" w:color="auto"/>
              <w:bottom w:val="single" w:sz="12" w:space="0" w:color="auto"/>
            </w:tcBorders>
            <w:shd w:val="pct10" w:color="auto" w:fill="auto"/>
          </w:tcPr>
          <w:p w:rsidR="00E97EDA" w:rsidRPr="008D2A84" w:rsidP="00994AD3">
            <w:pPr>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196,893</w:t>
            </w:r>
          </w:p>
        </w:tc>
        <w:tc>
          <w:tcPr>
            <w:tcW w:w="0" w:type="auto"/>
            <w:tcBorders>
              <w:top w:val="single" w:sz="12" w:space="0" w:color="auto"/>
              <w:bottom w:val="single" w:sz="12" w:space="0" w:color="auto"/>
            </w:tcBorders>
            <w:shd w:val="pct10" w:color="auto" w:fill="auto"/>
          </w:tcPr>
          <w:p w:rsidR="00E97EDA" w:rsidRPr="008D2A84" w:rsidP="00994AD3">
            <w:pPr>
              <w:spacing w:before="40" w:after="40" w:line="200" w:lineRule="exact"/>
              <w:rPr>
                <w:rFonts w:ascii="FrankRuehl" w:eastAsia="Calibri" w:hAnsi="FrankRuehl" w:cs="FrankRuehl"/>
                <w:b/>
                <w:bCs/>
                <w:sz w:val="20"/>
                <w:szCs w:val="20"/>
                <w:lang w:eastAsia="he-IL"/>
              </w:rPr>
            </w:pPr>
            <w:r w:rsidRPr="008D2A84">
              <w:rPr>
                <w:rFonts w:ascii="FrankRuehl" w:eastAsia="Calibri" w:hAnsi="FrankRuehl" w:cs="FrankRuehl"/>
                <w:b/>
                <w:bCs/>
                <w:sz w:val="20"/>
                <w:szCs w:val="20"/>
                <w:rtl/>
                <w:lang w:eastAsia="he-IL"/>
              </w:rPr>
              <w:t>522</w:t>
            </w:r>
          </w:p>
        </w:tc>
      </w:tr>
    </w:tbl>
    <w:p w:rsidR="00E97EDA" w:rsidRPr="00F07DDA" w:rsidP="00F07DDA">
      <w:pPr>
        <w:spacing w:before="120" w:line="200" w:lineRule="exact"/>
        <w:ind w:left="397" w:hanging="397"/>
        <w:jc w:val="both"/>
        <w:rPr>
          <w:rFonts w:cs="FrankRuehl"/>
          <w:sz w:val="20"/>
          <w:szCs w:val="20"/>
          <w:rtl/>
        </w:rPr>
      </w:pPr>
      <w:r w:rsidRPr="00F07DDA">
        <w:rPr>
          <w:rFonts w:cs="FrankRuehl" w:hint="cs"/>
          <w:sz w:val="20"/>
          <w:szCs w:val="20"/>
          <w:rtl/>
        </w:rPr>
        <w:t>*</w:t>
      </w:r>
      <w:r w:rsidRPr="00F07DDA">
        <w:rPr>
          <w:rFonts w:cs="FrankRuehl" w:hint="cs"/>
          <w:sz w:val="20"/>
          <w:szCs w:val="20"/>
          <w:rtl/>
        </w:rPr>
        <w:tab/>
      </w:r>
      <w:r w:rsidRPr="00F07DDA">
        <w:rPr>
          <w:rFonts w:cs="FrankRuehl"/>
          <w:sz w:val="20"/>
          <w:szCs w:val="20"/>
          <w:rtl/>
        </w:rPr>
        <w:t xml:space="preserve">ההנחה על הקרקע </w:t>
      </w:r>
      <w:r w:rsidRPr="00F07DDA">
        <w:rPr>
          <w:rFonts w:cs="FrankRuehl" w:hint="cs"/>
          <w:sz w:val="20"/>
          <w:szCs w:val="20"/>
          <w:rtl/>
        </w:rPr>
        <w:t>חושבה באמצעות</w:t>
      </w:r>
      <w:r w:rsidRPr="00F07DDA">
        <w:rPr>
          <w:rFonts w:cs="FrankRuehl"/>
          <w:sz w:val="20"/>
          <w:szCs w:val="20"/>
          <w:rtl/>
        </w:rPr>
        <w:t xml:space="preserve"> ניכוי תוצאות המכרזים מאומדן שווי הקרקע.</w:t>
      </w:r>
    </w:p>
    <w:p w:rsidR="00E97EDA" w:rsidRPr="00F07DDA" w:rsidP="00F07DDA">
      <w:pPr>
        <w:spacing w:after="240" w:line="200" w:lineRule="exact"/>
        <w:ind w:left="397" w:hanging="397"/>
        <w:jc w:val="both"/>
        <w:rPr>
          <w:rFonts w:cs="FrankRuehl"/>
          <w:sz w:val="20"/>
          <w:szCs w:val="20"/>
          <w:rtl/>
        </w:rPr>
      </w:pPr>
      <w:r w:rsidRPr="00F07DDA">
        <w:rPr>
          <w:rFonts w:cs="FrankRuehl" w:hint="cs"/>
          <w:sz w:val="20"/>
          <w:szCs w:val="20"/>
          <w:rtl/>
        </w:rPr>
        <w:t>**</w:t>
      </w:r>
      <w:r w:rsidRPr="00F07DDA">
        <w:rPr>
          <w:rFonts w:cs="FrankRuehl" w:hint="cs"/>
          <w:sz w:val="20"/>
          <w:szCs w:val="20"/>
          <w:rtl/>
        </w:rPr>
        <w:tab/>
      </w:r>
      <w:r w:rsidRPr="00F07DDA">
        <w:rPr>
          <w:rFonts w:cs="FrankRuehl"/>
          <w:sz w:val="20"/>
          <w:szCs w:val="20"/>
          <w:rtl/>
        </w:rPr>
        <w:t xml:space="preserve">במכרז זה שווקו בהצלחה רק 50 </w:t>
      </w:r>
      <w:r w:rsidRPr="00F07DDA">
        <w:rPr>
          <w:rFonts w:cs="FrankRuehl" w:hint="cs"/>
          <w:sz w:val="20"/>
          <w:szCs w:val="20"/>
          <w:rtl/>
        </w:rPr>
        <w:t>מ-</w:t>
      </w:r>
      <w:r w:rsidRPr="00F07DDA">
        <w:rPr>
          <w:rFonts w:cs="FrankRuehl"/>
          <w:sz w:val="20"/>
          <w:szCs w:val="20"/>
          <w:rtl/>
        </w:rPr>
        <w:t xml:space="preserve">130 </w:t>
      </w:r>
      <w:r w:rsidRPr="00F07DDA">
        <w:rPr>
          <w:rFonts w:cs="FrankRuehl" w:hint="cs"/>
          <w:sz w:val="20"/>
          <w:szCs w:val="20"/>
          <w:rtl/>
        </w:rPr>
        <w:t xml:space="preserve">יח"ד </w:t>
      </w:r>
      <w:r w:rsidRPr="00F07DDA">
        <w:rPr>
          <w:rFonts w:cs="FrankRuehl"/>
          <w:sz w:val="20"/>
          <w:szCs w:val="20"/>
          <w:rtl/>
        </w:rPr>
        <w:t xml:space="preserve">שפורסמו. </w:t>
      </w:r>
    </w:p>
    <w:p w:rsidR="00E97EDA" w:rsidRPr="00F41E78" w:rsidP="00A7557B">
      <w:pPr>
        <w:spacing w:after="120" w:line="230" w:lineRule="exact"/>
        <w:jc w:val="both"/>
        <w:rPr>
          <w:rFonts w:eastAsia="Calibri" w:cs="FrankRuehl"/>
          <w:sz w:val="18"/>
          <w:szCs w:val="22"/>
          <w:rtl/>
          <w:lang w:eastAsia="he-IL"/>
        </w:rPr>
      </w:pPr>
      <w:r w:rsidRPr="00F41E78">
        <w:rPr>
          <w:rFonts w:eastAsia="Calibri" w:cs="FrankRuehl" w:hint="cs"/>
          <w:sz w:val="18"/>
          <w:szCs w:val="22"/>
          <w:rtl/>
          <w:lang w:eastAsia="he-IL"/>
        </w:rPr>
        <w:t>מנתונים אלו</w:t>
      </w:r>
      <w:r w:rsidRPr="00F41E78">
        <w:rPr>
          <w:rFonts w:eastAsia="Calibri" w:cs="FrankRuehl"/>
          <w:sz w:val="18"/>
          <w:szCs w:val="22"/>
          <w:rtl/>
          <w:lang w:eastAsia="he-IL"/>
        </w:rPr>
        <w:t xml:space="preserve"> עולה כי </w:t>
      </w:r>
      <w:r w:rsidRPr="00F41E78">
        <w:rPr>
          <w:rFonts w:eastAsia="Calibri" w:cs="FrankRuehl" w:hint="cs"/>
          <w:sz w:val="18"/>
          <w:szCs w:val="22"/>
          <w:rtl/>
          <w:lang w:eastAsia="he-IL"/>
        </w:rPr>
        <w:t>377 (93%) מ-</w:t>
      </w:r>
      <w:r w:rsidRPr="00F41E78">
        <w:rPr>
          <w:rFonts w:eastAsia="Calibri" w:cs="FrankRuehl"/>
          <w:sz w:val="18"/>
          <w:szCs w:val="22"/>
          <w:rtl/>
          <w:lang w:eastAsia="he-IL"/>
        </w:rPr>
        <w:t>406 יח"ד ששיווק</w:t>
      </w:r>
      <w:r w:rsidRPr="00F41E78">
        <w:rPr>
          <w:rFonts w:eastAsia="Calibri" w:cs="FrankRuehl" w:hint="cs"/>
          <w:sz w:val="18"/>
          <w:szCs w:val="22"/>
          <w:rtl/>
          <w:lang w:eastAsia="he-IL"/>
        </w:rPr>
        <w:t>ן</w:t>
      </w:r>
      <w:r w:rsidRPr="00F41E78">
        <w:rPr>
          <w:rFonts w:eastAsia="Calibri" w:cs="FrankRuehl"/>
          <w:sz w:val="18"/>
          <w:szCs w:val="22"/>
          <w:rtl/>
          <w:lang w:eastAsia="he-IL"/>
        </w:rPr>
        <w:t xml:space="preserve"> הצליח ב</w:t>
      </w:r>
      <w:r w:rsidRPr="00F41E78">
        <w:rPr>
          <w:rFonts w:eastAsia="Calibri" w:cs="FrankRuehl" w:hint="cs"/>
          <w:sz w:val="18"/>
          <w:szCs w:val="22"/>
          <w:rtl/>
          <w:lang w:eastAsia="he-IL"/>
        </w:rPr>
        <w:t xml:space="preserve">שנת </w:t>
      </w:r>
      <w:r w:rsidRPr="00F41E78">
        <w:rPr>
          <w:rFonts w:eastAsia="Calibri" w:cs="FrankRuehl"/>
          <w:sz w:val="18"/>
          <w:szCs w:val="22"/>
          <w:rtl/>
          <w:lang w:eastAsia="he-IL"/>
        </w:rPr>
        <w:t xml:space="preserve">2012 יועדו להשכרה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 של</w:t>
      </w:r>
      <w:r w:rsidRPr="00F41E78">
        <w:rPr>
          <w:rFonts w:eastAsia="Calibri" w:cs="FrankRuehl"/>
          <w:sz w:val="18"/>
          <w:szCs w:val="22"/>
          <w:rtl/>
          <w:lang w:eastAsia="he-IL"/>
        </w:rPr>
        <w:t xml:space="preserve"> </w:t>
      </w:r>
      <w:r w:rsidRPr="00F41E78">
        <w:rPr>
          <w:rFonts w:eastAsia="Calibri" w:cs="FrankRuehl" w:hint="cs"/>
          <w:sz w:val="18"/>
          <w:szCs w:val="22"/>
          <w:rtl/>
          <w:lang w:eastAsia="he-IL"/>
        </w:rPr>
        <w:t>2</w:t>
      </w:r>
      <w:r w:rsidRPr="00F41E78">
        <w:rPr>
          <w:rFonts w:eastAsia="Calibri" w:cs="FrankRuehl"/>
          <w:sz w:val="18"/>
          <w:szCs w:val="22"/>
          <w:rtl/>
          <w:lang w:eastAsia="he-IL"/>
        </w:rPr>
        <w:t>0</w:t>
      </w:r>
      <w:r w:rsidRPr="00F41E78">
        <w:rPr>
          <w:rFonts w:eastAsia="Calibri" w:cs="FrankRuehl" w:hint="cs"/>
          <w:sz w:val="18"/>
          <w:szCs w:val="22"/>
          <w:rtl/>
          <w:lang w:eastAsia="he-IL"/>
        </w:rPr>
        <w:t>-1</w:t>
      </w:r>
      <w:r w:rsidRPr="00F41E78">
        <w:rPr>
          <w:rFonts w:eastAsia="Calibri" w:cs="FrankRuehl"/>
          <w:sz w:val="18"/>
          <w:szCs w:val="22"/>
          <w:rtl/>
          <w:lang w:eastAsia="he-IL"/>
        </w:rPr>
        <w:t>0 שנה. 114 (28%) מהן יועדו להשכרה לזכאים במחיר מוזל ומפוקח</w:t>
      </w:r>
      <w:r w:rsidRPr="00F41E78">
        <w:rPr>
          <w:rFonts w:eastAsia="Calibri" w:cs="FrankRuehl" w:hint="cs"/>
          <w:sz w:val="18"/>
          <w:szCs w:val="22"/>
          <w:rtl/>
          <w:lang w:eastAsia="he-IL"/>
        </w:rPr>
        <w:t>,</w:t>
      </w:r>
      <w:r w:rsidRPr="00F41E78">
        <w:rPr>
          <w:rFonts w:eastAsia="Calibri" w:cs="FrankRuehl"/>
          <w:sz w:val="18"/>
          <w:szCs w:val="22"/>
          <w:rtl/>
          <w:lang w:eastAsia="he-IL"/>
        </w:rPr>
        <w:t xml:space="preserve"> ו</w:t>
      </w:r>
      <w:r w:rsidRPr="00F41E78">
        <w:rPr>
          <w:rFonts w:eastAsia="Calibri" w:cs="FrankRuehl" w:hint="cs"/>
          <w:sz w:val="18"/>
          <w:szCs w:val="22"/>
          <w:rtl/>
          <w:lang w:eastAsia="he-IL"/>
        </w:rPr>
        <w:t xml:space="preserve">יתר יחידות הדיור </w:t>
      </w:r>
      <w:r w:rsidRPr="00F41E78">
        <w:rPr>
          <w:rFonts w:eastAsia="Calibri" w:cs="FrankRuehl"/>
          <w:sz w:val="18"/>
          <w:szCs w:val="22"/>
          <w:rtl/>
          <w:lang w:eastAsia="he-IL"/>
        </w:rPr>
        <w:t>להשכרה במחיר</w:t>
      </w:r>
      <w:r w:rsidRPr="00F41E78">
        <w:rPr>
          <w:rFonts w:eastAsia="Calibri" w:cs="FrankRuehl" w:hint="cs"/>
          <w:sz w:val="18"/>
          <w:szCs w:val="22"/>
          <w:rtl/>
          <w:lang w:eastAsia="he-IL"/>
        </w:rPr>
        <w:t>י</w:t>
      </w:r>
      <w:r w:rsidRPr="00F41E78">
        <w:rPr>
          <w:rFonts w:eastAsia="Calibri" w:cs="FrankRuehl"/>
          <w:sz w:val="18"/>
          <w:szCs w:val="22"/>
          <w:rtl/>
          <w:lang w:eastAsia="he-IL"/>
        </w:rPr>
        <w:t xml:space="preserve"> השוק. </w:t>
      </w:r>
    </w:p>
    <w:p w:rsidR="00E97EDA" w:rsidRPr="00F41E78" w:rsidP="00F07DDA">
      <w:pPr>
        <w:spacing w:after="240" w:line="230" w:lineRule="exact"/>
        <w:jc w:val="both"/>
        <w:rPr>
          <w:rFonts w:eastAsia="Calibri" w:cs="FrankRuehl"/>
          <w:sz w:val="18"/>
          <w:szCs w:val="22"/>
          <w:lang w:eastAsia="he-IL"/>
        </w:rPr>
      </w:pPr>
      <w:r w:rsidRPr="00F41E78">
        <w:rPr>
          <w:rFonts w:eastAsia="Calibri" w:cs="FrankRuehl"/>
          <w:sz w:val="18"/>
          <w:szCs w:val="22"/>
          <w:rtl/>
          <w:lang w:eastAsia="he-IL"/>
        </w:rPr>
        <w:t xml:space="preserve">עוד עולה </w:t>
      </w:r>
      <w:r w:rsidRPr="00F41E78">
        <w:rPr>
          <w:rFonts w:eastAsia="Calibri" w:cs="FrankRuehl" w:hint="cs"/>
          <w:sz w:val="18"/>
          <w:szCs w:val="22"/>
          <w:rtl/>
          <w:lang w:eastAsia="he-IL"/>
        </w:rPr>
        <w:t xml:space="preserve">מהנתונים </w:t>
      </w:r>
      <w:r w:rsidRPr="00F41E78">
        <w:rPr>
          <w:rFonts w:eastAsia="Calibri" w:cs="FrankRuehl"/>
          <w:sz w:val="18"/>
          <w:szCs w:val="22"/>
          <w:rtl/>
          <w:lang w:eastAsia="he-IL"/>
        </w:rPr>
        <w:t xml:space="preserve">כי </w:t>
      </w:r>
      <w:r w:rsidRPr="00F41E78">
        <w:rPr>
          <w:rFonts w:eastAsia="Calibri" w:cs="FrankRuehl" w:hint="cs"/>
          <w:sz w:val="18"/>
          <w:szCs w:val="22"/>
          <w:rtl/>
          <w:lang w:eastAsia="he-IL"/>
        </w:rPr>
        <w:t xml:space="preserve">הסכום הכולל של ההנחה שהעניקה </w:t>
      </w:r>
      <w:r w:rsidRPr="00F41E78">
        <w:rPr>
          <w:rFonts w:eastAsia="Calibri" w:cs="FrankRuehl"/>
          <w:sz w:val="18"/>
          <w:szCs w:val="22"/>
          <w:rtl/>
          <w:lang w:eastAsia="he-IL"/>
        </w:rPr>
        <w:t xml:space="preserve">המדינה עבור הקרקע ששיווקה במכרזים אלו </w:t>
      </w:r>
      <w:r w:rsidRPr="00F41E78">
        <w:rPr>
          <w:rFonts w:eastAsia="Calibri" w:cs="FrankRuehl" w:hint="cs"/>
          <w:sz w:val="18"/>
          <w:szCs w:val="22"/>
          <w:rtl/>
          <w:lang w:eastAsia="he-IL"/>
        </w:rPr>
        <w:t>היה כמעט</w:t>
      </w:r>
      <w:r w:rsidRPr="00F41E78">
        <w:rPr>
          <w:rFonts w:eastAsia="Calibri" w:cs="FrankRuehl"/>
          <w:sz w:val="18"/>
          <w:szCs w:val="22"/>
          <w:rtl/>
          <w:lang w:eastAsia="he-IL"/>
        </w:rPr>
        <w:t xml:space="preserve"> </w:t>
      </w:r>
      <w:r w:rsidRPr="00F41E78">
        <w:rPr>
          <w:rFonts w:eastAsia="Calibri" w:cs="FrankRuehl" w:hint="cs"/>
          <w:sz w:val="18"/>
          <w:szCs w:val="22"/>
          <w:rtl/>
          <w:lang w:eastAsia="he-IL"/>
        </w:rPr>
        <w:t>197 מיליון</w:t>
      </w:r>
      <w:r w:rsidRPr="00F41E78">
        <w:rPr>
          <w:rFonts w:eastAsia="Calibri" w:cs="FrankRuehl"/>
          <w:sz w:val="18"/>
          <w:szCs w:val="22"/>
          <w:rtl/>
          <w:lang w:eastAsia="he-IL"/>
        </w:rPr>
        <w:t xml:space="preserve"> ש"ח. תחשיב העלות הכספית הממוצעת עבור כל אחת מ-377 </w:t>
      </w:r>
      <w:r w:rsidRPr="00F41E78">
        <w:rPr>
          <w:rFonts w:eastAsia="Calibri" w:cs="FrankRuehl" w:hint="cs"/>
          <w:sz w:val="18"/>
          <w:szCs w:val="22"/>
          <w:rtl/>
          <w:lang w:eastAsia="he-IL"/>
        </w:rPr>
        <w:t xml:space="preserve">יחידות הדיור </w:t>
      </w:r>
      <w:r w:rsidRPr="00F41E78">
        <w:rPr>
          <w:rFonts w:eastAsia="Calibri" w:cs="FrankRuehl"/>
          <w:sz w:val="18"/>
          <w:szCs w:val="22"/>
          <w:rtl/>
          <w:lang w:eastAsia="he-IL"/>
        </w:rPr>
        <w:t xml:space="preserve">להשכרה </w:t>
      </w:r>
      <w:r w:rsidRPr="00F41E78">
        <w:rPr>
          <w:rFonts w:eastAsia="Calibri" w:cs="FrankRuehl" w:hint="cs"/>
          <w:sz w:val="18"/>
          <w:szCs w:val="22"/>
          <w:rtl/>
          <w:lang w:eastAsia="he-IL"/>
        </w:rPr>
        <w:t>ששווקו במכרזים מלמד</w:t>
      </w:r>
      <w:r w:rsidRPr="00F41E78">
        <w:rPr>
          <w:rFonts w:eastAsia="Calibri" w:cs="FrankRuehl"/>
          <w:sz w:val="18"/>
          <w:szCs w:val="22"/>
          <w:rtl/>
          <w:lang w:eastAsia="he-IL"/>
        </w:rPr>
        <w:t xml:space="preserve"> כי ההנחה על הקרקע שניתנה לכל דירה </w:t>
      </w:r>
      <w:r w:rsidRPr="00F41E78">
        <w:rPr>
          <w:rFonts w:eastAsia="Calibri" w:cs="FrankRuehl" w:hint="cs"/>
          <w:sz w:val="18"/>
          <w:szCs w:val="22"/>
          <w:rtl/>
          <w:lang w:eastAsia="he-IL"/>
        </w:rPr>
        <w:t>עולה על</w:t>
      </w:r>
      <w:r w:rsidRPr="00F41E78">
        <w:rPr>
          <w:rFonts w:eastAsia="Calibri" w:cs="FrankRuehl"/>
          <w:sz w:val="18"/>
          <w:szCs w:val="22"/>
          <w:rtl/>
          <w:lang w:eastAsia="he-IL"/>
        </w:rPr>
        <w:t xml:space="preserve"> </w:t>
      </w:r>
      <w:r w:rsidRPr="00F41E78">
        <w:rPr>
          <w:rFonts w:eastAsia="Calibri" w:cs="FrankRuehl" w:hint="cs"/>
          <w:sz w:val="18"/>
          <w:szCs w:val="22"/>
          <w:rtl/>
          <w:lang w:eastAsia="he-IL"/>
        </w:rPr>
        <w:t>522,000 ש"ח,</w:t>
      </w:r>
      <w:r w:rsidRPr="00F41E78">
        <w:rPr>
          <w:rFonts w:eastAsia="Calibri" w:cs="FrankRuehl"/>
          <w:sz w:val="18"/>
          <w:szCs w:val="22"/>
          <w:rtl/>
          <w:lang w:eastAsia="he-IL"/>
        </w:rPr>
        <w:t xml:space="preserve"> </w:t>
      </w:r>
      <w:r w:rsidRPr="00F41E78">
        <w:rPr>
          <w:rFonts w:eastAsia="Calibri" w:cs="FrankRuehl" w:hint="cs"/>
          <w:sz w:val="18"/>
          <w:szCs w:val="22"/>
          <w:rtl/>
          <w:lang w:eastAsia="he-IL"/>
        </w:rPr>
        <w:t>ו</w:t>
      </w:r>
      <w:r w:rsidRPr="00F41E78">
        <w:rPr>
          <w:rFonts w:eastAsia="Calibri" w:cs="FrankRuehl"/>
          <w:sz w:val="18"/>
          <w:szCs w:val="22"/>
          <w:rtl/>
          <w:lang w:eastAsia="he-IL"/>
        </w:rPr>
        <w:t xml:space="preserve">ליותר </w:t>
      </w:r>
      <w:r w:rsidRPr="00F41E78">
        <w:rPr>
          <w:rFonts w:eastAsia="Calibri" w:cs="FrankRuehl" w:hint="cs"/>
          <w:sz w:val="18"/>
          <w:szCs w:val="22"/>
          <w:rtl/>
          <w:lang w:eastAsia="he-IL"/>
        </w:rPr>
        <w:t>מ</w:t>
      </w:r>
      <w:r w:rsidRPr="00F41E78">
        <w:rPr>
          <w:rFonts w:eastAsia="Calibri" w:cs="FrankRuehl"/>
          <w:sz w:val="18"/>
          <w:szCs w:val="22"/>
          <w:rtl/>
          <w:lang w:eastAsia="he-IL"/>
        </w:rPr>
        <w:t>-65% מ</w:t>
      </w:r>
      <w:r w:rsidRPr="00F41E78">
        <w:rPr>
          <w:rFonts w:eastAsia="Calibri" w:cs="FrankRuehl" w:hint="cs"/>
          <w:sz w:val="18"/>
          <w:szCs w:val="22"/>
          <w:rtl/>
          <w:lang w:eastAsia="he-IL"/>
        </w:rPr>
        <w:t>יחידות הדיור</w:t>
      </w:r>
      <w:r w:rsidRPr="00F41E78">
        <w:rPr>
          <w:rFonts w:eastAsia="Calibri" w:cs="FrankRuehl"/>
          <w:sz w:val="18"/>
          <w:szCs w:val="22"/>
          <w:rtl/>
          <w:lang w:eastAsia="he-IL"/>
        </w:rPr>
        <w:t xml:space="preserve"> ניתנה הנחה של יותר </w:t>
      </w:r>
      <w:r w:rsidRPr="00F41E78">
        <w:rPr>
          <w:rFonts w:eastAsia="Calibri" w:cs="FrankRuehl" w:hint="cs"/>
          <w:sz w:val="18"/>
          <w:szCs w:val="22"/>
          <w:rtl/>
          <w:lang w:eastAsia="he-IL"/>
        </w:rPr>
        <w:t>מ-600,000</w:t>
      </w:r>
      <w:r w:rsidRPr="00F41E78">
        <w:rPr>
          <w:rFonts w:eastAsia="Calibri" w:cs="FrankRuehl"/>
          <w:sz w:val="18"/>
          <w:szCs w:val="22"/>
          <w:rtl/>
          <w:lang w:eastAsia="he-IL"/>
        </w:rPr>
        <w:t xml:space="preserve"> ש"ח. יצוין שנוסף להנחה </w:t>
      </w:r>
      <w:r w:rsidRPr="00F41E78">
        <w:rPr>
          <w:rFonts w:eastAsia="Calibri" w:cs="FrankRuehl" w:hint="cs"/>
          <w:sz w:val="18"/>
          <w:szCs w:val="22"/>
          <w:rtl/>
          <w:lang w:eastAsia="he-IL"/>
        </w:rPr>
        <w:t>במחיר ה</w:t>
      </w:r>
      <w:r w:rsidRPr="00F41E78">
        <w:rPr>
          <w:rFonts w:eastAsia="Calibri" w:cs="FrankRuehl"/>
          <w:sz w:val="18"/>
          <w:szCs w:val="22"/>
          <w:rtl/>
          <w:lang w:eastAsia="he-IL"/>
        </w:rPr>
        <w:t>קרקע המשווקת יינתנו ליזמים גם הקלות בתשלומי מסים.</w:t>
      </w:r>
    </w:p>
    <w:p w:rsidR="00D22B16" w:rsidRPr="00F41E78" w:rsidP="00D22B16">
      <w:pPr>
        <w:pStyle w:val="RESHET"/>
        <w:keepLines/>
        <w:rPr>
          <w:rFonts w:eastAsia="Calibri"/>
          <w:rtl/>
        </w:rPr>
      </w:pPr>
      <w:r w:rsidRPr="00F41E78">
        <w:rPr>
          <w:rFonts w:eastAsia="Calibri"/>
          <w:rtl/>
        </w:rPr>
        <w:t xml:space="preserve">זאת ועוד, </w:t>
      </w:r>
      <w:r w:rsidRPr="00F41E78">
        <w:rPr>
          <w:rFonts w:eastAsia="Calibri"/>
          <w:rtl/>
        </w:rPr>
        <w:t xml:space="preserve">הפעלת מסלול השכרה </w:t>
      </w:r>
      <w:r w:rsidRPr="00F41E78">
        <w:rPr>
          <w:rFonts w:eastAsia="Calibri" w:hint="cs"/>
          <w:rtl/>
        </w:rPr>
        <w:t>ל</w:t>
      </w:r>
      <w:r w:rsidRPr="00F41E78">
        <w:rPr>
          <w:rFonts w:eastAsia="Calibri"/>
          <w:rtl/>
        </w:rPr>
        <w:t>טווח</w:t>
      </w:r>
      <w:r w:rsidRPr="00F41E78">
        <w:rPr>
          <w:rFonts w:eastAsia="Calibri" w:hint="cs"/>
          <w:rtl/>
        </w:rPr>
        <w:t xml:space="preserve"> ארוך</w:t>
      </w:r>
      <w:r w:rsidRPr="00F41E78">
        <w:rPr>
          <w:rFonts w:eastAsia="Calibri"/>
          <w:rtl/>
        </w:rPr>
        <w:t xml:space="preserve"> הניבה </w:t>
      </w:r>
      <w:r w:rsidRPr="00F41E78">
        <w:rPr>
          <w:rFonts w:eastAsia="Calibri" w:hint="cs"/>
          <w:rtl/>
        </w:rPr>
        <w:t>ב</w:t>
      </w:r>
      <w:r w:rsidRPr="00F41E78">
        <w:rPr>
          <w:rFonts w:eastAsia="Calibri"/>
          <w:rtl/>
        </w:rPr>
        <w:t xml:space="preserve">שנת 2012 </w:t>
      </w:r>
      <w:r w:rsidRPr="00F41E78">
        <w:rPr>
          <w:rFonts w:eastAsia="Calibri" w:hint="cs"/>
          <w:rtl/>
        </w:rPr>
        <w:t>רק</w:t>
      </w:r>
      <w:r w:rsidRPr="00F41E78">
        <w:rPr>
          <w:rFonts w:eastAsia="Calibri"/>
          <w:rtl/>
        </w:rPr>
        <w:t xml:space="preserve"> 114 יח</w:t>
      </w:r>
      <w:r w:rsidRPr="00F41E78">
        <w:rPr>
          <w:rFonts w:eastAsia="Calibri" w:hint="cs"/>
          <w:rtl/>
        </w:rPr>
        <w:t>"ד</w:t>
      </w:r>
      <w:r w:rsidRPr="00F41E78">
        <w:rPr>
          <w:rFonts w:eastAsia="Calibri"/>
          <w:rtl/>
        </w:rPr>
        <w:t xml:space="preserve"> המיועדות לזכאים בשכירות מוזלת ומפוקחת</w:t>
      </w:r>
      <w:r w:rsidRPr="00F41E78">
        <w:rPr>
          <w:rFonts w:eastAsia="Calibri" w:hint="cs"/>
          <w:rtl/>
        </w:rPr>
        <w:t>.</w:t>
      </w:r>
      <w:r w:rsidRPr="00F41E78">
        <w:rPr>
          <w:rFonts w:eastAsia="Calibri"/>
          <w:rtl/>
        </w:rPr>
        <w:t xml:space="preserve"> </w:t>
      </w:r>
      <w:r w:rsidRPr="00F41E78">
        <w:rPr>
          <w:rFonts w:hint="cs"/>
          <w:rtl/>
        </w:rPr>
        <w:t xml:space="preserve">הוויתור הממוצע של המדינה על הכנסות מקרקע עמד על </w:t>
      </w:r>
      <w:r w:rsidRPr="00F41E78">
        <w:rPr>
          <w:rtl/>
        </w:rPr>
        <w:t xml:space="preserve">כ-1.7 מיליון ש"ח </w:t>
      </w:r>
      <w:r w:rsidRPr="00F41E78">
        <w:rPr>
          <w:rFonts w:eastAsia="Calibri"/>
          <w:rtl/>
        </w:rPr>
        <w:t>ליח</w:t>
      </w:r>
      <w:r w:rsidRPr="00F41E78">
        <w:rPr>
          <w:rFonts w:eastAsia="Calibri" w:hint="cs"/>
          <w:rtl/>
        </w:rPr>
        <w:t xml:space="preserve">"ד </w:t>
      </w:r>
      <w:r w:rsidRPr="00F41E78">
        <w:rPr>
          <w:rFonts w:eastAsia="Calibri"/>
          <w:rtl/>
        </w:rPr>
        <w:t>אחת</w:t>
      </w:r>
      <w:r>
        <w:rPr>
          <w:rFonts w:eastAsia="Calibri"/>
          <w:vertAlign w:val="superscript"/>
          <w:rtl/>
        </w:rPr>
        <w:footnoteReference w:id="307"/>
      </w:r>
      <w:r w:rsidRPr="00F41E78">
        <w:rPr>
          <w:rFonts w:eastAsia="Calibri"/>
          <w:rtl/>
        </w:rPr>
        <w:t xml:space="preserve">. בהתחשב בכך שמדובר באפיק שהממשלה הגדירה </w:t>
      </w:r>
      <w:r w:rsidRPr="00F41E78">
        <w:rPr>
          <w:rFonts w:eastAsia="Calibri" w:hint="cs"/>
          <w:rtl/>
        </w:rPr>
        <w:t xml:space="preserve">כאמצעי </w:t>
      </w:r>
      <w:r w:rsidRPr="00F41E78">
        <w:rPr>
          <w:rFonts w:eastAsia="Calibri"/>
          <w:rtl/>
        </w:rPr>
        <w:t xml:space="preserve">בסיסי </w:t>
      </w:r>
      <w:r w:rsidRPr="00F41E78">
        <w:rPr>
          <w:rFonts w:eastAsia="Calibri" w:hint="cs"/>
          <w:rtl/>
        </w:rPr>
        <w:t>לטיפול במחסור ב</w:t>
      </w:r>
      <w:r w:rsidRPr="00F41E78">
        <w:rPr>
          <w:rFonts w:eastAsia="Calibri"/>
          <w:rtl/>
        </w:rPr>
        <w:t>דיור</w:t>
      </w:r>
      <w:r w:rsidRPr="00F41E78">
        <w:rPr>
          <w:rFonts w:eastAsia="Calibri" w:hint="cs"/>
          <w:rtl/>
        </w:rPr>
        <w:t>,</w:t>
      </w:r>
      <w:r w:rsidRPr="00F41E78">
        <w:rPr>
          <w:rFonts w:eastAsia="Calibri"/>
          <w:rtl/>
        </w:rPr>
        <w:t xml:space="preserve"> ובייחוד דיור בר השגה</w:t>
      </w:r>
      <w:r w:rsidRPr="00F41E78">
        <w:rPr>
          <w:rFonts w:eastAsia="Calibri" w:hint="cs"/>
          <w:rtl/>
        </w:rPr>
        <w:t xml:space="preserve">, </w:t>
      </w:r>
      <w:r w:rsidRPr="00F41E78">
        <w:rPr>
          <w:rFonts w:eastAsia="Calibri"/>
          <w:rtl/>
        </w:rPr>
        <w:t xml:space="preserve">מדובר בהישג </w:t>
      </w:r>
      <w:r w:rsidRPr="00F41E78">
        <w:rPr>
          <w:rFonts w:eastAsia="Calibri" w:hint="cs"/>
          <w:rtl/>
        </w:rPr>
        <w:t>זניח</w:t>
      </w:r>
      <w:r w:rsidRPr="00F41E78">
        <w:rPr>
          <w:rFonts w:eastAsia="Calibri"/>
          <w:rtl/>
        </w:rPr>
        <w:t xml:space="preserve"> ביותר שעלותו גבוהה</w:t>
      </w:r>
      <w:r w:rsidRPr="00F41E78">
        <w:rPr>
          <w:rFonts w:eastAsia="Calibri" w:hint="cs"/>
          <w:rtl/>
        </w:rPr>
        <w:t xml:space="preserve"> ומעוררת ספק בנוגע לכדאיותה הכלכלית של השקעה זו ולתרומתה לציבור כולו.</w:t>
      </w:r>
      <w:r w:rsidRPr="00F41E78">
        <w:rPr>
          <w:rFonts w:eastAsia="Calibri"/>
          <w:rtl/>
        </w:rPr>
        <w:t xml:space="preserve"> </w:t>
      </w:r>
    </w:p>
    <w:p w:rsidR="00D22B16" w:rsidRPr="00F41E78" w:rsidP="00D22B16">
      <w:pPr>
        <w:pStyle w:val="RESHET"/>
        <w:keepLines/>
        <w:rPr>
          <w:rFonts w:eastAsia="Calibri"/>
          <w:rtl/>
        </w:rPr>
      </w:pPr>
      <w:r w:rsidRPr="00F41E78">
        <w:rPr>
          <w:rFonts w:eastAsia="Calibri" w:hint="cs"/>
          <w:rtl/>
        </w:rPr>
        <w:t xml:space="preserve">הביקורת העלתה כי </w:t>
      </w:r>
      <w:r>
        <w:rPr>
          <w:rFonts w:eastAsia="Calibri"/>
          <w:rtl/>
        </w:rPr>
        <w:t>משרדי הבינוי</w:t>
      </w:r>
      <w:r w:rsidRPr="00F41E78">
        <w:rPr>
          <w:rFonts w:eastAsia="Calibri" w:hint="cs"/>
          <w:rtl/>
        </w:rPr>
        <w:t xml:space="preserve"> ו</w:t>
      </w:r>
      <w:r w:rsidRPr="00F41E78">
        <w:rPr>
          <w:rFonts w:eastAsia="Calibri"/>
          <w:rtl/>
        </w:rPr>
        <w:t>האוצר ו</w:t>
      </w:r>
      <w:r w:rsidRPr="00F41E78">
        <w:rPr>
          <w:rFonts w:eastAsia="Calibri" w:hint="cs"/>
          <w:rtl/>
        </w:rPr>
        <w:t xml:space="preserve">רמ"י </w:t>
      </w:r>
      <w:r w:rsidRPr="00F41E78">
        <w:rPr>
          <w:rFonts w:eastAsia="Calibri"/>
          <w:rtl/>
        </w:rPr>
        <w:t xml:space="preserve">לא קבעו את מסגרת התקציב למתן ההנחה על הקצאת הקרקע לבנייה להשכרה לטווח ארוך ולא את </w:t>
      </w:r>
      <w:r w:rsidRPr="00F41E78">
        <w:rPr>
          <w:rFonts w:eastAsia="Calibri" w:hint="cs"/>
          <w:rtl/>
        </w:rPr>
        <w:t>שיעורה המרבי של</w:t>
      </w:r>
      <w:r w:rsidRPr="00F41E78">
        <w:rPr>
          <w:rFonts w:eastAsia="Calibri"/>
          <w:rtl/>
        </w:rPr>
        <w:t xml:space="preserve"> ההנחה. </w:t>
      </w:r>
      <w:r w:rsidRPr="00F41E78">
        <w:rPr>
          <w:rFonts w:eastAsia="Calibri" w:hint="cs"/>
          <w:rtl/>
        </w:rPr>
        <w:t>יוצא אפוא</w:t>
      </w:r>
      <w:r w:rsidRPr="00F41E78">
        <w:rPr>
          <w:rFonts w:eastAsia="Calibri"/>
          <w:rtl/>
        </w:rPr>
        <w:t xml:space="preserve"> שהם לא הגדירו </w:t>
      </w:r>
      <w:r w:rsidRPr="00F41E78">
        <w:rPr>
          <w:rFonts w:eastAsia="Calibri" w:hint="cs"/>
          <w:rtl/>
        </w:rPr>
        <w:t>את</w:t>
      </w:r>
      <w:r w:rsidRPr="00F41E78">
        <w:rPr>
          <w:rFonts w:eastAsia="Calibri"/>
          <w:rtl/>
        </w:rPr>
        <w:t xml:space="preserve"> התועלות </w:t>
      </w:r>
      <w:r w:rsidRPr="00F41E78">
        <w:rPr>
          <w:rFonts w:eastAsia="Calibri" w:hint="cs"/>
          <w:rtl/>
        </w:rPr>
        <w:t xml:space="preserve">שהציבור עשוי להפיק </w:t>
      </w:r>
      <w:r w:rsidRPr="00F41E78">
        <w:rPr>
          <w:rFonts w:eastAsia="Calibri"/>
          <w:rtl/>
        </w:rPr>
        <w:t xml:space="preserve">מההשקעה הממשלתית בהפעלת מסלול </w:t>
      </w:r>
      <w:r w:rsidRPr="00F41E78">
        <w:rPr>
          <w:rFonts w:eastAsia="Calibri" w:hint="cs"/>
          <w:rtl/>
        </w:rPr>
        <w:t>זה</w:t>
      </w:r>
      <w:r w:rsidRPr="00F41E78">
        <w:rPr>
          <w:rFonts w:eastAsia="Calibri"/>
          <w:rtl/>
        </w:rPr>
        <w:t>.</w:t>
      </w:r>
      <w:r w:rsidRPr="00F41E78">
        <w:rPr>
          <w:rFonts w:eastAsia="Calibri" w:hint="cs"/>
          <w:rtl/>
        </w:rPr>
        <w:t xml:space="preserve"> </w:t>
      </w:r>
    </w:p>
    <w:p w:rsidR="00D22B16" w:rsidRPr="00F41E78" w:rsidP="00D22B16">
      <w:pPr>
        <w:pStyle w:val="RESHET"/>
        <w:keepLines/>
        <w:rPr>
          <w:rFonts w:eastAsia="Calibri"/>
          <w:rtl/>
        </w:rPr>
      </w:pPr>
      <w:r w:rsidRPr="00F41E78">
        <w:rPr>
          <w:rFonts w:eastAsia="Calibri"/>
          <w:rtl/>
        </w:rPr>
        <w:t xml:space="preserve">משרד מבקר המדינה </w:t>
      </w:r>
      <w:r w:rsidRPr="00F41E78">
        <w:rPr>
          <w:rFonts w:eastAsia="Calibri" w:hint="cs"/>
          <w:rtl/>
        </w:rPr>
        <w:t>ה</w:t>
      </w:r>
      <w:r w:rsidRPr="00F41E78">
        <w:rPr>
          <w:rFonts w:eastAsia="Calibri"/>
          <w:rtl/>
        </w:rPr>
        <w:t>עיר ל</w:t>
      </w:r>
      <w:r>
        <w:rPr>
          <w:rFonts w:eastAsia="Calibri"/>
          <w:rtl/>
        </w:rPr>
        <w:t>משרדי הבינוי</w:t>
      </w:r>
      <w:r w:rsidRPr="00F41E78">
        <w:rPr>
          <w:rFonts w:eastAsia="Calibri" w:hint="cs"/>
          <w:rtl/>
        </w:rPr>
        <w:t xml:space="preserve"> ו</w:t>
      </w:r>
      <w:r w:rsidRPr="00F41E78">
        <w:rPr>
          <w:rFonts w:eastAsia="Calibri"/>
          <w:rtl/>
        </w:rPr>
        <w:t>האוצר ו</w:t>
      </w:r>
      <w:r w:rsidRPr="00F41E78">
        <w:rPr>
          <w:rFonts w:eastAsia="Calibri" w:hint="cs"/>
          <w:rtl/>
        </w:rPr>
        <w:t>לרמ"י</w:t>
      </w:r>
      <w:r w:rsidRPr="00F41E78">
        <w:rPr>
          <w:rFonts w:eastAsia="Calibri"/>
          <w:rtl/>
        </w:rPr>
        <w:t xml:space="preserve"> כי </w:t>
      </w:r>
      <w:r w:rsidRPr="00F41E78">
        <w:rPr>
          <w:rFonts w:eastAsia="Calibri" w:hint="cs"/>
          <w:rtl/>
        </w:rPr>
        <w:t xml:space="preserve">מאחר שהכנסות המדינה יופחתו בעקבות הפעלת המסלול השכרה לטווח ארוך, והדבר ישפיע על תקציב המדינה, היה על </w:t>
      </w:r>
      <w:r w:rsidRPr="00F41E78">
        <w:rPr>
          <w:rFonts w:eastAsia="Calibri"/>
          <w:rtl/>
        </w:rPr>
        <w:t>גופים אלו</w:t>
      </w:r>
      <w:r w:rsidRPr="00F41E78">
        <w:rPr>
          <w:rFonts w:eastAsia="Calibri" w:hint="cs"/>
          <w:rtl/>
        </w:rPr>
        <w:t xml:space="preserve"> </w:t>
      </w:r>
      <w:r w:rsidRPr="00F41E78">
        <w:rPr>
          <w:rFonts w:eastAsia="Calibri"/>
          <w:rtl/>
        </w:rPr>
        <w:t xml:space="preserve">לבצע הערכה שיטתית </w:t>
      </w:r>
      <w:r w:rsidRPr="00F41E78">
        <w:rPr>
          <w:rFonts w:eastAsia="Calibri" w:hint="cs"/>
          <w:rtl/>
        </w:rPr>
        <w:t xml:space="preserve">הנוגעת להפעלת </w:t>
      </w:r>
      <w:r w:rsidRPr="00F41E78">
        <w:rPr>
          <w:rFonts w:eastAsia="Calibri"/>
          <w:rtl/>
        </w:rPr>
        <w:t xml:space="preserve">המסלול, לבחון את </w:t>
      </w:r>
      <w:r w:rsidRPr="00F41E78">
        <w:rPr>
          <w:rFonts w:eastAsia="Calibri" w:hint="cs"/>
          <w:rtl/>
        </w:rPr>
        <w:t xml:space="preserve">השפעותיו הכלכליות, את </w:t>
      </w:r>
      <w:r w:rsidRPr="00F41E78">
        <w:rPr>
          <w:rFonts w:eastAsia="Calibri"/>
          <w:rtl/>
        </w:rPr>
        <w:t>תרומתו</w:t>
      </w:r>
      <w:r w:rsidRPr="00F41E78">
        <w:rPr>
          <w:rFonts w:eastAsia="Calibri" w:hint="cs"/>
          <w:rtl/>
        </w:rPr>
        <w:t xml:space="preserve"> הצפויה לציבור </w:t>
      </w:r>
      <w:r w:rsidRPr="00F41E78">
        <w:rPr>
          <w:rFonts w:eastAsia="Calibri"/>
          <w:rtl/>
        </w:rPr>
        <w:t xml:space="preserve">ואת יתרונותיו על פני חלופות אחרות. מתן הטבות חריגות בהיקפן </w:t>
      </w:r>
      <w:r w:rsidRPr="00F41E78">
        <w:rPr>
          <w:rFonts w:eastAsia="Calibri" w:hint="cs"/>
          <w:rtl/>
        </w:rPr>
        <w:t>שאינו מתבסס על</w:t>
      </w:r>
      <w:r w:rsidRPr="00F41E78">
        <w:rPr>
          <w:rFonts w:eastAsia="Calibri"/>
          <w:rtl/>
        </w:rPr>
        <w:t xml:space="preserve"> הערכה </w:t>
      </w:r>
      <w:r w:rsidRPr="00F41E78">
        <w:rPr>
          <w:rFonts w:eastAsia="Calibri" w:hint="cs"/>
          <w:rtl/>
        </w:rPr>
        <w:t>יסודית ומקיפה</w:t>
      </w:r>
      <w:r w:rsidRPr="00F41E78">
        <w:rPr>
          <w:rFonts w:eastAsia="Calibri"/>
          <w:rtl/>
        </w:rPr>
        <w:t xml:space="preserve"> </w:t>
      </w:r>
      <w:r w:rsidRPr="00F41E78">
        <w:rPr>
          <w:rFonts w:eastAsia="Calibri" w:hint="cs"/>
          <w:rtl/>
        </w:rPr>
        <w:t>הוא</w:t>
      </w:r>
      <w:r w:rsidRPr="00F41E78">
        <w:rPr>
          <w:rFonts w:eastAsia="Calibri"/>
          <w:rtl/>
        </w:rPr>
        <w:t xml:space="preserve"> </w:t>
      </w:r>
      <w:r w:rsidRPr="00F41E78">
        <w:rPr>
          <w:rFonts w:eastAsia="Calibri" w:hint="cs"/>
          <w:rtl/>
        </w:rPr>
        <w:t>בבחינת דרך פעולה</w:t>
      </w:r>
      <w:r w:rsidRPr="00F41E78">
        <w:rPr>
          <w:rFonts w:eastAsia="Calibri"/>
          <w:rtl/>
        </w:rPr>
        <w:t xml:space="preserve"> </w:t>
      </w:r>
      <w:r w:rsidRPr="00F41E78">
        <w:rPr>
          <w:rFonts w:eastAsia="Calibri" w:hint="cs"/>
          <w:rtl/>
        </w:rPr>
        <w:t>שאינה</w:t>
      </w:r>
      <w:r w:rsidRPr="00F41E78">
        <w:rPr>
          <w:rFonts w:eastAsia="Calibri"/>
          <w:rtl/>
        </w:rPr>
        <w:t xml:space="preserve"> </w:t>
      </w:r>
      <w:r w:rsidRPr="00F41E78">
        <w:rPr>
          <w:rFonts w:eastAsia="Calibri" w:hint="cs"/>
          <w:rtl/>
        </w:rPr>
        <w:t>זהירה העלולה לפגוע</w:t>
      </w:r>
      <w:r w:rsidRPr="00F41E78">
        <w:rPr>
          <w:rFonts w:eastAsia="Calibri"/>
          <w:rtl/>
        </w:rPr>
        <w:t xml:space="preserve"> באינטרס הציבורי</w:t>
      </w:r>
      <w:r w:rsidR="00FF1578">
        <w:rPr>
          <w:rFonts w:eastAsia="Calibri" w:hint="cs"/>
          <w:rtl/>
        </w:rPr>
        <w:t xml:space="preserve"> הכולל</w:t>
      </w:r>
      <w:r w:rsidRPr="00F41E78">
        <w:rPr>
          <w:rFonts w:eastAsia="Calibri"/>
          <w:rtl/>
        </w:rPr>
        <w:t>.</w:t>
      </w:r>
    </w:p>
    <w:p w:rsidR="00E97EDA" w:rsidRPr="00F41E78" w:rsidP="00A7557B">
      <w:pPr>
        <w:spacing w:after="120" w:line="230" w:lineRule="exact"/>
        <w:jc w:val="both"/>
        <w:rPr>
          <w:rFonts w:eastAsia="Calibri" w:cs="FrankRuehl"/>
          <w:sz w:val="18"/>
          <w:szCs w:val="22"/>
          <w:rtl/>
          <w:lang w:eastAsia="he-IL"/>
        </w:rPr>
      </w:pPr>
    </w:p>
    <w:p w:rsidR="00E97EDA" w:rsidRPr="00FA1F2C" w:rsidP="00A7557B">
      <w:pPr>
        <w:pStyle w:val="KOT6"/>
        <w:rPr>
          <w:rFonts w:eastAsia="Calibri"/>
          <w:rtl/>
          <w:lang w:eastAsia="he-IL"/>
        </w:rPr>
      </w:pPr>
      <w:r w:rsidRPr="00FA1F2C">
        <w:rPr>
          <w:rFonts w:eastAsia="Calibri"/>
          <w:rtl/>
          <w:lang w:eastAsia="he-IL"/>
        </w:rPr>
        <w:t>דוגמ</w:t>
      </w:r>
      <w:r w:rsidRPr="00FA1F2C">
        <w:rPr>
          <w:rFonts w:eastAsia="Calibri" w:hint="cs"/>
          <w:rtl/>
          <w:lang w:eastAsia="he-IL"/>
        </w:rPr>
        <w:t>אות</w:t>
      </w:r>
      <w:r w:rsidRPr="00FA1F2C">
        <w:rPr>
          <w:rFonts w:eastAsia="Calibri"/>
          <w:rtl/>
          <w:lang w:eastAsia="he-IL"/>
        </w:rPr>
        <w:t xml:space="preserve"> לשיווק קרקע לבניית דירות להשכרה במסלול א</w:t>
      </w:r>
    </w:p>
    <w:p w:rsidR="00E97EDA" w:rsidRPr="00F41E78" w:rsidP="00F07DDA">
      <w:pPr>
        <w:spacing w:after="240" w:line="230" w:lineRule="exact"/>
        <w:jc w:val="both"/>
        <w:rPr>
          <w:rFonts w:eastAsia="Calibri" w:cs="FrankRuehl"/>
          <w:sz w:val="18"/>
          <w:szCs w:val="22"/>
          <w:rtl/>
          <w:lang w:eastAsia="he-IL"/>
        </w:rPr>
      </w:pPr>
      <w:r w:rsidRPr="00F41E78">
        <w:rPr>
          <w:rFonts w:cs="FrankRuehl"/>
          <w:bCs/>
          <w:spacing w:val="40"/>
          <w:sz w:val="18"/>
          <w:szCs w:val="22"/>
          <w:rtl/>
        </w:rPr>
        <w:t>עסקה לשיווק קרקע להשכרה בכפר סבא:</w:t>
      </w:r>
      <w:r w:rsidRPr="00F41E78">
        <w:rPr>
          <w:rFonts w:eastAsia="Calibri" w:cs="FrankRuehl"/>
          <w:sz w:val="18"/>
          <w:szCs w:val="22"/>
          <w:rtl/>
          <w:lang w:eastAsia="he-IL"/>
        </w:rPr>
        <w:t xml:space="preserve"> ב</w:t>
      </w:r>
      <w:r w:rsidRPr="00F41E78">
        <w:rPr>
          <w:rFonts w:eastAsia="Calibri" w:cs="FrankRuehl" w:hint="cs"/>
          <w:sz w:val="18"/>
          <w:szCs w:val="22"/>
          <w:rtl/>
          <w:lang w:eastAsia="he-IL"/>
        </w:rPr>
        <w:t xml:space="preserve">אוגוסט 2012 </w:t>
      </w:r>
      <w:r w:rsidRPr="00F41E78">
        <w:rPr>
          <w:rFonts w:eastAsia="Calibri" w:cs="FrankRuehl"/>
          <w:sz w:val="18"/>
          <w:szCs w:val="22"/>
          <w:rtl/>
          <w:lang w:eastAsia="he-IL"/>
        </w:rPr>
        <w:t xml:space="preserve">פרסמו משרד הבינוי ורמ"י מכרז לשיווק קרקע בכפר סבא למגורים </w:t>
      </w:r>
      <w:r w:rsidRPr="00F41E78">
        <w:rPr>
          <w:rFonts w:eastAsia="Calibri" w:cs="FrankRuehl" w:hint="cs"/>
          <w:sz w:val="18"/>
          <w:szCs w:val="22"/>
          <w:rtl/>
          <w:lang w:eastAsia="he-IL"/>
        </w:rPr>
        <w:t>ב</w:t>
      </w:r>
      <w:r w:rsidRPr="00F41E78">
        <w:rPr>
          <w:rFonts w:eastAsia="Calibri" w:cs="FrankRuehl"/>
          <w:sz w:val="18"/>
          <w:szCs w:val="22"/>
          <w:rtl/>
          <w:lang w:eastAsia="he-IL"/>
        </w:rPr>
        <w:t xml:space="preserve">השכרה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לפי מסלול א. מדובר במסלול </w:t>
      </w:r>
      <w:r w:rsidRPr="00F41E78">
        <w:rPr>
          <w:rFonts w:eastAsia="Calibri" w:cs="FrankRuehl" w:hint="cs"/>
          <w:sz w:val="18"/>
          <w:szCs w:val="22"/>
          <w:rtl/>
          <w:lang w:eastAsia="he-IL"/>
        </w:rPr>
        <w:t xml:space="preserve">משולב למכירה ולהשכרה של יח"ד - </w:t>
      </w:r>
      <w:r w:rsidRPr="00F41E78">
        <w:rPr>
          <w:rFonts w:eastAsia="Calibri" w:cs="FrankRuehl"/>
          <w:sz w:val="18"/>
          <w:szCs w:val="22"/>
          <w:rtl/>
          <w:lang w:eastAsia="he-IL"/>
        </w:rPr>
        <w:t>9 יח"ד</w:t>
      </w:r>
      <w:r w:rsidRPr="00F41E78">
        <w:rPr>
          <w:rFonts w:eastAsia="Calibri" w:cs="FrankRuehl" w:hint="cs"/>
          <w:sz w:val="18"/>
          <w:szCs w:val="22"/>
          <w:rtl/>
          <w:lang w:eastAsia="he-IL"/>
        </w:rPr>
        <w:t xml:space="preserve"> יימכרו</w:t>
      </w:r>
      <w:r w:rsidRPr="00F41E78">
        <w:rPr>
          <w:rFonts w:eastAsia="Calibri" w:cs="FrankRuehl"/>
          <w:sz w:val="18"/>
          <w:szCs w:val="22"/>
          <w:rtl/>
          <w:lang w:eastAsia="he-IL"/>
        </w:rPr>
        <w:t xml:space="preserve"> </w:t>
      </w:r>
      <w:r w:rsidRPr="00F41E78">
        <w:rPr>
          <w:rFonts w:eastAsia="Calibri" w:cs="FrankRuehl" w:hint="cs"/>
          <w:sz w:val="18"/>
          <w:szCs w:val="22"/>
          <w:rtl/>
          <w:lang w:eastAsia="he-IL"/>
        </w:rPr>
        <w:t>ו-15 הנותרות יושכרו לטווח ארוך</w:t>
      </w:r>
      <w:r w:rsidRPr="00F41E78">
        <w:rPr>
          <w:rFonts w:eastAsia="Calibri" w:cs="FrankRuehl"/>
          <w:sz w:val="18"/>
          <w:szCs w:val="22"/>
          <w:rtl/>
          <w:lang w:eastAsia="he-IL"/>
        </w:rPr>
        <w:t xml:space="preserve"> </w:t>
      </w:r>
      <w:r w:rsidRPr="00F41E78">
        <w:rPr>
          <w:rFonts w:eastAsia="Calibri" w:cs="FrankRuehl" w:hint="cs"/>
          <w:sz w:val="18"/>
          <w:szCs w:val="22"/>
          <w:rtl/>
          <w:lang w:eastAsia="he-IL"/>
        </w:rPr>
        <w:t>כאשר</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10 מהן יושכרו </w:t>
      </w:r>
      <w:r w:rsidRPr="00F41E78">
        <w:rPr>
          <w:rFonts w:eastAsia="Calibri" w:cs="FrankRuehl"/>
          <w:sz w:val="18"/>
          <w:szCs w:val="22"/>
          <w:rtl/>
          <w:lang w:eastAsia="he-IL"/>
        </w:rPr>
        <w:t xml:space="preserve">במחיר מוזל ומפוקח </w:t>
      </w:r>
      <w:r w:rsidRPr="00F41E78">
        <w:rPr>
          <w:rFonts w:eastAsia="Calibri" w:cs="FrankRuehl" w:hint="cs"/>
          <w:sz w:val="18"/>
          <w:szCs w:val="22"/>
          <w:rtl/>
          <w:lang w:eastAsia="he-IL"/>
        </w:rPr>
        <w:t xml:space="preserve">ו-5 </w:t>
      </w:r>
      <w:r w:rsidRPr="00F41E78">
        <w:rPr>
          <w:rFonts w:eastAsia="Calibri" w:cs="FrankRuehl"/>
          <w:sz w:val="18"/>
          <w:szCs w:val="22"/>
          <w:rtl/>
          <w:lang w:eastAsia="he-IL"/>
        </w:rPr>
        <w:t xml:space="preserve">במחירי שוק. </w:t>
      </w:r>
    </w:p>
    <w:p w:rsidR="00D22B16" w:rsidRPr="00F41E78" w:rsidP="00D22B16">
      <w:pPr>
        <w:pStyle w:val="RESHET"/>
        <w:keepLines/>
        <w:rPr>
          <w:rFonts w:eastAsia="Calibri"/>
          <w:rtl/>
        </w:rPr>
      </w:pPr>
      <w:r w:rsidRPr="00F41E78">
        <w:rPr>
          <w:rFonts w:eastAsia="Calibri"/>
          <w:rtl/>
        </w:rPr>
        <w:t xml:space="preserve">בהיעדר תחשיב כלכלי וקביעת תנאים לקיומו היו תוצאות המכרז בלתי סבירות </w:t>
      </w:r>
      <w:r w:rsidRPr="00F41E78">
        <w:rPr>
          <w:rFonts w:eastAsia="Calibri" w:hint="cs"/>
          <w:rtl/>
        </w:rPr>
        <w:t>והעידו</w:t>
      </w:r>
      <w:r w:rsidRPr="00F41E78">
        <w:rPr>
          <w:rFonts w:eastAsia="Calibri"/>
          <w:rtl/>
        </w:rPr>
        <w:t xml:space="preserve"> על חוסר כדאיות כלכלית</w:t>
      </w:r>
      <w:r w:rsidRPr="00F41E78">
        <w:rPr>
          <w:rFonts w:eastAsia="Calibri" w:hint="cs"/>
          <w:rtl/>
        </w:rPr>
        <w:t>.</w:t>
      </w:r>
      <w:r w:rsidRPr="00F41E78">
        <w:rPr>
          <w:rFonts w:eastAsia="Calibri"/>
          <w:rtl/>
        </w:rPr>
        <w:t xml:space="preserve"> </w:t>
      </w:r>
    </w:p>
    <w:p w:rsidR="00D22B16" w:rsidRPr="00F41E78" w:rsidP="00D22B16">
      <w:pPr>
        <w:pStyle w:val="RESHET"/>
        <w:keepLines/>
        <w:rPr>
          <w:rFonts w:eastAsia="Calibri"/>
          <w:rtl/>
        </w:rPr>
      </w:pPr>
      <w:r w:rsidRPr="00F41E78">
        <w:rPr>
          <w:rFonts w:eastAsia="Calibri"/>
          <w:rtl/>
        </w:rPr>
        <w:t xml:space="preserve">במכרז </w:t>
      </w:r>
      <w:r w:rsidRPr="00F41E78">
        <w:rPr>
          <w:rFonts w:eastAsia="Calibri" w:hint="cs"/>
          <w:rtl/>
        </w:rPr>
        <w:t>זכה</w:t>
      </w:r>
      <w:r w:rsidRPr="00F41E78">
        <w:rPr>
          <w:rFonts w:eastAsia="Calibri"/>
          <w:rtl/>
        </w:rPr>
        <w:t xml:space="preserve"> יזם </w:t>
      </w:r>
      <w:r w:rsidRPr="00F41E78">
        <w:rPr>
          <w:rFonts w:eastAsia="Calibri" w:hint="cs"/>
          <w:rtl/>
        </w:rPr>
        <w:t>ש</w:t>
      </w:r>
      <w:r w:rsidRPr="00F41E78">
        <w:rPr>
          <w:rFonts w:eastAsia="Calibri"/>
          <w:rtl/>
        </w:rPr>
        <w:t xml:space="preserve">על פי הצעתו שכר הדירה החודשי עבור כל אחת </w:t>
      </w:r>
      <w:r w:rsidRPr="00F41E78">
        <w:rPr>
          <w:rFonts w:eastAsia="Calibri" w:hint="cs"/>
          <w:rtl/>
        </w:rPr>
        <w:t>מ-10</w:t>
      </w:r>
      <w:r w:rsidRPr="00F41E78">
        <w:rPr>
          <w:rFonts w:eastAsia="Calibri"/>
          <w:rtl/>
        </w:rPr>
        <w:t xml:space="preserve"> </w:t>
      </w:r>
      <w:r w:rsidRPr="00F41E78">
        <w:rPr>
          <w:rFonts w:eastAsia="Calibri" w:hint="cs"/>
          <w:rtl/>
        </w:rPr>
        <w:t>יחידות הדיור</w:t>
      </w:r>
      <w:r w:rsidRPr="00F41E78">
        <w:rPr>
          <w:rFonts w:eastAsia="Calibri"/>
          <w:rtl/>
        </w:rPr>
        <w:t xml:space="preserve"> שיושכרו במחיר מוזל ומפוקח יהיה 0.1 </w:t>
      </w:r>
      <w:r w:rsidRPr="00F41E78">
        <w:rPr>
          <w:rFonts w:eastAsia="Calibri" w:hint="cs"/>
          <w:rtl/>
        </w:rPr>
        <w:t>ש</w:t>
      </w:r>
      <w:r w:rsidRPr="00F41E78">
        <w:rPr>
          <w:rFonts w:eastAsia="Calibri"/>
          <w:rtl/>
        </w:rPr>
        <w:t>"ח למ"ר</w:t>
      </w:r>
      <w:r w:rsidRPr="00F41E78">
        <w:rPr>
          <w:rFonts w:eastAsia="Calibri" w:hint="cs"/>
          <w:rtl/>
        </w:rPr>
        <w:t xml:space="preserve"> </w:t>
      </w:r>
      <w:r w:rsidRPr="00F41E78">
        <w:rPr>
          <w:rFonts w:eastAsia="Calibri"/>
          <w:rtl/>
        </w:rPr>
        <w:t>לחודש</w:t>
      </w:r>
      <w:r w:rsidRPr="00F41E78">
        <w:rPr>
          <w:rFonts w:eastAsia="Calibri" w:hint="cs"/>
          <w:rtl/>
        </w:rPr>
        <w:t xml:space="preserve"> </w:t>
      </w:r>
      <w:r w:rsidRPr="00F41E78">
        <w:rPr>
          <w:rFonts w:eastAsia="Calibri"/>
          <w:rtl/>
        </w:rPr>
        <w:t xml:space="preserve">(10 </w:t>
      </w:r>
      <w:r w:rsidRPr="00F41E78">
        <w:rPr>
          <w:rFonts w:eastAsia="Calibri" w:hint="cs"/>
          <w:rtl/>
        </w:rPr>
        <w:t>אג'</w:t>
      </w:r>
      <w:r w:rsidRPr="00F41E78">
        <w:rPr>
          <w:rFonts w:eastAsia="Calibri"/>
          <w:rtl/>
        </w:rPr>
        <w:t xml:space="preserve">) כולל דמי </w:t>
      </w:r>
      <w:r w:rsidRPr="00F41E78">
        <w:rPr>
          <w:rFonts w:eastAsia="Calibri" w:hint="cs"/>
          <w:rtl/>
        </w:rPr>
        <w:t>ת</w:t>
      </w:r>
      <w:r w:rsidRPr="00F41E78">
        <w:rPr>
          <w:rFonts w:eastAsia="Calibri"/>
          <w:rtl/>
        </w:rPr>
        <w:t>חז</w:t>
      </w:r>
      <w:r w:rsidRPr="00F41E78">
        <w:rPr>
          <w:rFonts w:eastAsia="Calibri" w:hint="cs"/>
          <w:rtl/>
        </w:rPr>
        <w:t>ו</w:t>
      </w:r>
      <w:r w:rsidRPr="00F41E78">
        <w:rPr>
          <w:rFonts w:eastAsia="Calibri"/>
          <w:rtl/>
        </w:rPr>
        <w:t xml:space="preserve">קה חודשיים. כלומר, עבור דירה בשטח של כ-100 מ"ר ישלמו הזכאים </w:t>
      </w:r>
      <w:r w:rsidRPr="00F41E78">
        <w:rPr>
          <w:rFonts w:eastAsia="Calibri" w:hint="cs"/>
          <w:rtl/>
        </w:rPr>
        <w:t>שכר</w:t>
      </w:r>
      <w:r w:rsidRPr="00F41E78">
        <w:rPr>
          <w:rFonts w:eastAsia="Calibri"/>
          <w:rtl/>
        </w:rPr>
        <w:t xml:space="preserve"> </w:t>
      </w:r>
      <w:r w:rsidRPr="00F41E78">
        <w:rPr>
          <w:rFonts w:eastAsia="Calibri" w:hint="cs"/>
          <w:rtl/>
        </w:rPr>
        <w:t>דירה</w:t>
      </w:r>
      <w:r w:rsidRPr="00F41E78">
        <w:rPr>
          <w:rFonts w:eastAsia="Calibri"/>
          <w:rtl/>
        </w:rPr>
        <w:t xml:space="preserve"> חודשי של 10 </w:t>
      </w:r>
      <w:r w:rsidRPr="00F41E78">
        <w:rPr>
          <w:rFonts w:eastAsia="Calibri" w:hint="cs"/>
          <w:rtl/>
        </w:rPr>
        <w:t>ש</w:t>
      </w:r>
      <w:r w:rsidRPr="00F41E78">
        <w:rPr>
          <w:rFonts w:eastAsia="Calibri"/>
          <w:rtl/>
        </w:rPr>
        <w:t xml:space="preserve">"ח כולל </w:t>
      </w:r>
      <w:r w:rsidRPr="00F41E78">
        <w:rPr>
          <w:rFonts w:eastAsia="Calibri" w:hint="cs"/>
          <w:rtl/>
        </w:rPr>
        <w:t>ת</w:t>
      </w:r>
      <w:r w:rsidRPr="00F41E78">
        <w:rPr>
          <w:rFonts w:eastAsia="Calibri"/>
          <w:rtl/>
        </w:rPr>
        <w:t>חז</w:t>
      </w:r>
      <w:r w:rsidRPr="00F41E78">
        <w:rPr>
          <w:rFonts w:eastAsia="Calibri" w:hint="cs"/>
          <w:rtl/>
        </w:rPr>
        <w:t>ו</w:t>
      </w:r>
      <w:r w:rsidRPr="00F41E78">
        <w:rPr>
          <w:rFonts w:eastAsia="Calibri"/>
          <w:rtl/>
        </w:rPr>
        <w:t xml:space="preserve">קה. מדובר במחיר </w:t>
      </w:r>
      <w:r w:rsidRPr="00F41E78">
        <w:rPr>
          <w:rFonts w:eastAsia="Calibri" w:hint="cs"/>
          <w:rtl/>
        </w:rPr>
        <w:t>ה</w:t>
      </w:r>
      <w:r w:rsidRPr="00F41E78">
        <w:rPr>
          <w:rFonts w:eastAsia="Calibri"/>
          <w:rtl/>
        </w:rPr>
        <w:t xml:space="preserve">מוזל באופן קיצוני </w:t>
      </w:r>
      <w:r w:rsidRPr="00F41E78">
        <w:rPr>
          <w:rFonts w:eastAsia="Calibri" w:hint="cs"/>
          <w:rtl/>
        </w:rPr>
        <w:t>ואינו</w:t>
      </w:r>
      <w:r w:rsidRPr="00F41E78">
        <w:rPr>
          <w:rFonts w:eastAsia="Calibri"/>
          <w:rtl/>
        </w:rPr>
        <w:t xml:space="preserve"> סביר</w:t>
      </w:r>
      <w:r w:rsidRPr="00F41E78">
        <w:rPr>
          <w:rFonts w:eastAsia="Calibri" w:hint="cs"/>
          <w:rtl/>
        </w:rPr>
        <w:t xml:space="preserve"> בעליל</w:t>
      </w:r>
      <w:r w:rsidRPr="00F41E78">
        <w:rPr>
          <w:rFonts w:eastAsia="Calibri"/>
          <w:rtl/>
        </w:rPr>
        <w:t>.</w:t>
      </w:r>
    </w:p>
    <w:p w:rsidR="00E97EDA" w:rsidRPr="00F41E78" w:rsidP="00F07DDA">
      <w:pPr>
        <w:spacing w:before="180" w:after="240" w:line="230" w:lineRule="exact"/>
        <w:jc w:val="both"/>
        <w:rPr>
          <w:rFonts w:eastAsia="Calibri" w:cs="FrankRuehl"/>
          <w:sz w:val="18"/>
          <w:szCs w:val="22"/>
          <w:rtl/>
          <w:lang w:eastAsia="he-IL"/>
        </w:rPr>
      </w:pPr>
      <w:r w:rsidRPr="00F41E78">
        <w:rPr>
          <w:rFonts w:eastAsia="Calibri" w:cs="FrankRuehl" w:hint="cs"/>
          <w:sz w:val="18"/>
          <w:szCs w:val="22"/>
          <w:rtl/>
          <w:lang w:eastAsia="he-IL"/>
        </w:rPr>
        <w:t>ב</w:t>
      </w:r>
      <w:r w:rsidRPr="00F41E78">
        <w:rPr>
          <w:rFonts w:eastAsia="Calibri" w:cs="FrankRuehl"/>
          <w:sz w:val="18"/>
          <w:szCs w:val="22"/>
          <w:rtl/>
          <w:lang w:eastAsia="he-IL"/>
        </w:rPr>
        <w:t xml:space="preserve">ביקורת </w:t>
      </w:r>
      <w:r w:rsidRPr="00F41E78">
        <w:rPr>
          <w:rFonts w:eastAsia="Calibri" w:cs="FrankRuehl" w:hint="cs"/>
          <w:sz w:val="18"/>
          <w:szCs w:val="22"/>
          <w:rtl/>
          <w:lang w:eastAsia="he-IL"/>
        </w:rPr>
        <w:t>הועלה</w:t>
      </w:r>
      <w:r w:rsidRPr="00F41E78">
        <w:rPr>
          <w:rFonts w:eastAsia="Calibri" w:cs="FrankRuehl"/>
          <w:sz w:val="18"/>
          <w:szCs w:val="22"/>
          <w:rtl/>
          <w:lang w:eastAsia="he-IL"/>
        </w:rPr>
        <w:t xml:space="preserve"> כי הדבר התאפשר </w:t>
      </w:r>
      <w:r w:rsidRPr="00F41E78">
        <w:rPr>
          <w:rFonts w:eastAsia="Calibri" w:cs="FrankRuehl" w:hint="cs"/>
          <w:sz w:val="18"/>
          <w:szCs w:val="22"/>
          <w:rtl/>
          <w:lang w:eastAsia="he-IL"/>
        </w:rPr>
        <w:t>בגלל</w:t>
      </w:r>
      <w:r w:rsidRPr="00F41E78">
        <w:rPr>
          <w:rFonts w:eastAsia="Calibri" w:cs="FrankRuehl"/>
          <w:sz w:val="18"/>
          <w:szCs w:val="22"/>
          <w:rtl/>
          <w:lang w:eastAsia="he-IL"/>
        </w:rPr>
        <w:t xml:space="preserve"> מתכונת המכרז </w:t>
      </w:r>
      <w:r w:rsidRPr="00F41E78">
        <w:rPr>
          <w:rFonts w:eastAsia="Calibri" w:cs="FrankRuehl" w:hint="cs"/>
          <w:sz w:val="18"/>
          <w:szCs w:val="22"/>
          <w:rtl/>
          <w:lang w:eastAsia="he-IL"/>
        </w:rPr>
        <w:t>שהכין</w:t>
      </w:r>
      <w:r w:rsidRPr="00F41E78">
        <w:rPr>
          <w:rFonts w:eastAsia="Calibri" w:cs="FrankRuehl"/>
          <w:sz w:val="18"/>
          <w:szCs w:val="22"/>
          <w:rtl/>
          <w:lang w:eastAsia="he-IL"/>
        </w:rPr>
        <w:t xml:space="preserve"> משרד הבינוי</w:t>
      </w:r>
      <w:r w:rsidRPr="00F41E78">
        <w:rPr>
          <w:rFonts w:eastAsia="Calibri" w:cs="FrankRuehl" w:hint="cs"/>
          <w:sz w:val="18"/>
          <w:szCs w:val="22"/>
          <w:rtl/>
          <w:lang w:eastAsia="he-IL"/>
        </w:rPr>
        <w:t>.</w:t>
      </w:r>
      <w:r w:rsidRPr="00F41E78">
        <w:rPr>
          <w:rFonts w:eastAsia="Calibri" w:cs="FrankRuehl"/>
          <w:sz w:val="18"/>
          <w:szCs w:val="22"/>
          <w:rtl/>
          <w:lang w:eastAsia="he-IL"/>
        </w:rPr>
        <w:t xml:space="preserve"> לפי מתכונת זו המכירה המידית של </w:t>
      </w:r>
      <w:r w:rsidRPr="00F41E78">
        <w:rPr>
          <w:rFonts w:eastAsia="Calibri" w:cs="FrankRuehl" w:hint="cs"/>
          <w:sz w:val="18"/>
          <w:szCs w:val="22"/>
          <w:rtl/>
          <w:lang w:eastAsia="he-IL"/>
        </w:rPr>
        <w:t>9 יח"ד</w:t>
      </w:r>
      <w:r w:rsidRPr="00F41E78">
        <w:rPr>
          <w:rFonts w:eastAsia="Calibri" w:cs="FrankRuehl"/>
          <w:sz w:val="18"/>
          <w:szCs w:val="22"/>
          <w:rtl/>
          <w:lang w:eastAsia="he-IL"/>
        </w:rPr>
        <w:t xml:space="preserve"> בפרויקט </w:t>
      </w:r>
      <w:r w:rsidRPr="00F41E78">
        <w:rPr>
          <w:rFonts w:eastAsia="Calibri" w:cs="FrankRuehl" w:hint="cs"/>
          <w:sz w:val="18"/>
          <w:szCs w:val="22"/>
          <w:rtl/>
          <w:lang w:eastAsia="he-IL"/>
        </w:rPr>
        <w:t>ו</w:t>
      </w:r>
      <w:r w:rsidRPr="00F41E78">
        <w:rPr>
          <w:rFonts w:eastAsia="Calibri" w:cs="FrankRuehl"/>
          <w:sz w:val="18"/>
          <w:szCs w:val="22"/>
          <w:rtl/>
          <w:lang w:eastAsia="he-IL"/>
        </w:rPr>
        <w:t xml:space="preserve">המכירה העתידית, לאחר </w:t>
      </w:r>
      <w:r w:rsidRPr="00F41E78">
        <w:rPr>
          <w:rFonts w:eastAsia="Calibri" w:cs="FrankRuehl" w:hint="cs"/>
          <w:sz w:val="18"/>
          <w:szCs w:val="22"/>
          <w:rtl/>
          <w:lang w:eastAsia="he-IL"/>
        </w:rPr>
        <w:t>עשר</w:t>
      </w:r>
      <w:r w:rsidRPr="00F41E78">
        <w:rPr>
          <w:rFonts w:eastAsia="Calibri" w:cs="FrankRuehl"/>
          <w:sz w:val="18"/>
          <w:szCs w:val="22"/>
          <w:rtl/>
          <w:lang w:eastAsia="he-IL"/>
        </w:rPr>
        <w:t xml:space="preserve"> שנות השכרה, של 15 </w:t>
      </w:r>
      <w:r w:rsidRPr="00F41E78">
        <w:rPr>
          <w:rFonts w:eastAsia="Calibri" w:cs="FrankRuehl" w:hint="cs"/>
          <w:sz w:val="18"/>
          <w:szCs w:val="22"/>
          <w:rtl/>
          <w:lang w:eastAsia="he-IL"/>
        </w:rPr>
        <w:t>יחידות הדיור הנותרות</w:t>
      </w:r>
      <w:r w:rsidRPr="00F41E78">
        <w:rPr>
          <w:rFonts w:eastAsia="Calibri" w:cs="FrankRuehl"/>
          <w:sz w:val="18"/>
          <w:szCs w:val="22"/>
          <w:rtl/>
          <w:lang w:eastAsia="he-IL"/>
        </w:rPr>
        <w:t xml:space="preserve"> יאפשרו הוזלה למינימום של שכר הדירה עבור </w:t>
      </w:r>
      <w:r w:rsidRPr="00F41E78">
        <w:rPr>
          <w:rFonts w:eastAsia="Calibri" w:cs="FrankRuehl" w:hint="cs"/>
          <w:sz w:val="18"/>
          <w:szCs w:val="22"/>
          <w:rtl/>
          <w:lang w:eastAsia="he-IL"/>
        </w:rPr>
        <w:t>עשר</w:t>
      </w:r>
      <w:r w:rsidRPr="00F41E78">
        <w:rPr>
          <w:rFonts w:eastAsia="Calibri" w:cs="FrankRuehl"/>
          <w:sz w:val="18"/>
          <w:szCs w:val="22"/>
          <w:rtl/>
          <w:lang w:eastAsia="he-IL"/>
        </w:rPr>
        <w:t xml:space="preserve"> הדירות שיושכרו במחיר מוזל ומפוקח. </w:t>
      </w:r>
    </w:p>
    <w:p w:rsidR="00D22B16" w:rsidRPr="00F41E78" w:rsidP="00D22B16">
      <w:pPr>
        <w:pStyle w:val="RESHET"/>
        <w:keepLines/>
        <w:rPr>
          <w:rFonts w:eastAsia="Calibri"/>
          <w:rtl/>
        </w:rPr>
      </w:pPr>
      <w:r w:rsidRPr="00F41E78">
        <w:rPr>
          <w:rFonts w:eastAsia="Calibri"/>
          <w:rtl/>
        </w:rPr>
        <w:t>לדעת משרד מבקר המדינה</w:t>
      </w:r>
      <w:r w:rsidRPr="00F41E78">
        <w:rPr>
          <w:rFonts w:eastAsia="Calibri" w:hint="cs"/>
          <w:rtl/>
        </w:rPr>
        <w:t>,</w:t>
      </w:r>
      <w:r w:rsidRPr="00F41E78">
        <w:rPr>
          <w:rFonts w:eastAsia="Calibri"/>
          <w:rtl/>
        </w:rPr>
        <w:t xml:space="preserve"> תוצאות המכרז </w:t>
      </w:r>
      <w:r w:rsidRPr="00F41E78">
        <w:rPr>
          <w:rFonts w:eastAsia="Calibri" w:hint="cs"/>
          <w:rtl/>
        </w:rPr>
        <w:t>הזה</w:t>
      </w:r>
      <w:r w:rsidRPr="00F41E78">
        <w:rPr>
          <w:rFonts w:eastAsia="Calibri"/>
          <w:rtl/>
        </w:rPr>
        <w:t xml:space="preserve"> בכפר סבא </w:t>
      </w:r>
      <w:r w:rsidRPr="00F41E78">
        <w:rPr>
          <w:rFonts w:eastAsia="Calibri" w:hint="cs"/>
          <w:rtl/>
        </w:rPr>
        <w:t xml:space="preserve">מעידות כי תפוקת </w:t>
      </w:r>
      <w:r w:rsidRPr="00F41E78">
        <w:rPr>
          <w:rFonts w:eastAsia="Calibri"/>
          <w:rtl/>
        </w:rPr>
        <w:t>הפרויקט</w:t>
      </w:r>
      <w:r w:rsidRPr="00F41E78">
        <w:rPr>
          <w:rFonts w:eastAsia="Calibri" w:hint="cs"/>
          <w:rtl/>
        </w:rPr>
        <w:t xml:space="preserve"> (10 יח"ד בלבד להשכרה לטווח ארוך במסגרת הדיור בר ההשגה) הייתה דלה במיוחד</w:t>
      </w:r>
      <w:r w:rsidRPr="00F41E78">
        <w:rPr>
          <w:rFonts w:eastAsia="Calibri"/>
          <w:rtl/>
        </w:rPr>
        <w:t xml:space="preserve"> </w:t>
      </w:r>
      <w:r w:rsidRPr="00F41E78">
        <w:rPr>
          <w:rFonts w:eastAsia="Calibri" w:hint="cs"/>
          <w:rtl/>
        </w:rPr>
        <w:t>יחסית</w:t>
      </w:r>
      <w:r w:rsidRPr="00F41E78">
        <w:rPr>
          <w:rFonts w:eastAsia="Calibri"/>
          <w:rtl/>
        </w:rPr>
        <w:t xml:space="preserve"> </w:t>
      </w:r>
      <w:r w:rsidRPr="00F41E78">
        <w:rPr>
          <w:rFonts w:eastAsia="Calibri" w:hint="cs"/>
          <w:rtl/>
        </w:rPr>
        <w:t>ל</w:t>
      </w:r>
      <w:r w:rsidRPr="00F41E78">
        <w:rPr>
          <w:rFonts w:eastAsia="Calibri"/>
          <w:rtl/>
        </w:rPr>
        <w:t xml:space="preserve">סבסוד שהעניקה לו המדינה </w:t>
      </w:r>
      <w:r w:rsidRPr="00F41E78">
        <w:rPr>
          <w:rFonts w:eastAsia="Calibri" w:hint="cs"/>
          <w:rtl/>
        </w:rPr>
        <w:t>(</w:t>
      </w:r>
      <w:r w:rsidRPr="00F41E78">
        <w:rPr>
          <w:rFonts w:eastAsia="Calibri"/>
          <w:rtl/>
        </w:rPr>
        <w:t>כ</w:t>
      </w:r>
      <w:r w:rsidRPr="00F41E78">
        <w:rPr>
          <w:rFonts w:eastAsia="Calibri" w:hint="cs"/>
          <w:rtl/>
        </w:rPr>
        <w:t>-</w:t>
      </w:r>
      <w:r w:rsidRPr="00F41E78">
        <w:rPr>
          <w:rFonts w:eastAsia="Calibri"/>
          <w:rtl/>
        </w:rPr>
        <w:t>10.2 מ</w:t>
      </w:r>
      <w:r w:rsidRPr="00F41E78">
        <w:rPr>
          <w:rFonts w:eastAsia="Calibri" w:hint="cs"/>
          <w:rtl/>
        </w:rPr>
        <w:t xml:space="preserve">יליון </w:t>
      </w:r>
      <w:r w:rsidRPr="00F41E78">
        <w:rPr>
          <w:rFonts w:eastAsia="Calibri"/>
          <w:rtl/>
        </w:rPr>
        <w:t>ש"ח</w:t>
      </w:r>
      <w:r w:rsidRPr="00F41E78">
        <w:rPr>
          <w:rFonts w:eastAsia="Calibri" w:hint="cs"/>
          <w:rtl/>
        </w:rPr>
        <w:t>)</w:t>
      </w:r>
      <w:r>
        <w:rPr>
          <w:rFonts w:eastAsia="Calibri"/>
          <w:vertAlign w:val="superscript"/>
          <w:rtl/>
        </w:rPr>
        <w:footnoteReference w:id="308"/>
      </w:r>
      <w:r w:rsidRPr="00F41E78">
        <w:rPr>
          <w:rFonts w:eastAsia="Calibri"/>
          <w:rtl/>
        </w:rPr>
        <w:t xml:space="preserve">. מדובר בהטבה חריגה ביותר של מגורי חינם </w:t>
      </w:r>
      <w:r w:rsidRPr="00F41E78">
        <w:rPr>
          <w:rFonts w:eastAsia="Calibri" w:hint="cs"/>
          <w:rtl/>
        </w:rPr>
        <w:t>שרק</w:t>
      </w:r>
      <w:r w:rsidRPr="00F41E78">
        <w:rPr>
          <w:rFonts w:eastAsia="Calibri"/>
          <w:rtl/>
        </w:rPr>
        <w:t xml:space="preserve"> מתי מעט</w:t>
      </w:r>
      <w:r w:rsidRPr="00F41E78">
        <w:rPr>
          <w:rFonts w:eastAsia="Calibri" w:hint="cs"/>
          <w:rtl/>
        </w:rPr>
        <w:t xml:space="preserve"> ייהנו ממנו,</w:t>
      </w:r>
      <w:r w:rsidRPr="00F41E78">
        <w:rPr>
          <w:rFonts w:eastAsia="Calibri"/>
          <w:rtl/>
        </w:rPr>
        <w:t xml:space="preserve"> </w:t>
      </w:r>
      <w:r w:rsidRPr="00F41E78">
        <w:rPr>
          <w:rFonts w:eastAsia="Calibri" w:hint="cs"/>
          <w:rtl/>
        </w:rPr>
        <w:t>כעשרה</w:t>
      </w:r>
      <w:r w:rsidRPr="00F41E78">
        <w:rPr>
          <w:rFonts w:eastAsia="Calibri"/>
          <w:rtl/>
        </w:rPr>
        <w:t xml:space="preserve"> משקי בית בלבד. יודגש כי תוצא</w:t>
      </w:r>
      <w:r w:rsidRPr="00F41E78">
        <w:rPr>
          <w:rFonts w:eastAsia="Calibri" w:hint="cs"/>
          <w:rtl/>
        </w:rPr>
        <w:t>ות</w:t>
      </w:r>
      <w:r w:rsidRPr="00F41E78">
        <w:rPr>
          <w:rFonts w:eastAsia="Calibri"/>
          <w:rtl/>
        </w:rPr>
        <w:t xml:space="preserve"> </w:t>
      </w:r>
      <w:r w:rsidRPr="00F41E78">
        <w:rPr>
          <w:rFonts w:eastAsia="Calibri" w:hint="cs"/>
          <w:rtl/>
        </w:rPr>
        <w:t>ה</w:t>
      </w:r>
      <w:r w:rsidRPr="00F41E78">
        <w:rPr>
          <w:rFonts w:eastAsia="Calibri"/>
          <w:rtl/>
        </w:rPr>
        <w:t xml:space="preserve">מכרז </w:t>
      </w:r>
      <w:r w:rsidRPr="00F41E78">
        <w:rPr>
          <w:rFonts w:eastAsia="Calibri" w:hint="cs"/>
          <w:rtl/>
        </w:rPr>
        <w:t>הזה</w:t>
      </w:r>
      <w:r w:rsidRPr="00F41E78">
        <w:rPr>
          <w:rFonts w:eastAsia="Calibri"/>
          <w:rtl/>
        </w:rPr>
        <w:t xml:space="preserve"> חריג</w:t>
      </w:r>
      <w:r w:rsidRPr="00F41E78">
        <w:rPr>
          <w:rFonts w:eastAsia="Calibri" w:hint="cs"/>
          <w:rtl/>
        </w:rPr>
        <w:t>ות</w:t>
      </w:r>
      <w:r w:rsidRPr="00F41E78">
        <w:rPr>
          <w:rFonts w:eastAsia="Calibri"/>
          <w:rtl/>
        </w:rPr>
        <w:t xml:space="preserve"> </w:t>
      </w:r>
      <w:r w:rsidRPr="00F41E78">
        <w:rPr>
          <w:rFonts w:eastAsia="Calibri" w:hint="cs"/>
          <w:rtl/>
        </w:rPr>
        <w:t>גם ביחס</w:t>
      </w:r>
      <w:r w:rsidRPr="00F41E78">
        <w:rPr>
          <w:rFonts w:eastAsia="Calibri"/>
          <w:rtl/>
        </w:rPr>
        <w:t xml:space="preserve"> לשכירות בדיור הציבורי המיועד לקבוצות </w:t>
      </w:r>
      <w:r w:rsidRPr="00F41E78">
        <w:rPr>
          <w:rFonts w:eastAsia="Calibri" w:hint="cs"/>
          <w:rtl/>
        </w:rPr>
        <w:t>ה</w:t>
      </w:r>
      <w:r w:rsidRPr="00F41E78">
        <w:rPr>
          <w:rFonts w:eastAsia="Calibri"/>
          <w:rtl/>
        </w:rPr>
        <w:t xml:space="preserve">אוכלוסייה המוחלשות ביותר בחברה. </w:t>
      </w:r>
      <w:r w:rsidRPr="00F41E78">
        <w:rPr>
          <w:rFonts w:eastAsia="Calibri" w:hint="cs"/>
          <w:rtl/>
        </w:rPr>
        <w:t>מאחר</w:t>
      </w:r>
      <w:r w:rsidRPr="00F41E78">
        <w:rPr>
          <w:rFonts w:eastAsia="Calibri"/>
          <w:rtl/>
        </w:rPr>
        <w:t xml:space="preserve"> שדיור בר השגה בכלל והשכרה לטווח ארוך בפרט אינ</w:t>
      </w:r>
      <w:r w:rsidRPr="00F41E78">
        <w:rPr>
          <w:rFonts w:eastAsia="Calibri" w:hint="cs"/>
          <w:rtl/>
        </w:rPr>
        <w:t>ם</w:t>
      </w:r>
      <w:r w:rsidRPr="00F41E78">
        <w:rPr>
          <w:rFonts w:eastAsia="Calibri"/>
          <w:rtl/>
        </w:rPr>
        <w:t xml:space="preserve"> מיועד</w:t>
      </w:r>
      <w:r w:rsidRPr="00F41E78">
        <w:rPr>
          <w:rFonts w:eastAsia="Calibri" w:hint="cs"/>
          <w:rtl/>
        </w:rPr>
        <w:t>ים</w:t>
      </w:r>
      <w:r w:rsidRPr="00F41E78">
        <w:rPr>
          <w:rFonts w:eastAsia="Calibri"/>
          <w:rtl/>
        </w:rPr>
        <w:t xml:space="preserve"> </w:t>
      </w:r>
      <w:r w:rsidRPr="00F41E78">
        <w:rPr>
          <w:rFonts w:eastAsia="Calibri" w:hint="cs"/>
          <w:rtl/>
        </w:rPr>
        <w:t>לזכאי</w:t>
      </w:r>
      <w:r w:rsidRPr="00F41E78">
        <w:rPr>
          <w:rFonts w:eastAsia="Calibri"/>
          <w:rtl/>
        </w:rPr>
        <w:t xml:space="preserve"> הדיור הציבורי אלא ה</w:t>
      </w:r>
      <w:r w:rsidRPr="00F41E78">
        <w:rPr>
          <w:rFonts w:eastAsia="Calibri" w:hint="cs"/>
          <w:rtl/>
        </w:rPr>
        <w:t>ם</w:t>
      </w:r>
      <w:r w:rsidRPr="00F41E78">
        <w:rPr>
          <w:rFonts w:eastAsia="Calibri"/>
          <w:rtl/>
        </w:rPr>
        <w:t xml:space="preserve"> אחד הפתרונות</w:t>
      </w:r>
      <w:r w:rsidRPr="00F41E78">
        <w:rPr>
          <w:rFonts w:eastAsia="Calibri" w:hint="cs"/>
          <w:rtl/>
        </w:rPr>
        <w:t xml:space="preserve"> למצוקת הדיור</w:t>
      </w:r>
      <w:r w:rsidRPr="00F41E78">
        <w:rPr>
          <w:rFonts w:eastAsia="Calibri"/>
          <w:rtl/>
        </w:rPr>
        <w:t xml:space="preserve">, </w:t>
      </w:r>
      <w:r w:rsidRPr="00F41E78">
        <w:rPr>
          <w:rFonts w:eastAsia="Calibri" w:hint="cs"/>
          <w:rtl/>
        </w:rPr>
        <w:t xml:space="preserve">בעטיין של </w:t>
      </w:r>
      <w:r w:rsidRPr="00F41E78">
        <w:rPr>
          <w:rFonts w:eastAsia="Calibri"/>
          <w:rtl/>
        </w:rPr>
        <w:t xml:space="preserve">תוצאות </w:t>
      </w:r>
      <w:r w:rsidRPr="00F41E78">
        <w:rPr>
          <w:rFonts w:eastAsia="Calibri" w:hint="cs"/>
          <w:rtl/>
        </w:rPr>
        <w:t>ה</w:t>
      </w:r>
      <w:r w:rsidRPr="00F41E78">
        <w:rPr>
          <w:rFonts w:eastAsia="Calibri"/>
          <w:rtl/>
        </w:rPr>
        <w:t xml:space="preserve">מכרז </w:t>
      </w:r>
      <w:r w:rsidRPr="00F41E78">
        <w:rPr>
          <w:rFonts w:eastAsia="Calibri" w:hint="cs"/>
          <w:rtl/>
        </w:rPr>
        <w:t>ב</w:t>
      </w:r>
      <w:r w:rsidRPr="00F41E78">
        <w:rPr>
          <w:rFonts w:eastAsia="Calibri"/>
          <w:rtl/>
        </w:rPr>
        <w:t xml:space="preserve">כפר סבא </w:t>
      </w:r>
      <w:r w:rsidRPr="00F41E78">
        <w:rPr>
          <w:rFonts w:eastAsia="Calibri" w:hint="cs"/>
          <w:rtl/>
        </w:rPr>
        <w:t>נוצרים</w:t>
      </w:r>
      <w:r w:rsidRPr="00F41E78">
        <w:rPr>
          <w:rFonts w:eastAsia="Calibri"/>
          <w:rtl/>
        </w:rPr>
        <w:t xml:space="preserve"> עיוות בלתי מתקבל על הדעת</w:t>
      </w:r>
      <w:r w:rsidRPr="00F41E78">
        <w:rPr>
          <w:rFonts w:eastAsia="Calibri" w:hint="cs"/>
          <w:rtl/>
        </w:rPr>
        <w:t xml:space="preserve"> ו</w:t>
      </w:r>
      <w:r w:rsidRPr="00F41E78">
        <w:rPr>
          <w:rFonts w:eastAsia="Calibri"/>
          <w:rtl/>
        </w:rPr>
        <w:t>אי</w:t>
      </w:r>
      <w:r w:rsidRPr="00F41E78">
        <w:rPr>
          <w:rFonts w:eastAsia="Calibri" w:hint="cs"/>
          <w:rtl/>
        </w:rPr>
        <w:t>-</w:t>
      </w:r>
      <w:r w:rsidRPr="00F41E78">
        <w:rPr>
          <w:rFonts w:eastAsia="Calibri"/>
          <w:rtl/>
        </w:rPr>
        <w:t xml:space="preserve">שוויון </w:t>
      </w:r>
      <w:r w:rsidRPr="00F41E78">
        <w:rPr>
          <w:rFonts w:eastAsia="Calibri" w:hint="cs"/>
          <w:rtl/>
        </w:rPr>
        <w:t>ניכר</w:t>
      </w:r>
      <w:r w:rsidRPr="00F41E78">
        <w:rPr>
          <w:rFonts w:eastAsia="Calibri"/>
          <w:rtl/>
        </w:rPr>
        <w:t xml:space="preserve"> בין </w:t>
      </w:r>
      <w:r w:rsidRPr="00F41E78">
        <w:rPr>
          <w:rFonts w:eastAsia="Calibri" w:hint="cs"/>
          <w:rtl/>
        </w:rPr>
        <w:t>המעטים</w:t>
      </w:r>
      <w:r w:rsidRPr="00F41E78">
        <w:rPr>
          <w:rFonts w:eastAsia="Calibri"/>
          <w:rtl/>
        </w:rPr>
        <w:t xml:space="preserve"> שיזכו להתגורר </w:t>
      </w:r>
      <w:r w:rsidRPr="00F41E78">
        <w:rPr>
          <w:rFonts w:eastAsia="Calibri" w:hint="cs"/>
          <w:rtl/>
        </w:rPr>
        <w:t>ביח"ד האמורות פרק זמן ארוך</w:t>
      </w:r>
      <w:r w:rsidRPr="00F41E78">
        <w:rPr>
          <w:rFonts w:eastAsia="Calibri"/>
          <w:rtl/>
        </w:rPr>
        <w:t xml:space="preserve"> במיוחד </w:t>
      </w:r>
      <w:r w:rsidRPr="00F41E78">
        <w:rPr>
          <w:rFonts w:eastAsia="Calibri" w:hint="cs"/>
          <w:rtl/>
        </w:rPr>
        <w:t>ו</w:t>
      </w:r>
      <w:r w:rsidRPr="00F41E78">
        <w:rPr>
          <w:rFonts w:eastAsia="Calibri"/>
          <w:rtl/>
        </w:rPr>
        <w:t>כמעט בחינם</w:t>
      </w:r>
      <w:r w:rsidRPr="00F41E78">
        <w:rPr>
          <w:rFonts w:eastAsia="Calibri" w:hint="cs"/>
          <w:rtl/>
        </w:rPr>
        <w:t>,</w:t>
      </w:r>
      <w:r w:rsidRPr="00F41E78">
        <w:rPr>
          <w:rFonts w:eastAsia="Calibri"/>
          <w:rtl/>
        </w:rPr>
        <w:t xml:space="preserve"> </w:t>
      </w:r>
      <w:r w:rsidRPr="00F41E78">
        <w:rPr>
          <w:rFonts w:eastAsia="Calibri" w:hint="cs"/>
          <w:rtl/>
        </w:rPr>
        <w:t>ו</w:t>
      </w:r>
      <w:r w:rsidRPr="00F41E78">
        <w:rPr>
          <w:rFonts w:eastAsia="Calibri"/>
          <w:rtl/>
        </w:rPr>
        <w:t xml:space="preserve">בין מאות אלפי משקי בית </w:t>
      </w:r>
      <w:r w:rsidRPr="00F41E78">
        <w:rPr>
          <w:rFonts w:eastAsia="Calibri" w:hint="cs"/>
          <w:rtl/>
        </w:rPr>
        <w:t>הזקוקים</w:t>
      </w:r>
      <w:r w:rsidRPr="00F41E78">
        <w:rPr>
          <w:rFonts w:eastAsia="Calibri"/>
          <w:rtl/>
        </w:rPr>
        <w:t xml:space="preserve"> לסיוע במציאת פתרון מגורים. </w:t>
      </w:r>
    </w:p>
    <w:p w:rsidR="00E97EDA" w:rsidRPr="00F41E78" w:rsidP="00F07DDA">
      <w:pPr>
        <w:spacing w:before="180" w:after="120" w:line="230" w:lineRule="exact"/>
        <w:jc w:val="both"/>
        <w:rPr>
          <w:rFonts w:eastAsia="Calibri" w:cs="FrankRuehl"/>
          <w:sz w:val="18"/>
          <w:szCs w:val="22"/>
          <w:rtl/>
          <w:lang w:eastAsia="he-IL"/>
        </w:rPr>
      </w:pPr>
      <w:r w:rsidRPr="00F41E78">
        <w:rPr>
          <w:rFonts w:eastAsia="Calibri" w:cs="FrankRuehl"/>
          <w:sz w:val="18"/>
          <w:szCs w:val="22"/>
          <w:rtl/>
          <w:lang w:eastAsia="he-IL"/>
        </w:rPr>
        <w:t>בתשובת</w:t>
      </w:r>
      <w:r w:rsidRPr="00F41E78">
        <w:rPr>
          <w:rFonts w:eastAsia="Calibri" w:cs="FrankRuehl" w:hint="cs"/>
          <w:sz w:val="18"/>
          <w:szCs w:val="22"/>
          <w:rtl/>
          <w:lang w:eastAsia="he-IL"/>
        </w:rPr>
        <w:t>ו</w:t>
      </w:r>
      <w:r w:rsidRPr="00F41E78">
        <w:rPr>
          <w:rFonts w:eastAsia="Calibri" w:cs="FrankRuehl"/>
          <w:sz w:val="18"/>
          <w:szCs w:val="22"/>
          <w:rtl/>
          <w:lang w:eastAsia="he-IL"/>
        </w:rPr>
        <w:t xml:space="preserve"> </w:t>
      </w:r>
      <w:r w:rsidRPr="00F41E78">
        <w:rPr>
          <w:rFonts w:eastAsia="Calibri" w:cs="FrankRuehl" w:hint="cs"/>
          <w:sz w:val="18"/>
          <w:szCs w:val="22"/>
          <w:rtl/>
          <w:lang w:eastAsia="he-IL"/>
        </w:rPr>
        <w:t>ציין</w:t>
      </w:r>
      <w:r w:rsidRPr="00F41E78">
        <w:rPr>
          <w:rFonts w:eastAsia="Calibri" w:cs="FrankRuehl"/>
          <w:sz w:val="18"/>
          <w:szCs w:val="22"/>
          <w:rtl/>
          <w:lang w:eastAsia="he-IL"/>
        </w:rPr>
        <w:t xml:space="preserve"> משרד הבינוי </w:t>
      </w:r>
      <w:r w:rsidRPr="00F41E78">
        <w:rPr>
          <w:rFonts w:eastAsia="Calibri" w:cs="FrankRuehl" w:hint="cs"/>
          <w:sz w:val="18"/>
          <w:szCs w:val="22"/>
          <w:rtl/>
          <w:lang w:eastAsia="he-IL"/>
        </w:rPr>
        <w:t xml:space="preserve">כי </w:t>
      </w:r>
      <w:r w:rsidRPr="00F41E78">
        <w:rPr>
          <w:rFonts w:eastAsia="Calibri" w:cs="FrankRuehl"/>
          <w:sz w:val="18"/>
          <w:szCs w:val="22"/>
          <w:rtl/>
          <w:lang w:eastAsia="he-IL"/>
        </w:rPr>
        <w:t>"</w:t>
      </w:r>
      <w:r w:rsidRPr="00F41E78">
        <w:rPr>
          <w:rFonts w:eastAsia="Calibri" w:cs="FrankRuehl" w:hint="cs"/>
          <w:sz w:val="18"/>
          <w:szCs w:val="22"/>
          <w:rtl/>
          <w:lang w:eastAsia="he-IL"/>
        </w:rPr>
        <w:t xml:space="preserve">בעקבות תוצאות המכרז </w:t>
      </w:r>
      <w:r w:rsidRPr="00F41E78">
        <w:rPr>
          <w:rFonts w:eastAsia="Calibri" w:cs="FrankRuehl"/>
          <w:sz w:val="18"/>
          <w:szCs w:val="22"/>
          <w:rtl/>
          <w:lang w:eastAsia="he-IL"/>
        </w:rPr>
        <w:t>החל</w:t>
      </w:r>
      <w:r w:rsidRPr="00F41E78">
        <w:rPr>
          <w:rFonts w:eastAsia="Calibri" w:cs="FrankRuehl" w:hint="cs"/>
          <w:sz w:val="18"/>
          <w:szCs w:val="22"/>
          <w:rtl/>
          <w:lang w:eastAsia="he-IL"/>
        </w:rPr>
        <w:t>י</w:t>
      </w:r>
      <w:r w:rsidRPr="00F41E78">
        <w:rPr>
          <w:rFonts w:eastAsia="Calibri" w:cs="FrankRuehl"/>
          <w:sz w:val="18"/>
          <w:szCs w:val="22"/>
          <w:rtl/>
          <w:lang w:eastAsia="he-IL"/>
        </w:rPr>
        <w:t>ט</w:t>
      </w:r>
      <w:r w:rsidRPr="00F41E78">
        <w:rPr>
          <w:rFonts w:eastAsia="Calibri" w:cs="FrankRuehl" w:hint="cs"/>
          <w:sz w:val="18"/>
          <w:szCs w:val="22"/>
          <w:rtl/>
          <w:lang w:eastAsia="he-IL"/>
        </w:rPr>
        <w:t>ה</w:t>
      </w:r>
      <w:r w:rsidRPr="00F41E78">
        <w:rPr>
          <w:rFonts w:eastAsia="Calibri" w:cs="FrankRuehl"/>
          <w:sz w:val="18"/>
          <w:szCs w:val="22"/>
          <w:rtl/>
          <w:lang w:eastAsia="he-IL"/>
        </w:rPr>
        <w:t xml:space="preserve"> ועדת המכרזים בממ"י כי שוכרי הדירות בפרויקט ישלמו למשרד הבינוי והשיכון (ולא לקבלן) שכר דירה בהתאם לקביעת המשרד וזאת במטרה למנוע את העיוות המתואר בדו"ח ולצמצם את היקפי הסבסוד"</w:t>
      </w:r>
      <w:r w:rsidRPr="00F41E78">
        <w:rPr>
          <w:rFonts w:eastAsia="Calibri" w:cs="FrankRuehl" w:hint="cs"/>
          <w:sz w:val="18"/>
          <w:szCs w:val="22"/>
          <w:rtl/>
          <w:lang w:eastAsia="he-IL"/>
        </w:rPr>
        <w:t>.</w:t>
      </w:r>
    </w:p>
    <w:p w:rsidR="00E97EDA" w:rsidRPr="00F41E78" w:rsidP="00A7557B">
      <w:pPr>
        <w:spacing w:after="120" w:line="230" w:lineRule="exact"/>
        <w:jc w:val="both"/>
        <w:rPr>
          <w:rFonts w:eastAsia="Calibri" w:cs="FrankRuehl"/>
          <w:b/>
          <w:bCs/>
          <w:sz w:val="18"/>
          <w:szCs w:val="22"/>
          <w:rtl/>
          <w:lang w:eastAsia="he-IL"/>
        </w:rPr>
      </w:pPr>
      <w:r w:rsidRPr="00F41E78">
        <w:rPr>
          <w:rFonts w:eastAsia="Calibri" w:cs="FrankRuehl"/>
          <w:sz w:val="18"/>
          <w:szCs w:val="22"/>
          <w:rtl/>
          <w:lang w:eastAsia="he-IL"/>
        </w:rPr>
        <w:t>בתשובת אג</w:t>
      </w:r>
      <w:r w:rsidRPr="00F41E78">
        <w:rPr>
          <w:rFonts w:eastAsia="Calibri" w:cs="FrankRuehl" w:hint="cs"/>
          <w:sz w:val="18"/>
          <w:szCs w:val="22"/>
          <w:rtl/>
          <w:lang w:eastAsia="he-IL"/>
        </w:rPr>
        <w:t xml:space="preserve">"ת צוין </w:t>
      </w:r>
      <w:r w:rsidRPr="00F41E78">
        <w:rPr>
          <w:rFonts w:eastAsia="Calibri" w:cs="FrankRuehl"/>
          <w:sz w:val="18"/>
          <w:szCs w:val="22"/>
          <w:rtl/>
          <w:lang w:eastAsia="he-IL"/>
        </w:rPr>
        <w:t xml:space="preserve">כי </w:t>
      </w:r>
      <w:r w:rsidRPr="00F41E78">
        <w:rPr>
          <w:rFonts w:eastAsia="Calibri" w:cs="FrankRuehl" w:hint="cs"/>
          <w:sz w:val="18"/>
          <w:szCs w:val="22"/>
          <w:rtl/>
          <w:lang w:eastAsia="he-IL"/>
        </w:rPr>
        <w:t xml:space="preserve">הוא מסכים עם עמדת משרד מבקר המדינה, ושיעור ההנחה בכפר סבא הוא אכן בלתי סביר. לטענתו, </w:t>
      </w:r>
      <w:r w:rsidRPr="00F41E78">
        <w:rPr>
          <w:rFonts w:eastAsia="Calibri" w:cs="FrankRuehl"/>
          <w:sz w:val="18"/>
          <w:szCs w:val="22"/>
          <w:rtl/>
          <w:lang w:eastAsia="he-IL"/>
        </w:rPr>
        <w:t>מסלול א המבוסס על מחיר שומה לקרקע ו</w:t>
      </w:r>
      <w:r w:rsidRPr="00F41E78">
        <w:rPr>
          <w:rFonts w:eastAsia="Calibri" w:cs="FrankRuehl" w:hint="cs"/>
          <w:sz w:val="18"/>
          <w:szCs w:val="22"/>
          <w:rtl/>
          <w:lang w:eastAsia="he-IL"/>
        </w:rPr>
        <w:t xml:space="preserve">על </w:t>
      </w:r>
      <w:r w:rsidRPr="00F41E78">
        <w:rPr>
          <w:rFonts w:eastAsia="Calibri" w:cs="FrankRuehl"/>
          <w:sz w:val="18"/>
          <w:szCs w:val="22"/>
          <w:rtl/>
          <w:lang w:eastAsia="he-IL"/>
        </w:rPr>
        <w:t xml:space="preserve">שכירות לתקופה קצרה יחסית, מעוות </w:t>
      </w:r>
      <w:r w:rsidRPr="00F41E78">
        <w:rPr>
          <w:rFonts w:eastAsia="Calibri" w:cs="FrankRuehl" w:hint="cs"/>
          <w:sz w:val="18"/>
          <w:szCs w:val="22"/>
          <w:rtl/>
          <w:lang w:eastAsia="he-IL"/>
        </w:rPr>
        <w:t xml:space="preserve">ואין הוא </w:t>
      </w:r>
      <w:r w:rsidRPr="00F41E78">
        <w:rPr>
          <w:rFonts w:eastAsia="Calibri" w:cs="FrankRuehl"/>
          <w:sz w:val="18"/>
          <w:szCs w:val="22"/>
          <w:rtl/>
          <w:lang w:eastAsia="he-IL"/>
        </w:rPr>
        <w:t>משיג את מטרתו וראוי לבטלו.</w:t>
      </w:r>
      <w:r w:rsidRPr="00F41E78">
        <w:rPr>
          <w:rFonts w:eastAsia="Calibri" w:cs="FrankRuehl" w:hint="cs"/>
          <w:sz w:val="18"/>
          <w:szCs w:val="22"/>
          <w:rtl/>
          <w:lang w:eastAsia="he-IL"/>
        </w:rPr>
        <w:t xml:space="preserve"> </w:t>
      </w:r>
    </w:p>
    <w:p w:rsidR="00E97EDA" w:rsidRPr="00F41E78" w:rsidP="00F07DDA">
      <w:pPr>
        <w:spacing w:after="240" w:line="230" w:lineRule="exact"/>
        <w:jc w:val="both"/>
        <w:rPr>
          <w:rFonts w:eastAsia="Calibri" w:cs="FrankRuehl"/>
          <w:sz w:val="18"/>
          <w:szCs w:val="22"/>
          <w:rtl/>
          <w:lang w:eastAsia="he-IL"/>
        </w:rPr>
      </w:pPr>
      <w:r w:rsidRPr="00F41E78">
        <w:rPr>
          <w:rFonts w:cs="FrankRuehl" w:hint="eastAsia"/>
          <w:bCs/>
          <w:spacing w:val="40"/>
          <w:sz w:val="18"/>
          <w:szCs w:val="22"/>
          <w:rtl/>
        </w:rPr>
        <w:t>ע</w:t>
      </w:r>
      <w:r w:rsidRPr="00F41E78">
        <w:rPr>
          <w:rFonts w:cs="FrankRuehl"/>
          <w:bCs/>
          <w:spacing w:val="40"/>
          <w:sz w:val="18"/>
          <w:szCs w:val="22"/>
          <w:rtl/>
        </w:rPr>
        <w:t>סקה לשיווק קרקע להשכרה בבאר שבע:</w:t>
      </w:r>
      <w:r w:rsidRPr="00F41E78">
        <w:rPr>
          <w:rFonts w:eastAsia="Calibri" w:cs="FrankRuehl"/>
          <w:sz w:val="18"/>
          <w:szCs w:val="22"/>
          <w:rtl/>
          <w:lang w:eastAsia="he-IL"/>
        </w:rPr>
        <w:t xml:space="preserve"> ב</w:t>
      </w:r>
      <w:r w:rsidRPr="00F41E78">
        <w:rPr>
          <w:rFonts w:eastAsia="Calibri" w:cs="FrankRuehl" w:hint="cs"/>
          <w:sz w:val="18"/>
          <w:szCs w:val="22"/>
          <w:rtl/>
          <w:lang w:eastAsia="he-IL"/>
        </w:rPr>
        <w:t xml:space="preserve">אוגוסט 2012 </w:t>
      </w:r>
      <w:r w:rsidRPr="00F41E78">
        <w:rPr>
          <w:rFonts w:eastAsia="Calibri" w:cs="FrankRuehl"/>
          <w:sz w:val="18"/>
          <w:szCs w:val="22"/>
          <w:rtl/>
          <w:lang w:eastAsia="he-IL"/>
        </w:rPr>
        <w:t>פרסמו משרד הבינוי ורמ"י מכרז</w:t>
      </w:r>
      <w:r>
        <w:rPr>
          <w:rFonts w:cs="FrankRuehl"/>
          <w:sz w:val="18"/>
          <w:szCs w:val="22"/>
          <w:vertAlign w:val="superscript"/>
          <w:rtl/>
        </w:rPr>
        <w:footnoteReference w:id="309"/>
      </w:r>
      <w:r w:rsidRPr="00F41E78">
        <w:rPr>
          <w:rFonts w:eastAsia="Calibri" w:cs="FrankRuehl"/>
          <w:sz w:val="18"/>
          <w:szCs w:val="22"/>
          <w:rtl/>
          <w:lang w:eastAsia="he-IL"/>
        </w:rPr>
        <w:t xml:space="preserve"> לשיווק קרקע בבאר שבע למגורים להשכרה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לפי מסלול א.</w:t>
      </w:r>
      <w:r w:rsidRPr="00F41E78">
        <w:rPr>
          <w:rFonts w:eastAsia="Calibri" w:cs="FrankRuehl"/>
          <w:b/>
          <w:bCs/>
          <w:sz w:val="18"/>
          <w:szCs w:val="22"/>
          <w:rtl/>
          <w:lang w:eastAsia="he-IL"/>
        </w:rPr>
        <w:t xml:space="preserve"> </w:t>
      </w:r>
      <w:r w:rsidRPr="00F41E78">
        <w:rPr>
          <w:rFonts w:eastAsia="Calibri" w:cs="FrankRuehl"/>
          <w:sz w:val="18"/>
          <w:szCs w:val="22"/>
          <w:rtl/>
          <w:lang w:eastAsia="he-IL"/>
        </w:rPr>
        <w:t xml:space="preserve">על פי בדיקת היתכנות כלכלית </w:t>
      </w:r>
      <w:r w:rsidRPr="00F41E78">
        <w:rPr>
          <w:rFonts w:eastAsia="Calibri" w:cs="FrankRuehl" w:hint="cs"/>
          <w:sz w:val="18"/>
          <w:szCs w:val="22"/>
          <w:rtl/>
          <w:lang w:eastAsia="he-IL"/>
        </w:rPr>
        <w:t>שביצע</w:t>
      </w:r>
      <w:r w:rsidRPr="00F41E78">
        <w:rPr>
          <w:rFonts w:eastAsia="Calibri" w:cs="FrankRuehl"/>
          <w:sz w:val="18"/>
          <w:szCs w:val="22"/>
          <w:rtl/>
          <w:lang w:eastAsia="he-IL"/>
        </w:rPr>
        <w:t xml:space="preserve"> האגף למידע וניתוח כלכלי במשרד הבינוי </w:t>
      </w:r>
      <w:r w:rsidRPr="00F41E78">
        <w:rPr>
          <w:rFonts w:eastAsia="Calibri" w:cs="FrankRuehl" w:hint="cs"/>
          <w:sz w:val="18"/>
          <w:szCs w:val="22"/>
          <w:rtl/>
          <w:lang w:eastAsia="he-IL"/>
        </w:rPr>
        <w:t>קודם</w:t>
      </w:r>
      <w:r w:rsidRPr="00F41E78">
        <w:rPr>
          <w:rFonts w:eastAsia="Calibri" w:cs="FrankRuehl"/>
          <w:sz w:val="18"/>
          <w:szCs w:val="22"/>
          <w:rtl/>
          <w:lang w:eastAsia="he-IL"/>
        </w:rPr>
        <w:t xml:space="preserve"> </w:t>
      </w:r>
      <w:r w:rsidRPr="00F41E78">
        <w:rPr>
          <w:rFonts w:eastAsia="Calibri" w:cs="FrankRuehl" w:hint="cs"/>
          <w:sz w:val="18"/>
          <w:szCs w:val="22"/>
          <w:rtl/>
          <w:lang w:eastAsia="he-IL"/>
        </w:rPr>
        <w:t>ל</w:t>
      </w:r>
      <w:r w:rsidRPr="00F41E78">
        <w:rPr>
          <w:rFonts w:eastAsia="Calibri" w:cs="FrankRuehl"/>
          <w:sz w:val="18"/>
          <w:szCs w:val="22"/>
          <w:rtl/>
          <w:lang w:eastAsia="he-IL"/>
        </w:rPr>
        <w:t>פרסום המכרז, הפרויקט אינו רווחי. בבדיקה צוין כי בבאר שבע בנייה להשכרה</w:t>
      </w:r>
      <w:r w:rsidRPr="00F41E78">
        <w:rPr>
          <w:rFonts w:eastAsia="Calibri" w:cs="FrankRuehl" w:hint="cs"/>
          <w:sz w:val="18"/>
          <w:szCs w:val="22"/>
          <w:rtl/>
          <w:lang w:eastAsia="he-IL"/>
        </w:rPr>
        <w:t xml:space="preserve"> אינה כדאית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מכיוון</w:t>
      </w:r>
      <w:r w:rsidRPr="00F41E78">
        <w:rPr>
          <w:rFonts w:eastAsia="Calibri" w:cs="FrankRuehl"/>
          <w:sz w:val="18"/>
          <w:szCs w:val="22"/>
          <w:rtl/>
          <w:lang w:eastAsia="he-IL"/>
        </w:rPr>
        <w:t xml:space="preserve"> </w:t>
      </w:r>
      <w:r w:rsidRPr="00F41E78">
        <w:rPr>
          <w:rFonts w:eastAsia="Calibri" w:cs="FrankRuehl" w:hint="cs"/>
          <w:sz w:val="18"/>
          <w:szCs w:val="22"/>
          <w:rtl/>
          <w:lang w:eastAsia="he-IL"/>
        </w:rPr>
        <w:t>ש</w:t>
      </w:r>
      <w:r w:rsidRPr="00F41E78">
        <w:rPr>
          <w:rFonts w:eastAsia="Calibri" w:cs="FrankRuehl"/>
          <w:sz w:val="18"/>
          <w:szCs w:val="22"/>
          <w:rtl/>
          <w:lang w:eastAsia="he-IL"/>
        </w:rPr>
        <w:t xml:space="preserve">מחיר הדירה </w:t>
      </w:r>
      <w:r w:rsidRPr="00F41E78">
        <w:rPr>
          <w:rFonts w:eastAsia="Calibri" w:cs="FrankRuehl" w:hint="cs"/>
          <w:sz w:val="18"/>
          <w:szCs w:val="22"/>
          <w:rtl/>
          <w:lang w:eastAsia="he-IL"/>
        </w:rPr>
        <w:t xml:space="preserve">ממילא </w:t>
      </w:r>
      <w:r w:rsidRPr="00F41E78">
        <w:rPr>
          <w:rFonts w:eastAsia="Calibri" w:cs="FrankRuehl"/>
          <w:sz w:val="18"/>
          <w:szCs w:val="22"/>
          <w:rtl/>
          <w:lang w:eastAsia="he-IL"/>
        </w:rPr>
        <w:t xml:space="preserve">נמוך ועלות הקרקע כמעט אפסית. </w:t>
      </w:r>
    </w:p>
    <w:p w:rsidR="00D22B16" w:rsidRPr="00F41E78" w:rsidP="00D22B16">
      <w:pPr>
        <w:pStyle w:val="RESHET"/>
        <w:keepLines/>
        <w:rPr>
          <w:rFonts w:eastAsia="Calibri"/>
          <w:rtl/>
        </w:rPr>
      </w:pPr>
      <w:r w:rsidRPr="00F41E78">
        <w:rPr>
          <w:rFonts w:eastAsia="Calibri"/>
          <w:rtl/>
        </w:rPr>
        <w:t>למרות התחזית</w:t>
      </w:r>
      <w:r w:rsidRPr="00F41E78">
        <w:rPr>
          <w:rFonts w:eastAsia="Calibri" w:hint="cs"/>
          <w:rtl/>
        </w:rPr>
        <w:t xml:space="preserve"> השלילית</w:t>
      </w:r>
      <w:r w:rsidRPr="00F41E78">
        <w:rPr>
          <w:rFonts w:eastAsia="Calibri"/>
          <w:rtl/>
        </w:rPr>
        <w:t xml:space="preserve"> של משרד הבינוי </w:t>
      </w:r>
      <w:r w:rsidRPr="00F41E78">
        <w:rPr>
          <w:rFonts w:eastAsia="Calibri" w:hint="cs"/>
          <w:rtl/>
        </w:rPr>
        <w:t>בדבר</w:t>
      </w:r>
      <w:r w:rsidRPr="00F41E78">
        <w:rPr>
          <w:rFonts w:eastAsia="Calibri"/>
          <w:rtl/>
        </w:rPr>
        <w:t xml:space="preserve"> </w:t>
      </w:r>
      <w:r w:rsidRPr="00F41E78">
        <w:rPr>
          <w:rFonts w:eastAsia="Calibri" w:hint="cs"/>
          <w:rtl/>
        </w:rPr>
        <w:t>ה</w:t>
      </w:r>
      <w:r w:rsidRPr="00F41E78">
        <w:rPr>
          <w:rFonts w:eastAsia="Calibri"/>
          <w:rtl/>
        </w:rPr>
        <w:t xml:space="preserve">כדאיות </w:t>
      </w:r>
      <w:r w:rsidRPr="00F41E78">
        <w:rPr>
          <w:rFonts w:eastAsia="Calibri" w:hint="cs"/>
          <w:rtl/>
        </w:rPr>
        <w:t>ה</w:t>
      </w:r>
      <w:r w:rsidRPr="00F41E78">
        <w:rPr>
          <w:rFonts w:eastAsia="Calibri"/>
          <w:rtl/>
        </w:rPr>
        <w:t xml:space="preserve">כלכלית של הפרויקט </w:t>
      </w:r>
      <w:r w:rsidRPr="00F41E78">
        <w:rPr>
          <w:rFonts w:eastAsia="Calibri" w:hint="cs"/>
          <w:rtl/>
        </w:rPr>
        <w:t xml:space="preserve">פורסם </w:t>
      </w:r>
      <w:r w:rsidRPr="00F41E78">
        <w:rPr>
          <w:rFonts w:eastAsia="Calibri"/>
          <w:rtl/>
        </w:rPr>
        <w:t xml:space="preserve">המכרז. בסופו של דבר </w:t>
      </w:r>
      <w:r w:rsidRPr="00F41E78">
        <w:rPr>
          <w:rFonts w:eastAsia="Calibri" w:hint="cs"/>
          <w:rtl/>
        </w:rPr>
        <w:t xml:space="preserve">בוטל </w:t>
      </w:r>
      <w:r w:rsidRPr="00F41E78">
        <w:rPr>
          <w:rFonts w:eastAsia="Calibri"/>
          <w:rtl/>
        </w:rPr>
        <w:t xml:space="preserve">המכרז </w:t>
      </w:r>
      <w:r w:rsidRPr="00F41E78">
        <w:rPr>
          <w:rFonts w:eastAsia="Calibri" w:hint="cs"/>
          <w:rtl/>
        </w:rPr>
        <w:t>משום ש</w:t>
      </w:r>
      <w:r w:rsidRPr="00F41E78">
        <w:rPr>
          <w:rFonts w:eastAsia="Calibri"/>
          <w:rtl/>
        </w:rPr>
        <w:t>לא הוגש</w:t>
      </w:r>
      <w:r w:rsidRPr="00F41E78">
        <w:rPr>
          <w:rFonts w:eastAsia="Calibri" w:hint="cs"/>
          <w:rtl/>
        </w:rPr>
        <w:t>ה אף לא הצעה אחת</w:t>
      </w:r>
      <w:r w:rsidRPr="00F41E78">
        <w:rPr>
          <w:rFonts w:eastAsia="Calibri"/>
          <w:rtl/>
        </w:rPr>
        <w:t xml:space="preserve">. </w:t>
      </w:r>
    </w:p>
    <w:p w:rsidR="00E97EDA" w:rsidRPr="00F41E78" w:rsidP="00FF1578">
      <w:pPr>
        <w:spacing w:before="180" w:after="240" w:line="230" w:lineRule="exact"/>
        <w:jc w:val="both"/>
        <w:rPr>
          <w:rFonts w:eastAsia="Calibri" w:cs="FrankRuehl"/>
          <w:sz w:val="18"/>
          <w:szCs w:val="22"/>
          <w:rtl/>
          <w:lang w:eastAsia="he-IL"/>
        </w:rPr>
      </w:pPr>
      <w:r w:rsidRPr="00F41E78">
        <w:rPr>
          <w:rFonts w:eastAsia="Calibri" w:cs="FrankRuehl"/>
          <w:sz w:val="18"/>
          <w:szCs w:val="22"/>
          <w:rtl/>
          <w:lang w:eastAsia="he-IL"/>
        </w:rPr>
        <w:t xml:space="preserve">ביוני 2013 </w:t>
      </w:r>
      <w:r w:rsidRPr="00F41E78">
        <w:rPr>
          <w:rFonts w:eastAsia="Calibri" w:cs="FrankRuehl" w:hint="cs"/>
          <w:sz w:val="18"/>
          <w:szCs w:val="22"/>
          <w:rtl/>
          <w:lang w:eastAsia="he-IL"/>
        </w:rPr>
        <w:t>ביצעה</w:t>
      </w:r>
      <w:r w:rsidRPr="00F41E78">
        <w:rPr>
          <w:rFonts w:eastAsia="Calibri" w:cs="FrankRuehl"/>
          <w:sz w:val="18"/>
          <w:szCs w:val="22"/>
          <w:rtl/>
          <w:lang w:eastAsia="he-IL"/>
        </w:rPr>
        <w:t xml:space="preserve"> חברת פרטית עבור </w:t>
      </w:r>
      <w:r w:rsidR="00FF1578">
        <w:rPr>
          <w:rFonts w:eastAsia="Calibri" w:cs="FrankRuehl" w:hint="cs"/>
          <w:sz w:val="18"/>
          <w:szCs w:val="22"/>
          <w:rtl/>
          <w:lang w:eastAsia="he-IL"/>
        </w:rPr>
        <w:t>אג"ת</w:t>
      </w:r>
      <w:r w:rsidRPr="00F41E78">
        <w:rPr>
          <w:rFonts w:eastAsia="Calibri" w:cs="FrankRuehl"/>
          <w:sz w:val="18"/>
          <w:szCs w:val="22"/>
          <w:rtl/>
          <w:lang w:eastAsia="he-IL"/>
        </w:rPr>
        <w:t xml:space="preserve"> ניתוח כלכלי של דיור להשכרה ארוכת טווח בישראל</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ו</w:t>
      </w:r>
      <w:r w:rsidRPr="00F41E78">
        <w:rPr>
          <w:rFonts w:eastAsia="Calibri" w:cs="FrankRuehl"/>
          <w:sz w:val="18"/>
          <w:szCs w:val="22"/>
          <w:rtl/>
          <w:lang w:eastAsia="he-IL"/>
        </w:rPr>
        <w:t xml:space="preserve">בו היא בחנה בדיעבד את כדאיות מכרזי הקרקע לפי מסלול א. מסקנותיה היו כי תנאי מסלול זה ישימים </w:t>
      </w:r>
      <w:r w:rsidRPr="00F41E78">
        <w:rPr>
          <w:rFonts w:eastAsia="Calibri" w:cs="FrankRuehl" w:hint="cs"/>
          <w:sz w:val="18"/>
          <w:szCs w:val="22"/>
          <w:rtl/>
          <w:lang w:eastAsia="he-IL"/>
        </w:rPr>
        <w:t>רק בנוגע לקרקעות שבהן שווי הקרקע הוא 400,000-300,000 ש"ח ליח"ד</w:t>
      </w:r>
      <w:r w:rsidRPr="00F41E78">
        <w:rPr>
          <w:rFonts w:eastAsia="Calibri" w:cs="FrankRuehl"/>
          <w:sz w:val="18"/>
          <w:szCs w:val="22"/>
          <w:rtl/>
          <w:lang w:eastAsia="he-IL"/>
        </w:rPr>
        <w:t xml:space="preserve">. באזורים </w:t>
      </w:r>
      <w:r w:rsidRPr="00F41E78">
        <w:rPr>
          <w:rFonts w:eastAsia="Calibri" w:cs="FrankRuehl" w:hint="cs"/>
          <w:sz w:val="18"/>
          <w:szCs w:val="22"/>
          <w:rtl/>
          <w:lang w:eastAsia="he-IL"/>
        </w:rPr>
        <w:t>ש</w:t>
      </w:r>
      <w:r w:rsidRPr="00F41E78">
        <w:rPr>
          <w:rFonts w:eastAsia="Calibri" w:cs="FrankRuehl"/>
          <w:sz w:val="18"/>
          <w:szCs w:val="22"/>
          <w:rtl/>
          <w:lang w:eastAsia="he-IL"/>
        </w:rPr>
        <w:t>בהם ערך הקרקע נמוך מ</w:t>
      </w:r>
      <w:r w:rsidRPr="00F41E78">
        <w:rPr>
          <w:rFonts w:eastAsia="Calibri" w:cs="FrankRuehl" w:hint="cs"/>
          <w:sz w:val="18"/>
          <w:szCs w:val="22"/>
          <w:rtl/>
          <w:lang w:eastAsia="he-IL"/>
        </w:rPr>
        <w:t>-</w:t>
      </w:r>
      <w:r w:rsidRPr="00F41E78">
        <w:rPr>
          <w:rFonts w:eastAsia="Calibri" w:cs="FrankRuehl"/>
          <w:sz w:val="18"/>
          <w:szCs w:val="22"/>
          <w:rtl/>
          <w:lang w:eastAsia="he-IL"/>
        </w:rPr>
        <w:t>300,000</w:t>
      </w:r>
      <w:r w:rsidRPr="00F41E78">
        <w:rPr>
          <w:rFonts w:eastAsia="Calibri" w:cs="FrankRuehl" w:hint="cs"/>
          <w:sz w:val="18"/>
          <w:szCs w:val="22"/>
          <w:rtl/>
          <w:lang w:eastAsia="he-IL"/>
        </w:rPr>
        <w:t xml:space="preserve"> ש"ח,</w:t>
      </w:r>
      <w:r w:rsidRPr="00F41E78">
        <w:rPr>
          <w:rFonts w:eastAsia="Calibri" w:cs="FrankRuehl"/>
          <w:sz w:val="18"/>
          <w:szCs w:val="22"/>
          <w:rtl/>
          <w:lang w:eastAsia="he-IL"/>
        </w:rPr>
        <w:t xml:space="preserve"> </w:t>
      </w:r>
      <w:r w:rsidRPr="00F41E78">
        <w:rPr>
          <w:rFonts w:eastAsia="Calibri" w:cs="FrankRuehl" w:hint="cs"/>
          <w:sz w:val="18"/>
          <w:szCs w:val="22"/>
          <w:rtl/>
          <w:lang w:eastAsia="he-IL"/>
        </w:rPr>
        <w:t>כמו ב</w:t>
      </w:r>
      <w:r w:rsidRPr="00F41E78">
        <w:rPr>
          <w:rFonts w:eastAsia="Calibri" w:cs="FrankRuehl"/>
          <w:sz w:val="18"/>
          <w:szCs w:val="22"/>
          <w:rtl/>
          <w:lang w:eastAsia="he-IL"/>
        </w:rPr>
        <w:t>אזור באר שבע</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אין משתלם להקים </w:t>
      </w:r>
      <w:r w:rsidRPr="00F41E78">
        <w:rPr>
          <w:rFonts w:eastAsia="Calibri" w:cs="FrankRuehl"/>
          <w:sz w:val="18"/>
          <w:szCs w:val="22"/>
          <w:rtl/>
          <w:lang w:eastAsia="he-IL"/>
        </w:rPr>
        <w:t>פרויקטים במסלול זה</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לעומת זאת, </w:t>
      </w:r>
      <w:r w:rsidRPr="00F41E78">
        <w:rPr>
          <w:rFonts w:eastAsia="Calibri" w:cs="FrankRuehl"/>
          <w:sz w:val="18"/>
          <w:szCs w:val="22"/>
          <w:rtl/>
          <w:lang w:eastAsia="he-IL"/>
        </w:rPr>
        <w:t xml:space="preserve">באזורים </w:t>
      </w:r>
      <w:r w:rsidRPr="00F41E78">
        <w:rPr>
          <w:rFonts w:eastAsia="Calibri" w:cs="FrankRuehl" w:hint="cs"/>
          <w:sz w:val="18"/>
          <w:szCs w:val="22"/>
          <w:rtl/>
          <w:lang w:eastAsia="he-IL"/>
        </w:rPr>
        <w:t>ש</w:t>
      </w:r>
      <w:r w:rsidRPr="00F41E78">
        <w:rPr>
          <w:rFonts w:eastAsia="Calibri" w:cs="FrankRuehl"/>
          <w:sz w:val="18"/>
          <w:szCs w:val="22"/>
          <w:rtl/>
          <w:lang w:eastAsia="he-IL"/>
        </w:rPr>
        <w:t xml:space="preserve">בהם מחירי הקרקע גבוהים, </w:t>
      </w:r>
      <w:r w:rsidRPr="00F41E78">
        <w:rPr>
          <w:rFonts w:eastAsia="Calibri" w:cs="FrankRuehl" w:hint="cs"/>
          <w:sz w:val="18"/>
          <w:szCs w:val="22"/>
          <w:rtl/>
          <w:lang w:eastAsia="he-IL"/>
        </w:rPr>
        <w:t>כמו</w:t>
      </w:r>
      <w:r w:rsidRPr="00F41E78">
        <w:rPr>
          <w:rFonts w:eastAsia="Calibri" w:cs="FrankRuehl"/>
          <w:sz w:val="18"/>
          <w:szCs w:val="22"/>
          <w:rtl/>
          <w:lang w:eastAsia="he-IL"/>
        </w:rPr>
        <w:t xml:space="preserve"> כפר סבא, יוכל היזם להציע הנחות </w:t>
      </w:r>
      <w:r w:rsidRPr="00F41E78">
        <w:rPr>
          <w:rFonts w:eastAsia="Calibri" w:cs="FrankRuehl" w:hint="cs"/>
          <w:sz w:val="18"/>
          <w:szCs w:val="22"/>
          <w:rtl/>
          <w:lang w:eastAsia="he-IL"/>
        </w:rPr>
        <w:t>ניכרות</w:t>
      </w:r>
      <w:r w:rsidRPr="00F41E78">
        <w:rPr>
          <w:rFonts w:eastAsia="Calibri" w:cs="FrankRuehl"/>
          <w:sz w:val="18"/>
          <w:szCs w:val="22"/>
          <w:rtl/>
          <w:lang w:eastAsia="he-IL"/>
        </w:rPr>
        <w:t xml:space="preserve"> לזכאים</w:t>
      </w:r>
      <w:r w:rsidRPr="00F41E78">
        <w:rPr>
          <w:rFonts w:eastAsia="Calibri" w:cs="FrankRuehl" w:hint="cs"/>
          <w:sz w:val="18"/>
          <w:szCs w:val="22"/>
          <w:rtl/>
          <w:lang w:eastAsia="he-IL"/>
        </w:rPr>
        <w:t xml:space="preserve">, ששיעורן </w:t>
      </w:r>
      <w:r w:rsidRPr="00F41E78">
        <w:rPr>
          <w:rFonts w:eastAsia="Calibri" w:cs="FrankRuehl"/>
          <w:sz w:val="18"/>
          <w:szCs w:val="22"/>
          <w:rtl/>
          <w:lang w:eastAsia="he-IL"/>
        </w:rPr>
        <w:t>יכול להגיע אף ל-100%.</w:t>
      </w:r>
    </w:p>
    <w:p w:rsidR="00D22B16" w:rsidRPr="00F41E78" w:rsidP="00D22B16">
      <w:pPr>
        <w:pStyle w:val="RESHET"/>
        <w:keepLines/>
        <w:rPr>
          <w:rFonts w:eastAsia="Calibri"/>
          <w:rtl/>
        </w:rPr>
      </w:pPr>
      <w:r w:rsidRPr="00F41E78">
        <w:rPr>
          <w:rFonts w:eastAsia="Calibri"/>
          <w:rtl/>
        </w:rPr>
        <w:t>לדעת משרד מבקר המדינה, אי</w:t>
      </w:r>
      <w:r w:rsidRPr="00F41E78">
        <w:rPr>
          <w:rFonts w:eastAsia="Calibri" w:hint="cs"/>
          <w:rtl/>
        </w:rPr>
        <w:t>-</w:t>
      </w:r>
      <w:r w:rsidRPr="00F41E78">
        <w:rPr>
          <w:rFonts w:eastAsia="Calibri"/>
          <w:rtl/>
        </w:rPr>
        <w:t xml:space="preserve">בחינת התנאים הכלכליים לשיווק הקרקע לבנייה להשכרה ארוכת טווח </w:t>
      </w:r>
      <w:r w:rsidRPr="00F41E78">
        <w:rPr>
          <w:rFonts w:eastAsia="Calibri" w:hint="cs"/>
          <w:rtl/>
        </w:rPr>
        <w:t>ב</w:t>
      </w:r>
      <w:r w:rsidRPr="00F41E78">
        <w:rPr>
          <w:rFonts w:eastAsia="Calibri"/>
          <w:rtl/>
        </w:rPr>
        <w:t xml:space="preserve">מסלול א </w:t>
      </w:r>
      <w:r w:rsidRPr="00F41E78">
        <w:rPr>
          <w:rFonts w:eastAsia="Calibri" w:hint="cs"/>
          <w:rtl/>
        </w:rPr>
        <w:t xml:space="preserve">לפני </w:t>
      </w:r>
      <w:r w:rsidRPr="00F41E78">
        <w:rPr>
          <w:rFonts w:eastAsia="Calibri"/>
          <w:rtl/>
        </w:rPr>
        <w:t xml:space="preserve">הפעלתו היא </w:t>
      </w:r>
      <w:r w:rsidRPr="00F41E78">
        <w:rPr>
          <w:rFonts w:eastAsia="Calibri" w:hint="cs"/>
          <w:rtl/>
        </w:rPr>
        <w:t xml:space="preserve">אחד הגורמים </w:t>
      </w:r>
      <w:r w:rsidRPr="00F41E78">
        <w:rPr>
          <w:rFonts w:eastAsia="Calibri"/>
          <w:rtl/>
        </w:rPr>
        <w:t xml:space="preserve">לתוצאות </w:t>
      </w:r>
      <w:r w:rsidRPr="00F41E78">
        <w:rPr>
          <w:rFonts w:eastAsia="Calibri" w:hint="cs"/>
          <w:rtl/>
        </w:rPr>
        <w:t xml:space="preserve">הבלתי רצויות </w:t>
      </w:r>
      <w:r w:rsidRPr="00F41E78">
        <w:rPr>
          <w:rFonts w:eastAsia="Calibri"/>
          <w:rtl/>
        </w:rPr>
        <w:t>של מכרזים אלו. בחינת המשתנים הכלכליים</w:t>
      </w:r>
      <w:r w:rsidRPr="00F41E78">
        <w:rPr>
          <w:rFonts w:eastAsia="Calibri" w:hint="cs"/>
          <w:rtl/>
        </w:rPr>
        <w:t>,</w:t>
      </w:r>
      <w:r w:rsidRPr="00F41E78">
        <w:rPr>
          <w:rFonts w:eastAsia="Calibri"/>
          <w:rtl/>
        </w:rPr>
        <w:t xml:space="preserve"> כ</w:t>
      </w:r>
      <w:r w:rsidRPr="00F41E78">
        <w:rPr>
          <w:rFonts w:eastAsia="Calibri" w:hint="cs"/>
          <w:rtl/>
        </w:rPr>
        <w:t>מו</w:t>
      </w:r>
      <w:r w:rsidRPr="00F41E78">
        <w:rPr>
          <w:rFonts w:eastAsia="Calibri"/>
          <w:rtl/>
        </w:rPr>
        <w:t xml:space="preserve"> ערך הקרקע </w:t>
      </w:r>
      <w:r w:rsidRPr="00F41E78">
        <w:rPr>
          <w:rFonts w:eastAsia="Calibri" w:hint="cs"/>
          <w:rtl/>
        </w:rPr>
        <w:t>ו</w:t>
      </w:r>
      <w:r w:rsidRPr="00F41E78">
        <w:rPr>
          <w:rFonts w:eastAsia="Calibri"/>
          <w:rtl/>
        </w:rPr>
        <w:t xml:space="preserve">שכר הדירה </w:t>
      </w:r>
      <w:r w:rsidRPr="00F41E78">
        <w:rPr>
          <w:rFonts w:eastAsia="Calibri" w:hint="cs"/>
          <w:rtl/>
        </w:rPr>
        <w:t xml:space="preserve">הצפוי, </w:t>
      </w:r>
      <w:r w:rsidRPr="00F41E78">
        <w:rPr>
          <w:rFonts w:eastAsia="Calibri"/>
          <w:rtl/>
        </w:rPr>
        <w:t>שהיו ידועים ל</w:t>
      </w:r>
      <w:r>
        <w:rPr>
          <w:rFonts w:eastAsia="Calibri"/>
          <w:rtl/>
        </w:rPr>
        <w:t>משרדי הבינוי</w:t>
      </w:r>
      <w:r w:rsidRPr="00F41E78">
        <w:rPr>
          <w:rFonts w:eastAsia="Calibri" w:hint="cs"/>
          <w:rtl/>
        </w:rPr>
        <w:t xml:space="preserve"> והאוצר</w:t>
      </w:r>
      <w:r w:rsidRPr="00F41E78">
        <w:rPr>
          <w:rFonts w:eastAsia="Calibri"/>
          <w:rtl/>
        </w:rPr>
        <w:t xml:space="preserve"> </w:t>
      </w:r>
      <w:r w:rsidRPr="00F41E78">
        <w:rPr>
          <w:rFonts w:eastAsia="Calibri" w:hint="cs"/>
          <w:rtl/>
        </w:rPr>
        <w:t>ו</w:t>
      </w:r>
      <w:r w:rsidRPr="00F41E78">
        <w:rPr>
          <w:rFonts w:eastAsia="Calibri"/>
          <w:rtl/>
        </w:rPr>
        <w:t xml:space="preserve">לרמ"י </w:t>
      </w:r>
      <w:r w:rsidRPr="00F41E78">
        <w:rPr>
          <w:rFonts w:eastAsia="Calibri" w:hint="cs"/>
          <w:rtl/>
        </w:rPr>
        <w:t xml:space="preserve">לפני </w:t>
      </w:r>
      <w:r w:rsidRPr="00F41E78">
        <w:rPr>
          <w:rFonts w:eastAsia="Calibri"/>
          <w:rtl/>
        </w:rPr>
        <w:t>פרסומם של המכרזים</w:t>
      </w:r>
      <w:r w:rsidRPr="00F41E78">
        <w:rPr>
          <w:rFonts w:eastAsia="Calibri" w:hint="cs"/>
          <w:rtl/>
        </w:rPr>
        <w:t>,</w:t>
      </w:r>
      <w:r w:rsidRPr="00F41E78">
        <w:rPr>
          <w:rFonts w:eastAsia="Calibri"/>
          <w:rtl/>
        </w:rPr>
        <w:t xml:space="preserve"> </w:t>
      </w:r>
      <w:r w:rsidRPr="00F41E78">
        <w:rPr>
          <w:rFonts w:eastAsia="Calibri" w:hint="cs"/>
          <w:rtl/>
        </w:rPr>
        <w:t>הייתה יכולה לשמש בסיס מוצק בעת קבלת</w:t>
      </w:r>
      <w:r w:rsidRPr="00F41E78">
        <w:rPr>
          <w:rFonts w:eastAsia="Calibri"/>
          <w:rtl/>
        </w:rPr>
        <w:t xml:space="preserve"> ההחלטה בנוגע לכדאיות השיווקים על פי מסלול זה.</w:t>
      </w:r>
    </w:p>
    <w:p w:rsidR="00E97EDA" w:rsidRPr="00F07DDA" w:rsidP="00A7557B">
      <w:pPr>
        <w:spacing w:after="120" w:line="230" w:lineRule="exact"/>
        <w:jc w:val="both"/>
        <w:rPr>
          <w:rFonts w:cs="FrankRuehl"/>
          <w:sz w:val="18"/>
          <w:szCs w:val="22"/>
          <w:rtl/>
        </w:rPr>
      </w:pPr>
    </w:p>
    <w:p w:rsidR="00E97EDA" w:rsidRPr="00FA1F2C" w:rsidP="00A7557B">
      <w:pPr>
        <w:pStyle w:val="KOT6"/>
        <w:rPr>
          <w:rFonts w:eastAsia="Calibri"/>
          <w:rtl/>
          <w:lang w:eastAsia="he-IL"/>
        </w:rPr>
      </w:pPr>
      <w:r w:rsidRPr="00FA1F2C">
        <w:rPr>
          <w:rFonts w:eastAsia="Calibri"/>
          <w:rtl/>
          <w:lang w:eastAsia="he-IL"/>
        </w:rPr>
        <w:t>דוגמ</w:t>
      </w:r>
      <w:r w:rsidRPr="00FA1F2C">
        <w:rPr>
          <w:rFonts w:eastAsia="Calibri" w:hint="cs"/>
          <w:rtl/>
          <w:lang w:eastAsia="he-IL"/>
        </w:rPr>
        <w:t>ה</w:t>
      </w:r>
      <w:r w:rsidRPr="00FA1F2C">
        <w:rPr>
          <w:rFonts w:eastAsia="Calibri"/>
          <w:rtl/>
          <w:lang w:eastAsia="he-IL"/>
        </w:rPr>
        <w:t xml:space="preserve"> לשיווק קרקע לבניית דירות להשכרה במסלול ב</w:t>
      </w:r>
    </w:p>
    <w:p w:rsidR="00E97EDA" w:rsidRPr="00F41E78" w:rsidP="00A7557B">
      <w:pPr>
        <w:spacing w:after="120" w:line="230" w:lineRule="exact"/>
        <w:jc w:val="both"/>
        <w:rPr>
          <w:rFonts w:eastAsia="Calibri" w:cs="FrankRuehl"/>
          <w:sz w:val="18"/>
          <w:szCs w:val="22"/>
          <w:rtl/>
          <w:lang w:eastAsia="he-IL"/>
        </w:rPr>
      </w:pPr>
      <w:r w:rsidRPr="00F41E78">
        <w:rPr>
          <w:rFonts w:cs="FrankRuehl"/>
          <w:bCs/>
          <w:spacing w:val="40"/>
          <w:sz w:val="18"/>
          <w:szCs w:val="22"/>
          <w:rtl/>
        </w:rPr>
        <w:t>עסקה לשיווק קרקע להשכרה ברעננה:</w:t>
      </w:r>
      <w:r w:rsidRPr="00F41E78">
        <w:rPr>
          <w:rFonts w:eastAsia="Calibri" w:cs="FrankRuehl"/>
          <w:sz w:val="18"/>
          <w:szCs w:val="22"/>
          <w:rtl/>
          <w:lang w:eastAsia="he-IL"/>
        </w:rPr>
        <w:t xml:space="preserve"> ב</w:t>
      </w:r>
      <w:r w:rsidRPr="00F41E78">
        <w:rPr>
          <w:rFonts w:eastAsia="Calibri" w:cs="FrankRuehl" w:hint="cs"/>
          <w:sz w:val="18"/>
          <w:szCs w:val="22"/>
          <w:rtl/>
          <w:lang w:eastAsia="he-IL"/>
        </w:rPr>
        <w:t xml:space="preserve">אוגוסט 2012 </w:t>
      </w:r>
      <w:r w:rsidRPr="00F41E78">
        <w:rPr>
          <w:rFonts w:eastAsia="Calibri" w:cs="FrankRuehl"/>
          <w:sz w:val="18"/>
          <w:szCs w:val="22"/>
          <w:rtl/>
          <w:lang w:eastAsia="he-IL"/>
        </w:rPr>
        <w:t>פרסמו משרד הבינוי ורמ"י מכרז</w:t>
      </w:r>
      <w:r>
        <w:rPr>
          <w:rFonts w:eastAsia="Calibri" w:cs="FrankRuehl"/>
          <w:sz w:val="18"/>
          <w:szCs w:val="22"/>
          <w:vertAlign w:val="superscript"/>
          <w:rtl/>
          <w:lang w:eastAsia="he-IL"/>
        </w:rPr>
        <w:footnoteReference w:id="310"/>
      </w:r>
      <w:r w:rsidRPr="00F41E78">
        <w:rPr>
          <w:rFonts w:eastAsia="Calibri" w:cs="FrankRuehl"/>
          <w:sz w:val="18"/>
          <w:szCs w:val="22"/>
          <w:rtl/>
          <w:lang w:eastAsia="he-IL"/>
        </w:rPr>
        <w:t xml:space="preserve"> לשיווק קרקע </w:t>
      </w:r>
      <w:r w:rsidRPr="00F41E78">
        <w:rPr>
          <w:rFonts w:eastAsia="Calibri" w:cs="FrankRuehl" w:hint="cs"/>
          <w:sz w:val="18"/>
          <w:szCs w:val="22"/>
          <w:rtl/>
          <w:lang w:eastAsia="he-IL"/>
        </w:rPr>
        <w:t>לבניית</w:t>
      </w:r>
      <w:r w:rsidRPr="00F41E78">
        <w:rPr>
          <w:rFonts w:eastAsia="Calibri" w:cs="FrankRuehl"/>
          <w:sz w:val="18"/>
          <w:szCs w:val="22"/>
          <w:rtl/>
          <w:lang w:eastAsia="he-IL"/>
        </w:rPr>
        <w:t xml:space="preserve"> 238 יח"ד ברעננה למגורים להשכרה ארוכת טווח לפי מסלול ב</w:t>
      </w:r>
      <w:r w:rsidRPr="00F41E78">
        <w:rPr>
          <w:rFonts w:eastAsia="Calibri" w:cs="FrankRuehl" w:hint="cs"/>
          <w:sz w:val="18"/>
          <w:szCs w:val="22"/>
          <w:rtl/>
          <w:lang w:eastAsia="he-IL"/>
        </w:rPr>
        <w:t xml:space="preserve">. </w:t>
      </w:r>
      <w:r w:rsidRPr="00F41E78">
        <w:rPr>
          <w:rFonts w:eastAsia="Calibri" w:cs="FrankRuehl"/>
          <w:sz w:val="18"/>
          <w:szCs w:val="22"/>
          <w:rtl/>
          <w:lang w:eastAsia="he-IL"/>
        </w:rPr>
        <w:t xml:space="preserve">60 יח"ד מיועדות לשכירות </w:t>
      </w:r>
      <w:r w:rsidRPr="00F41E78">
        <w:rPr>
          <w:rFonts w:eastAsia="Calibri" w:cs="FrankRuehl" w:hint="cs"/>
          <w:sz w:val="18"/>
          <w:szCs w:val="22"/>
          <w:rtl/>
          <w:lang w:eastAsia="he-IL"/>
        </w:rPr>
        <w:t xml:space="preserve">במחיר </w:t>
      </w:r>
      <w:r w:rsidRPr="00F41E78">
        <w:rPr>
          <w:rFonts w:eastAsia="Calibri" w:cs="FrankRuehl"/>
          <w:sz w:val="18"/>
          <w:szCs w:val="22"/>
          <w:rtl/>
          <w:lang w:eastAsia="he-IL"/>
        </w:rPr>
        <w:t>מפוקח</w:t>
      </w:r>
      <w:r w:rsidRPr="00F41E78">
        <w:rPr>
          <w:rFonts w:eastAsia="Calibri" w:cs="FrankRuehl" w:hint="cs"/>
          <w:sz w:val="18"/>
          <w:szCs w:val="22"/>
          <w:rtl/>
          <w:lang w:eastAsia="he-IL"/>
        </w:rPr>
        <w:t xml:space="preserve"> ומופחת ו-</w:t>
      </w:r>
      <w:r w:rsidRPr="00F41E78">
        <w:rPr>
          <w:rFonts w:eastAsia="Calibri" w:cs="FrankRuehl"/>
          <w:sz w:val="18"/>
          <w:szCs w:val="22"/>
          <w:rtl/>
          <w:lang w:eastAsia="he-IL"/>
        </w:rPr>
        <w:t>178 לשכירות במחירי שוק</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המכרז </w:t>
      </w:r>
      <w:r w:rsidRPr="00F41E78">
        <w:rPr>
          <w:rFonts w:eastAsia="Calibri" w:cs="FrankRuehl"/>
          <w:sz w:val="18"/>
          <w:szCs w:val="22"/>
          <w:rtl/>
          <w:lang w:eastAsia="he-IL"/>
        </w:rPr>
        <w:t>פורסם ללא מחיר מינימום והמציעים התחרו על מחיר הקרקע.</w:t>
      </w:r>
    </w:p>
    <w:p w:rsidR="00E97EDA" w:rsidRPr="00F41E78" w:rsidP="00F07DDA">
      <w:pPr>
        <w:spacing w:after="240" w:line="230" w:lineRule="exact"/>
        <w:jc w:val="both"/>
        <w:rPr>
          <w:rFonts w:eastAsia="Calibri" w:cs="FrankRuehl"/>
          <w:sz w:val="18"/>
          <w:szCs w:val="22"/>
          <w:rtl/>
          <w:lang w:eastAsia="he-IL"/>
        </w:rPr>
      </w:pPr>
      <w:r w:rsidRPr="00F41E78">
        <w:rPr>
          <w:rFonts w:cs="FrankRuehl" w:hint="cs"/>
          <w:sz w:val="18"/>
          <w:szCs w:val="22"/>
          <w:rtl/>
        </w:rPr>
        <w:t xml:space="preserve">בדצמבר 2012 אמד שמאי מטעם רמ"י את שיווי הקרקע ברעננה. השמאי העריך את </w:t>
      </w:r>
      <w:r w:rsidRPr="00F41E78">
        <w:rPr>
          <w:rFonts w:eastAsia="Calibri" w:cs="FrankRuehl"/>
          <w:sz w:val="18"/>
          <w:szCs w:val="22"/>
          <w:rtl/>
          <w:lang w:eastAsia="he-IL"/>
        </w:rPr>
        <w:t>שווי הקרקע</w:t>
      </w:r>
      <w:r w:rsidRPr="00F41E78">
        <w:rPr>
          <w:rFonts w:eastAsia="Calibri" w:cs="FrankRuehl" w:hint="cs"/>
          <w:sz w:val="18"/>
          <w:szCs w:val="22"/>
          <w:rtl/>
          <w:lang w:eastAsia="he-IL"/>
        </w:rPr>
        <w:t xml:space="preserve"> </w:t>
      </w:r>
      <w:r w:rsidRPr="00F41E78">
        <w:rPr>
          <w:rFonts w:eastAsia="Calibri" w:cs="FrankRuehl"/>
          <w:sz w:val="18"/>
          <w:szCs w:val="22"/>
          <w:rtl/>
          <w:lang w:eastAsia="he-IL"/>
        </w:rPr>
        <w:t xml:space="preserve">שתשווק </w:t>
      </w:r>
      <w:r w:rsidRPr="00F41E78">
        <w:rPr>
          <w:rFonts w:eastAsia="Calibri" w:cs="FrankRuehl" w:hint="cs"/>
          <w:sz w:val="18"/>
          <w:szCs w:val="22"/>
          <w:rtl/>
          <w:lang w:eastAsia="he-IL"/>
        </w:rPr>
        <w:t xml:space="preserve">בייעוד </w:t>
      </w:r>
      <w:r w:rsidRPr="00F41E78">
        <w:rPr>
          <w:rFonts w:eastAsia="Calibri" w:cs="FrankRuehl"/>
          <w:sz w:val="18"/>
          <w:szCs w:val="22"/>
          <w:rtl/>
          <w:lang w:eastAsia="he-IL"/>
        </w:rPr>
        <w:t>להשכר</w:t>
      </w:r>
      <w:r w:rsidRPr="00F41E78">
        <w:rPr>
          <w:rFonts w:eastAsia="Calibri" w:cs="FrankRuehl" w:hint="cs"/>
          <w:sz w:val="18"/>
          <w:szCs w:val="22"/>
          <w:rtl/>
          <w:lang w:eastAsia="he-IL"/>
        </w:rPr>
        <w:t>ה ב-</w:t>
      </w:r>
      <w:r w:rsidRPr="00F41E78">
        <w:rPr>
          <w:rFonts w:eastAsia="Calibri" w:cs="FrankRuehl"/>
          <w:sz w:val="18"/>
          <w:szCs w:val="22"/>
          <w:rtl/>
          <w:lang w:eastAsia="he-IL"/>
        </w:rPr>
        <w:t>22.56 מ</w:t>
      </w:r>
      <w:r w:rsidRPr="00F41E78">
        <w:rPr>
          <w:rFonts w:eastAsia="Calibri" w:cs="FrankRuehl" w:hint="cs"/>
          <w:sz w:val="18"/>
          <w:szCs w:val="22"/>
          <w:rtl/>
          <w:lang w:eastAsia="he-IL"/>
        </w:rPr>
        <w:t>י</w:t>
      </w:r>
      <w:r w:rsidRPr="00F41E78">
        <w:rPr>
          <w:rFonts w:eastAsia="Calibri" w:cs="FrankRuehl"/>
          <w:sz w:val="18"/>
          <w:szCs w:val="22"/>
          <w:rtl/>
          <w:lang w:eastAsia="he-IL"/>
        </w:rPr>
        <w:t>ליון ש"ח</w:t>
      </w:r>
      <w:r w:rsidRPr="00F41E78">
        <w:rPr>
          <w:rFonts w:eastAsia="Calibri" w:cs="FrankRuehl" w:hint="cs"/>
          <w:sz w:val="18"/>
          <w:szCs w:val="22"/>
          <w:rtl/>
          <w:lang w:eastAsia="he-IL"/>
        </w:rPr>
        <w:t>,</w:t>
      </w:r>
      <w:r w:rsidRPr="00F41E78">
        <w:rPr>
          <w:rFonts w:eastAsia="Calibri" w:cs="FrankRuehl"/>
          <w:sz w:val="18"/>
          <w:szCs w:val="22"/>
          <w:rtl/>
          <w:lang w:eastAsia="he-IL"/>
        </w:rPr>
        <w:t xml:space="preserve"> ובממוצע 94,800 </w:t>
      </w:r>
      <w:r w:rsidRPr="00F41E78">
        <w:rPr>
          <w:rFonts w:eastAsia="Calibri" w:cs="FrankRuehl" w:hint="cs"/>
          <w:sz w:val="18"/>
          <w:szCs w:val="22"/>
          <w:rtl/>
          <w:lang w:eastAsia="he-IL"/>
        </w:rPr>
        <w:t xml:space="preserve">ש"ח </w:t>
      </w:r>
      <w:r w:rsidRPr="00F41E78">
        <w:rPr>
          <w:rFonts w:eastAsia="Calibri" w:cs="FrankRuehl"/>
          <w:sz w:val="18"/>
          <w:szCs w:val="22"/>
          <w:rtl/>
          <w:lang w:eastAsia="he-IL"/>
        </w:rPr>
        <w:t xml:space="preserve">לכל יח"ד. השמאי ציין כי במאי 2012 </w:t>
      </w:r>
      <w:r w:rsidRPr="00F41E78">
        <w:rPr>
          <w:rFonts w:eastAsia="Calibri" w:cs="FrankRuehl" w:hint="cs"/>
          <w:sz w:val="18"/>
          <w:szCs w:val="22"/>
          <w:rtl/>
          <w:lang w:eastAsia="he-IL"/>
        </w:rPr>
        <w:t xml:space="preserve">הוא אמד את שווי הקרקע </w:t>
      </w:r>
      <w:r w:rsidRPr="00F41E78">
        <w:rPr>
          <w:rFonts w:eastAsia="Calibri" w:cs="FrankRuehl"/>
          <w:sz w:val="18"/>
          <w:szCs w:val="22"/>
          <w:rtl/>
          <w:lang w:eastAsia="he-IL"/>
        </w:rPr>
        <w:t>לפי שווי</w:t>
      </w:r>
      <w:r w:rsidRPr="00F41E78">
        <w:rPr>
          <w:rFonts w:eastAsia="Calibri" w:cs="FrankRuehl" w:hint="cs"/>
          <w:sz w:val="18"/>
          <w:szCs w:val="22"/>
          <w:rtl/>
          <w:lang w:eastAsia="he-IL"/>
        </w:rPr>
        <w:t>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בייעוד למכירה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וערכה היה </w:t>
      </w:r>
      <w:r w:rsidRPr="00F41E78">
        <w:rPr>
          <w:rFonts w:eastAsia="Calibri" w:cs="FrankRuehl"/>
          <w:sz w:val="18"/>
          <w:szCs w:val="22"/>
          <w:rtl/>
          <w:lang w:eastAsia="he-IL"/>
        </w:rPr>
        <w:t>178.5 מ</w:t>
      </w:r>
      <w:r w:rsidRPr="00F41E78">
        <w:rPr>
          <w:rFonts w:eastAsia="Calibri" w:cs="FrankRuehl" w:hint="cs"/>
          <w:sz w:val="18"/>
          <w:szCs w:val="22"/>
          <w:rtl/>
          <w:lang w:eastAsia="he-IL"/>
        </w:rPr>
        <w:t>י</w:t>
      </w:r>
      <w:r w:rsidRPr="00F41E78">
        <w:rPr>
          <w:rFonts w:eastAsia="Calibri" w:cs="FrankRuehl"/>
          <w:sz w:val="18"/>
          <w:szCs w:val="22"/>
          <w:rtl/>
          <w:lang w:eastAsia="he-IL"/>
        </w:rPr>
        <w:t xml:space="preserve">ליון </w:t>
      </w:r>
      <w:r w:rsidRPr="00F41E78">
        <w:rPr>
          <w:rFonts w:eastAsia="Calibri" w:cs="FrankRuehl" w:hint="cs"/>
          <w:sz w:val="18"/>
          <w:szCs w:val="22"/>
          <w:rtl/>
          <w:lang w:eastAsia="he-IL"/>
        </w:rPr>
        <w:t>ש"ח, וב</w:t>
      </w:r>
      <w:r w:rsidRPr="00F41E78">
        <w:rPr>
          <w:rFonts w:eastAsia="Calibri" w:cs="FrankRuehl"/>
          <w:sz w:val="18"/>
          <w:szCs w:val="22"/>
          <w:rtl/>
          <w:lang w:eastAsia="he-IL"/>
        </w:rPr>
        <w:t xml:space="preserve">ממוצע 750,000 </w:t>
      </w:r>
      <w:r w:rsidRPr="00F41E78">
        <w:rPr>
          <w:rFonts w:eastAsia="Calibri" w:cs="FrankRuehl" w:hint="cs"/>
          <w:sz w:val="18"/>
          <w:szCs w:val="22"/>
          <w:rtl/>
          <w:lang w:eastAsia="he-IL"/>
        </w:rPr>
        <w:t xml:space="preserve">ש"ח </w:t>
      </w:r>
      <w:r w:rsidRPr="00F41E78">
        <w:rPr>
          <w:rFonts w:eastAsia="Calibri" w:cs="FrankRuehl"/>
          <w:sz w:val="18"/>
          <w:szCs w:val="22"/>
          <w:rtl/>
          <w:lang w:eastAsia="he-IL"/>
        </w:rPr>
        <w:t>ליח"ד. כלומר</w:t>
      </w:r>
      <w:r w:rsidRPr="00F41E78">
        <w:rPr>
          <w:rFonts w:eastAsia="Calibri" w:cs="FrankRuehl" w:hint="cs"/>
          <w:sz w:val="18"/>
          <w:szCs w:val="22"/>
          <w:rtl/>
          <w:lang w:eastAsia="he-IL"/>
        </w:rPr>
        <w:t>,</w:t>
      </w:r>
      <w:r w:rsidRPr="00F41E78">
        <w:rPr>
          <w:rFonts w:eastAsia="Calibri" w:cs="FrankRuehl"/>
          <w:sz w:val="18"/>
          <w:szCs w:val="22"/>
          <w:rtl/>
          <w:lang w:eastAsia="he-IL"/>
        </w:rPr>
        <w:t xml:space="preserve"> היחס בין שווי הקרקע להשכרה לעומת שוו</w:t>
      </w:r>
      <w:r w:rsidRPr="00F41E78">
        <w:rPr>
          <w:rFonts w:eastAsia="Calibri" w:cs="FrankRuehl" w:hint="cs"/>
          <w:sz w:val="18"/>
          <w:szCs w:val="22"/>
          <w:rtl/>
          <w:lang w:eastAsia="he-IL"/>
        </w:rPr>
        <w:t>י</w:t>
      </w:r>
      <w:r w:rsidRPr="00F41E78">
        <w:rPr>
          <w:rFonts w:eastAsia="Calibri" w:cs="FrankRuehl"/>
          <w:sz w:val="18"/>
          <w:szCs w:val="22"/>
          <w:rtl/>
          <w:lang w:eastAsia="he-IL"/>
        </w:rPr>
        <w:t xml:space="preserve">ה למכירה </w:t>
      </w:r>
      <w:r w:rsidRPr="00F41E78">
        <w:rPr>
          <w:rFonts w:eastAsia="Calibri" w:cs="FrankRuehl" w:hint="cs"/>
          <w:sz w:val="18"/>
          <w:szCs w:val="22"/>
          <w:rtl/>
          <w:lang w:eastAsia="he-IL"/>
        </w:rPr>
        <w:t>היה</w:t>
      </w:r>
      <w:r w:rsidRPr="00F41E78">
        <w:rPr>
          <w:rFonts w:eastAsia="Calibri" w:cs="FrankRuehl"/>
          <w:sz w:val="18"/>
          <w:szCs w:val="22"/>
          <w:rtl/>
          <w:lang w:eastAsia="he-IL"/>
        </w:rPr>
        <w:t xml:space="preserve"> 1:8 (שווי הקרקע עבור השכרה הוא 12.64% משוויה עבור מכירה)</w:t>
      </w:r>
      <w:r w:rsidRPr="00F41E78">
        <w:rPr>
          <w:rFonts w:eastAsia="Calibri" w:cs="FrankRuehl" w:hint="cs"/>
          <w:sz w:val="18"/>
          <w:szCs w:val="22"/>
          <w:rtl/>
          <w:lang w:eastAsia="he-IL"/>
        </w:rPr>
        <w:t>;</w:t>
      </w:r>
      <w:r w:rsidRPr="00F41E78">
        <w:rPr>
          <w:rFonts w:eastAsia="Calibri" w:cs="FrankRuehl"/>
          <w:sz w:val="18"/>
          <w:szCs w:val="22"/>
          <w:rtl/>
          <w:lang w:eastAsia="he-IL"/>
        </w:rPr>
        <w:t xml:space="preserve"> ובסך הכול </w:t>
      </w:r>
      <w:r w:rsidRPr="00F41E78">
        <w:rPr>
          <w:rFonts w:eastAsia="Calibri" w:cs="FrankRuehl" w:hint="cs"/>
          <w:sz w:val="18"/>
          <w:szCs w:val="22"/>
          <w:rtl/>
          <w:lang w:eastAsia="he-IL"/>
        </w:rPr>
        <w:t>הפער</w:t>
      </w:r>
      <w:r w:rsidRPr="00F41E78">
        <w:rPr>
          <w:rFonts w:eastAsia="Calibri" w:cs="FrankRuehl"/>
          <w:sz w:val="18"/>
          <w:szCs w:val="22"/>
          <w:rtl/>
          <w:lang w:eastAsia="he-IL"/>
        </w:rPr>
        <w:t xml:space="preserve"> </w:t>
      </w:r>
      <w:r w:rsidRPr="00F41E78">
        <w:rPr>
          <w:rFonts w:eastAsia="Calibri" w:cs="FrankRuehl" w:hint="cs"/>
          <w:sz w:val="18"/>
          <w:szCs w:val="22"/>
          <w:rtl/>
          <w:lang w:eastAsia="he-IL"/>
        </w:rPr>
        <w:t>בין</w:t>
      </w:r>
      <w:r w:rsidRPr="00F41E78">
        <w:rPr>
          <w:rFonts w:eastAsia="Calibri" w:cs="FrankRuehl"/>
          <w:sz w:val="18"/>
          <w:szCs w:val="22"/>
          <w:rtl/>
          <w:lang w:eastAsia="he-IL"/>
        </w:rPr>
        <w:t xml:space="preserve"> </w:t>
      </w:r>
      <w:r w:rsidRPr="00F41E78">
        <w:rPr>
          <w:rFonts w:eastAsia="Calibri" w:cs="FrankRuehl" w:hint="cs"/>
          <w:sz w:val="18"/>
          <w:szCs w:val="22"/>
          <w:rtl/>
          <w:lang w:eastAsia="he-IL"/>
        </w:rPr>
        <w:t>שוויה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של </w:t>
      </w:r>
      <w:r w:rsidRPr="00F41E78">
        <w:rPr>
          <w:rFonts w:eastAsia="Calibri" w:cs="FrankRuehl"/>
          <w:sz w:val="18"/>
          <w:szCs w:val="22"/>
          <w:rtl/>
          <w:lang w:eastAsia="he-IL"/>
        </w:rPr>
        <w:t>הקרקע לצורך בנייה להשכרה</w:t>
      </w:r>
      <w:r w:rsidRPr="00F41E78">
        <w:rPr>
          <w:rFonts w:eastAsia="Calibri" w:cs="FrankRuehl" w:hint="cs"/>
          <w:sz w:val="18"/>
          <w:szCs w:val="22"/>
          <w:rtl/>
          <w:lang w:eastAsia="he-IL"/>
        </w:rPr>
        <w:t xml:space="preserve"> לעומת מכירה הוא</w:t>
      </w:r>
      <w:r w:rsidRPr="00F41E78">
        <w:rPr>
          <w:rFonts w:eastAsia="Calibri" w:cs="FrankRuehl"/>
          <w:sz w:val="18"/>
          <w:szCs w:val="22"/>
          <w:rtl/>
          <w:lang w:eastAsia="he-IL"/>
        </w:rPr>
        <w:t xml:space="preserve"> </w:t>
      </w:r>
      <w:r w:rsidRPr="00F41E78">
        <w:rPr>
          <w:rFonts w:eastAsia="Calibri" w:cs="FrankRuehl" w:hint="cs"/>
          <w:sz w:val="18"/>
          <w:szCs w:val="22"/>
          <w:rtl/>
          <w:lang w:eastAsia="he-IL"/>
        </w:rPr>
        <w:t>יותר</w:t>
      </w:r>
      <w:r w:rsidRPr="00F41E78">
        <w:rPr>
          <w:rFonts w:eastAsia="Calibri" w:cs="FrankRuehl"/>
          <w:sz w:val="18"/>
          <w:szCs w:val="22"/>
          <w:rtl/>
          <w:lang w:eastAsia="he-IL"/>
        </w:rPr>
        <w:t xml:space="preserve"> מ-157 מ</w:t>
      </w:r>
      <w:r w:rsidRPr="00F41E78">
        <w:rPr>
          <w:rFonts w:eastAsia="Calibri" w:cs="FrankRuehl" w:hint="cs"/>
          <w:sz w:val="18"/>
          <w:szCs w:val="22"/>
          <w:rtl/>
          <w:lang w:eastAsia="he-IL"/>
        </w:rPr>
        <w:t>י</w:t>
      </w:r>
      <w:r w:rsidRPr="00F41E78">
        <w:rPr>
          <w:rFonts w:eastAsia="Calibri" w:cs="FrankRuehl"/>
          <w:sz w:val="18"/>
          <w:szCs w:val="22"/>
          <w:rtl/>
          <w:lang w:eastAsia="he-IL"/>
        </w:rPr>
        <w:t>ליון ש"ח.</w:t>
      </w:r>
    </w:p>
    <w:p w:rsidR="00D22B16" w:rsidRPr="00F41E78" w:rsidP="00D22B16">
      <w:pPr>
        <w:pStyle w:val="RESHET"/>
        <w:keepLines/>
        <w:rPr>
          <w:rFonts w:eastAsia="Calibri"/>
          <w:rtl/>
        </w:rPr>
      </w:pPr>
      <w:r w:rsidRPr="00F41E78">
        <w:rPr>
          <w:rFonts w:eastAsia="Calibri"/>
          <w:rtl/>
        </w:rPr>
        <w:t xml:space="preserve">בביקורת עלה כי </w:t>
      </w:r>
      <w:r>
        <w:rPr>
          <w:rFonts w:eastAsia="Calibri"/>
          <w:rtl/>
        </w:rPr>
        <w:t>משרדי הבינוי</w:t>
      </w:r>
      <w:r w:rsidRPr="00F41E78">
        <w:rPr>
          <w:rFonts w:eastAsia="Calibri" w:hint="cs"/>
          <w:rtl/>
        </w:rPr>
        <w:t xml:space="preserve"> ו</w:t>
      </w:r>
      <w:r w:rsidRPr="00F41E78">
        <w:rPr>
          <w:rFonts w:eastAsia="Calibri"/>
          <w:rtl/>
        </w:rPr>
        <w:t xml:space="preserve">האוצר ורמ"י לא דנו </w:t>
      </w:r>
      <w:r w:rsidRPr="00F41E78">
        <w:rPr>
          <w:rFonts w:eastAsia="Calibri" w:hint="cs"/>
          <w:rtl/>
        </w:rPr>
        <w:t>לפני</w:t>
      </w:r>
      <w:r w:rsidRPr="00F41E78">
        <w:rPr>
          <w:rFonts w:eastAsia="Calibri"/>
          <w:rtl/>
        </w:rPr>
        <w:t xml:space="preserve"> פרסום המכרז בתמורה הכספית הצפויה להתקבל ממכירת הקרקע, אף שהיו בידיהם אינדיקטורים לכך שהתמורה תהיה נמוכה ביותר</w:t>
      </w:r>
      <w:r w:rsidRPr="00F41E78">
        <w:rPr>
          <w:rFonts w:eastAsia="Calibri" w:hint="cs"/>
          <w:rtl/>
        </w:rPr>
        <w:t>. כמו כן,</w:t>
      </w:r>
      <w:r w:rsidRPr="00F41E78">
        <w:rPr>
          <w:rFonts w:eastAsia="Calibri"/>
          <w:rtl/>
        </w:rPr>
        <w:t xml:space="preserve"> הם לא העריכו את התפוקות </w:t>
      </w:r>
      <w:r w:rsidRPr="00F41E78">
        <w:rPr>
          <w:rFonts w:eastAsia="Calibri" w:hint="cs"/>
          <w:rtl/>
        </w:rPr>
        <w:t xml:space="preserve">שיניב </w:t>
      </w:r>
      <w:r w:rsidRPr="00F41E78">
        <w:rPr>
          <w:rFonts w:eastAsia="Calibri"/>
          <w:rtl/>
        </w:rPr>
        <w:t xml:space="preserve">פרויקט כזה, </w:t>
      </w:r>
      <w:r w:rsidRPr="00F41E78">
        <w:rPr>
          <w:rFonts w:eastAsia="Calibri" w:hint="cs"/>
          <w:rtl/>
        </w:rPr>
        <w:t>את ההשפעות</w:t>
      </w:r>
      <w:r w:rsidRPr="00F41E78">
        <w:rPr>
          <w:rFonts w:eastAsia="Calibri"/>
          <w:rtl/>
        </w:rPr>
        <w:t xml:space="preserve"> הצפויות </w:t>
      </w:r>
      <w:r w:rsidRPr="00F41E78">
        <w:rPr>
          <w:rFonts w:eastAsia="Calibri" w:hint="cs"/>
          <w:rtl/>
        </w:rPr>
        <w:t xml:space="preserve">של </w:t>
      </w:r>
      <w:r w:rsidRPr="00F41E78">
        <w:rPr>
          <w:rFonts w:eastAsia="Calibri"/>
          <w:rtl/>
        </w:rPr>
        <w:t>תוצאות המכרז ו</w:t>
      </w:r>
      <w:r w:rsidRPr="00F41E78">
        <w:rPr>
          <w:rFonts w:eastAsia="Calibri" w:hint="cs"/>
          <w:rtl/>
        </w:rPr>
        <w:t xml:space="preserve">את </w:t>
      </w:r>
      <w:r w:rsidRPr="00F41E78">
        <w:rPr>
          <w:rFonts w:eastAsia="Calibri"/>
          <w:rtl/>
        </w:rPr>
        <w:t xml:space="preserve">התועלות הכלכליות שתפיק המדינה </w:t>
      </w:r>
      <w:r w:rsidRPr="00F41E78">
        <w:rPr>
          <w:rFonts w:eastAsia="Calibri" w:hint="cs"/>
          <w:rtl/>
        </w:rPr>
        <w:t>ממתן</w:t>
      </w:r>
      <w:r w:rsidRPr="00F41E78">
        <w:rPr>
          <w:rFonts w:eastAsia="Calibri"/>
          <w:rtl/>
        </w:rPr>
        <w:t xml:space="preserve"> ההנחה ה</w:t>
      </w:r>
      <w:r w:rsidRPr="00F41E78">
        <w:rPr>
          <w:rFonts w:eastAsia="Calibri" w:hint="cs"/>
          <w:rtl/>
        </w:rPr>
        <w:t>ניכרת</w:t>
      </w:r>
      <w:r w:rsidRPr="00F41E78">
        <w:rPr>
          <w:rFonts w:eastAsia="Calibri"/>
          <w:rtl/>
        </w:rPr>
        <w:t xml:space="preserve"> </w:t>
      </w:r>
      <w:r w:rsidRPr="00F41E78">
        <w:rPr>
          <w:rFonts w:eastAsia="Calibri" w:hint="cs"/>
          <w:rtl/>
        </w:rPr>
        <w:t>במחיר</w:t>
      </w:r>
      <w:r w:rsidRPr="00F41E78">
        <w:rPr>
          <w:rFonts w:eastAsia="Calibri"/>
          <w:rtl/>
        </w:rPr>
        <w:t xml:space="preserve"> הקרקע.</w:t>
      </w:r>
    </w:p>
    <w:p w:rsidR="00E97EDA" w:rsidRPr="00F41E78" w:rsidP="00F07DDA">
      <w:pPr>
        <w:spacing w:before="180" w:after="240" w:line="230" w:lineRule="exact"/>
        <w:jc w:val="both"/>
        <w:rPr>
          <w:rFonts w:eastAsia="Calibri" w:cs="FrankRuehl"/>
          <w:sz w:val="18"/>
          <w:szCs w:val="22"/>
          <w:highlight w:val="yellow"/>
          <w:rtl/>
          <w:lang w:eastAsia="he-IL"/>
        </w:rPr>
      </w:pPr>
      <w:r w:rsidRPr="00F41E78">
        <w:rPr>
          <w:rFonts w:eastAsia="Calibri" w:cs="FrankRuehl"/>
          <w:sz w:val="18"/>
          <w:szCs w:val="22"/>
          <w:rtl/>
          <w:lang w:eastAsia="he-IL"/>
        </w:rPr>
        <w:t>ב-2.1.13 התכנסה ועדת המכרזים ברמ"י והחליטה להקצות את ה</w:t>
      </w:r>
      <w:r w:rsidRPr="00F41E78">
        <w:rPr>
          <w:rFonts w:eastAsia="Calibri" w:cs="FrankRuehl" w:hint="cs"/>
          <w:sz w:val="18"/>
          <w:szCs w:val="22"/>
          <w:rtl/>
          <w:lang w:eastAsia="he-IL"/>
        </w:rPr>
        <w:t xml:space="preserve">קרקע </w:t>
      </w:r>
      <w:r w:rsidRPr="00F41E78">
        <w:rPr>
          <w:rFonts w:eastAsia="Calibri" w:cs="FrankRuehl"/>
          <w:sz w:val="18"/>
          <w:szCs w:val="22"/>
          <w:rtl/>
          <w:lang w:eastAsia="he-IL"/>
        </w:rPr>
        <w:t>ליזם שהציע לשלם</w:t>
      </w:r>
      <w:r w:rsidRPr="00F41E78">
        <w:rPr>
          <w:rFonts w:eastAsia="Calibri" w:cs="FrankRuehl" w:hint="cs"/>
          <w:sz w:val="18"/>
          <w:szCs w:val="22"/>
          <w:rtl/>
          <w:lang w:eastAsia="he-IL"/>
        </w:rPr>
        <w:t xml:space="preserve"> עבורה</w:t>
      </w:r>
      <w:r w:rsidRPr="00F41E78">
        <w:rPr>
          <w:rFonts w:eastAsia="Calibri" w:cs="FrankRuehl"/>
          <w:sz w:val="18"/>
          <w:szCs w:val="22"/>
          <w:rtl/>
          <w:lang w:eastAsia="he-IL"/>
        </w:rPr>
        <w:t xml:space="preserve"> 21.15 מ</w:t>
      </w:r>
      <w:r w:rsidRPr="00F41E78">
        <w:rPr>
          <w:rFonts w:eastAsia="Calibri" w:cs="FrankRuehl" w:hint="cs"/>
          <w:sz w:val="18"/>
          <w:szCs w:val="22"/>
          <w:rtl/>
          <w:lang w:eastAsia="he-IL"/>
        </w:rPr>
        <w:t>י</w:t>
      </w:r>
      <w:r w:rsidRPr="00F41E78">
        <w:rPr>
          <w:rFonts w:eastAsia="Calibri" w:cs="FrankRuehl"/>
          <w:sz w:val="18"/>
          <w:szCs w:val="22"/>
          <w:rtl/>
          <w:lang w:eastAsia="he-IL"/>
        </w:rPr>
        <w:t xml:space="preserve">ליון </w:t>
      </w:r>
      <w:r w:rsidRPr="00F41E78">
        <w:rPr>
          <w:rFonts w:eastAsia="Calibri" w:cs="FrankRuehl" w:hint="cs"/>
          <w:sz w:val="18"/>
          <w:szCs w:val="22"/>
          <w:rtl/>
          <w:lang w:eastAsia="he-IL"/>
        </w:rPr>
        <w:t>ש"ח.</w:t>
      </w:r>
      <w:r w:rsidRPr="00F41E78">
        <w:rPr>
          <w:rFonts w:eastAsia="Calibri" w:cs="FrankRuehl"/>
          <w:sz w:val="18"/>
          <w:szCs w:val="22"/>
          <w:rtl/>
          <w:lang w:eastAsia="he-IL"/>
        </w:rPr>
        <w:t xml:space="preserve"> </w:t>
      </w:r>
      <w:r w:rsidRPr="00F41E78">
        <w:rPr>
          <w:rFonts w:eastAsia="Calibri" w:cs="FrankRuehl" w:hint="cs"/>
          <w:sz w:val="18"/>
          <w:szCs w:val="22"/>
          <w:rtl/>
          <w:lang w:eastAsia="he-IL"/>
        </w:rPr>
        <w:t>דהיינו, הפסד הכנסות המדינה משיווק הקרקע לבניית 238 יח"ד להשכרה ולא למכירה מסתכם בכ-157 מיליון ש"ח.</w:t>
      </w:r>
      <w:r w:rsidRPr="00F41E78">
        <w:rPr>
          <w:rFonts w:eastAsia="Calibri" w:cs="FrankRuehl"/>
          <w:b/>
          <w:bCs/>
          <w:sz w:val="18"/>
          <w:szCs w:val="22"/>
          <w:rtl/>
          <w:lang w:eastAsia="he-IL"/>
        </w:rPr>
        <w:t xml:space="preserve"> </w:t>
      </w:r>
      <w:r w:rsidRPr="00F41E78">
        <w:rPr>
          <w:rFonts w:eastAsia="Calibri" w:cs="FrankRuehl" w:hint="cs"/>
          <w:sz w:val="18"/>
          <w:szCs w:val="22"/>
          <w:rtl/>
          <w:lang w:eastAsia="he-IL"/>
        </w:rPr>
        <w:t xml:space="preserve">הפסד ההכנסות בגין כל יח"ד שתושכר במחיר מפוקח ומופחת הוא </w:t>
      </w:r>
      <w:r w:rsidRPr="00F41E78">
        <w:rPr>
          <w:rFonts w:eastAsia="Calibri" w:cs="FrankRuehl"/>
          <w:sz w:val="18"/>
          <w:szCs w:val="22"/>
          <w:rtl/>
          <w:lang w:eastAsia="he-IL"/>
        </w:rPr>
        <w:t>כ</w:t>
      </w:r>
      <w:r w:rsidRPr="00F41E78">
        <w:rPr>
          <w:rFonts w:eastAsia="Calibri" w:cs="FrankRuehl" w:hint="cs"/>
          <w:sz w:val="18"/>
          <w:szCs w:val="22"/>
          <w:rtl/>
          <w:lang w:eastAsia="he-IL"/>
        </w:rPr>
        <w:t>-2.6</w:t>
      </w:r>
      <w:r w:rsidRPr="00F41E78">
        <w:rPr>
          <w:rFonts w:eastAsia="Calibri" w:cs="FrankRuehl"/>
          <w:sz w:val="18"/>
          <w:szCs w:val="22"/>
          <w:rtl/>
          <w:lang w:eastAsia="he-IL"/>
        </w:rPr>
        <w:t xml:space="preserve"> מ</w:t>
      </w:r>
      <w:r w:rsidRPr="00F41E78">
        <w:rPr>
          <w:rFonts w:eastAsia="Calibri" w:cs="FrankRuehl" w:hint="cs"/>
          <w:sz w:val="18"/>
          <w:szCs w:val="22"/>
          <w:rtl/>
          <w:lang w:eastAsia="he-IL"/>
        </w:rPr>
        <w:t xml:space="preserve">יליון </w:t>
      </w:r>
      <w:r w:rsidRPr="00F41E78">
        <w:rPr>
          <w:rFonts w:eastAsia="Calibri" w:cs="FrankRuehl"/>
          <w:sz w:val="18"/>
          <w:szCs w:val="22"/>
          <w:rtl/>
          <w:lang w:eastAsia="he-IL"/>
        </w:rPr>
        <w:t>ש"ח</w:t>
      </w:r>
      <w:r w:rsidRPr="00F41E78">
        <w:rPr>
          <w:rFonts w:eastAsia="Calibri" w:cs="FrankRuehl" w:hint="cs"/>
          <w:sz w:val="18"/>
          <w:szCs w:val="22"/>
          <w:rtl/>
          <w:lang w:eastAsia="he-IL"/>
        </w:rPr>
        <w:t xml:space="preserve">. בביקורת עלה כי </w:t>
      </w:r>
      <w:r w:rsidRPr="00F41E78">
        <w:rPr>
          <w:rFonts w:eastAsia="Calibri" w:cs="FrankRuehl"/>
          <w:sz w:val="18"/>
          <w:szCs w:val="22"/>
          <w:rtl/>
          <w:lang w:eastAsia="he-IL"/>
        </w:rPr>
        <w:t>חברי ועדת המכרזים היו ערים למחיר הנמוך ששולם על הקרקע</w:t>
      </w:r>
      <w:r w:rsidRPr="00F41E78">
        <w:rPr>
          <w:rFonts w:eastAsia="Calibri" w:cs="FrankRuehl" w:hint="cs"/>
          <w:sz w:val="18"/>
          <w:szCs w:val="22"/>
          <w:rtl/>
          <w:lang w:eastAsia="he-IL"/>
        </w:rPr>
        <w:t>,</w:t>
      </w:r>
      <w:r w:rsidRPr="00F41E78">
        <w:rPr>
          <w:rFonts w:eastAsia="Calibri" w:cs="FrankRuehl"/>
          <w:sz w:val="18"/>
          <w:szCs w:val="22"/>
          <w:rtl/>
          <w:lang w:eastAsia="he-IL"/>
        </w:rPr>
        <w:t xml:space="preserve"> ובהחלטתם ציינו כי "לאור תוצאות המכרזים בבנייה להשכרה ועדת המכרזים מבקשת לקיים דיון עקרוני בהנהלה ביישום החלטת המועצה 1248".</w:t>
      </w:r>
    </w:p>
    <w:p w:rsidR="00D22B16" w:rsidRPr="00F41E78" w:rsidP="00D22B16">
      <w:pPr>
        <w:pStyle w:val="RESHET"/>
        <w:keepLines/>
        <w:rPr>
          <w:rFonts w:eastAsia="Calibri"/>
          <w:rtl/>
        </w:rPr>
      </w:pPr>
      <w:r w:rsidRPr="00F41E78">
        <w:rPr>
          <w:rFonts w:eastAsia="Calibri"/>
          <w:rtl/>
        </w:rPr>
        <w:t>עלה כי על אף התראת</w:t>
      </w:r>
      <w:r w:rsidRPr="00F41E78">
        <w:rPr>
          <w:rFonts w:eastAsia="Calibri" w:hint="cs"/>
          <w:rtl/>
        </w:rPr>
        <w:t>ה של</w:t>
      </w:r>
      <w:r w:rsidRPr="00F41E78">
        <w:rPr>
          <w:rFonts w:eastAsia="Calibri"/>
          <w:rtl/>
        </w:rPr>
        <w:t xml:space="preserve"> ועדת המכרזים בנוגע לתוצאות המכרזים לא דנה הנהלת רמ"י </w:t>
      </w:r>
      <w:r w:rsidRPr="00F41E78">
        <w:rPr>
          <w:rFonts w:eastAsia="Calibri" w:hint="cs"/>
          <w:rtl/>
        </w:rPr>
        <w:t xml:space="preserve">בהשפעותיו האפשריות של </w:t>
      </w:r>
      <w:r w:rsidRPr="00F41E78">
        <w:rPr>
          <w:rFonts w:eastAsia="Calibri"/>
          <w:rtl/>
        </w:rPr>
        <w:t xml:space="preserve">יישום החלטת </w:t>
      </w:r>
      <w:r w:rsidRPr="00F41E78">
        <w:rPr>
          <w:rFonts w:eastAsia="Calibri" w:hint="cs"/>
          <w:rtl/>
        </w:rPr>
        <w:t>מועצת מקרקעי ישראל מס'</w:t>
      </w:r>
      <w:r w:rsidRPr="00F41E78">
        <w:rPr>
          <w:rFonts w:eastAsia="Calibri"/>
          <w:rtl/>
        </w:rPr>
        <w:t xml:space="preserve"> 1248, </w:t>
      </w:r>
      <w:r w:rsidRPr="00F41E78">
        <w:rPr>
          <w:rFonts w:eastAsia="Calibri" w:hint="cs"/>
          <w:rtl/>
        </w:rPr>
        <w:t>כפי שהמליצה לה ה</w:t>
      </w:r>
      <w:r w:rsidRPr="00F41E78">
        <w:rPr>
          <w:rFonts w:eastAsia="Calibri"/>
          <w:rtl/>
        </w:rPr>
        <w:t>ו</w:t>
      </w:r>
      <w:r w:rsidRPr="00F41E78">
        <w:rPr>
          <w:rFonts w:eastAsia="Calibri" w:hint="cs"/>
          <w:rtl/>
        </w:rPr>
        <w:t>ו</w:t>
      </w:r>
      <w:r w:rsidRPr="00F41E78">
        <w:rPr>
          <w:rFonts w:eastAsia="Calibri"/>
          <w:rtl/>
        </w:rPr>
        <w:t>עד</w:t>
      </w:r>
      <w:r w:rsidRPr="00F41E78">
        <w:rPr>
          <w:rFonts w:eastAsia="Calibri" w:hint="cs"/>
          <w:rtl/>
        </w:rPr>
        <w:t xml:space="preserve">ה. </w:t>
      </w:r>
    </w:p>
    <w:p w:rsidR="00E97EDA" w:rsidRPr="00F41E78" w:rsidP="00F07DDA">
      <w:pPr>
        <w:spacing w:before="180" w:after="120" w:line="230" w:lineRule="exact"/>
        <w:jc w:val="both"/>
        <w:rPr>
          <w:rFonts w:eastAsia="Calibri" w:cs="FrankRuehl"/>
          <w:sz w:val="18"/>
          <w:szCs w:val="22"/>
          <w:rtl/>
          <w:lang w:eastAsia="he-IL"/>
        </w:rPr>
      </w:pPr>
      <w:r w:rsidRPr="00F41E78">
        <w:rPr>
          <w:rFonts w:eastAsia="Calibri" w:cs="FrankRuehl" w:hint="cs"/>
          <w:sz w:val="18"/>
          <w:szCs w:val="22"/>
          <w:rtl/>
          <w:lang w:eastAsia="he-IL"/>
        </w:rPr>
        <w:t xml:space="preserve">יצוין כי </w:t>
      </w:r>
      <w:r w:rsidRPr="00F41E78">
        <w:rPr>
          <w:rFonts w:eastAsia="Calibri" w:cs="FrankRuehl"/>
          <w:sz w:val="18"/>
          <w:szCs w:val="22"/>
          <w:rtl/>
          <w:lang w:eastAsia="he-IL"/>
        </w:rPr>
        <w:t xml:space="preserve">גם אגף מימון ותקציבים שבמשרד הבינוי העלה את השאלה בדבר ויתור </w:t>
      </w:r>
      <w:r w:rsidRPr="00F41E78">
        <w:rPr>
          <w:rFonts w:eastAsia="Calibri" w:cs="FrankRuehl" w:hint="cs"/>
          <w:sz w:val="18"/>
          <w:szCs w:val="22"/>
          <w:rtl/>
          <w:lang w:eastAsia="he-IL"/>
        </w:rPr>
        <w:t xml:space="preserve">על </w:t>
      </w:r>
      <w:r w:rsidRPr="00F41E78">
        <w:rPr>
          <w:rFonts w:eastAsia="Calibri" w:cs="FrankRuehl"/>
          <w:sz w:val="18"/>
          <w:szCs w:val="22"/>
          <w:rtl/>
          <w:lang w:eastAsia="he-IL"/>
        </w:rPr>
        <w:t>ההכנסות מהקרקע והיעדר הדיון בדבר בחינת החלופות לשימוש בהכנסות אלו וציין כי "לו עמדה הדילמה לפני קברניטי השיכון מהן החלופות לשימוש ב-1</w:t>
      </w:r>
      <w:r w:rsidRPr="00F41E78">
        <w:rPr>
          <w:rFonts w:eastAsia="Calibri" w:cs="FrankRuehl" w:hint="cs"/>
          <w:sz w:val="18"/>
          <w:szCs w:val="22"/>
          <w:rtl/>
          <w:lang w:eastAsia="he-IL"/>
        </w:rPr>
        <w:t>57</w:t>
      </w:r>
      <w:r w:rsidRPr="00F41E78">
        <w:rPr>
          <w:rFonts w:eastAsia="Calibri" w:cs="FrankRuehl"/>
          <w:sz w:val="18"/>
          <w:szCs w:val="22"/>
          <w:rtl/>
          <w:lang w:eastAsia="he-IL"/>
        </w:rPr>
        <w:t xml:space="preserve"> מש"ח ברור שהיו עולות הרבה חלופות, חלופות שמשפרות ללא היכר את מצבם של הזכאים לסיוע בדיור, לעומת מכרז הזוי זה".</w:t>
      </w:r>
    </w:p>
    <w:p w:rsidR="00E97EDA" w:rsidRPr="00F41E78" w:rsidP="00FF1578">
      <w:pPr>
        <w:spacing w:after="240" w:line="230" w:lineRule="exact"/>
        <w:jc w:val="both"/>
        <w:rPr>
          <w:rFonts w:eastAsia="Calibri" w:cs="FrankRuehl"/>
          <w:sz w:val="18"/>
          <w:szCs w:val="22"/>
          <w:rtl/>
          <w:lang w:eastAsia="he-IL"/>
        </w:rPr>
      </w:pPr>
      <w:r w:rsidRPr="00F41E78">
        <w:rPr>
          <w:rFonts w:eastAsia="Calibri" w:cs="FrankRuehl"/>
          <w:sz w:val="18"/>
          <w:szCs w:val="22"/>
          <w:rtl/>
          <w:lang w:eastAsia="he-IL"/>
        </w:rPr>
        <w:t>בתשובת</w:t>
      </w:r>
      <w:r w:rsidRPr="00F41E78">
        <w:rPr>
          <w:rFonts w:eastAsia="Calibri" w:cs="FrankRuehl" w:hint="cs"/>
          <w:sz w:val="18"/>
          <w:szCs w:val="22"/>
          <w:rtl/>
          <w:lang w:eastAsia="he-IL"/>
        </w:rPr>
        <w:t>ו ציין</w:t>
      </w:r>
      <w:r w:rsidRPr="00F41E78">
        <w:rPr>
          <w:rFonts w:eastAsia="Calibri" w:cs="FrankRuehl"/>
          <w:sz w:val="18"/>
          <w:szCs w:val="22"/>
          <w:rtl/>
          <w:lang w:eastAsia="he-IL"/>
        </w:rPr>
        <w:t xml:space="preserve"> </w:t>
      </w:r>
      <w:r w:rsidR="00FF1578">
        <w:rPr>
          <w:rFonts w:eastAsia="Calibri" w:cs="FrankRuehl" w:hint="cs"/>
          <w:sz w:val="18"/>
          <w:szCs w:val="22"/>
          <w:rtl/>
          <w:lang w:eastAsia="he-IL"/>
        </w:rPr>
        <w:t>אג"ת</w:t>
      </w:r>
      <w:r w:rsidRPr="00F41E78">
        <w:rPr>
          <w:rFonts w:eastAsia="Calibri" w:cs="FrankRuehl"/>
          <w:sz w:val="18"/>
          <w:szCs w:val="22"/>
          <w:rtl/>
          <w:lang w:eastAsia="he-IL"/>
        </w:rPr>
        <w:t xml:space="preserve"> כי "</w:t>
      </w:r>
      <w:r w:rsidRPr="00F41E78">
        <w:rPr>
          <w:rFonts w:eastAsia="Calibri" w:cs="FrankRuehl" w:hint="cs"/>
          <w:sz w:val="18"/>
          <w:szCs w:val="22"/>
          <w:rtl/>
          <w:lang w:eastAsia="he-IL"/>
        </w:rPr>
        <w:t xml:space="preserve">הפרויקט ברעננה היווה את הפיילוט המרכזי למסלול ב' בהחלטות המועצה הרלוונטיות. על אף הידיעה כי מחיר הקרקע יהיה נמוך, ראוי לדעתנו לקדם שיווק קרקעות לשכירות לטווח ארוך. </w:t>
      </w:r>
      <w:r w:rsidRPr="00F41E78">
        <w:rPr>
          <w:rFonts w:eastAsia="Calibri" w:cs="FrankRuehl"/>
          <w:sz w:val="18"/>
          <w:szCs w:val="22"/>
          <w:rtl/>
          <w:lang w:eastAsia="he-IL"/>
        </w:rPr>
        <w:t>העלות אינה חריגה ביחס להחלטות מועצה אחרות על הנחות בקרקע ומשיגה מטרה כלכלית של יצירת שוק חדש ומחלקת את ההטבה למשפחות רבות ולא לבודדים</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הוא הוסיף כי "</w:t>
      </w:r>
      <w:r w:rsidRPr="00F41E78">
        <w:rPr>
          <w:rFonts w:eastAsia="Calibri" w:cs="FrankRuehl"/>
          <w:sz w:val="18"/>
          <w:szCs w:val="22"/>
          <w:rtl/>
          <w:lang w:eastAsia="he-IL"/>
        </w:rPr>
        <w:t>לגבי ויתור על הכנסות מקרקע, בתקופות גאות בשוק הנדל"ן נוטה הממשלה באמצעות מועצת מקרקעי ישראל לקבל החלטות שמשמעותן ויתור על הכנסות מקרקע... ההטבה הגלומה במכירת הקרקע לבנייה להשכרה תתחלק בין אלפי זכאים באופן מידתי"</w:t>
      </w:r>
      <w:r w:rsidRPr="00F41E78">
        <w:rPr>
          <w:rFonts w:eastAsia="Calibri" w:cs="FrankRuehl" w:hint="cs"/>
          <w:sz w:val="18"/>
          <w:szCs w:val="22"/>
          <w:rtl/>
          <w:lang w:eastAsia="he-IL"/>
        </w:rPr>
        <w:t>.</w:t>
      </w:r>
    </w:p>
    <w:p w:rsidR="00D22B16" w:rsidRPr="00F41E78" w:rsidP="00FF1578">
      <w:pPr>
        <w:pStyle w:val="RESHET"/>
        <w:keepLines/>
        <w:rPr>
          <w:rFonts w:eastAsia="Calibri"/>
          <w:rtl/>
        </w:rPr>
      </w:pPr>
      <w:r w:rsidRPr="00F41E78">
        <w:rPr>
          <w:rFonts w:eastAsia="Calibri"/>
          <w:rtl/>
        </w:rPr>
        <w:t xml:space="preserve">משרד מבקר המדינה מעיר </w:t>
      </w:r>
      <w:r w:rsidR="00FF1578">
        <w:rPr>
          <w:rFonts w:eastAsia="Calibri" w:hint="cs"/>
          <w:rtl/>
        </w:rPr>
        <w:t>לאג"ת</w:t>
      </w:r>
      <w:r w:rsidRPr="00F41E78">
        <w:rPr>
          <w:rFonts w:eastAsia="Calibri"/>
          <w:rtl/>
        </w:rPr>
        <w:t xml:space="preserve"> </w:t>
      </w:r>
      <w:r w:rsidRPr="00F41E78">
        <w:rPr>
          <w:rFonts w:eastAsia="Calibri" w:hint="cs"/>
          <w:rtl/>
        </w:rPr>
        <w:t xml:space="preserve">כי קשה לקבוע שאין מדובר בהוצאה חריגה ושההוצאה משיגה מטרה כלכלית של יצירת שוק חדש, משום שהאגף לא קבע את התנאים שלפיהם יש לקבוע את הכדאיות הכלכלית של הפרויקט, דהיינו אבדן הכנסות המדינה לעומת התפוקות שיושגו. בסופו של דבר מדובר ב-238 יח"ד בלבד שיושכרו לטווח ארוך ומהן רק 60 יושכרו במחיר מפוקח ומופחת, אף שהממשלה השקיעה בהן סכום גדול ביותר - </w:t>
      </w:r>
      <w:r w:rsidR="00FF1578">
        <w:rPr>
          <w:rFonts w:eastAsia="Calibri"/>
          <w:rtl/>
        </w:rPr>
        <w:br/>
      </w:r>
      <w:r w:rsidRPr="00F41E78">
        <w:rPr>
          <w:rFonts w:eastAsia="Calibri" w:hint="cs"/>
          <w:rtl/>
        </w:rPr>
        <w:t xml:space="preserve">כ-157 מיליון ש"ח. מאחר שעל פי החלטות הקבינט לדיור, ובעקבותיהן החלטות הממשלה, בנייה להשכרה ארוכת טווח היא יעד מרכזי במדיניות הדיור של מדינת ישראל, על משרד האוצר, ובכלל זה אגף </w:t>
      </w:r>
      <w:r w:rsidR="00E204CF">
        <w:rPr>
          <w:rFonts w:eastAsia="Calibri" w:hint="cs"/>
          <w:rtl/>
        </w:rPr>
        <w:t>ה</w:t>
      </w:r>
      <w:r w:rsidRPr="00F41E78">
        <w:rPr>
          <w:rFonts w:eastAsia="Calibri" w:hint="cs"/>
          <w:rtl/>
        </w:rPr>
        <w:t xml:space="preserve">תקציבים, להתייחס להשפעות הצפויות של מתכונת המכרז ברעננה, להפיק לקחים ולשקול מהם התנאים המיטביים להפעלת המסלול באופן שיניב תפוקות שיאזנו בין ההשקעה הממשלתית הראויה ובין הסיוע בדיור למאות אלפי הנזקקים לדיור בר השגה. </w:t>
      </w:r>
    </w:p>
    <w:p w:rsidR="00E97EDA" w:rsidRPr="00F41E78" w:rsidP="00A7557B">
      <w:pPr>
        <w:spacing w:after="120" w:line="230" w:lineRule="exact"/>
        <w:jc w:val="both"/>
        <w:outlineLvl w:val="3"/>
        <w:rPr>
          <w:rFonts w:eastAsia="Calibri" w:cs="FrankRuehl"/>
          <w:b/>
          <w:bCs/>
          <w:sz w:val="18"/>
          <w:szCs w:val="22"/>
          <w:rtl/>
          <w:lang w:eastAsia="he-IL"/>
        </w:rPr>
      </w:pPr>
    </w:p>
    <w:p w:rsidR="00E97EDA" w:rsidRPr="00FA1F2C" w:rsidP="00A7557B">
      <w:pPr>
        <w:pStyle w:val="KOT5"/>
        <w:rPr>
          <w:rFonts w:eastAsia="Calibri"/>
          <w:rtl/>
          <w:lang w:eastAsia="he-IL"/>
        </w:rPr>
      </w:pPr>
      <w:r w:rsidRPr="00FA1F2C">
        <w:rPr>
          <w:rFonts w:eastAsia="Calibri"/>
          <w:rtl/>
          <w:lang w:eastAsia="he-IL"/>
        </w:rPr>
        <w:t>השתתפות בפועל של הגופים המוסדיים</w:t>
      </w:r>
      <w:r w:rsidRPr="00FA1F2C">
        <w:rPr>
          <w:rFonts w:eastAsia="Calibri" w:hint="cs"/>
          <w:rtl/>
          <w:lang w:eastAsia="he-IL"/>
        </w:rPr>
        <w:t xml:space="preserve"> </w:t>
      </w:r>
      <w:r w:rsidRPr="00FA1F2C">
        <w:rPr>
          <w:rFonts w:eastAsia="Calibri"/>
          <w:rtl/>
          <w:lang w:eastAsia="he-IL"/>
        </w:rPr>
        <w:t xml:space="preserve">במכרזי קרקע לבנייה להשכרה </w:t>
      </w:r>
      <w:r w:rsidRPr="00FA1F2C">
        <w:rPr>
          <w:rFonts w:eastAsia="Calibri" w:hint="cs"/>
          <w:rtl/>
          <w:lang w:eastAsia="he-IL"/>
        </w:rPr>
        <w:t>ל</w:t>
      </w:r>
      <w:r w:rsidRPr="00FA1F2C">
        <w:rPr>
          <w:rFonts w:eastAsia="Calibri"/>
          <w:rtl/>
          <w:lang w:eastAsia="he-IL"/>
        </w:rPr>
        <w:t>טווח</w:t>
      </w:r>
      <w:r w:rsidRPr="00FA1F2C">
        <w:rPr>
          <w:rFonts w:eastAsia="Calibri" w:hint="cs"/>
          <w:rtl/>
          <w:lang w:eastAsia="he-IL"/>
        </w:rPr>
        <w:t xml:space="preserve"> ארוך</w:t>
      </w:r>
    </w:p>
    <w:p w:rsidR="00E97EDA" w:rsidRPr="00F41E78" w:rsidP="00A7557B">
      <w:pPr>
        <w:spacing w:after="120" w:line="230" w:lineRule="exact"/>
        <w:jc w:val="both"/>
        <w:rPr>
          <w:rFonts w:eastAsia="Calibri" w:cs="FrankRuehl"/>
          <w:sz w:val="18"/>
          <w:szCs w:val="22"/>
          <w:rtl/>
          <w:lang w:eastAsia="he-IL"/>
        </w:rPr>
      </w:pPr>
      <w:r w:rsidRPr="00F41E78">
        <w:rPr>
          <w:rFonts w:eastAsia="Calibri" w:cs="FrankRuehl" w:hint="cs"/>
          <w:sz w:val="18"/>
          <w:szCs w:val="22"/>
          <w:rtl/>
          <w:lang w:eastAsia="he-IL"/>
        </w:rPr>
        <w:t>ל</w:t>
      </w:r>
      <w:r w:rsidRPr="00F41E78">
        <w:rPr>
          <w:rFonts w:eastAsia="Calibri" w:cs="FrankRuehl"/>
          <w:sz w:val="18"/>
          <w:szCs w:val="22"/>
          <w:rtl/>
          <w:lang w:eastAsia="he-IL"/>
        </w:rPr>
        <w:t>מדינות רבות שוק מפותח של דיור להשכרה לטווח ארוך</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ו</w:t>
      </w:r>
      <w:r w:rsidRPr="00F41E78">
        <w:rPr>
          <w:rFonts w:eastAsia="Calibri" w:cs="FrankRuehl"/>
          <w:sz w:val="18"/>
          <w:szCs w:val="22"/>
          <w:rtl/>
          <w:lang w:eastAsia="he-IL"/>
        </w:rPr>
        <w:t xml:space="preserve">במסגרתו יזמים בונים את בנייני </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מגורים ומשכירים את הדירות לטווח ארוך </w:t>
      </w:r>
      <w:r w:rsidRPr="00F41E78">
        <w:rPr>
          <w:rFonts w:eastAsia="Calibri" w:cs="FrankRuehl" w:hint="cs"/>
          <w:sz w:val="18"/>
          <w:szCs w:val="22"/>
          <w:rtl/>
          <w:lang w:eastAsia="he-IL"/>
        </w:rPr>
        <w:t xml:space="preserve">של </w:t>
      </w:r>
      <w:r w:rsidRPr="00F41E78">
        <w:rPr>
          <w:rFonts w:eastAsia="Calibri" w:cs="FrankRuehl"/>
          <w:sz w:val="18"/>
          <w:szCs w:val="22"/>
          <w:rtl/>
          <w:lang w:eastAsia="he-IL"/>
        </w:rPr>
        <w:t xml:space="preserve">עד עשרות שנים, </w:t>
      </w:r>
      <w:r w:rsidRPr="00F41E78">
        <w:rPr>
          <w:rFonts w:eastAsia="Calibri" w:cs="FrankRuehl" w:hint="cs"/>
          <w:sz w:val="18"/>
          <w:szCs w:val="22"/>
          <w:rtl/>
          <w:lang w:eastAsia="he-IL"/>
        </w:rPr>
        <w:t>ו</w:t>
      </w:r>
      <w:r w:rsidRPr="00F41E78">
        <w:rPr>
          <w:rFonts w:eastAsia="Calibri" w:cs="FrankRuehl"/>
          <w:sz w:val="18"/>
          <w:szCs w:val="22"/>
          <w:rtl/>
          <w:lang w:eastAsia="he-IL"/>
        </w:rPr>
        <w:t>חברות אחזקה</w:t>
      </w:r>
      <w:r w:rsidRPr="00F41E78">
        <w:rPr>
          <w:rFonts w:eastAsia="Calibri" w:cs="FrankRuehl" w:hint="cs"/>
          <w:sz w:val="18"/>
          <w:szCs w:val="22"/>
          <w:rtl/>
          <w:lang w:eastAsia="he-IL"/>
        </w:rPr>
        <w:t xml:space="preserve"> </w:t>
      </w:r>
      <w:r w:rsidRPr="00F41E78">
        <w:rPr>
          <w:rFonts w:eastAsia="Calibri" w:cs="FrankRuehl"/>
          <w:sz w:val="18"/>
          <w:szCs w:val="22"/>
          <w:rtl/>
          <w:lang w:eastAsia="he-IL"/>
        </w:rPr>
        <w:t>מנהל</w:t>
      </w:r>
      <w:r w:rsidRPr="00F41E78">
        <w:rPr>
          <w:rFonts w:eastAsia="Calibri" w:cs="FrankRuehl" w:hint="cs"/>
          <w:sz w:val="18"/>
          <w:szCs w:val="22"/>
          <w:rtl/>
          <w:lang w:eastAsia="he-IL"/>
        </w:rPr>
        <w:t>ות</w:t>
      </w:r>
      <w:r w:rsidRPr="00F41E78">
        <w:rPr>
          <w:rFonts w:eastAsia="Calibri" w:cs="FrankRuehl"/>
          <w:sz w:val="18"/>
          <w:szCs w:val="22"/>
          <w:rtl/>
          <w:lang w:eastAsia="he-IL"/>
        </w:rPr>
        <w:t xml:space="preserve"> </w:t>
      </w:r>
      <w:r w:rsidRPr="00F41E78">
        <w:rPr>
          <w:rFonts w:eastAsia="Calibri" w:cs="FrankRuehl" w:hint="cs"/>
          <w:sz w:val="18"/>
          <w:szCs w:val="22"/>
          <w:rtl/>
          <w:lang w:eastAsia="he-IL"/>
        </w:rPr>
        <w:t>ומתחזקות אותם</w:t>
      </w:r>
      <w:r w:rsidRPr="00F41E78">
        <w:rPr>
          <w:rFonts w:eastAsia="Calibri" w:cs="FrankRuehl"/>
          <w:sz w:val="18"/>
          <w:szCs w:val="22"/>
          <w:rtl/>
          <w:lang w:eastAsia="he-IL"/>
        </w:rPr>
        <w:t>. היצע דירות מסוג זה מקנה ודאות ויציבות לשוכרים ופו</w:t>
      </w:r>
      <w:r w:rsidRPr="00F41E78">
        <w:rPr>
          <w:rFonts w:eastAsia="Calibri" w:cs="FrankRuehl" w:hint="cs"/>
          <w:sz w:val="18"/>
          <w:szCs w:val="22"/>
          <w:rtl/>
          <w:lang w:eastAsia="he-IL"/>
        </w:rPr>
        <w:t>ט</w:t>
      </w:r>
      <w:r w:rsidRPr="00F41E78">
        <w:rPr>
          <w:rFonts w:eastAsia="Calibri" w:cs="FrankRuehl"/>
          <w:sz w:val="18"/>
          <w:szCs w:val="22"/>
          <w:rtl/>
          <w:lang w:eastAsia="he-IL"/>
        </w:rPr>
        <w:t xml:space="preserve">ר אותם מהצורך במעברי דירה תכופים </w:t>
      </w:r>
      <w:r w:rsidRPr="00F41E78">
        <w:rPr>
          <w:rFonts w:eastAsia="Calibri" w:cs="FrankRuehl" w:hint="cs"/>
          <w:sz w:val="18"/>
          <w:szCs w:val="22"/>
          <w:rtl/>
          <w:lang w:eastAsia="he-IL"/>
        </w:rPr>
        <w:t xml:space="preserve">המאפיינים את </w:t>
      </w:r>
      <w:r w:rsidRPr="00F41E78">
        <w:rPr>
          <w:rFonts w:eastAsia="Calibri" w:cs="FrankRuehl"/>
          <w:sz w:val="18"/>
          <w:szCs w:val="22"/>
          <w:rtl/>
          <w:lang w:eastAsia="he-IL"/>
        </w:rPr>
        <w:t xml:space="preserve">שוק ההשכרה הפרטי התלוי במערכת השיקולים וההעדפות של </w:t>
      </w:r>
      <w:r w:rsidRPr="00F41E78">
        <w:rPr>
          <w:rFonts w:eastAsia="Calibri" w:cs="FrankRuehl" w:hint="cs"/>
          <w:sz w:val="18"/>
          <w:szCs w:val="22"/>
          <w:rtl/>
          <w:lang w:eastAsia="he-IL"/>
        </w:rPr>
        <w:t>ה</w:t>
      </w:r>
      <w:r w:rsidRPr="00F41E78">
        <w:rPr>
          <w:rFonts w:eastAsia="Calibri" w:cs="FrankRuehl"/>
          <w:sz w:val="18"/>
          <w:szCs w:val="22"/>
          <w:rtl/>
          <w:lang w:eastAsia="he-IL"/>
        </w:rPr>
        <w:t>בעלי</w:t>
      </w:r>
      <w:r w:rsidRPr="00F41E78">
        <w:rPr>
          <w:rFonts w:eastAsia="Calibri" w:cs="FrankRuehl" w:hint="cs"/>
          <w:sz w:val="18"/>
          <w:szCs w:val="22"/>
          <w:rtl/>
          <w:lang w:eastAsia="he-IL"/>
        </w:rPr>
        <w:t>ם</w:t>
      </w:r>
      <w:r w:rsidRPr="00F41E78">
        <w:rPr>
          <w:rFonts w:eastAsia="Calibri" w:cs="FrankRuehl"/>
          <w:sz w:val="18"/>
          <w:szCs w:val="22"/>
          <w:rtl/>
          <w:lang w:eastAsia="he-IL"/>
        </w:rPr>
        <w:t>.</w:t>
      </w:r>
    </w:p>
    <w:p w:rsidR="00E97EDA" w:rsidRPr="00F41E78" w:rsidP="00F07DDA">
      <w:pPr>
        <w:spacing w:after="240" w:line="230" w:lineRule="exact"/>
        <w:jc w:val="both"/>
        <w:rPr>
          <w:rFonts w:eastAsia="Calibri" w:cs="FrankRuehl"/>
          <w:sz w:val="18"/>
          <w:szCs w:val="22"/>
          <w:rtl/>
          <w:lang w:eastAsia="he-IL"/>
        </w:rPr>
      </w:pPr>
      <w:r w:rsidRPr="00F41E78">
        <w:rPr>
          <w:rFonts w:eastAsia="Calibri" w:cs="FrankRuehl" w:hint="cs"/>
          <w:sz w:val="18"/>
          <w:szCs w:val="22"/>
          <w:rtl/>
          <w:lang w:eastAsia="he-IL"/>
        </w:rPr>
        <w:t>כאמור, במסגרת</w:t>
      </w:r>
      <w:r w:rsidRPr="00F41E78">
        <w:rPr>
          <w:rFonts w:eastAsia="Calibri" w:cs="FrankRuehl"/>
          <w:sz w:val="18"/>
          <w:szCs w:val="22"/>
          <w:rtl/>
          <w:lang w:eastAsia="he-IL"/>
        </w:rPr>
        <w:t xml:space="preserve"> ניסיונות הממשלה לעודד הקמת פרויקטים </w:t>
      </w:r>
      <w:r w:rsidRPr="00F41E78">
        <w:rPr>
          <w:rFonts w:eastAsia="Calibri" w:cs="FrankRuehl" w:hint="cs"/>
          <w:sz w:val="18"/>
          <w:szCs w:val="22"/>
          <w:rtl/>
          <w:lang w:eastAsia="he-IL"/>
        </w:rPr>
        <w:t>של דיור בהשכרה 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היא פועלת לערב גופים עסקיים </w:t>
      </w:r>
      <w:r w:rsidRPr="00F41E78">
        <w:rPr>
          <w:rFonts w:eastAsia="Calibri" w:cs="FrankRuehl" w:hint="cs"/>
          <w:sz w:val="18"/>
          <w:szCs w:val="22"/>
          <w:rtl/>
          <w:lang w:eastAsia="he-IL"/>
        </w:rPr>
        <w:t>ו</w:t>
      </w:r>
      <w:r w:rsidRPr="00F41E78">
        <w:rPr>
          <w:rFonts w:eastAsia="Calibri" w:cs="FrankRuehl"/>
          <w:sz w:val="18"/>
          <w:szCs w:val="22"/>
          <w:rtl/>
          <w:lang w:eastAsia="he-IL"/>
        </w:rPr>
        <w:t xml:space="preserve">גופים מוסדיים בשוק זה. </w:t>
      </w:r>
      <w:r w:rsidRPr="00F41E78">
        <w:rPr>
          <w:rFonts w:eastAsia="Calibri" w:cs="FrankRuehl" w:hint="cs"/>
          <w:sz w:val="18"/>
          <w:szCs w:val="22"/>
          <w:rtl/>
          <w:lang w:eastAsia="he-IL"/>
        </w:rPr>
        <w:t>בעניין זה אג"ת סבור ש</w:t>
      </w:r>
      <w:r w:rsidRPr="00F41E78">
        <w:rPr>
          <w:rFonts w:cs="FrankRuehl" w:hint="cs"/>
          <w:sz w:val="18"/>
          <w:szCs w:val="22"/>
          <w:rtl/>
          <w:lang w:eastAsia="he-IL"/>
        </w:rPr>
        <w:t>יצירת מלאי דיור להשכרה לטווח ארוך, בשכירות חופשית ובשכירות מפוקחת, בבעלות מוסדית, תאפשר לפתח שוק לדיור בר השגה בישראל.</w:t>
      </w:r>
    </w:p>
    <w:p w:rsidR="00D22B16" w:rsidRPr="00F41E78" w:rsidP="00D22B16">
      <w:pPr>
        <w:pStyle w:val="RESHET"/>
        <w:keepLines/>
        <w:rPr>
          <w:rFonts w:eastAsia="Calibri"/>
          <w:rtl/>
        </w:rPr>
      </w:pPr>
      <w:r w:rsidRPr="00F41E78">
        <w:rPr>
          <w:rFonts w:eastAsia="Calibri"/>
          <w:rtl/>
        </w:rPr>
        <w:t>נמצא שעד מועד סיום הביקורת</w:t>
      </w:r>
      <w:r w:rsidRPr="00F41E78">
        <w:rPr>
          <w:rFonts w:eastAsia="Calibri" w:hint="cs"/>
          <w:rtl/>
        </w:rPr>
        <w:t>, וגם</w:t>
      </w:r>
      <w:r w:rsidRPr="00F41E78">
        <w:rPr>
          <w:rFonts w:eastAsia="Calibri"/>
          <w:rtl/>
        </w:rPr>
        <w:t xml:space="preserve"> </w:t>
      </w:r>
      <w:r w:rsidRPr="00F41E78">
        <w:rPr>
          <w:rFonts w:eastAsia="Calibri" w:hint="cs"/>
          <w:rtl/>
        </w:rPr>
        <w:t xml:space="preserve">לאחריה </w:t>
      </w:r>
      <w:r w:rsidRPr="00F41E78">
        <w:rPr>
          <w:rFonts w:eastAsia="Calibri"/>
          <w:rtl/>
        </w:rPr>
        <w:t xml:space="preserve">עד </w:t>
      </w:r>
      <w:r w:rsidRPr="00F41E78">
        <w:rPr>
          <w:rFonts w:eastAsia="Calibri" w:hint="cs"/>
          <w:rtl/>
        </w:rPr>
        <w:t>אוגוסט</w:t>
      </w:r>
      <w:r w:rsidRPr="00F41E78">
        <w:rPr>
          <w:rFonts w:eastAsia="Calibri"/>
          <w:rtl/>
        </w:rPr>
        <w:t xml:space="preserve"> 2014</w:t>
      </w:r>
      <w:r w:rsidRPr="00F41E78">
        <w:rPr>
          <w:rFonts w:eastAsia="Calibri" w:hint="cs"/>
          <w:rtl/>
        </w:rPr>
        <w:t xml:space="preserve">, </w:t>
      </w:r>
      <w:r w:rsidRPr="00F41E78">
        <w:rPr>
          <w:rFonts w:eastAsia="Calibri"/>
          <w:rtl/>
        </w:rPr>
        <w:t xml:space="preserve">הניסיון לשלב גופים מוסדיים בפרויקטים </w:t>
      </w:r>
      <w:r w:rsidRPr="00F41E78">
        <w:rPr>
          <w:rFonts w:eastAsia="Calibri" w:hint="cs"/>
          <w:rtl/>
        </w:rPr>
        <w:t>כאלו</w:t>
      </w:r>
      <w:r w:rsidRPr="00F41E78">
        <w:rPr>
          <w:rFonts w:eastAsia="Calibri"/>
          <w:rtl/>
        </w:rPr>
        <w:t xml:space="preserve"> כשל</w:t>
      </w:r>
      <w:r w:rsidRPr="00F41E78">
        <w:rPr>
          <w:rFonts w:eastAsia="Calibri" w:hint="cs"/>
          <w:rtl/>
        </w:rPr>
        <w:t>.</w:t>
      </w:r>
      <w:r w:rsidRPr="00F41E78">
        <w:rPr>
          <w:rFonts w:eastAsia="Calibri"/>
          <w:rtl/>
        </w:rPr>
        <w:t xml:space="preserve"> </w:t>
      </w:r>
      <w:r w:rsidRPr="00F41E78">
        <w:rPr>
          <w:rFonts w:eastAsia="Calibri" w:hint="cs"/>
          <w:rtl/>
        </w:rPr>
        <w:t xml:space="preserve">מתוך </w:t>
      </w:r>
      <w:r w:rsidRPr="00F41E78">
        <w:rPr>
          <w:rFonts w:eastAsia="Calibri"/>
          <w:rtl/>
        </w:rPr>
        <w:t>עשרת המכרזים שפורסמו</w:t>
      </w:r>
      <w:r w:rsidRPr="00F41E78">
        <w:rPr>
          <w:rFonts w:eastAsia="Calibri" w:hint="cs"/>
          <w:rtl/>
        </w:rPr>
        <w:t xml:space="preserve"> רק במכרז אחד, המכרז ברעננה, השתתף</w:t>
      </w:r>
      <w:r w:rsidRPr="00F41E78">
        <w:rPr>
          <w:rFonts w:eastAsia="Calibri"/>
          <w:rtl/>
        </w:rPr>
        <w:t xml:space="preserve"> גוף מוסדי</w:t>
      </w:r>
      <w:r w:rsidRPr="00F41E78">
        <w:rPr>
          <w:rFonts w:eastAsia="Calibri" w:hint="cs"/>
          <w:rtl/>
        </w:rPr>
        <w:t xml:space="preserve"> אחד שאף </w:t>
      </w:r>
      <w:r w:rsidRPr="00F41E78">
        <w:rPr>
          <w:rFonts w:eastAsia="Calibri"/>
          <w:rtl/>
        </w:rPr>
        <w:t xml:space="preserve">לא זכה במכרז. </w:t>
      </w:r>
    </w:p>
    <w:p w:rsidR="00E97EDA" w:rsidRPr="00F41E78" w:rsidP="00F07DDA">
      <w:pPr>
        <w:spacing w:before="180" w:after="120" w:line="230" w:lineRule="exact"/>
        <w:jc w:val="both"/>
        <w:rPr>
          <w:rFonts w:eastAsia="Calibri" w:cs="FrankRuehl"/>
          <w:b/>
          <w:bCs/>
          <w:sz w:val="18"/>
          <w:szCs w:val="22"/>
          <w:rtl/>
          <w:lang w:eastAsia="he-IL"/>
        </w:rPr>
      </w:pPr>
      <w:r w:rsidRPr="00F41E78">
        <w:rPr>
          <w:rFonts w:eastAsia="Calibri" w:cs="FrankRuehl"/>
          <w:sz w:val="18"/>
          <w:szCs w:val="22"/>
          <w:rtl/>
          <w:lang w:eastAsia="he-IL"/>
        </w:rPr>
        <w:t>משרד מבקר המדינה ניתח את הסיבות לכישלון שילוב</w:t>
      </w:r>
      <w:r w:rsidRPr="00F41E78">
        <w:rPr>
          <w:rFonts w:eastAsia="Calibri" w:cs="FrankRuehl" w:hint="cs"/>
          <w:sz w:val="18"/>
          <w:szCs w:val="22"/>
          <w:rtl/>
          <w:lang w:eastAsia="he-IL"/>
        </w:rPr>
        <w:t>ם</w:t>
      </w:r>
      <w:r w:rsidRPr="00F41E78">
        <w:rPr>
          <w:rFonts w:eastAsia="Calibri" w:cs="FrankRuehl"/>
          <w:sz w:val="18"/>
          <w:szCs w:val="22"/>
          <w:rtl/>
          <w:lang w:eastAsia="he-IL"/>
        </w:rPr>
        <w:t xml:space="preserve"> של הגופים המוסדיים בשוק הדיור להשכרה</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להלן הממצאים</w:t>
      </w:r>
      <w:r w:rsidRPr="00F41E78">
        <w:rPr>
          <w:rFonts w:eastAsia="Calibri" w:cs="FrankRuehl"/>
          <w:sz w:val="18"/>
          <w:szCs w:val="22"/>
          <w:rtl/>
          <w:lang w:eastAsia="he-IL"/>
        </w:rPr>
        <w:t>:</w:t>
      </w:r>
    </w:p>
    <w:p w:rsidR="00E97EDA" w:rsidRPr="00F41E78" w:rsidP="00A7557B">
      <w:pPr>
        <w:spacing w:after="120" w:line="230" w:lineRule="exact"/>
        <w:jc w:val="both"/>
        <w:rPr>
          <w:rFonts w:eastAsia="Calibri" w:cs="FrankRuehl"/>
          <w:sz w:val="18"/>
          <w:szCs w:val="22"/>
          <w:rtl/>
          <w:lang w:eastAsia="he-IL"/>
        </w:rPr>
      </w:pPr>
      <w:r w:rsidRPr="00F41E78">
        <w:rPr>
          <w:rFonts w:cs="FrankRuehl"/>
          <w:bCs/>
          <w:spacing w:val="40"/>
          <w:sz w:val="18"/>
          <w:szCs w:val="22"/>
          <w:rtl/>
        </w:rPr>
        <w:t>ה</w:t>
      </w:r>
      <w:r w:rsidRPr="00F41E78">
        <w:rPr>
          <w:rFonts w:cs="FrankRuehl" w:hint="eastAsia"/>
          <w:bCs/>
          <w:spacing w:val="40"/>
          <w:sz w:val="18"/>
          <w:szCs w:val="22"/>
          <w:rtl/>
        </w:rPr>
        <w:t>י</w:t>
      </w:r>
      <w:r w:rsidRPr="00F41E78">
        <w:rPr>
          <w:rFonts w:cs="FrankRuehl"/>
          <w:bCs/>
          <w:spacing w:val="40"/>
          <w:sz w:val="18"/>
          <w:szCs w:val="22"/>
          <w:rtl/>
        </w:rPr>
        <w:t>עדר כדאיות כלכלית מספ</w:t>
      </w:r>
      <w:r w:rsidRPr="00F41E78">
        <w:rPr>
          <w:rFonts w:cs="FrankRuehl" w:hint="cs"/>
          <w:bCs/>
          <w:spacing w:val="40"/>
          <w:sz w:val="18"/>
          <w:szCs w:val="22"/>
          <w:rtl/>
        </w:rPr>
        <w:t>י</w:t>
      </w:r>
      <w:r w:rsidRPr="00F41E78">
        <w:rPr>
          <w:rFonts w:cs="FrankRuehl"/>
          <w:bCs/>
          <w:spacing w:val="40"/>
          <w:sz w:val="18"/>
          <w:szCs w:val="22"/>
          <w:rtl/>
        </w:rPr>
        <w:t>ק</w:t>
      </w:r>
      <w:r w:rsidRPr="00F41E78">
        <w:rPr>
          <w:rFonts w:cs="FrankRuehl" w:hint="cs"/>
          <w:bCs/>
          <w:spacing w:val="40"/>
          <w:sz w:val="18"/>
          <w:szCs w:val="22"/>
          <w:rtl/>
        </w:rPr>
        <w:t>ה</w:t>
      </w:r>
      <w:r w:rsidRPr="00F41E78">
        <w:rPr>
          <w:rFonts w:cs="FrankRuehl"/>
          <w:bCs/>
          <w:spacing w:val="40"/>
          <w:sz w:val="18"/>
          <w:szCs w:val="22"/>
          <w:rtl/>
        </w:rPr>
        <w:t xml:space="preserve"> לגופים המוסדיים:</w:t>
      </w:r>
      <w:r w:rsidRPr="00F41E78">
        <w:rPr>
          <w:rFonts w:eastAsia="Calibri" w:cs="FrankRuehl"/>
          <w:sz w:val="18"/>
          <w:szCs w:val="22"/>
          <w:rtl/>
          <w:lang w:eastAsia="he-IL"/>
        </w:rPr>
        <w:t xml:space="preserve"> אחד השיקולים המרכזיים </w:t>
      </w:r>
      <w:r w:rsidRPr="00F41E78">
        <w:rPr>
          <w:rFonts w:eastAsia="Calibri" w:cs="FrankRuehl" w:hint="cs"/>
          <w:sz w:val="18"/>
          <w:szCs w:val="22"/>
          <w:rtl/>
          <w:lang w:eastAsia="he-IL"/>
        </w:rPr>
        <w:t>המובאים בחשבון במסגרת</w:t>
      </w:r>
      <w:r w:rsidRPr="00F41E78">
        <w:rPr>
          <w:rFonts w:eastAsia="Calibri" w:cs="FrankRuehl"/>
          <w:sz w:val="18"/>
          <w:szCs w:val="22"/>
          <w:rtl/>
          <w:lang w:eastAsia="he-IL"/>
        </w:rPr>
        <w:t xml:space="preserve"> קבלת החלטה הנוגעת להשקעה של גוף</w:t>
      </w:r>
      <w:r w:rsidRPr="00F41E78">
        <w:rPr>
          <w:rFonts w:eastAsia="Calibri" w:cs="FrankRuehl" w:hint="cs"/>
          <w:sz w:val="18"/>
          <w:szCs w:val="22"/>
          <w:rtl/>
          <w:lang w:eastAsia="he-IL"/>
        </w:rPr>
        <w:t xml:space="preserve"> מוסדי</w:t>
      </w:r>
      <w:r w:rsidRPr="00F41E78">
        <w:rPr>
          <w:rFonts w:eastAsia="Calibri" w:cs="FrankRuehl"/>
          <w:sz w:val="18"/>
          <w:szCs w:val="22"/>
          <w:rtl/>
          <w:lang w:eastAsia="he-IL"/>
        </w:rPr>
        <w:t xml:space="preserve"> ה</w:t>
      </w:r>
      <w:r w:rsidRPr="00F41E78">
        <w:rPr>
          <w:rFonts w:eastAsia="Calibri" w:cs="FrankRuehl" w:hint="cs"/>
          <w:sz w:val="18"/>
          <w:szCs w:val="22"/>
          <w:rtl/>
          <w:lang w:eastAsia="he-IL"/>
        </w:rPr>
        <w:t>ם</w:t>
      </w:r>
      <w:r w:rsidRPr="00F41E78">
        <w:rPr>
          <w:rFonts w:eastAsia="Calibri" w:cs="FrankRuehl"/>
          <w:sz w:val="18"/>
          <w:szCs w:val="22"/>
          <w:rtl/>
          <w:lang w:eastAsia="he-IL"/>
        </w:rPr>
        <w:t xml:space="preserve"> התשואה הצפויה </w:t>
      </w:r>
      <w:r w:rsidRPr="00F41E78">
        <w:rPr>
          <w:rFonts w:eastAsia="Calibri" w:cs="FrankRuehl" w:hint="cs"/>
          <w:sz w:val="18"/>
          <w:szCs w:val="22"/>
          <w:rtl/>
          <w:lang w:eastAsia="he-IL"/>
        </w:rPr>
        <w:t>מ</w:t>
      </w:r>
      <w:r w:rsidRPr="00F41E78">
        <w:rPr>
          <w:rFonts w:eastAsia="Calibri" w:cs="FrankRuehl"/>
          <w:sz w:val="18"/>
          <w:szCs w:val="22"/>
          <w:rtl/>
          <w:lang w:eastAsia="he-IL"/>
        </w:rPr>
        <w:t xml:space="preserve">פעולת ההשקעה והסיכון הכרוך בכך </w:t>
      </w:r>
      <w:r w:rsidRPr="00F41E78">
        <w:rPr>
          <w:rFonts w:eastAsia="Calibri" w:cs="FrankRuehl" w:hint="cs"/>
          <w:sz w:val="18"/>
          <w:szCs w:val="22"/>
          <w:rtl/>
          <w:lang w:eastAsia="he-IL"/>
        </w:rPr>
        <w:t xml:space="preserve">לעומת </w:t>
      </w:r>
      <w:r w:rsidRPr="00F41E78">
        <w:rPr>
          <w:rFonts w:eastAsia="Calibri" w:cs="FrankRuehl"/>
          <w:sz w:val="18"/>
          <w:szCs w:val="22"/>
          <w:rtl/>
          <w:lang w:eastAsia="he-IL"/>
        </w:rPr>
        <w:t xml:space="preserve">השקעות </w:t>
      </w:r>
      <w:r w:rsidRPr="00F41E78">
        <w:rPr>
          <w:rFonts w:eastAsia="Calibri" w:cs="FrankRuehl" w:hint="cs"/>
          <w:sz w:val="18"/>
          <w:szCs w:val="22"/>
          <w:rtl/>
          <w:lang w:eastAsia="he-IL"/>
        </w:rPr>
        <w:t>חלופיות אפשריות</w:t>
      </w:r>
      <w:r w:rsidRPr="00F41E78">
        <w:rPr>
          <w:rFonts w:eastAsia="Calibri" w:cs="FrankRuehl"/>
          <w:sz w:val="18"/>
          <w:szCs w:val="22"/>
          <w:rtl/>
          <w:lang w:eastAsia="he-IL"/>
        </w:rPr>
        <w:t>.</w:t>
      </w:r>
    </w:p>
    <w:p w:rsidR="00E97EDA" w:rsidRPr="00F41E78" w:rsidP="00F07DDA">
      <w:pPr>
        <w:spacing w:after="240" w:line="230" w:lineRule="exact"/>
        <w:jc w:val="both"/>
        <w:rPr>
          <w:rFonts w:eastAsia="Calibri" w:cs="FrankRuehl"/>
          <w:sz w:val="18"/>
          <w:szCs w:val="22"/>
          <w:rtl/>
          <w:lang w:eastAsia="he-IL"/>
        </w:rPr>
      </w:pPr>
      <w:r w:rsidRPr="00F41E78">
        <w:rPr>
          <w:rFonts w:eastAsia="Calibri" w:cs="FrankRuehl"/>
          <w:sz w:val="18"/>
          <w:szCs w:val="22"/>
          <w:rtl/>
          <w:lang w:eastAsia="he-IL"/>
        </w:rPr>
        <w:t xml:space="preserve">בהתאם לכך, גם </w:t>
      </w:r>
      <w:r w:rsidRPr="00F41E78">
        <w:rPr>
          <w:rFonts w:eastAsia="Calibri" w:cs="FrankRuehl" w:hint="cs"/>
          <w:sz w:val="18"/>
          <w:szCs w:val="22"/>
          <w:rtl/>
          <w:lang w:eastAsia="he-IL"/>
        </w:rPr>
        <w:t>אגף שוק ההון וגם אג"ת, שניהם ב</w:t>
      </w:r>
      <w:r w:rsidRPr="00F41E78">
        <w:rPr>
          <w:rFonts w:eastAsia="Calibri" w:cs="FrankRuehl"/>
          <w:sz w:val="18"/>
          <w:szCs w:val="22"/>
          <w:rtl/>
          <w:lang w:eastAsia="he-IL"/>
        </w:rPr>
        <w:t>משרד האוצר</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רואים ב</w:t>
      </w:r>
      <w:r w:rsidRPr="00F41E78">
        <w:rPr>
          <w:rFonts w:eastAsia="Calibri" w:cs="FrankRuehl"/>
          <w:sz w:val="18"/>
          <w:szCs w:val="22"/>
          <w:rtl/>
          <w:lang w:eastAsia="he-IL"/>
        </w:rPr>
        <w:t xml:space="preserve">תשואה הצפויה להתקבל מהשקעה בשוק השכירות למגורים שיקול מרכזי להכרעה אם </w:t>
      </w:r>
      <w:r w:rsidRPr="00F41E78">
        <w:rPr>
          <w:rFonts w:eastAsia="Calibri" w:cs="FrankRuehl" w:hint="cs"/>
          <w:sz w:val="18"/>
          <w:szCs w:val="22"/>
          <w:rtl/>
          <w:lang w:eastAsia="he-IL"/>
        </w:rPr>
        <w:t>לשלב את</w:t>
      </w:r>
      <w:r w:rsidRPr="00F41E78">
        <w:rPr>
          <w:rFonts w:eastAsia="Calibri" w:cs="FrankRuehl"/>
          <w:sz w:val="18"/>
          <w:szCs w:val="22"/>
          <w:rtl/>
          <w:lang w:eastAsia="he-IL"/>
        </w:rPr>
        <w:t xml:space="preserve"> הגופים המוסדיים בפרויקטים כאל</w:t>
      </w:r>
      <w:r w:rsidRPr="00F41E78">
        <w:rPr>
          <w:rFonts w:eastAsia="Calibri" w:cs="FrankRuehl" w:hint="cs"/>
          <w:sz w:val="18"/>
          <w:szCs w:val="22"/>
          <w:rtl/>
          <w:lang w:eastAsia="he-IL"/>
        </w:rPr>
        <w:t>ו</w:t>
      </w:r>
      <w:r w:rsidRPr="00F41E78">
        <w:rPr>
          <w:rFonts w:eastAsia="Calibri" w:cs="FrankRuehl"/>
          <w:sz w:val="18"/>
          <w:szCs w:val="22"/>
          <w:rtl/>
          <w:lang w:eastAsia="he-IL"/>
        </w:rPr>
        <w:t xml:space="preserve">. </w:t>
      </w:r>
    </w:p>
    <w:p w:rsidR="00D22B16" w:rsidRPr="00F41E78" w:rsidP="00D22B16">
      <w:pPr>
        <w:pStyle w:val="RESHET"/>
        <w:keepLines/>
        <w:rPr>
          <w:rFonts w:eastAsia="Calibri"/>
          <w:rtl/>
        </w:rPr>
      </w:pPr>
      <w:r w:rsidRPr="00F41E78">
        <w:rPr>
          <w:rFonts w:eastAsia="Calibri"/>
          <w:rtl/>
        </w:rPr>
        <w:t>בביקורת עלה כי לפחות בנוגע לחלק מהפרויקטים לדיור להשכרה שהם שיווקו העריכו משרד הבינוי ואג</w:t>
      </w:r>
      <w:r w:rsidRPr="00F41E78">
        <w:rPr>
          <w:rFonts w:eastAsia="Calibri" w:hint="cs"/>
          <w:rtl/>
        </w:rPr>
        <w:t xml:space="preserve">"ת כי </w:t>
      </w:r>
      <w:r w:rsidRPr="00F41E78">
        <w:rPr>
          <w:rFonts w:eastAsia="Calibri"/>
          <w:rtl/>
        </w:rPr>
        <w:t>התשואה הצפויה</w:t>
      </w:r>
      <w:r w:rsidRPr="00F41E78">
        <w:rPr>
          <w:rFonts w:eastAsia="Calibri" w:hint="cs"/>
          <w:rtl/>
        </w:rPr>
        <w:t xml:space="preserve"> </w:t>
      </w:r>
      <w:r w:rsidRPr="00F41E78">
        <w:rPr>
          <w:rFonts w:eastAsia="Calibri"/>
          <w:rtl/>
        </w:rPr>
        <w:t>נמוכה מדי</w:t>
      </w:r>
      <w:r w:rsidRPr="00F41E78">
        <w:rPr>
          <w:rFonts w:eastAsia="Calibri" w:hint="cs"/>
          <w:rtl/>
        </w:rPr>
        <w:t xml:space="preserve"> לעומת</w:t>
      </w:r>
      <w:r w:rsidRPr="00F41E78">
        <w:rPr>
          <w:rFonts w:eastAsia="Calibri"/>
          <w:rtl/>
        </w:rPr>
        <w:t xml:space="preserve"> </w:t>
      </w:r>
      <w:r w:rsidRPr="00F41E78">
        <w:rPr>
          <w:rFonts w:eastAsia="Calibri" w:hint="cs"/>
          <w:rtl/>
        </w:rPr>
        <w:t>ה</w:t>
      </w:r>
      <w:r w:rsidRPr="00F41E78">
        <w:rPr>
          <w:rFonts w:eastAsia="Calibri"/>
          <w:rtl/>
        </w:rPr>
        <w:t>תשואה המקובלת מהשקעה בנדל"ן</w:t>
      </w:r>
      <w:r w:rsidRPr="00F41E78">
        <w:rPr>
          <w:rFonts w:eastAsia="Calibri" w:hint="cs"/>
          <w:rtl/>
        </w:rPr>
        <w:t>. למרות זאת,</w:t>
      </w:r>
      <w:r w:rsidRPr="00F41E78">
        <w:rPr>
          <w:rFonts w:eastAsia="Calibri"/>
          <w:rtl/>
        </w:rPr>
        <w:t xml:space="preserve"> הם החליטו לפרסם את הפרויקטים לשיווק</w:t>
      </w:r>
      <w:r w:rsidRPr="00F41E78">
        <w:rPr>
          <w:rFonts w:eastAsia="Calibri" w:hint="cs"/>
          <w:rtl/>
        </w:rPr>
        <w:t>,</w:t>
      </w:r>
      <w:r w:rsidRPr="00F41E78">
        <w:rPr>
          <w:rFonts w:eastAsia="Calibri"/>
          <w:rtl/>
        </w:rPr>
        <w:t xml:space="preserve"> והגופים המוסדיים נמנעו </w:t>
      </w:r>
      <w:r w:rsidRPr="00F41E78">
        <w:rPr>
          <w:rFonts w:eastAsia="Calibri" w:hint="cs"/>
          <w:rtl/>
        </w:rPr>
        <w:t>מ</w:t>
      </w:r>
      <w:r w:rsidRPr="00F41E78">
        <w:rPr>
          <w:rFonts w:eastAsia="Calibri"/>
          <w:rtl/>
        </w:rPr>
        <w:t>להגיש הצעות למכרז</w:t>
      </w:r>
      <w:r w:rsidRPr="00F41E78">
        <w:rPr>
          <w:rFonts w:eastAsia="Calibri" w:hint="cs"/>
          <w:rtl/>
        </w:rPr>
        <w:t>י ה</w:t>
      </w:r>
      <w:r w:rsidRPr="00F41E78">
        <w:rPr>
          <w:rFonts w:eastAsia="Calibri"/>
          <w:rtl/>
        </w:rPr>
        <w:t>בנייה</w:t>
      </w:r>
      <w:r w:rsidRPr="00F41E78">
        <w:rPr>
          <w:rFonts w:eastAsia="Calibri" w:hint="cs"/>
          <w:rtl/>
        </w:rPr>
        <w:t>.</w:t>
      </w:r>
    </w:p>
    <w:p w:rsidR="00E97EDA" w:rsidRPr="00F41E78" w:rsidP="00F07DDA">
      <w:pPr>
        <w:spacing w:before="180" w:after="240" w:line="230" w:lineRule="exact"/>
        <w:ind w:left="-60"/>
        <w:jc w:val="both"/>
        <w:rPr>
          <w:rFonts w:eastAsia="Calibri" w:cs="FrankRuehl"/>
          <w:sz w:val="18"/>
          <w:szCs w:val="22"/>
          <w:rtl/>
          <w:lang w:eastAsia="he-IL"/>
        </w:rPr>
      </w:pPr>
      <w:r w:rsidRPr="00F41E78">
        <w:rPr>
          <w:rFonts w:cs="FrankRuehl"/>
          <w:bCs/>
          <w:spacing w:val="40"/>
          <w:sz w:val="18"/>
          <w:szCs w:val="22"/>
          <w:rtl/>
        </w:rPr>
        <w:t>היקף השקעה:</w:t>
      </w:r>
      <w:r w:rsidRPr="00F41E78">
        <w:rPr>
          <w:rFonts w:cs="FrankRuehl"/>
          <w:sz w:val="18"/>
          <w:szCs w:val="22"/>
          <w:rtl/>
          <w:lang w:eastAsia="he-IL"/>
        </w:rPr>
        <w:t xml:space="preserve"> </w:t>
      </w:r>
      <w:r w:rsidRPr="00F41E78">
        <w:rPr>
          <w:rFonts w:eastAsia="Calibri" w:cs="FrankRuehl"/>
          <w:sz w:val="18"/>
          <w:szCs w:val="22"/>
          <w:rtl/>
          <w:lang w:eastAsia="he-IL"/>
        </w:rPr>
        <w:t>פרמטר נוסף המשפיע על הכדאיות הכלכלית שבהשקעה בשוק השכירות הוא היקף הפרויקט ותמהיל יחידות הדיור שי</w:t>
      </w:r>
      <w:r w:rsidRPr="00F41E78">
        <w:rPr>
          <w:rFonts w:eastAsia="Calibri" w:cs="FrankRuehl" w:hint="cs"/>
          <w:sz w:val="18"/>
          <w:szCs w:val="22"/>
          <w:rtl/>
          <w:lang w:eastAsia="he-IL"/>
        </w:rPr>
        <w:t>י</w:t>
      </w:r>
      <w:r w:rsidRPr="00F41E78">
        <w:rPr>
          <w:rFonts w:eastAsia="Calibri" w:cs="FrankRuehl"/>
          <w:sz w:val="18"/>
          <w:szCs w:val="22"/>
          <w:rtl/>
          <w:lang w:eastAsia="he-IL"/>
        </w:rPr>
        <w:t>בנו</w:t>
      </w:r>
      <w:r w:rsidRPr="00F41E78">
        <w:rPr>
          <w:rFonts w:eastAsia="Calibri" w:cs="FrankRuehl" w:hint="cs"/>
          <w:sz w:val="18"/>
          <w:szCs w:val="22"/>
          <w:rtl/>
          <w:lang w:eastAsia="he-IL"/>
        </w:rPr>
        <w:t>; כלומר,</w:t>
      </w:r>
      <w:r w:rsidRPr="00F41E78">
        <w:rPr>
          <w:rFonts w:eastAsia="Calibri" w:cs="FrankRuehl"/>
          <w:sz w:val="18"/>
          <w:szCs w:val="22"/>
          <w:rtl/>
          <w:lang w:eastAsia="he-IL"/>
        </w:rPr>
        <w:t xml:space="preserve"> כמה </w:t>
      </w:r>
      <w:r w:rsidRPr="00F41E78">
        <w:rPr>
          <w:rFonts w:eastAsia="Calibri" w:cs="FrankRuehl" w:hint="cs"/>
          <w:sz w:val="18"/>
          <w:szCs w:val="22"/>
          <w:rtl/>
          <w:lang w:eastAsia="he-IL"/>
        </w:rPr>
        <w:t>יח"ד</w:t>
      </w:r>
      <w:r w:rsidRPr="00F41E78">
        <w:rPr>
          <w:rFonts w:eastAsia="Calibri" w:cs="FrankRuehl"/>
          <w:sz w:val="18"/>
          <w:szCs w:val="22"/>
          <w:rtl/>
          <w:lang w:eastAsia="he-IL"/>
        </w:rPr>
        <w:t xml:space="preserve"> ייבנו בסך הכול, מה</w:t>
      </w:r>
      <w:r w:rsidRPr="00F41E78">
        <w:rPr>
          <w:rFonts w:eastAsia="Calibri" w:cs="FrankRuehl" w:hint="cs"/>
          <w:sz w:val="18"/>
          <w:szCs w:val="22"/>
          <w:rtl/>
          <w:lang w:eastAsia="he-IL"/>
        </w:rPr>
        <w:t xml:space="preserve"> יהיה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מספרן</w:t>
      </w:r>
      <w:r w:rsidRPr="00F41E78">
        <w:rPr>
          <w:rFonts w:eastAsia="Calibri" w:cs="FrankRuehl"/>
          <w:sz w:val="18"/>
          <w:szCs w:val="22"/>
          <w:rtl/>
          <w:lang w:eastAsia="he-IL"/>
        </w:rPr>
        <w:t xml:space="preserve"> של </w:t>
      </w:r>
      <w:r w:rsidRPr="00F41E78">
        <w:rPr>
          <w:rFonts w:eastAsia="Calibri" w:cs="FrankRuehl" w:hint="cs"/>
          <w:sz w:val="18"/>
          <w:szCs w:val="22"/>
          <w:rtl/>
          <w:lang w:eastAsia="he-IL"/>
        </w:rPr>
        <w:t>יחידות הדיור</w:t>
      </w:r>
      <w:r w:rsidRPr="00F41E78">
        <w:rPr>
          <w:rFonts w:eastAsia="Calibri" w:cs="FrankRuehl"/>
          <w:sz w:val="18"/>
          <w:szCs w:val="22"/>
          <w:rtl/>
          <w:lang w:eastAsia="he-IL"/>
        </w:rPr>
        <w:t xml:space="preserve"> המיועדות לשכירות </w:t>
      </w:r>
      <w:r w:rsidRPr="00F41E78">
        <w:rPr>
          <w:rFonts w:eastAsia="Calibri" w:cs="FrankRuehl" w:hint="cs"/>
          <w:sz w:val="18"/>
          <w:szCs w:val="22"/>
          <w:rtl/>
          <w:lang w:eastAsia="he-IL"/>
        </w:rPr>
        <w:t xml:space="preserve">לעומת </w:t>
      </w:r>
      <w:r w:rsidRPr="00F41E78">
        <w:rPr>
          <w:rFonts w:eastAsia="Calibri" w:cs="FrankRuehl"/>
          <w:sz w:val="18"/>
          <w:szCs w:val="22"/>
          <w:rtl/>
          <w:lang w:eastAsia="he-IL"/>
        </w:rPr>
        <w:t>אלו המיועדות למכירה (</w:t>
      </w:r>
      <w:r w:rsidRPr="00F41E78">
        <w:rPr>
          <w:rFonts w:eastAsia="Calibri" w:cs="FrankRuehl" w:hint="cs"/>
          <w:sz w:val="18"/>
          <w:szCs w:val="22"/>
          <w:rtl/>
          <w:lang w:eastAsia="he-IL"/>
        </w:rPr>
        <w:t>אם הן ישווקו</w:t>
      </w:r>
      <w:r w:rsidRPr="00F41E78">
        <w:rPr>
          <w:rFonts w:eastAsia="Calibri" w:cs="FrankRuehl"/>
          <w:sz w:val="18"/>
          <w:szCs w:val="22"/>
          <w:rtl/>
          <w:lang w:eastAsia="he-IL"/>
        </w:rPr>
        <w:t xml:space="preserve"> על פי מסלול א) ומה</w:t>
      </w:r>
      <w:r w:rsidRPr="00F41E78">
        <w:rPr>
          <w:rFonts w:eastAsia="Calibri" w:cs="FrankRuehl" w:hint="cs"/>
          <w:sz w:val="18"/>
          <w:szCs w:val="22"/>
          <w:rtl/>
          <w:lang w:eastAsia="he-IL"/>
        </w:rPr>
        <w:t xml:space="preserve"> יהיה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מספרן</w:t>
      </w:r>
      <w:r w:rsidRPr="00F41E78">
        <w:rPr>
          <w:rFonts w:eastAsia="Calibri" w:cs="FrankRuehl"/>
          <w:sz w:val="18"/>
          <w:szCs w:val="22"/>
          <w:rtl/>
          <w:lang w:eastAsia="he-IL"/>
        </w:rPr>
        <w:t xml:space="preserve"> של יחידות הדיור שיושכרו במחירי שוק </w:t>
      </w:r>
      <w:r w:rsidRPr="00F41E78">
        <w:rPr>
          <w:rFonts w:eastAsia="Calibri" w:cs="FrankRuehl" w:hint="cs"/>
          <w:sz w:val="18"/>
          <w:szCs w:val="22"/>
          <w:rtl/>
          <w:lang w:eastAsia="he-IL"/>
        </w:rPr>
        <w:t>לעומת אלו</w:t>
      </w:r>
      <w:r w:rsidRPr="00F41E78">
        <w:rPr>
          <w:rFonts w:eastAsia="Calibri" w:cs="FrankRuehl"/>
          <w:sz w:val="18"/>
          <w:szCs w:val="22"/>
          <w:rtl/>
          <w:lang w:eastAsia="he-IL"/>
        </w:rPr>
        <w:t xml:space="preserve"> שיושכרו במחיר מוזל ומפוקח. </w:t>
      </w:r>
    </w:p>
    <w:p w:rsidR="00D22B16" w:rsidRPr="00F41E78" w:rsidP="00D22B16">
      <w:pPr>
        <w:pStyle w:val="RESHET"/>
        <w:keepLines/>
        <w:rPr>
          <w:rFonts w:eastAsia="Calibri"/>
          <w:rtl/>
        </w:rPr>
      </w:pPr>
      <w:r w:rsidRPr="00F41E78">
        <w:rPr>
          <w:rFonts w:eastAsia="Calibri" w:hint="cs"/>
          <w:rtl/>
        </w:rPr>
        <w:t>להיתכנות</w:t>
      </w:r>
      <w:r w:rsidRPr="00F41E78">
        <w:rPr>
          <w:rFonts w:eastAsia="Calibri"/>
          <w:rtl/>
        </w:rPr>
        <w:t xml:space="preserve"> כדאיות כלכלית נדרש היקף מינימלי של </w:t>
      </w:r>
      <w:r w:rsidRPr="00F41E78">
        <w:rPr>
          <w:rFonts w:eastAsia="Calibri" w:hint="cs"/>
          <w:rtl/>
        </w:rPr>
        <w:t>יח"ד</w:t>
      </w:r>
      <w:r w:rsidRPr="00F41E78">
        <w:rPr>
          <w:rFonts w:eastAsia="Calibri"/>
          <w:rtl/>
        </w:rPr>
        <w:t xml:space="preserve"> שייבנו ותמהיל מתאים שלהן </w:t>
      </w:r>
      <w:r w:rsidRPr="00F41E78">
        <w:rPr>
          <w:rFonts w:eastAsia="Calibri" w:hint="cs"/>
          <w:rtl/>
        </w:rPr>
        <w:t>מבחינת</w:t>
      </w:r>
      <w:r w:rsidRPr="00F41E78">
        <w:rPr>
          <w:rFonts w:eastAsia="Calibri"/>
          <w:rtl/>
        </w:rPr>
        <w:t xml:space="preserve"> השימושים</w:t>
      </w:r>
      <w:r w:rsidRPr="00F41E78">
        <w:rPr>
          <w:rFonts w:eastAsia="Calibri" w:hint="cs"/>
          <w:rtl/>
        </w:rPr>
        <w:t xml:space="preserve"> הייעודיים</w:t>
      </w:r>
      <w:r w:rsidRPr="00F41E78">
        <w:rPr>
          <w:rFonts w:eastAsia="Calibri"/>
          <w:rtl/>
        </w:rPr>
        <w:t xml:space="preserve">. פרמטר זה משפיע גם </w:t>
      </w:r>
      <w:r w:rsidRPr="00F41E78">
        <w:rPr>
          <w:rFonts w:eastAsia="Calibri" w:hint="cs"/>
          <w:rtl/>
        </w:rPr>
        <w:t>על</w:t>
      </w:r>
      <w:r w:rsidRPr="00F41E78">
        <w:rPr>
          <w:rFonts w:eastAsia="Calibri"/>
          <w:rtl/>
        </w:rPr>
        <w:t xml:space="preserve"> היקף ההשקעה בניהול וב</w:t>
      </w:r>
      <w:r w:rsidRPr="00F41E78">
        <w:rPr>
          <w:rFonts w:eastAsia="Calibri" w:hint="cs"/>
          <w:rtl/>
        </w:rPr>
        <w:t>ת</w:t>
      </w:r>
      <w:r w:rsidRPr="00F41E78">
        <w:rPr>
          <w:rFonts w:eastAsia="Calibri"/>
          <w:rtl/>
        </w:rPr>
        <w:t>חז</w:t>
      </w:r>
      <w:r w:rsidRPr="00F41E78">
        <w:rPr>
          <w:rFonts w:eastAsia="Calibri" w:hint="cs"/>
          <w:rtl/>
        </w:rPr>
        <w:t>ו</w:t>
      </w:r>
      <w:r w:rsidRPr="00F41E78">
        <w:rPr>
          <w:rFonts w:eastAsia="Calibri"/>
          <w:rtl/>
        </w:rPr>
        <w:t>קה של יחידות הדיור בפרויקט</w:t>
      </w:r>
      <w:r w:rsidRPr="00F41E78">
        <w:rPr>
          <w:rFonts w:eastAsia="Calibri" w:hint="cs"/>
          <w:rtl/>
        </w:rPr>
        <w:t>, דהיינו</w:t>
      </w:r>
      <w:r w:rsidRPr="00F41E78">
        <w:rPr>
          <w:rFonts w:eastAsia="Calibri"/>
          <w:rtl/>
        </w:rPr>
        <w:t xml:space="preserve"> נדרשת "מסה קריטית מינימלית" שתצדיק את ההוצאה. </w:t>
      </w:r>
      <w:r w:rsidRPr="00F41E78">
        <w:rPr>
          <w:rFonts w:eastAsia="Calibri" w:hint="cs"/>
          <w:rtl/>
        </w:rPr>
        <w:t>מהממצאים</w:t>
      </w:r>
      <w:r w:rsidRPr="00F41E78">
        <w:rPr>
          <w:rFonts w:eastAsia="Calibri"/>
          <w:rtl/>
        </w:rPr>
        <w:t xml:space="preserve"> עלה ש</w:t>
      </w:r>
      <w:r w:rsidRPr="00F41E78">
        <w:rPr>
          <w:rFonts w:eastAsia="Calibri" w:hint="cs"/>
          <w:rtl/>
        </w:rPr>
        <w:t xml:space="preserve">היקפי </w:t>
      </w:r>
      <w:r w:rsidRPr="00F41E78">
        <w:rPr>
          <w:rFonts w:eastAsia="Calibri"/>
          <w:rtl/>
        </w:rPr>
        <w:t xml:space="preserve">הפרויקטים ששווקו להשכרה היו מצומצמים </w:t>
      </w:r>
      <w:r w:rsidRPr="00F41E78">
        <w:rPr>
          <w:rFonts w:eastAsia="Calibri" w:hint="cs"/>
          <w:rtl/>
        </w:rPr>
        <w:t>מכדי להצדיק</w:t>
      </w:r>
      <w:r w:rsidRPr="00F41E78">
        <w:rPr>
          <w:rFonts w:eastAsia="Calibri"/>
          <w:rtl/>
        </w:rPr>
        <w:t xml:space="preserve"> את ההשקעה הנדרשת לתפעולם. </w:t>
      </w:r>
    </w:p>
    <w:p w:rsidR="00E97EDA" w:rsidRPr="00F41E78" w:rsidP="00F07DDA">
      <w:pPr>
        <w:spacing w:before="180" w:after="120" w:line="230" w:lineRule="exact"/>
        <w:jc w:val="both"/>
        <w:rPr>
          <w:rFonts w:eastAsia="Calibri" w:cs="FrankRuehl"/>
          <w:sz w:val="18"/>
          <w:szCs w:val="22"/>
          <w:rtl/>
          <w:lang w:eastAsia="he-IL"/>
        </w:rPr>
      </w:pPr>
      <w:r w:rsidRPr="00F41E78">
        <w:rPr>
          <w:rFonts w:cs="FrankRuehl"/>
          <w:bCs/>
          <w:spacing w:val="40"/>
          <w:sz w:val="18"/>
          <w:szCs w:val="22"/>
          <w:rtl/>
        </w:rPr>
        <w:t>מגבלת מיסוי:</w:t>
      </w:r>
      <w:r w:rsidRPr="00F41E78">
        <w:rPr>
          <w:rFonts w:eastAsia="Calibri" w:cs="FrankRuehl"/>
          <w:sz w:val="18"/>
          <w:szCs w:val="22"/>
          <w:rtl/>
          <w:lang w:eastAsia="he-IL"/>
        </w:rPr>
        <w:t xml:space="preserve"> על פי </w:t>
      </w:r>
      <w:r w:rsidRPr="00F41E78">
        <w:rPr>
          <w:rFonts w:eastAsia="Calibri" w:cs="FrankRuehl" w:hint="cs"/>
          <w:sz w:val="18"/>
          <w:szCs w:val="22"/>
          <w:rtl/>
          <w:lang w:eastAsia="he-IL"/>
        </w:rPr>
        <w:t>ה</w:t>
      </w:r>
      <w:r w:rsidRPr="00F41E78">
        <w:rPr>
          <w:rFonts w:eastAsia="Calibri" w:cs="FrankRuehl"/>
          <w:sz w:val="18"/>
          <w:szCs w:val="22"/>
          <w:rtl/>
          <w:lang w:eastAsia="he-IL"/>
        </w:rPr>
        <w:t>חוק</w:t>
      </w:r>
      <w:r>
        <w:rPr>
          <w:rFonts w:eastAsia="Calibri" w:cs="FrankRuehl"/>
          <w:sz w:val="18"/>
          <w:szCs w:val="22"/>
          <w:vertAlign w:val="superscript"/>
          <w:rtl/>
          <w:lang w:eastAsia="he-IL"/>
        </w:rPr>
        <w:footnoteReference w:id="311"/>
      </w:r>
      <w:r w:rsidRPr="00F41E78">
        <w:rPr>
          <w:rFonts w:eastAsia="Calibri" w:cs="FrankRuehl"/>
          <w:sz w:val="18"/>
          <w:szCs w:val="22"/>
          <w:rtl/>
          <w:lang w:eastAsia="he-IL"/>
        </w:rPr>
        <w:t xml:space="preserve"> ניתן פטור ממס על הכנסה מדמי שכירות בשל השכרת דירות מגורים לטווח ארוך</w:t>
      </w:r>
      <w:r w:rsidRPr="00F41E78">
        <w:rPr>
          <w:rFonts w:eastAsia="Calibri" w:cs="FrankRuehl" w:hint="cs"/>
          <w:sz w:val="18"/>
          <w:szCs w:val="22"/>
          <w:rtl/>
          <w:lang w:eastAsia="he-IL"/>
        </w:rPr>
        <w:t>.</w:t>
      </w:r>
      <w:r w:rsidRPr="00F41E78">
        <w:rPr>
          <w:rFonts w:eastAsia="Calibri" w:cs="FrankRuehl"/>
          <w:sz w:val="18"/>
          <w:szCs w:val="22"/>
          <w:rtl/>
          <w:lang w:eastAsia="he-IL"/>
        </w:rPr>
        <w:t xml:space="preserve"> אולם </w:t>
      </w:r>
      <w:r w:rsidRPr="00F41E78">
        <w:rPr>
          <w:rFonts w:eastAsia="Calibri" w:cs="FrankRuehl" w:hint="cs"/>
          <w:sz w:val="18"/>
          <w:szCs w:val="22"/>
          <w:rtl/>
          <w:lang w:eastAsia="he-IL"/>
        </w:rPr>
        <w:t>לא</w:t>
      </w:r>
      <w:r w:rsidRPr="00F41E78">
        <w:rPr>
          <w:rFonts w:eastAsia="Calibri" w:cs="FrankRuehl"/>
          <w:sz w:val="18"/>
          <w:szCs w:val="22"/>
          <w:rtl/>
          <w:lang w:eastAsia="he-IL"/>
        </w:rPr>
        <w:t xml:space="preserve"> ניתן</w:t>
      </w:r>
      <w:r w:rsidRPr="00F41E78">
        <w:rPr>
          <w:rFonts w:eastAsia="Calibri" w:cs="FrankRuehl" w:hint="cs"/>
          <w:sz w:val="18"/>
          <w:szCs w:val="22"/>
          <w:rtl/>
          <w:lang w:eastAsia="he-IL"/>
        </w:rPr>
        <w:t xml:space="preserve"> פטור</w:t>
      </w:r>
      <w:r w:rsidRPr="00F41E78">
        <w:rPr>
          <w:rFonts w:eastAsia="Calibri" w:cs="FrankRuehl"/>
          <w:sz w:val="18"/>
          <w:szCs w:val="22"/>
          <w:rtl/>
          <w:lang w:eastAsia="he-IL"/>
        </w:rPr>
        <w:t xml:space="preserve"> עבור הכנסה משירותים נלווים להשכרה שהגוף המוסדי מספק</w:t>
      </w:r>
      <w:r w:rsidRPr="00F41E78">
        <w:rPr>
          <w:rFonts w:eastAsia="Calibri" w:cs="FrankRuehl" w:hint="cs"/>
          <w:sz w:val="18"/>
          <w:szCs w:val="22"/>
          <w:rtl/>
          <w:lang w:eastAsia="he-IL"/>
        </w:rPr>
        <w:t xml:space="preserve">, כמו משפחתונים וחדרי כושר, היכולים </w:t>
      </w:r>
      <w:r w:rsidRPr="00F41E78">
        <w:rPr>
          <w:rFonts w:eastAsia="Calibri" w:cs="FrankRuehl"/>
          <w:sz w:val="18"/>
          <w:szCs w:val="22"/>
          <w:rtl/>
          <w:lang w:eastAsia="he-IL"/>
        </w:rPr>
        <w:t xml:space="preserve">ליצור ערך מוסף </w:t>
      </w:r>
      <w:r w:rsidRPr="00F41E78">
        <w:rPr>
          <w:rFonts w:eastAsia="Calibri" w:cs="FrankRuehl" w:hint="cs"/>
          <w:sz w:val="18"/>
          <w:szCs w:val="22"/>
          <w:rtl/>
          <w:lang w:eastAsia="he-IL"/>
        </w:rPr>
        <w:t xml:space="preserve">ההופך את הפרויקט לאטרקטיבי יותר. </w:t>
      </w:r>
    </w:p>
    <w:p w:rsidR="00E97EDA" w:rsidRPr="00F41E78" w:rsidP="00A7557B">
      <w:pPr>
        <w:spacing w:after="120" w:line="230" w:lineRule="exact"/>
        <w:jc w:val="both"/>
        <w:rPr>
          <w:rFonts w:eastAsia="Calibri" w:cs="FrankRuehl"/>
          <w:sz w:val="18"/>
          <w:szCs w:val="22"/>
          <w:rtl/>
          <w:lang w:eastAsia="he-IL"/>
        </w:rPr>
      </w:pPr>
      <w:r w:rsidRPr="00F41E78">
        <w:rPr>
          <w:rFonts w:eastAsia="Calibri" w:cs="FrankRuehl"/>
          <w:sz w:val="18"/>
          <w:szCs w:val="22"/>
          <w:rtl/>
          <w:lang w:eastAsia="he-IL"/>
        </w:rPr>
        <w:t xml:space="preserve">בחוק גופים מוסדיים נקבעה מגבלה הקובעת שכדי לזכות בפטור ממס על </w:t>
      </w:r>
      <w:r w:rsidRPr="00F41E78">
        <w:rPr>
          <w:rFonts w:eastAsia="Calibri" w:cs="FrankRuehl" w:hint="cs"/>
          <w:sz w:val="18"/>
          <w:szCs w:val="22"/>
          <w:rtl/>
          <w:lang w:eastAsia="he-IL"/>
        </w:rPr>
        <w:t xml:space="preserve">הגוף המוסדי </w:t>
      </w:r>
      <w:r w:rsidRPr="00F41E78">
        <w:rPr>
          <w:rFonts w:eastAsia="Calibri" w:cs="FrankRuehl"/>
          <w:sz w:val="18"/>
          <w:szCs w:val="22"/>
          <w:rtl/>
          <w:lang w:eastAsia="he-IL"/>
        </w:rPr>
        <w:t xml:space="preserve">להיות בעלים של 100 </w:t>
      </w:r>
      <w:r w:rsidRPr="00F41E78">
        <w:rPr>
          <w:rFonts w:eastAsia="Calibri" w:cs="FrankRuehl" w:hint="cs"/>
          <w:sz w:val="18"/>
          <w:szCs w:val="22"/>
          <w:rtl/>
          <w:lang w:eastAsia="he-IL"/>
        </w:rPr>
        <w:t>יח"ד</w:t>
      </w:r>
      <w:r w:rsidRPr="00F41E78">
        <w:rPr>
          <w:rFonts w:eastAsia="Calibri" w:cs="FrankRuehl"/>
          <w:sz w:val="18"/>
          <w:szCs w:val="22"/>
          <w:rtl/>
          <w:lang w:eastAsia="he-IL"/>
        </w:rPr>
        <w:t xml:space="preserve"> לפחות או 50 </w:t>
      </w:r>
      <w:r w:rsidRPr="00F41E78">
        <w:rPr>
          <w:rFonts w:eastAsia="Calibri" w:cs="FrankRuehl" w:hint="cs"/>
          <w:sz w:val="18"/>
          <w:szCs w:val="22"/>
          <w:rtl/>
          <w:lang w:eastAsia="he-IL"/>
        </w:rPr>
        <w:t xml:space="preserve">אם מדובר </w:t>
      </w:r>
      <w:r w:rsidRPr="00F41E78">
        <w:rPr>
          <w:rFonts w:eastAsia="Calibri" w:cs="FrankRuehl"/>
          <w:sz w:val="18"/>
          <w:szCs w:val="22"/>
          <w:rtl/>
          <w:lang w:eastAsia="he-IL"/>
        </w:rPr>
        <w:t xml:space="preserve">בנגב או בגליל. </w:t>
      </w:r>
      <w:r w:rsidRPr="00F41E78">
        <w:rPr>
          <w:rFonts w:eastAsia="Calibri" w:cs="FrankRuehl" w:hint="cs"/>
          <w:sz w:val="18"/>
          <w:szCs w:val="22"/>
          <w:rtl/>
          <w:lang w:eastAsia="he-IL"/>
        </w:rPr>
        <w:t xml:space="preserve">נמצא כי </w:t>
      </w:r>
      <w:r w:rsidRPr="00F41E78">
        <w:rPr>
          <w:rFonts w:eastAsia="Calibri" w:cs="FrankRuehl"/>
          <w:sz w:val="18"/>
          <w:szCs w:val="22"/>
          <w:rtl/>
          <w:lang w:eastAsia="he-IL"/>
        </w:rPr>
        <w:t xml:space="preserve">רק </w:t>
      </w:r>
      <w:r w:rsidRPr="00F41E78">
        <w:rPr>
          <w:rFonts w:eastAsia="Calibri" w:cs="FrankRuehl" w:hint="cs"/>
          <w:sz w:val="18"/>
          <w:szCs w:val="22"/>
          <w:rtl/>
          <w:lang w:eastAsia="he-IL"/>
        </w:rPr>
        <w:t xml:space="preserve">במכרז </w:t>
      </w:r>
      <w:r w:rsidRPr="00F41E78">
        <w:rPr>
          <w:rFonts w:eastAsia="Calibri" w:cs="FrankRuehl"/>
          <w:sz w:val="18"/>
          <w:szCs w:val="22"/>
          <w:rtl/>
          <w:lang w:eastAsia="he-IL"/>
        </w:rPr>
        <w:t xml:space="preserve">אחד </w:t>
      </w:r>
      <w:r w:rsidRPr="00F41E78">
        <w:rPr>
          <w:rFonts w:eastAsia="Calibri" w:cs="FrankRuehl" w:hint="cs"/>
          <w:sz w:val="18"/>
          <w:szCs w:val="22"/>
          <w:rtl/>
          <w:lang w:eastAsia="he-IL"/>
        </w:rPr>
        <w:t>מ-</w:t>
      </w:r>
      <w:r w:rsidRPr="00F41E78">
        <w:rPr>
          <w:rFonts w:eastAsia="Calibri" w:cs="FrankRuehl"/>
          <w:sz w:val="18"/>
          <w:szCs w:val="22"/>
          <w:rtl/>
          <w:lang w:eastAsia="he-IL"/>
        </w:rPr>
        <w:t xml:space="preserve">11 שפורסמו </w:t>
      </w:r>
      <w:r w:rsidRPr="00F41E78">
        <w:rPr>
          <w:rFonts w:eastAsia="Calibri" w:cs="FrankRuehl" w:hint="cs"/>
          <w:sz w:val="18"/>
          <w:szCs w:val="22"/>
          <w:rtl/>
          <w:lang w:eastAsia="he-IL"/>
        </w:rPr>
        <w:t>ע</w:t>
      </w:r>
      <w:r w:rsidRPr="00F41E78">
        <w:rPr>
          <w:rFonts w:eastAsia="Calibri" w:cs="FrankRuehl"/>
          <w:sz w:val="18"/>
          <w:szCs w:val="22"/>
          <w:rtl/>
          <w:lang w:eastAsia="he-IL"/>
        </w:rPr>
        <w:t>ל</w:t>
      </w:r>
      <w:r w:rsidRPr="00F41E78">
        <w:rPr>
          <w:rFonts w:eastAsia="Calibri" w:cs="FrankRuehl" w:hint="cs"/>
          <w:sz w:val="18"/>
          <w:szCs w:val="22"/>
          <w:rtl/>
          <w:lang w:eastAsia="he-IL"/>
        </w:rPr>
        <w:t xml:space="preserve"> </w:t>
      </w:r>
      <w:r w:rsidRPr="00F41E78">
        <w:rPr>
          <w:rFonts w:eastAsia="Calibri" w:cs="FrankRuehl"/>
          <w:sz w:val="18"/>
          <w:szCs w:val="22"/>
          <w:rtl/>
          <w:lang w:eastAsia="he-IL"/>
        </w:rPr>
        <w:t xml:space="preserve">פי מסלול ב </w:t>
      </w:r>
      <w:r w:rsidRPr="00F41E78">
        <w:rPr>
          <w:rFonts w:eastAsia="Calibri" w:cs="FrankRuehl" w:hint="cs"/>
          <w:sz w:val="18"/>
          <w:szCs w:val="22"/>
          <w:rtl/>
          <w:lang w:eastAsia="he-IL"/>
        </w:rPr>
        <w:t>נכללו יותר מ-</w:t>
      </w:r>
      <w:r w:rsidRPr="00F41E78">
        <w:rPr>
          <w:rFonts w:eastAsia="Calibri" w:cs="FrankRuehl"/>
          <w:sz w:val="18"/>
          <w:szCs w:val="22"/>
          <w:rtl/>
          <w:lang w:eastAsia="he-IL"/>
        </w:rPr>
        <w:t xml:space="preserve">100 </w:t>
      </w:r>
      <w:r w:rsidRPr="00F41E78">
        <w:rPr>
          <w:rFonts w:eastAsia="Calibri" w:cs="FrankRuehl" w:hint="cs"/>
          <w:sz w:val="18"/>
          <w:szCs w:val="22"/>
          <w:rtl/>
          <w:lang w:eastAsia="he-IL"/>
        </w:rPr>
        <w:t>יח"ד</w:t>
      </w:r>
      <w:r w:rsidRPr="00F41E78">
        <w:rPr>
          <w:rFonts w:eastAsia="Calibri" w:cs="FrankRuehl"/>
          <w:sz w:val="18"/>
          <w:szCs w:val="22"/>
          <w:rtl/>
          <w:lang w:eastAsia="he-IL"/>
        </w:rPr>
        <w:t xml:space="preserve"> להשכרה</w:t>
      </w:r>
      <w:r w:rsidRPr="00F41E78">
        <w:rPr>
          <w:rFonts w:eastAsia="Calibri" w:cs="FrankRuehl" w:hint="cs"/>
          <w:sz w:val="18"/>
          <w:szCs w:val="22"/>
          <w:rtl/>
          <w:lang w:eastAsia="he-IL"/>
        </w:rPr>
        <w:t>, ואף לא אחד מהפרויקטים היו בנגב או בגליל</w:t>
      </w:r>
      <w:r w:rsidRPr="00F41E78">
        <w:rPr>
          <w:rFonts w:eastAsia="Calibri" w:cs="FrankRuehl"/>
          <w:sz w:val="18"/>
          <w:szCs w:val="22"/>
          <w:rtl/>
          <w:lang w:eastAsia="he-IL"/>
        </w:rPr>
        <w:t>.</w:t>
      </w:r>
    </w:p>
    <w:p w:rsidR="00E97EDA" w:rsidRPr="00F41E78" w:rsidP="00A7557B">
      <w:pPr>
        <w:spacing w:after="120" w:line="230" w:lineRule="exact"/>
        <w:jc w:val="both"/>
        <w:rPr>
          <w:rFonts w:eastAsia="Calibri" w:cs="FrankRuehl"/>
          <w:sz w:val="18"/>
          <w:szCs w:val="22"/>
          <w:rtl/>
          <w:lang w:eastAsia="he-IL"/>
        </w:rPr>
      </w:pPr>
      <w:r w:rsidRPr="00F41E78">
        <w:rPr>
          <w:rFonts w:cs="FrankRuehl"/>
          <w:bCs/>
          <w:spacing w:val="40"/>
          <w:sz w:val="18"/>
          <w:szCs w:val="22"/>
          <w:rtl/>
        </w:rPr>
        <w:t xml:space="preserve">חסמים נוספים המונעים </w:t>
      </w:r>
      <w:r w:rsidRPr="00F41E78">
        <w:rPr>
          <w:rFonts w:cs="FrankRuehl" w:hint="cs"/>
          <w:bCs/>
          <w:spacing w:val="40"/>
          <w:sz w:val="18"/>
          <w:szCs w:val="22"/>
          <w:rtl/>
        </w:rPr>
        <w:t>מ</w:t>
      </w:r>
      <w:r w:rsidRPr="00F41E78">
        <w:rPr>
          <w:rFonts w:cs="FrankRuehl"/>
          <w:bCs/>
          <w:spacing w:val="40"/>
          <w:sz w:val="18"/>
          <w:szCs w:val="22"/>
          <w:rtl/>
        </w:rPr>
        <w:t xml:space="preserve">גופים מוסדיים </w:t>
      </w:r>
      <w:r w:rsidRPr="00F41E78">
        <w:rPr>
          <w:rFonts w:cs="FrankRuehl" w:hint="eastAsia"/>
          <w:bCs/>
          <w:spacing w:val="40"/>
          <w:sz w:val="18"/>
          <w:szCs w:val="22"/>
          <w:rtl/>
        </w:rPr>
        <w:t>להצטרף</w:t>
      </w:r>
      <w:r w:rsidRPr="00F41E78">
        <w:rPr>
          <w:rFonts w:cs="FrankRuehl"/>
          <w:bCs/>
          <w:spacing w:val="40"/>
          <w:sz w:val="18"/>
          <w:szCs w:val="22"/>
          <w:rtl/>
        </w:rPr>
        <w:t xml:space="preserve"> לשוק השכירות: </w:t>
      </w:r>
      <w:r w:rsidRPr="00F41E78">
        <w:rPr>
          <w:rFonts w:eastAsia="Calibri" w:cs="FrankRuehl"/>
          <w:sz w:val="18"/>
          <w:szCs w:val="22"/>
          <w:rtl/>
          <w:lang w:eastAsia="he-IL"/>
        </w:rPr>
        <w:t>משיחות שקיי</w:t>
      </w:r>
      <w:r w:rsidRPr="00F41E78">
        <w:rPr>
          <w:rFonts w:eastAsia="Calibri" w:cs="FrankRuehl" w:hint="cs"/>
          <w:sz w:val="18"/>
          <w:szCs w:val="22"/>
          <w:rtl/>
          <w:lang w:eastAsia="he-IL"/>
        </w:rPr>
        <w:t>ם</w:t>
      </w:r>
      <w:r w:rsidRPr="00F41E78">
        <w:rPr>
          <w:rFonts w:eastAsia="Calibri" w:cs="FrankRuehl"/>
          <w:sz w:val="18"/>
          <w:szCs w:val="22"/>
          <w:rtl/>
          <w:lang w:eastAsia="he-IL"/>
        </w:rPr>
        <w:t xml:space="preserve"> </w:t>
      </w:r>
      <w:r w:rsidRPr="00F41E78">
        <w:rPr>
          <w:rFonts w:eastAsia="Calibri" w:cs="FrankRuehl" w:hint="cs"/>
          <w:sz w:val="18"/>
          <w:szCs w:val="22"/>
          <w:rtl/>
          <w:lang w:eastAsia="he-IL"/>
        </w:rPr>
        <w:t>צוות</w:t>
      </w:r>
      <w:r w:rsidRPr="00F41E78">
        <w:rPr>
          <w:rFonts w:eastAsia="Calibri" w:cs="FrankRuehl"/>
          <w:sz w:val="18"/>
          <w:szCs w:val="22"/>
          <w:rtl/>
          <w:lang w:eastAsia="he-IL"/>
        </w:rPr>
        <w:t xml:space="preserve"> הביקורת עם </w:t>
      </w:r>
      <w:r w:rsidRPr="00F41E78">
        <w:rPr>
          <w:rFonts w:eastAsia="Calibri" w:cs="FrankRuehl" w:hint="cs"/>
          <w:sz w:val="18"/>
          <w:szCs w:val="22"/>
          <w:rtl/>
          <w:lang w:eastAsia="he-IL"/>
        </w:rPr>
        <w:t>כמה</w:t>
      </w:r>
      <w:r w:rsidRPr="00F41E78">
        <w:rPr>
          <w:rFonts w:eastAsia="Calibri" w:cs="FrankRuehl"/>
          <w:sz w:val="18"/>
          <w:szCs w:val="22"/>
          <w:rtl/>
          <w:lang w:eastAsia="he-IL"/>
        </w:rPr>
        <w:t xml:space="preserve"> גופים מוסדיים</w:t>
      </w:r>
      <w:r w:rsidRPr="00F41E78">
        <w:rPr>
          <w:rFonts w:eastAsia="Calibri" w:cs="FrankRuehl" w:hint="cs"/>
          <w:sz w:val="18"/>
          <w:szCs w:val="22"/>
          <w:rtl/>
          <w:lang w:eastAsia="he-IL"/>
        </w:rPr>
        <w:t>,</w:t>
      </w:r>
      <w:r w:rsidRPr="00F41E78">
        <w:rPr>
          <w:rFonts w:eastAsia="Calibri" w:cs="FrankRuehl"/>
          <w:sz w:val="18"/>
          <w:szCs w:val="22"/>
          <w:rtl/>
          <w:lang w:eastAsia="he-IL"/>
        </w:rPr>
        <w:t xml:space="preserve"> וכן מהסברי</w:t>
      </w:r>
      <w:r w:rsidRPr="00F41E78">
        <w:rPr>
          <w:rFonts w:eastAsia="Calibri" w:cs="FrankRuehl" w:hint="cs"/>
          <w:sz w:val="18"/>
          <w:szCs w:val="22"/>
          <w:rtl/>
          <w:lang w:eastAsia="he-IL"/>
        </w:rPr>
        <w:t>הם של</w:t>
      </w:r>
      <w:r w:rsidRPr="00F41E78">
        <w:rPr>
          <w:rFonts w:eastAsia="Calibri" w:cs="FrankRuehl"/>
          <w:sz w:val="18"/>
          <w:szCs w:val="22"/>
          <w:rtl/>
          <w:lang w:eastAsia="he-IL"/>
        </w:rPr>
        <w:t xml:space="preserve"> </w:t>
      </w:r>
      <w:r w:rsidR="00FF71E2">
        <w:rPr>
          <w:rFonts w:eastAsia="Calibri" w:cs="FrankRuehl"/>
          <w:sz w:val="18"/>
          <w:szCs w:val="22"/>
          <w:rtl/>
          <w:lang w:eastAsia="he-IL"/>
        </w:rPr>
        <w:t>משרדי הבינוי</w:t>
      </w:r>
      <w:r w:rsidRPr="00F41E78">
        <w:rPr>
          <w:rFonts w:eastAsia="Calibri" w:cs="FrankRuehl"/>
          <w:sz w:val="18"/>
          <w:szCs w:val="22"/>
          <w:rtl/>
          <w:lang w:eastAsia="he-IL"/>
        </w:rPr>
        <w:t xml:space="preserve"> והאוצר</w:t>
      </w:r>
      <w:r w:rsidRPr="00F41E78">
        <w:rPr>
          <w:rFonts w:eastAsia="Calibri" w:cs="FrankRuehl" w:hint="cs"/>
          <w:sz w:val="18"/>
          <w:szCs w:val="22"/>
          <w:rtl/>
          <w:lang w:eastAsia="he-IL"/>
        </w:rPr>
        <w:t>,</w:t>
      </w:r>
      <w:r w:rsidRPr="00F41E78">
        <w:rPr>
          <w:rFonts w:eastAsia="Calibri" w:cs="FrankRuehl"/>
          <w:sz w:val="18"/>
          <w:szCs w:val="22"/>
          <w:rtl/>
          <w:lang w:eastAsia="he-IL"/>
        </w:rPr>
        <w:t xml:space="preserve"> עלה </w:t>
      </w:r>
      <w:r w:rsidRPr="00F41E78">
        <w:rPr>
          <w:rFonts w:eastAsia="Calibri" w:cs="FrankRuehl" w:hint="cs"/>
          <w:sz w:val="18"/>
          <w:szCs w:val="22"/>
          <w:rtl/>
          <w:lang w:eastAsia="he-IL"/>
        </w:rPr>
        <w:t>כי</w:t>
      </w:r>
      <w:r w:rsidRPr="00F41E78">
        <w:rPr>
          <w:rFonts w:eastAsia="Calibri" w:cs="FrankRuehl"/>
          <w:sz w:val="18"/>
          <w:szCs w:val="22"/>
          <w:rtl/>
          <w:lang w:eastAsia="he-IL"/>
        </w:rPr>
        <w:t xml:space="preserve"> חסמים נוספים מונעים </w:t>
      </w:r>
      <w:r w:rsidRPr="00F41E78">
        <w:rPr>
          <w:rFonts w:eastAsia="Calibri" w:cs="FrankRuehl" w:hint="cs"/>
          <w:sz w:val="18"/>
          <w:szCs w:val="22"/>
          <w:rtl/>
          <w:lang w:eastAsia="he-IL"/>
        </w:rPr>
        <w:t>מ</w:t>
      </w:r>
      <w:r w:rsidRPr="00F41E78">
        <w:rPr>
          <w:rFonts w:eastAsia="Calibri" w:cs="FrankRuehl"/>
          <w:sz w:val="18"/>
          <w:szCs w:val="22"/>
          <w:rtl/>
          <w:lang w:eastAsia="he-IL"/>
        </w:rPr>
        <w:t xml:space="preserve">הגופים המוסדיים </w:t>
      </w:r>
      <w:r w:rsidRPr="00F41E78">
        <w:rPr>
          <w:rFonts w:eastAsia="Calibri" w:cs="FrankRuehl" w:hint="cs"/>
          <w:sz w:val="18"/>
          <w:szCs w:val="22"/>
          <w:rtl/>
          <w:lang w:eastAsia="he-IL"/>
        </w:rPr>
        <w:t xml:space="preserve">להצטרף </w:t>
      </w:r>
      <w:r w:rsidRPr="00F41E78">
        <w:rPr>
          <w:rFonts w:eastAsia="Calibri" w:cs="FrankRuehl"/>
          <w:sz w:val="18"/>
          <w:szCs w:val="22"/>
          <w:rtl/>
          <w:lang w:eastAsia="he-IL"/>
        </w:rPr>
        <w:t>לשוק השכירות</w:t>
      </w:r>
      <w:r w:rsidRPr="00F41E78">
        <w:rPr>
          <w:rFonts w:eastAsia="Calibri" w:cs="FrankRuehl" w:hint="cs"/>
          <w:sz w:val="18"/>
          <w:szCs w:val="22"/>
          <w:rtl/>
          <w:lang w:eastAsia="he-IL"/>
        </w:rPr>
        <w:t>;</w:t>
      </w:r>
      <w:r w:rsidRPr="00F41E78">
        <w:rPr>
          <w:rFonts w:eastAsia="Calibri" w:cs="FrankRuehl"/>
          <w:sz w:val="18"/>
          <w:szCs w:val="22"/>
          <w:rtl/>
          <w:lang w:eastAsia="he-IL"/>
        </w:rPr>
        <w:t xml:space="preserve"> היעדר ניסיונם בענף הבנייה </w:t>
      </w:r>
      <w:r w:rsidRPr="00F41E78">
        <w:rPr>
          <w:rFonts w:eastAsia="Calibri" w:cs="FrankRuehl" w:hint="cs"/>
          <w:sz w:val="18"/>
          <w:szCs w:val="22"/>
          <w:rtl/>
          <w:lang w:eastAsia="he-IL"/>
        </w:rPr>
        <w:t>ל</w:t>
      </w:r>
      <w:r w:rsidRPr="00F41E78">
        <w:rPr>
          <w:rFonts w:eastAsia="Calibri" w:cs="FrankRuehl"/>
          <w:sz w:val="18"/>
          <w:szCs w:val="22"/>
          <w:rtl/>
          <w:lang w:eastAsia="he-IL"/>
        </w:rPr>
        <w:t xml:space="preserve">גופו, </w:t>
      </w:r>
      <w:r w:rsidRPr="00F41E78">
        <w:rPr>
          <w:rFonts w:eastAsia="Calibri" w:cs="FrankRuehl" w:hint="cs"/>
          <w:sz w:val="18"/>
          <w:szCs w:val="22"/>
          <w:rtl/>
          <w:lang w:eastAsia="he-IL"/>
        </w:rPr>
        <w:t>רצון להימנע</w:t>
      </w:r>
      <w:r w:rsidRPr="00F41E78">
        <w:rPr>
          <w:rFonts w:eastAsia="Calibri" w:cs="FrankRuehl"/>
          <w:sz w:val="18"/>
          <w:szCs w:val="22"/>
          <w:rtl/>
          <w:lang w:eastAsia="he-IL"/>
        </w:rPr>
        <w:t xml:space="preserve"> </w:t>
      </w:r>
      <w:r w:rsidRPr="00F41E78">
        <w:rPr>
          <w:rFonts w:eastAsia="Calibri" w:cs="FrankRuehl" w:hint="cs"/>
          <w:sz w:val="18"/>
          <w:szCs w:val="22"/>
          <w:rtl/>
          <w:lang w:eastAsia="he-IL"/>
        </w:rPr>
        <w:t>מ</w:t>
      </w:r>
      <w:r w:rsidRPr="00F41E78">
        <w:rPr>
          <w:rFonts w:eastAsia="Calibri" w:cs="FrankRuehl"/>
          <w:sz w:val="18"/>
          <w:szCs w:val="22"/>
          <w:rtl/>
          <w:lang w:eastAsia="he-IL"/>
        </w:rPr>
        <w:t>חיכוכים עם דיירים שלא יעמדו בתנאי החוזה</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w:t>
      </w:r>
      <w:r w:rsidRPr="00F41E78">
        <w:rPr>
          <w:rFonts w:eastAsia="Calibri" w:cs="FrankRuehl"/>
          <w:sz w:val="18"/>
          <w:szCs w:val="22"/>
          <w:rtl/>
          <w:lang w:eastAsia="he-IL"/>
        </w:rPr>
        <w:t>עלול</w:t>
      </w:r>
      <w:r w:rsidRPr="00F41E78">
        <w:rPr>
          <w:rFonts w:eastAsia="Calibri" w:cs="FrankRuehl" w:hint="cs"/>
          <w:sz w:val="18"/>
          <w:szCs w:val="22"/>
          <w:rtl/>
          <w:lang w:eastAsia="he-IL"/>
        </w:rPr>
        <w:t>ים</w:t>
      </w:r>
      <w:r w:rsidRPr="00F41E78">
        <w:rPr>
          <w:rFonts w:eastAsia="Calibri" w:cs="FrankRuehl"/>
          <w:sz w:val="18"/>
          <w:szCs w:val="22"/>
          <w:rtl/>
          <w:lang w:eastAsia="he-IL"/>
        </w:rPr>
        <w:t xml:space="preserve"> לפגוע במוניטין של הגוף המוסדי ו</w:t>
      </w:r>
      <w:r w:rsidRPr="00F41E78">
        <w:rPr>
          <w:rFonts w:eastAsia="Calibri" w:cs="FrankRuehl" w:hint="cs"/>
          <w:sz w:val="18"/>
          <w:szCs w:val="22"/>
          <w:rtl/>
          <w:lang w:eastAsia="he-IL"/>
        </w:rPr>
        <w:t xml:space="preserve">כן חוסר </w:t>
      </w:r>
      <w:r w:rsidRPr="00F41E78">
        <w:rPr>
          <w:rFonts w:eastAsia="Calibri" w:cs="FrankRuehl"/>
          <w:sz w:val="18"/>
          <w:szCs w:val="22"/>
          <w:rtl/>
          <w:lang w:eastAsia="he-IL"/>
        </w:rPr>
        <w:t xml:space="preserve">הוודאות </w:t>
      </w:r>
      <w:r w:rsidRPr="00F41E78">
        <w:rPr>
          <w:rFonts w:eastAsia="Calibri" w:cs="FrankRuehl" w:hint="cs"/>
          <w:sz w:val="18"/>
          <w:szCs w:val="22"/>
          <w:rtl/>
          <w:lang w:eastAsia="he-IL"/>
        </w:rPr>
        <w:t>בנוגע</w:t>
      </w:r>
      <w:r w:rsidRPr="00F41E78">
        <w:rPr>
          <w:rFonts w:eastAsia="Calibri" w:cs="FrankRuehl"/>
          <w:sz w:val="18"/>
          <w:szCs w:val="22"/>
          <w:rtl/>
          <w:lang w:eastAsia="he-IL"/>
        </w:rPr>
        <w:t xml:space="preserve"> ללוח הזמנים </w:t>
      </w:r>
      <w:r w:rsidRPr="00F41E78">
        <w:rPr>
          <w:rFonts w:eastAsia="Calibri" w:cs="FrankRuehl" w:hint="cs"/>
          <w:sz w:val="18"/>
          <w:szCs w:val="22"/>
          <w:rtl/>
          <w:lang w:eastAsia="he-IL"/>
        </w:rPr>
        <w:t xml:space="preserve">שבין </w:t>
      </w:r>
      <w:r w:rsidRPr="00F41E78">
        <w:rPr>
          <w:rFonts w:eastAsia="Calibri" w:cs="FrankRuehl"/>
          <w:sz w:val="18"/>
          <w:szCs w:val="22"/>
          <w:rtl/>
          <w:lang w:eastAsia="he-IL"/>
        </w:rPr>
        <w:t xml:space="preserve">מועד הזכייה בפרויקט לסיום </w:t>
      </w:r>
      <w:r w:rsidRPr="00F41E78">
        <w:rPr>
          <w:rFonts w:eastAsia="Calibri" w:cs="FrankRuehl" w:hint="cs"/>
          <w:sz w:val="18"/>
          <w:szCs w:val="22"/>
          <w:rtl/>
          <w:lang w:eastAsia="he-IL"/>
        </w:rPr>
        <w:t>ה</w:t>
      </w:r>
      <w:r w:rsidRPr="00F41E78">
        <w:rPr>
          <w:rFonts w:eastAsia="Calibri" w:cs="FrankRuehl"/>
          <w:sz w:val="18"/>
          <w:szCs w:val="22"/>
          <w:rtl/>
          <w:lang w:eastAsia="he-IL"/>
        </w:rPr>
        <w:t>בניי</w:t>
      </w:r>
      <w:r w:rsidRPr="00F41E78">
        <w:rPr>
          <w:rFonts w:eastAsia="Calibri" w:cs="FrankRuehl" w:hint="cs"/>
          <w:sz w:val="18"/>
          <w:szCs w:val="22"/>
          <w:rtl/>
          <w:lang w:eastAsia="he-IL"/>
        </w:rPr>
        <w:t>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משפיע על </w:t>
      </w:r>
      <w:r w:rsidRPr="00F41E78">
        <w:rPr>
          <w:rFonts w:eastAsia="Calibri" w:cs="FrankRuehl" w:hint="cs"/>
          <w:sz w:val="18"/>
          <w:szCs w:val="22"/>
          <w:rtl/>
          <w:lang w:eastAsia="he-IL"/>
        </w:rPr>
        <w:t>סכום</w:t>
      </w:r>
      <w:r w:rsidRPr="00F41E78">
        <w:rPr>
          <w:rFonts w:eastAsia="Calibri" w:cs="FrankRuehl"/>
          <w:sz w:val="18"/>
          <w:szCs w:val="22"/>
          <w:rtl/>
          <w:lang w:eastAsia="he-IL"/>
        </w:rPr>
        <w:t xml:space="preserve"> המימון הנדרש.</w:t>
      </w:r>
    </w:p>
    <w:p w:rsidR="00E97EDA" w:rsidRPr="00F41E78" w:rsidP="00A7557B">
      <w:pPr>
        <w:spacing w:after="120" w:line="230" w:lineRule="exact"/>
        <w:jc w:val="both"/>
        <w:rPr>
          <w:rFonts w:eastAsia="Calibri" w:cs="FrankRuehl"/>
          <w:sz w:val="18"/>
          <w:szCs w:val="22"/>
          <w:rtl/>
          <w:lang w:eastAsia="he-IL"/>
        </w:rPr>
      </w:pPr>
      <w:r w:rsidRPr="00F41E78">
        <w:rPr>
          <w:rFonts w:eastAsia="Calibri" w:cs="FrankRuehl"/>
          <w:sz w:val="18"/>
          <w:szCs w:val="22"/>
          <w:rtl/>
          <w:lang w:eastAsia="he-IL"/>
        </w:rPr>
        <w:t>בתשובתו מסר משרד הבינוי כי "קודם להוצאת מכרזי הבנייה להשכרה התקיימו מגעים ודיונים רבים בין אגף התקציבים שבמשרד האוצר, רשות המסים ונציגי הגופים המוסדיים, באשר להטבות הרצויות והעשויות להגדיל את כדאיותם הכלכלית של הפרויקטים. התנאים שנקבעו היו התוצאות המיטביות עליהם הוסכם באותה עת"</w:t>
      </w:r>
      <w:r w:rsidRPr="00F41E78">
        <w:rPr>
          <w:rFonts w:eastAsia="Calibri" w:cs="FrankRuehl" w:hint="cs"/>
          <w:sz w:val="18"/>
          <w:szCs w:val="22"/>
          <w:rtl/>
          <w:lang w:eastAsia="he-IL"/>
        </w:rPr>
        <w:t>.</w:t>
      </w:r>
    </w:p>
    <w:p w:rsidR="00E97EDA" w:rsidRPr="00F41E78" w:rsidP="00F07DDA">
      <w:pPr>
        <w:spacing w:after="240" w:line="230" w:lineRule="exact"/>
        <w:jc w:val="both"/>
        <w:rPr>
          <w:rFonts w:eastAsia="Calibri" w:cs="FrankRuehl"/>
          <w:sz w:val="18"/>
          <w:szCs w:val="22"/>
          <w:rtl/>
          <w:lang w:eastAsia="he-IL"/>
        </w:rPr>
      </w:pPr>
      <w:r w:rsidRPr="00F41E78">
        <w:rPr>
          <w:rFonts w:eastAsia="Calibri" w:cs="FrankRuehl"/>
          <w:sz w:val="18"/>
          <w:szCs w:val="22"/>
          <w:rtl/>
          <w:lang w:eastAsia="he-IL"/>
        </w:rPr>
        <w:t>בתשובתו מינואר 2014 מסר אג</w:t>
      </w:r>
      <w:r w:rsidRPr="00F41E78">
        <w:rPr>
          <w:rFonts w:eastAsia="Calibri" w:cs="FrankRuehl" w:hint="cs"/>
          <w:sz w:val="18"/>
          <w:szCs w:val="22"/>
          <w:rtl/>
          <w:lang w:eastAsia="he-IL"/>
        </w:rPr>
        <w:t xml:space="preserve">"ת </w:t>
      </w:r>
      <w:r w:rsidRPr="00F41E78">
        <w:rPr>
          <w:rFonts w:eastAsia="Calibri" w:cs="FrankRuehl"/>
          <w:sz w:val="18"/>
          <w:szCs w:val="22"/>
          <w:rtl/>
          <w:lang w:eastAsia="he-IL"/>
        </w:rPr>
        <w:t>כי "מבין כל המכרזים שצוינו בדוח המבקר, מכרז להשכרה ארוכת טווח ברעננה ובמכרז באשדוד היו המכרזים המרכזיים במסלול ב' שפורסמו לאחר תיקון החוק ושניהם נקלטו בהצלחה, על אף אי הוודאות הרבה. אכן, הזוכה לא היה גוף מוסדי אולם המדינה איננה קובעת את הזוכה"</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p>
    <w:p w:rsidR="00D22B16" w:rsidRPr="00F41E78" w:rsidP="00D22B16">
      <w:pPr>
        <w:pStyle w:val="RESHET"/>
        <w:keepLines/>
        <w:rPr>
          <w:rFonts w:eastAsia="Calibri"/>
          <w:rtl/>
        </w:rPr>
      </w:pPr>
      <w:r w:rsidRPr="00F41E78">
        <w:rPr>
          <w:rFonts w:eastAsia="Calibri"/>
          <w:rtl/>
        </w:rPr>
        <w:t>משרד מבקר המדינה מ</w:t>
      </w:r>
      <w:r w:rsidRPr="00F41E78">
        <w:rPr>
          <w:rFonts w:eastAsia="Calibri" w:hint="cs"/>
          <w:rtl/>
        </w:rPr>
        <w:t>ציין</w:t>
      </w:r>
      <w:r w:rsidRPr="00F41E78">
        <w:rPr>
          <w:rFonts w:eastAsia="Calibri"/>
          <w:rtl/>
        </w:rPr>
        <w:t xml:space="preserve"> כי אף שהממשלה קבעה</w:t>
      </w:r>
      <w:r w:rsidRPr="00F41E78">
        <w:rPr>
          <w:rFonts w:eastAsia="Calibri" w:hint="cs"/>
          <w:rtl/>
        </w:rPr>
        <w:t xml:space="preserve"> כי אחד האמצעים החיוניים לפתרון בעיית המחסור בדירות </w:t>
      </w:r>
      <w:r w:rsidRPr="00F41E78">
        <w:rPr>
          <w:rFonts w:eastAsia="Calibri"/>
          <w:rtl/>
        </w:rPr>
        <w:t>יהיה בנייה להשכרה לטווח ארוך</w:t>
      </w:r>
      <w:r w:rsidRPr="00F41E78">
        <w:rPr>
          <w:rFonts w:eastAsia="Calibri" w:hint="cs"/>
          <w:rtl/>
        </w:rPr>
        <w:t>, תוך כדי</w:t>
      </w:r>
      <w:r w:rsidRPr="00F41E78">
        <w:rPr>
          <w:rFonts w:eastAsia="Calibri"/>
          <w:rtl/>
        </w:rPr>
        <w:t xml:space="preserve"> מעורבות</w:t>
      </w:r>
      <w:r w:rsidRPr="00F41E78">
        <w:rPr>
          <w:rFonts w:eastAsia="Calibri" w:hint="cs"/>
          <w:rtl/>
        </w:rPr>
        <w:t>ם של</w:t>
      </w:r>
      <w:r w:rsidRPr="00F41E78">
        <w:rPr>
          <w:rFonts w:eastAsia="Calibri"/>
          <w:rtl/>
        </w:rPr>
        <w:t xml:space="preserve"> הגופים המוסדיים</w:t>
      </w:r>
      <w:r w:rsidRPr="00F41E78">
        <w:rPr>
          <w:rFonts w:eastAsia="Calibri" w:hint="cs"/>
          <w:rtl/>
        </w:rPr>
        <w:t>,</w:t>
      </w:r>
      <w:r w:rsidRPr="00F41E78">
        <w:rPr>
          <w:rFonts w:eastAsia="Calibri"/>
          <w:rtl/>
        </w:rPr>
        <w:t xml:space="preserve"> </w:t>
      </w:r>
      <w:r w:rsidRPr="00F41E78">
        <w:rPr>
          <w:rFonts w:eastAsia="Calibri" w:hint="cs"/>
          <w:rtl/>
        </w:rPr>
        <w:t>רוב</w:t>
      </w:r>
      <w:r w:rsidRPr="00F41E78">
        <w:rPr>
          <w:rFonts w:eastAsia="Calibri"/>
          <w:rtl/>
        </w:rPr>
        <w:t xml:space="preserve"> המכרזים שה</w:t>
      </w:r>
      <w:r w:rsidRPr="00F41E78">
        <w:rPr>
          <w:rFonts w:eastAsia="Calibri" w:hint="cs"/>
          <w:rtl/>
        </w:rPr>
        <w:t xml:space="preserve">יא </w:t>
      </w:r>
      <w:r w:rsidRPr="00F41E78">
        <w:rPr>
          <w:rFonts w:eastAsia="Calibri"/>
          <w:rtl/>
        </w:rPr>
        <w:t xml:space="preserve">פרסמה לבנייה להשכרה לא </w:t>
      </w:r>
      <w:r w:rsidRPr="00F41E78">
        <w:rPr>
          <w:rFonts w:eastAsia="Calibri" w:hint="cs"/>
          <w:rtl/>
        </w:rPr>
        <w:t>עמדו</w:t>
      </w:r>
      <w:r w:rsidRPr="00F41E78">
        <w:rPr>
          <w:rFonts w:eastAsia="Calibri"/>
          <w:rtl/>
        </w:rPr>
        <w:t xml:space="preserve"> </w:t>
      </w:r>
      <w:r w:rsidRPr="00F41E78">
        <w:rPr>
          <w:rFonts w:eastAsia="Calibri" w:hint="cs"/>
          <w:rtl/>
        </w:rPr>
        <w:t>ב</w:t>
      </w:r>
      <w:r w:rsidRPr="00F41E78">
        <w:rPr>
          <w:rFonts w:eastAsia="Calibri"/>
          <w:rtl/>
        </w:rPr>
        <w:t xml:space="preserve">תנאים שיאפשרו לגופים </w:t>
      </w:r>
      <w:r w:rsidRPr="00F41E78">
        <w:rPr>
          <w:rFonts w:eastAsia="Calibri" w:hint="cs"/>
          <w:rtl/>
        </w:rPr>
        <w:t>אלו</w:t>
      </w:r>
      <w:r w:rsidRPr="00F41E78">
        <w:rPr>
          <w:rFonts w:eastAsia="Calibri"/>
          <w:rtl/>
        </w:rPr>
        <w:t xml:space="preserve"> </w:t>
      </w:r>
      <w:r w:rsidRPr="00F41E78">
        <w:rPr>
          <w:rFonts w:eastAsia="Calibri" w:hint="cs"/>
          <w:rtl/>
        </w:rPr>
        <w:t>להשתתף ב</w:t>
      </w:r>
      <w:r w:rsidRPr="00F41E78">
        <w:rPr>
          <w:rFonts w:eastAsia="Calibri"/>
          <w:rtl/>
        </w:rPr>
        <w:t>מכרזים</w:t>
      </w:r>
      <w:r w:rsidRPr="00F41E78">
        <w:rPr>
          <w:rFonts w:eastAsia="Calibri" w:hint="cs"/>
          <w:rtl/>
        </w:rPr>
        <w:t>.</w:t>
      </w:r>
    </w:p>
    <w:p w:rsidR="00D22B16" w:rsidRPr="00F41E78" w:rsidP="00D22B16">
      <w:pPr>
        <w:pStyle w:val="RESHET"/>
        <w:keepLines/>
        <w:rPr>
          <w:rFonts w:eastAsia="Calibri"/>
          <w:rtl/>
        </w:rPr>
      </w:pPr>
      <w:r w:rsidRPr="00F41E78">
        <w:rPr>
          <w:rFonts w:eastAsia="Calibri"/>
          <w:rtl/>
        </w:rPr>
        <w:t>לדעת משרד מבקר המדינה</w:t>
      </w:r>
      <w:r w:rsidRPr="00F41E78">
        <w:rPr>
          <w:rFonts w:eastAsia="Calibri" w:hint="cs"/>
          <w:rtl/>
        </w:rPr>
        <w:t>,</w:t>
      </w:r>
      <w:r w:rsidRPr="00F41E78">
        <w:rPr>
          <w:rFonts w:eastAsia="Calibri"/>
          <w:rtl/>
        </w:rPr>
        <w:t xml:space="preserve"> על הגורמים המעורבים בתהליך </w:t>
      </w:r>
      <w:r w:rsidRPr="00F41E78">
        <w:rPr>
          <w:rFonts w:eastAsia="Calibri" w:hint="cs"/>
          <w:rtl/>
        </w:rPr>
        <w:t>-</w:t>
      </w:r>
      <w:r w:rsidRPr="00F41E78">
        <w:rPr>
          <w:rFonts w:eastAsia="Calibri"/>
          <w:rtl/>
        </w:rPr>
        <w:t xml:space="preserve"> </w:t>
      </w:r>
      <w:r>
        <w:rPr>
          <w:rFonts w:eastAsia="Calibri"/>
          <w:rtl/>
        </w:rPr>
        <w:t>משרדי הבינוי</w:t>
      </w:r>
      <w:r w:rsidRPr="00F41E78">
        <w:rPr>
          <w:rFonts w:eastAsia="Calibri"/>
          <w:rtl/>
        </w:rPr>
        <w:t xml:space="preserve"> </w:t>
      </w:r>
      <w:r w:rsidRPr="00F41E78">
        <w:rPr>
          <w:rFonts w:eastAsia="Calibri" w:hint="cs"/>
          <w:rtl/>
        </w:rPr>
        <w:t>ו</w:t>
      </w:r>
      <w:r w:rsidRPr="00F41E78">
        <w:rPr>
          <w:rFonts w:eastAsia="Calibri"/>
          <w:rtl/>
        </w:rPr>
        <w:t>האוצר, רמ"י ורשות המסים</w:t>
      </w:r>
      <w:r w:rsidRPr="00F41E78">
        <w:rPr>
          <w:rFonts w:eastAsia="Calibri" w:hint="cs"/>
          <w:rtl/>
        </w:rPr>
        <w:t xml:space="preserve"> -</w:t>
      </w:r>
      <w:r w:rsidRPr="00F41E78">
        <w:rPr>
          <w:rFonts w:eastAsia="Calibri"/>
          <w:rtl/>
        </w:rPr>
        <w:t xml:space="preserve"> </w:t>
      </w:r>
      <w:r w:rsidRPr="00F41E78">
        <w:rPr>
          <w:rFonts w:eastAsia="Calibri" w:hint="cs"/>
          <w:rtl/>
        </w:rPr>
        <w:t>לבדוק</w:t>
      </w:r>
      <w:r w:rsidRPr="00F41E78">
        <w:rPr>
          <w:rFonts w:eastAsia="Calibri"/>
          <w:rtl/>
        </w:rPr>
        <w:t xml:space="preserve"> היתכנות</w:t>
      </w:r>
      <w:r w:rsidRPr="00F41E78">
        <w:rPr>
          <w:rFonts w:eastAsia="Calibri" w:hint="cs"/>
          <w:rtl/>
        </w:rPr>
        <w:t>ה של כדאיות כלכלית</w:t>
      </w:r>
      <w:r w:rsidRPr="00F41E78">
        <w:rPr>
          <w:rFonts w:eastAsia="Calibri"/>
          <w:rtl/>
        </w:rPr>
        <w:t xml:space="preserve"> </w:t>
      </w:r>
      <w:r w:rsidRPr="00F41E78">
        <w:rPr>
          <w:rFonts w:eastAsia="Calibri" w:hint="cs"/>
          <w:rtl/>
        </w:rPr>
        <w:t>שבמסגרתה ייכללו</w:t>
      </w:r>
      <w:r w:rsidRPr="00F41E78">
        <w:rPr>
          <w:rFonts w:eastAsia="Calibri"/>
          <w:rtl/>
        </w:rPr>
        <w:t xml:space="preserve"> כל המרכיבים שיש בהם כדי להשפיע על כדאיות הפרויקט הן למשקיעים הן למדינה</w:t>
      </w:r>
      <w:r w:rsidRPr="00F41E78">
        <w:rPr>
          <w:rFonts w:eastAsia="Calibri" w:hint="cs"/>
          <w:rtl/>
        </w:rPr>
        <w:t>. כמו כן, עליהם</w:t>
      </w:r>
      <w:r w:rsidRPr="00F41E78">
        <w:rPr>
          <w:rFonts w:eastAsia="Calibri"/>
          <w:rtl/>
        </w:rPr>
        <w:t xml:space="preserve"> לקבוע את </w:t>
      </w:r>
      <w:r w:rsidRPr="00F41E78">
        <w:rPr>
          <w:rFonts w:eastAsia="Calibri" w:hint="cs"/>
          <w:rtl/>
        </w:rPr>
        <w:t>ה</w:t>
      </w:r>
      <w:r w:rsidRPr="00F41E78">
        <w:rPr>
          <w:rFonts w:eastAsia="Calibri"/>
          <w:rtl/>
        </w:rPr>
        <w:t>תנאי</w:t>
      </w:r>
      <w:r w:rsidRPr="00F41E78">
        <w:rPr>
          <w:rFonts w:eastAsia="Calibri" w:hint="cs"/>
          <w:rtl/>
        </w:rPr>
        <w:t>ם</w:t>
      </w:r>
      <w:r w:rsidRPr="00F41E78">
        <w:rPr>
          <w:rFonts w:eastAsia="Calibri"/>
          <w:rtl/>
        </w:rPr>
        <w:t xml:space="preserve"> </w:t>
      </w:r>
      <w:r w:rsidRPr="00F41E78">
        <w:rPr>
          <w:rFonts w:eastAsia="Calibri" w:hint="cs"/>
          <w:rtl/>
        </w:rPr>
        <w:t>ל</w:t>
      </w:r>
      <w:r w:rsidRPr="00F41E78">
        <w:rPr>
          <w:rFonts w:eastAsia="Calibri"/>
          <w:rtl/>
        </w:rPr>
        <w:t>הפעל</w:t>
      </w:r>
      <w:r w:rsidRPr="00F41E78">
        <w:rPr>
          <w:rFonts w:eastAsia="Calibri" w:hint="cs"/>
          <w:rtl/>
        </w:rPr>
        <w:t>ת מסלול השכרה לטווח ארוך שיבטיחו את</w:t>
      </w:r>
      <w:r w:rsidRPr="00F41E78">
        <w:rPr>
          <w:rFonts w:eastAsia="Calibri"/>
          <w:rtl/>
        </w:rPr>
        <w:t xml:space="preserve"> כדאיות</w:t>
      </w:r>
      <w:r w:rsidRPr="00F41E78">
        <w:rPr>
          <w:rFonts w:eastAsia="Calibri" w:hint="cs"/>
          <w:rtl/>
        </w:rPr>
        <w:t xml:space="preserve">ו </w:t>
      </w:r>
      <w:r w:rsidRPr="00F41E78">
        <w:rPr>
          <w:rFonts w:eastAsia="Calibri"/>
          <w:rtl/>
        </w:rPr>
        <w:t>ו</w:t>
      </w:r>
      <w:r w:rsidRPr="00F41E78">
        <w:rPr>
          <w:rFonts w:eastAsia="Calibri" w:hint="cs"/>
          <w:rtl/>
        </w:rPr>
        <w:t xml:space="preserve">את אופן </w:t>
      </w:r>
      <w:r w:rsidRPr="00F41E78">
        <w:rPr>
          <w:rFonts w:eastAsia="Calibri"/>
          <w:rtl/>
        </w:rPr>
        <w:t>יישומו</w:t>
      </w:r>
      <w:r w:rsidRPr="00F41E78">
        <w:rPr>
          <w:rFonts w:eastAsia="Calibri" w:hint="cs"/>
          <w:rtl/>
        </w:rPr>
        <w:t xml:space="preserve">. </w:t>
      </w:r>
    </w:p>
    <w:p w:rsidR="00E97EDA" w:rsidRPr="00F41E78" w:rsidP="00A7557B">
      <w:pPr>
        <w:spacing w:after="120" w:line="230" w:lineRule="exact"/>
        <w:jc w:val="both"/>
        <w:rPr>
          <w:rFonts w:eastAsia="Calibri" w:cs="FrankRuehl"/>
          <w:sz w:val="18"/>
          <w:szCs w:val="22"/>
          <w:lang w:eastAsia="he-IL"/>
        </w:rPr>
      </w:pPr>
    </w:p>
    <w:p w:rsidR="00995D25" w:rsidRPr="00F41E78" w:rsidP="00A7557B">
      <w:pPr>
        <w:spacing w:after="120" w:line="230" w:lineRule="exact"/>
        <w:jc w:val="both"/>
        <w:rPr>
          <w:rFonts w:eastAsia="Calibri" w:cs="FrankRuehl"/>
          <w:sz w:val="18"/>
          <w:szCs w:val="22"/>
          <w:rtl/>
          <w:lang w:eastAsia="he-IL"/>
        </w:rPr>
      </w:pPr>
    </w:p>
    <w:p w:rsidR="00E97EDA" w:rsidRPr="00FA1F2C" w:rsidP="00A7557B">
      <w:pPr>
        <w:pStyle w:val="KOT4"/>
        <w:rPr>
          <w:rFonts w:eastAsia="Calibri"/>
          <w:rtl/>
          <w:lang w:eastAsia="he-IL"/>
        </w:rPr>
      </w:pPr>
      <w:r w:rsidRPr="00FA1F2C">
        <w:rPr>
          <w:rFonts w:eastAsia="Calibri"/>
          <w:rtl/>
          <w:lang w:eastAsia="he-IL"/>
        </w:rPr>
        <w:t>הערכה והפקת לקחים</w:t>
      </w:r>
    </w:p>
    <w:p w:rsidR="00E97EDA" w:rsidRPr="00F41E78" w:rsidP="00A7557B">
      <w:pPr>
        <w:spacing w:after="120" w:line="230" w:lineRule="exact"/>
        <w:jc w:val="both"/>
        <w:rPr>
          <w:rFonts w:eastAsia="Calibri" w:cs="FrankRuehl"/>
          <w:sz w:val="18"/>
          <w:szCs w:val="22"/>
          <w:rtl/>
          <w:lang w:eastAsia="he-IL"/>
        </w:rPr>
      </w:pPr>
      <w:r w:rsidRPr="00F41E78">
        <w:rPr>
          <w:rFonts w:eastAsia="Calibri" w:cs="FrankRuehl"/>
          <w:sz w:val="18"/>
          <w:szCs w:val="22"/>
          <w:rtl/>
          <w:lang w:eastAsia="he-IL"/>
        </w:rPr>
        <w:t>בחינ</w:t>
      </w:r>
      <w:r w:rsidRPr="00F41E78">
        <w:rPr>
          <w:rFonts w:eastAsia="Calibri" w:cs="FrankRuehl" w:hint="cs"/>
          <w:sz w:val="18"/>
          <w:szCs w:val="22"/>
          <w:rtl/>
          <w:lang w:eastAsia="he-IL"/>
        </w:rPr>
        <w:t xml:space="preserve">ה של </w:t>
      </w:r>
      <w:r w:rsidRPr="00F41E78">
        <w:rPr>
          <w:rFonts w:eastAsia="Calibri" w:cs="FrankRuehl"/>
          <w:sz w:val="18"/>
          <w:szCs w:val="22"/>
          <w:rtl/>
          <w:lang w:eastAsia="he-IL"/>
        </w:rPr>
        <w:t xml:space="preserve">אופן </w:t>
      </w:r>
      <w:r w:rsidRPr="00F41E78">
        <w:rPr>
          <w:rFonts w:eastAsia="Calibri" w:cs="FrankRuehl" w:hint="cs"/>
          <w:sz w:val="18"/>
          <w:szCs w:val="22"/>
          <w:rtl/>
          <w:lang w:eastAsia="he-IL"/>
        </w:rPr>
        <w:t>יישומן</w:t>
      </w:r>
      <w:r w:rsidRPr="00F41E78">
        <w:rPr>
          <w:rFonts w:eastAsia="Calibri" w:cs="FrankRuehl"/>
          <w:sz w:val="18"/>
          <w:szCs w:val="22"/>
          <w:rtl/>
          <w:lang w:eastAsia="he-IL"/>
        </w:rPr>
        <w:t xml:space="preserve"> של החלטות חיונית לצורך הפקת לקחים וקבלת החלטות מיטביות בעתיד. </w:t>
      </w:r>
      <w:r w:rsidRPr="00F41E78">
        <w:rPr>
          <w:rFonts w:eastAsia="Calibri" w:cs="FrankRuehl" w:hint="cs"/>
          <w:sz w:val="18"/>
          <w:szCs w:val="22"/>
          <w:rtl/>
          <w:lang w:eastAsia="he-IL"/>
        </w:rPr>
        <w:t>נוסף ל</w:t>
      </w:r>
      <w:r w:rsidRPr="00F41E78">
        <w:rPr>
          <w:rFonts w:eastAsia="Calibri" w:cs="FrankRuehl"/>
          <w:sz w:val="18"/>
          <w:szCs w:val="22"/>
          <w:rtl/>
          <w:lang w:eastAsia="he-IL"/>
        </w:rPr>
        <w:t>איסוף הנתונים וניתוחם</w:t>
      </w:r>
      <w:r w:rsidRPr="00F41E78">
        <w:rPr>
          <w:rFonts w:eastAsia="Calibri" w:cs="FrankRuehl" w:hint="cs"/>
          <w:sz w:val="18"/>
          <w:szCs w:val="22"/>
          <w:rtl/>
          <w:lang w:eastAsia="he-IL"/>
        </w:rPr>
        <w:t>,</w:t>
      </w:r>
      <w:r w:rsidRPr="00F41E78">
        <w:rPr>
          <w:rFonts w:eastAsia="Calibri" w:cs="FrankRuehl"/>
          <w:sz w:val="18"/>
          <w:szCs w:val="22"/>
          <w:rtl/>
          <w:lang w:eastAsia="he-IL"/>
        </w:rPr>
        <w:t xml:space="preserve"> יש לבחון באופן שוטף את התהליכים הרצויים ו</w:t>
      </w:r>
      <w:r w:rsidRPr="00F41E78">
        <w:rPr>
          <w:rFonts w:eastAsia="Calibri" w:cs="FrankRuehl" w:hint="cs"/>
          <w:sz w:val="18"/>
          <w:szCs w:val="22"/>
          <w:rtl/>
          <w:lang w:eastAsia="he-IL"/>
        </w:rPr>
        <w:t xml:space="preserve">את </w:t>
      </w:r>
      <w:r w:rsidRPr="00F41E78">
        <w:rPr>
          <w:rFonts w:eastAsia="Calibri" w:cs="FrankRuehl"/>
          <w:sz w:val="18"/>
          <w:szCs w:val="22"/>
          <w:rtl/>
          <w:lang w:eastAsia="he-IL"/>
        </w:rPr>
        <w:t>התיקונים הדרושים להשגת יעדי הממשלה ו</w:t>
      </w:r>
      <w:r w:rsidRPr="00F41E78">
        <w:rPr>
          <w:rFonts w:eastAsia="Calibri" w:cs="FrankRuehl" w:hint="cs"/>
          <w:sz w:val="18"/>
          <w:szCs w:val="22"/>
          <w:rtl/>
          <w:lang w:eastAsia="he-IL"/>
        </w:rPr>
        <w:t xml:space="preserve">ליישום </w:t>
      </w:r>
      <w:r w:rsidRPr="00F41E78">
        <w:rPr>
          <w:rFonts w:eastAsia="Calibri" w:cs="FrankRuehl"/>
          <w:sz w:val="18"/>
          <w:szCs w:val="22"/>
          <w:rtl/>
          <w:lang w:eastAsia="he-IL"/>
        </w:rPr>
        <w:t xml:space="preserve">מדיניותה. </w:t>
      </w:r>
    </w:p>
    <w:p w:rsidR="00E97EDA" w:rsidRPr="00F41E78" w:rsidP="00A7557B">
      <w:pPr>
        <w:spacing w:after="120" w:line="230" w:lineRule="exact"/>
        <w:jc w:val="both"/>
        <w:rPr>
          <w:rFonts w:eastAsia="Calibri" w:cs="FrankRuehl"/>
          <w:sz w:val="18"/>
          <w:szCs w:val="22"/>
          <w:rtl/>
          <w:lang w:eastAsia="he-IL"/>
        </w:rPr>
      </w:pPr>
      <w:r w:rsidRPr="00F41E78">
        <w:rPr>
          <w:rFonts w:cs="FrankRuehl"/>
          <w:bCs/>
          <w:spacing w:val="40"/>
          <w:sz w:val="18"/>
          <w:szCs w:val="22"/>
          <w:rtl/>
        </w:rPr>
        <w:t xml:space="preserve">משרד הבינוי: </w:t>
      </w:r>
      <w:r w:rsidRPr="00F41E78">
        <w:rPr>
          <w:rFonts w:eastAsia="Calibri" w:cs="FrankRuehl"/>
          <w:sz w:val="18"/>
          <w:szCs w:val="22"/>
          <w:rtl/>
          <w:lang w:eastAsia="he-IL"/>
        </w:rPr>
        <w:t>בהחלט</w:t>
      </w:r>
      <w:r w:rsidRPr="00F41E78">
        <w:rPr>
          <w:rFonts w:eastAsia="Calibri" w:cs="FrankRuehl" w:hint="cs"/>
          <w:sz w:val="18"/>
          <w:szCs w:val="22"/>
          <w:rtl/>
          <w:lang w:eastAsia="he-IL"/>
        </w:rPr>
        <w:t xml:space="preserve">ה מס' 1248 </w:t>
      </w:r>
      <w:r w:rsidRPr="00F41E78">
        <w:rPr>
          <w:rFonts w:eastAsia="Calibri" w:cs="FrankRuehl"/>
          <w:sz w:val="18"/>
          <w:szCs w:val="22"/>
          <w:rtl/>
          <w:lang w:eastAsia="he-IL"/>
        </w:rPr>
        <w:t xml:space="preserve">של </w:t>
      </w:r>
      <w:r w:rsidRPr="00F41E78">
        <w:rPr>
          <w:rFonts w:eastAsia="Calibri" w:cs="FrankRuehl" w:hint="cs"/>
          <w:sz w:val="18"/>
          <w:szCs w:val="22"/>
          <w:rtl/>
          <w:lang w:eastAsia="he-IL"/>
        </w:rPr>
        <w:t>מועצת מקרקעי ישראל</w:t>
      </w:r>
      <w:r w:rsidRPr="00F41E78">
        <w:rPr>
          <w:rFonts w:eastAsia="Calibri" w:cs="FrankRuehl"/>
          <w:sz w:val="18"/>
          <w:szCs w:val="22"/>
          <w:rtl/>
          <w:lang w:eastAsia="he-IL"/>
        </w:rPr>
        <w:t xml:space="preserve"> נקבע בין היתר כי תוקם ועדת משנה למעקב ובקרה (להלן </w:t>
      </w:r>
      <w:r w:rsidRPr="00F41E78">
        <w:rPr>
          <w:rFonts w:eastAsia="Calibri" w:cs="FrankRuehl" w:hint="cs"/>
          <w:sz w:val="18"/>
          <w:szCs w:val="22"/>
          <w:rtl/>
          <w:lang w:eastAsia="he-IL"/>
        </w:rPr>
        <w:t>-</w:t>
      </w:r>
      <w:r w:rsidRPr="00F41E78">
        <w:rPr>
          <w:rFonts w:eastAsia="Calibri" w:cs="FrankRuehl"/>
          <w:sz w:val="18"/>
          <w:szCs w:val="22"/>
          <w:rtl/>
          <w:lang w:eastAsia="he-IL"/>
        </w:rPr>
        <w:t xml:space="preserve"> ועדת מעקב ובקרה) </w:t>
      </w:r>
      <w:r w:rsidRPr="00F41E78">
        <w:rPr>
          <w:rFonts w:eastAsia="Calibri" w:cs="FrankRuehl" w:hint="cs"/>
          <w:sz w:val="18"/>
          <w:szCs w:val="22"/>
          <w:rtl/>
          <w:lang w:eastAsia="he-IL"/>
        </w:rPr>
        <w:t>בנושא</w:t>
      </w:r>
      <w:r w:rsidRPr="00F41E78">
        <w:rPr>
          <w:rFonts w:eastAsia="Calibri" w:cs="FrankRuehl"/>
          <w:sz w:val="18"/>
          <w:szCs w:val="22"/>
          <w:rtl/>
          <w:lang w:eastAsia="he-IL"/>
        </w:rPr>
        <w:t xml:space="preserve"> </w:t>
      </w:r>
      <w:r w:rsidRPr="00F41E78">
        <w:rPr>
          <w:rFonts w:eastAsia="Calibri" w:cs="FrankRuehl" w:hint="cs"/>
          <w:sz w:val="18"/>
          <w:szCs w:val="22"/>
          <w:rtl/>
          <w:lang w:eastAsia="he-IL"/>
        </w:rPr>
        <w:t>יישום</w:t>
      </w:r>
      <w:r w:rsidRPr="00F41E78">
        <w:rPr>
          <w:rFonts w:eastAsia="Calibri" w:cs="FrankRuehl"/>
          <w:sz w:val="18"/>
          <w:szCs w:val="22"/>
          <w:rtl/>
          <w:lang w:eastAsia="he-IL"/>
        </w:rPr>
        <w:t xml:space="preserve"> החלטות</w:t>
      </w:r>
      <w:r w:rsidRPr="00F41E78">
        <w:rPr>
          <w:rFonts w:eastAsia="Calibri" w:cs="FrankRuehl" w:hint="cs"/>
          <w:sz w:val="18"/>
          <w:szCs w:val="22"/>
          <w:rtl/>
          <w:lang w:eastAsia="he-IL"/>
        </w:rPr>
        <w:t xml:space="preserve"> המועצה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בכל הנוגע</w:t>
      </w:r>
      <w:r w:rsidRPr="00F41E78">
        <w:rPr>
          <w:rFonts w:eastAsia="Calibri" w:cs="FrankRuehl"/>
          <w:sz w:val="18"/>
          <w:szCs w:val="22"/>
          <w:rtl/>
          <w:lang w:eastAsia="he-IL"/>
        </w:rPr>
        <w:t xml:space="preserve"> </w:t>
      </w:r>
      <w:r w:rsidRPr="00F41E78">
        <w:rPr>
          <w:rFonts w:eastAsia="Calibri" w:cs="FrankRuehl" w:hint="cs"/>
          <w:sz w:val="18"/>
          <w:szCs w:val="22"/>
          <w:rtl/>
          <w:lang w:eastAsia="he-IL"/>
        </w:rPr>
        <w:t>לאזור שבו מתוכננים</w:t>
      </w:r>
      <w:r w:rsidRPr="00F41E78">
        <w:rPr>
          <w:rFonts w:eastAsia="Calibri" w:cs="FrankRuehl"/>
          <w:sz w:val="18"/>
          <w:szCs w:val="22"/>
          <w:rtl/>
          <w:lang w:eastAsia="he-IL"/>
        </w:rPr>
        <w:t xml:space="preserve"> פרויקטים לבנייה</w:t>
      </w:r>
      <w:r w:rsidRPr="00F41E78">
        <w:rPr>
          <w:rFonts w:eastAsia="Calibri" w:cs="FrankRuehl" w:hint="cs"/>
          <w:sz w:val="18"/>
          <w:szCs w:val="22"/>
          <w:rtl/>
          <w:lang w:eastAsia="he-IL"/>
        </w:rPr>
        <w:t>,</w:t>
      </w:r>
      <w:r w:rsidRPr="00F41E78">
        <w:rPr>
          <w:rFonts w:eastAsia="Calibri" w:cs="FrankRuehl"/>
          <w:sz w:val="18"/>
          <w:szCs w:val="22"/>
          <w:rtl/>
          <w:lang w:eastAsia="he-IL"/>
        </w:rPr>
        <w:t xml:space="preserve"> להשכרה ולמכירה במחיר מוזל ו</w:t>
      </w:r>
      <w:r w:rsidRPr="00F41E78">
        <w:rPr>
          <w:rFonts w:eastAsia="Calibri" w:cs="FrankRuehl" w:hint="cs"/>
          <w:sz w:val="18"/>
          <w:szCs w:val="22"/>
          <w:rtl/>
          <w:lang w:eastAsia="he-IL"/>
        </w:rPr>
        <w:t>ל</w:t>
      </w:r>
      <w:r w:rsidRPr="00F41E78">
        <w:rPr>
          <w:rFonts w:eastAsia="Calibri" w:cs="FrankRuehl"/>
          <w:sz w:val="18"/>
          <w:szCs w:val="22"/>
          <w:rtl/>
          <w:lang w:eastAsia="he-IL"/>
        </w:rPr>
        <w:t xml:space="preserve">פיזורם באופן שישקף את הביקושים </w:t>
      </w:r>
      <w:r w:rsidRPr="00F41E78">
        <w:rPr>
          <w:rFonts w:eastAsia="Calibri" w:cs="FrankRuehl" w:hint="cs"/>
          <w:sz w:val="18"/>
          <w:szCs w:val="22"/>
          <w:rtl/>
          <w:lang w:eastAsia="he-IL"/>
        </w:rPr>
        <w:t xml:space="preserve">של </w:t>
      </w:r>
      <w:r w:rsidRPr="00F41E78">
        <w:rPr>
          <w:rFonts w:eastAsia="Calibri" w:cs="FrankRuehl"/>
          <w:sz w:val="18"/>
          <w:szCs w:val="22"/>
          <w:rtl/>
          <w:lang w:eastAsia="he-IL"/>
        </w:rPr>
        <w:t xml:space="preserve">כלל </w:t>
      </w:r>
      <w:r w:rsidRPr="00F41E78">
        <w:rPr>
          <w:rFonts w:eastAsia="Calibri" w:cs="FrankRuehl" w:hint="cs"/>
          <w:sz w:val="18"/>
          <w:szCs w:val="22"/>
          <w:rtl/>
          <w:lang w:eastAsia="he-IL"/>
        </w:rPr>
        <w:t>פלחי</w:t>
      </w:r>
      <w:r w:rsidRPr="00F41E78">
        <w:rPr>
          <w:rFonts w:eastAsia="Calibri" w:cs="FrankRuehl"/>
          <w:sz w:val="18"/>
          <w:szCs w:val="22"/>
          <w:rtl/>
          <w:lang w:eastAsia="he-IL"/>
        </w:rPr>
        <w:t xml:space="preserve"> האוכלוסייה. ב</w:t>
      </w:r>
      <w:r w:rsidRPr="00F41E78">
        <w:rPr>
          <w:rFonts w:eastAsia="Calibri" w:cs="FrankRuehl" w:hint="cs"/>
          <w:sz w:val="18"/>
          <w:szCs w:val="22"/>
          <w:rtl/>
          <w:lang w:eastAsia="he-IL"/>
        </w:rPr>
        <w:t>אפריל 2012</w:t>
      </w:r>
      <w:r w:rsidRPr="00F41E78">
        <w:rPr>
          <w:rFonts w:eastAsia="Calibri" w:cs="FrankRuehl"/>
          <w:sz w:val="18"/>
          <w:szCs w:val="22"/>
          <w:rtl/>
          <w:lang w:eastAsia="he-IL"/>
        </w:rPr>
        <w:t xml:space="preserve"> התכנסה ועדת המעקב ו</w:t>
      </w:r>
      <w:r w:rsidRPr="00F41E78">
        <w:rPr>
          <w:rFonts w:eastAsia="Calibri" w:cs="FrankRuehl" w:hint="cs"/>
          <w:sz w:val="18"/>
          <w:szCs w:val="22"/>
          <w:rtl/>
          <w:lang w:eastAsia="he-IL"/>
        </w:rPr>
        <w:t>ה</w:t>
      </w:r>
      <w:r w:rsidRPr="00F41E78">
        <w:rPr>
          <w:rFonts w:eastAsia="Calibri" w:cs="FrankRuehl"/>
          <w:sz w:val="18"/>
          <w:szCs w:val="22"/>
          <w:rtl/>
          <w:lang w:eastAsia="he-IL"/>
        </w:rPr>
        <w:t xml:space="preserve">בקרה והוצג </w:t>
      </w:r>
      <w:r w:rsidRPr="00F41E78">
        <w:rPr>
          <w:rFonts w:eastAsia="Calibri" w:cs="FrankRuehl" w:hint="cs"/>
          <w:sz w:val="18"/>
          <w:szCs w:val="22"/>
          <w:rtl/>
          <w:lang w:eastAsia="he-IL"/>
        </w:rPr>
        <w:t>לה</w:t>
      </w:r>
      <w:r w:rsidRPr="00F41E78">
        <w:rPr>
          <w:rFonts w:eastAsia="Calibri" w:cs="FrankRuehl"/>
          <w:sz w:val="18"/>
          <w:szCs w:val="22"/>
          <w:rtl/>
          <w:lang w:eastAsia="he-IL"/>
        </w:rPr>
        <w:t xml:space="preserve"> דיווח חצי</w:t>
      </w:r>
      <w:r w:rsidRPr="00F41E78">
        <w:rPr>
          <w:rFonts w:eastAsia="Calibri" w:cs="FrankRuehl" w:hint="cs"/>
          <w:sz w:val="18"/>
          <w:szCs w:val="22"/>
          <w:rtl/>
          <w:lang w:eastAsia="he-IL"/>
        </w:rPr>
        <w:t>-</w:t>
      </w:r>
      <w:r w:rsidRPr="00F41E78">
        <w:rPr>
          <w:rFonts w:eastAsia="Calibri" w:cs="FrankRuehl"/>
          <w:sz w:val="18"/>
          <w:szCs w:val="22"/>
          <w:rtl/>
          <w:lang w:eastAsia="he-IL"/>
        </w:rPr>
        <w:t xml:space="preserve">שנתי </w:t>
      </w:r>
      <w:r w:rsidRPr="00F41E78">
        <w:rPr>
          <w:rFonts w:eastAsia="Calibri" w:cs="FrankRuehl" w:hint="cs"/>
          <w:sz w:val="18"/>
          <w:szCs w:val="22"/>
          <w:rtl/>
          <w:lang w:eastAsia="he-IL"/>
        </w:rPr>
        <w:t>בנוגע</w:t>
      </w:r>
      <w:r w:rsidRPr="00F41E78">
        <w:rPr>
          <w:rFonts w:eastAsia="Calibri" w:cs="FrankRuehl"/>
          <w:sz w:val="18"/>
          <w:szCs w:val="22"/>
          <w:rtl/>
          <w:lang w:eastAsia="he-IL"/>
        </w:rPr>
        <w:t xml:space="preserve"> לשיווק יח"ד באמצעות מכרזים ב</w:t>
      </w:r>
      <w:r w:rsidRPr="00F41E78">
        <w:rPr>
          <w:rFonts w:eastAsia="Calibri" w:cs="FrankRuehl" w:hint="cs"/>
          <w:sz w:val="18"/>
          <w:szCs w:val="22"/>
          <w:rtl/>
          <w:lang w:eastAsia="he-IL"/>
        </w:rPr>
        <w:t>מסלול</w:t>
      </w:r>
      <w:r w:rsidRPr="00F41E78">
        <w:rPr>
          <w:rFonts w:eastAsia="Calibri" w:cs="FrankRuehl"/>
          <w:sz w:val="18"/>
          <w:szCs w:val="22"/>
          <w:rtl/>
          <w:lang w:eastAsia="he-IL"/>
        </w:rPr>
        <w:t xml:space="preserve"> מחיר למשתכן ו</w:t>
      </w:r>
      <w:r w:rsidRPr="00F41E78">
        <w:rPr>
          <w:rFonts w:eastAsia="Calibri" w:cs="FrankRuehl" w:hint="cs"/>
          <w:sz w:val="18"/>
          <w:szCs w:val="22"/>
          <w:rtl/>
          <w:lang w:eastAsia="he-IL"/>
        </w:rPr>
        <w:t xml:space="preserve">במסלול </w:t>
      </w:r>
      <w:r w:rsidRPr="00F41E78">
        <w:rPr>
          <w:rFonts w:eastAsia="Calibri" w:cs="FrankRuehl"/>
          <w:sz w:val="18"/>
          <w:szCs w:val="22"/>
          <w:rtl/>
          <w:lang w:eastAsia="he-IL"/>
        </w:rPr>
        <w:t>השכרה</w:t>
      </w:r>
      <w:r w:rsidRPr="00F41E78">
        <w:rPr>
          <w:rFonts w:eastAsia="Calibri" w:cs="FrankRuehl" w:hint="cs"/>
          <w:sz w:val="18"/>
          <w:szCs w:val="22"/>
          <w:rtl/>
          <w:lang w:eastAsia="he-IL"/>
        </w:rPr>
        <w:t xml:space="preserve"> לטוח ארוך</w:t>
      </w:r>
      <w:r w:rsidRPr="00F41E78">
        <w:rPr>
          <w:rFonts w:eastAsia="Calibri" w:cs="FrankRuehl"/>
          <w:sz w:val="18"/>
          <w:szCs w:val="22"/>
          <w:rtl/>
          <w:lang w:eastAsia="he-IL"/>
        </w:rPr>
        <w:t>.</w:t>
      </w:r>
    </w:p>
    <w:p w:rsidR="00E97EDA" w:rsidRPr="00F41E78" w:rsidP="00F07DDA">
      <w:pPr>
        <w:spacing w:after="240" w:line="230" w:lineRule="exact"/>
        <w:jc w:val="both"/>
        <w:rPr>
          <w:rFonts w:eastAsia="Calibri" w:cs="FrankRuehl"/>
          <w:b/>
          <w:bCs/>
          <w:sz w:val="18"/>
          <w:szCs w:val="22"/>
          <w:rtl/>
          <w:lang w:eastAsia="he-IL"/>
        </w:rPr>
      </w:pPr>
      <w:r w:rsidRPr="00F41E78">
        <w:rPr>
          <w:rFonts w:eastAsia="Calibri" w:cs="FrankRuehl"/>
          <w:sz w:val="18"/>
          <w:szCs w:val="22"/>
          <w:rtl/>
          <w:lang w:eastAsia="he-IL"/>
        </w:rPr>
        <w:t xml:space="preserve">ועדת המעקב והבקרה סיכמה כי משרד הבינוי </w:t>
      </w:r>
      <w:r w:rsidRPr="00F41E78">
        <w:rPr>
          <w:rFonts w:eastAsia="Calibri" w:cs="FrankRuehl" w:hint="cs"/>
          <w:sz w:val="18"/>
          <w:szCs w:val="22"/>
          <w:rtl/>
          <w:lang w:eastAsia="he-IL"/>
        </w:rPr>
        <w:t>ינתח מדי פעם בפעם את תוצאותיהם של ה</w:t>
      </w:r>
      <w:r w:rsidRPr="00F41E78">
        <w:rPr>
          <w:rFonts w:eastAsia="Calibri" w:cs="FrankRuehl"/>
          <w:sz w:val="18"/>
          <w:szCs w:val="22"/>
          <w:rtl/>
          <w:lang w:eastAsia="he-IL"/>
        </w:rPr>
        <w:t xml:space="preserve">מכרזים שהתקיימו </w:t>
      </w:r>
      <w:r w:rsidRPr="00F41E78">
        <w:rPr>
          <w:rFonts w:eastAsia="Calibri" w:cs="FrankRuehl" w:hint="cs"/>
          <w:sz w:val="18"/>
          <w:szCs w:val="22"/>
          <w:rtl/>
          <w:lang w:eastAsia="he-IL"/>
        </w:rPr>
        <w:t>ויגיש</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לה </w:t>
      </w:r>
      <w:r w:rsidRPr="00F41E78">
        <w:rPr>
          <w:rFonts w:eastAsia="Calibri" w:cs="FrankRuehl"/>
          <w:sz w:val="18"/>
          <w:szCs w:val="22"/>
          <w:rtl/>
          <w:lang w:eastAsia="he-IL"/>
        </w:rPr>
        <w:t>את מסקנות</w:t>
      </w:r>
      <w:r w:rsidRPr="00F41E78">
        <w:rPr>
          <w:rFonts w:eastAsia="Calibri" w:cs="FrankRuehl" w:hint="cs"/>
          <w:sz w:val="18"/>
          <w:szCs w:val="22"/>
          <w:rtl/>
          <w:lang w:eastAsia="he-IL"/>
        </w:rPr>
        <w:t>יו</w:t>
      </w:r>
      <w:r w:rsidRPr="00F41E78">
        <w:rPr>
          <w:rFonts w:eastAsia="Calibri" w:cs="FrankRuehl"/>
          <w:sz w:val="18"/>
          <w:szCs w:val="22"/>
          <w:rtl/>
          <w:lang w:eastAsia="he-IL"/>
        </w:rPr>
        <w:t xml:space="preserve">. </w:t>
      </w:r>
    </w:p>
    <w:p w:rsidR="00D22B16" w:rsidRPr="00F41E78" w:rsidP="00D22B16">
      <w:pPr>
        <w:pStyle w:val="RESHET"/>
        <w:keepLines/>
        <w:rPr>
          <w:rFonts w:eastAsia="Calibri"/>
          <w:rtl/>
        </w:rPr>
      </w:pPr>
      <w:r w:rsidRPr="00F41E78">
        <w:rPr>
          <w:rFonts w:eastAsia="Calibri" w:hint="cs"/>
          <w:rtl/>
        </w:rPr>
        <w:t>בביקורת</w:t>
      </w:r>
      <w:r w:rsidRPr="00F41E78">
        <w:rPr>
          <w:rFonts w:eastAsia="Calibri"/>
          <w:rtl/>
        </w:rPr>
        <w:t xml:space="preserve"> עלה </w:t>
      </w:r>
      <w:r w:rsidRPr="00F41E78">
        <w:rPr>
          <w:rtl/>
        </w:rPr>
        <w:t xml:space="preserve">כי </w:t>
      </w:r>
      <w:r w:rsidRPr="00F41E78">
        <w:rPr>
          <w:rFonts w:eastAsia="Calibri" w:hint="cs"/>
          <w:rtl/>
        </w:rPr>
        <w:t>משרד הבינוי קיים</w:t>
      </w:r>
      <w:r w:rsidRPr="00F41E78">
        <w:rPr>
          <w:rFonts w:eastAsia="Calibri"/>
          <w:rtl/>
        </w:rPr>
        <w:t xml:space="preserve"> </w:t>
      </w:r>
      <w:r w:rsidRPr="00F41E78">
        <w:rPr>
          <w:rFonts w:eastAsia="Calibri" w:hint="cs"/>
          <w:rtl/>
        </w:rPr>
        <w:t>ת</w:t>
      </w:r>
      <w:r w:rsidRPr="00F41E78">
        <w:rPr>
          <w:rFonts w:eastAsia="Calibri"/>
          <w:rtl/>
        </w:rPr>
        <w:t xml:space="preserve">הליך הפקת לקחים רק </w:t>
      </w:r>
      <w:r w:rsidRPr="00F41E78">
        <w:rPr>
          <w:rFonts w:eastAsia="Calibri" w:hint="cs"/>
          <w:rtl/>
        </w:rPr>
        <w:t>ב-2 מ-10 המכרזים שפרסם</w:t>
      </w:r>
      <w:r w:rsidRPr="00F41E78">
        <w:rPr>
          <w:rFonts w:eastAsia="Calibri"/>
          <w:rtl/>
        </w:rPr>
        <w:t>.</w:t>
      </w:r>
    </w:p>
    <w:p w:rsidR="00E97EDA" w:rsidRPr="00F41E78" w:rsidP="00F07DDA">
      <w:pPr>
        <w:spacing w:before="180" w:after="240" w:line="230" w:lineRule="exact"/>
        <w:jc w:val="both"/>
        <w:rPr>
          <w:rFonts w:eastAsia="Calibri" w:cs="FrankRuehl"/>
          <w:sz w:val="18"/>
          <w:szCs w:val="22"/>
          <w:rtl/>
          <w:lang w:eastAsia="he-IL"/>
        </w:rPr>
      </w:pPr>
      <w:r w:rsidRPr="00F41E78">
        <w:rPr>
          <w:rFonts w:eastAsia="Calibri" w:cs="FrankRuehl"/>
          <w:sz w:val="18"/>
          <w:szCs w:val="22"/>
          <w:rtl/>
          <w:lang w:eastAsia="he-IL"/>
        </w:rPr>
        <w:t>בהחלט</w:t>
      </w:r>
      <w:r w:rsidRPr="00F41E78">
        <w:rPr>
          <w:rFonts w:eastAsia="Calibri" w:cs="FrankRuehl" w:hint="cs"/>
          <w:sz w:val="18"/>
          <w:szCs w:val="22"/>
          <w:rtl/>
          <w:lang w:eastAsia="he-IL"/>
        </w:rPr>
        <w:t xml:space="preserve">ה זו </w:t>
      </w:r>
      <w:r w:rsidRPr="00F41E78">
        <w:rPr>
          <w:rFonts w:eastAsia="Calibri" w:cs="FrankRuehl"/>
          <w:sz w:val="18"/>
          <w:szCs w:val="22"/>
          <w:rtl/>
          <w:lang w:eastAsia="he-IL"/>
        </w:rPr>
        <w:t xml:space="preserve">נקבע כי אחת לחצי שנה יציג מנהל רמ"י </w:t>
      </w:r>
      <w:r w:rsidRPr="00F41E78">
        <w:rPr>
          <w:rFonts w:eastAsia="Calibri" w:cs="FrankRuehl" w:hint="cs"/>
          <w:sz w:val="18"/>
          <w:szCs w:val="22"/>
          <w:rtl/>
          <w:lang w:eastAsia="he-IL"/>
        </w:rPr>
        <w:t>לו</w:t>
      </w:r>
      <w:r w:rsidRPr="00F41E78">
        <w:rPr>
          <w:rFonts w:eastAsia="Calibri" w:cs="FrankRuehl"/>
          <w:sz w:val="18"/>
          <w:szCs w:val="22"/>
          <w:rtl/>
          <w:lang w:eastAsia="he-IL"/>
        </w:rPr>
        <w:t xml:space="preserve">ועדת המעקב והבקרה את תכנית העבודה </w:t>
      </w:r>
      <w:r w:rsidRPr="00F41E78">
        <w:rPr>
          <w:rFonts w:eastAsia="Calibri" w:cs="FrankRuehl" w:hint="cs"/>
          <w:sz w:val="18"/>
          <w:szCs w:val="22"/>
          <w:rtl/>
          <w:lang w:eastAsia="he-IL"/>
        </w:rPr>
        <w:t>שתיקבע לפי ההנחיות ב</w:t>
      </w:r>
      <w:r w:rsidRPr="00F41E78">
        <w:rPr>
          <w:rFonts w:eastAsia="Calibri" w:cs="FrankRuehl"/>
          <w:sz w:val="18"/>
          <w:szCs w:val="22"/>
          <w:rtl/>
          <w:lang w:eastAsia="he-IL"/>
        </w:rPr>
        <w:t xml:space="preserve">החלטה זו. </w:t>
      </w:r>
    </w:p>
    <w:p w:rsidR="00D22B16" w:rsidRPr="00582A43" w:rsidP="003F6DE4">
      <w:pPr>
        <w:pStyle w:val="RESHET"/>
        <w:keepLines/>
        <w:rPr>
          <w:rtl/>
        </w:rPr>
      </w:pPr>
      <w:r w:rsidRPr="00582A43">
        <w:rPr>
          <w:rFonts w:hint="cs"/>
          <w:rtl/>
        </w:rPr>
        <w:t xml:space="preserve">הועלה כי </w:t>
      </w:r>
      <w:r w:rsidRPr="00582A43" w:rsidR="003F6DE4">
        <w:rPr>
          <w:rFonts w:hint="cs"/>
          <w:rtl/>
        </w:rPr>
        <w:t>מאז כינוסה הראשון של</w:t>
      </w:r>
      <w:r w:rsidRPr="00582A43">
        <w:rPr>
          <w:rtl/>
        </w:rPr>
        <w:t xml:space="preserve"> ועדת המעקב והבקרה</w:t>
      </w:r>
      <w:r w:rsidRPr="00582A43" w:rsidR="003F6DE4">
        <w:rPr>
          <w:rFonts w:eastAsia="Calibri" w:hint="cs"/>
          <w:rtl/>
        </w:rPr>
        <w:t xml:space="preserve"> באפריל 2012, היא לא התכנסה שוב</w:t>
      </w:r>
      <w:r w:rsidRPr="00582A43">
        <w:rPr>
          <w:rtl/>
        </w:rPr>
        <w:t xml:space="preserve"> וממילא </w:t>
      </w:r>
      <w:r w:rsidRPr="00582A43">
        <w:rPr>
          <w:rFonts w:hint="cs"/>
          <w:rtl/>
        </w:rPr>
        <w:t>טרם</w:t>
      </w:r>
      <w:r w:rsidRPr="00582A43">
        <w:rPr>
          <w:rtl/>
        </w:rPr>
        <w:t xml:space="preserve"> הוצגה </w:t>
      </w:r>
      <w:r w:rsidRPr="00582A43">
        <w:rPr>
          <w:rFonts w:hint="cs"/>
          <w:rtl/>
        </w:rPr>
        <w:t>ל</w:t>
      </w:r>
      <w:r w:rsidRPr="00582A43">
        <w:rPr>
          <w:rtl/>
        </w:rPr>
        <w:t xml:space="preserve">פניה תכנית עבודה </w:t>
      </w:r>
      <w:r w:rsidRPr="00582A43">
        <w:rPr>
          <w:rFonts w:hint="cs"/>
          <w:rtl/>
        </w:rPr>
        <w:t>כנדרש</w:t>
      </w:r>
      <w:r w:rsidRPr="00582A43">
        <w:rPr>
          <w:rtl/>
        </w:rPr>
        <w:t>.</w:t>
      </w:r>
    </w:p>
    <w:p w:rsidR="00D22B16" w:rsidRPr="00F41E78" w:rsidP="00D22B16">
      <w:pPr>
        <w:pStyle w:val="RESHET"/>
        <w:keepLines/>
        <w:rPr>
          <w:rFonts w:eastAsia="Calibri"/>
          <w:rtl/>
        </w:rPr>
      </w:pPr>
      <w:r w:rsidRPr="00F41E78">
        <w:rPr>
          <w:rFonts w:eastAsia="Calibri" w:hint="cs"/>
          <w:rtl/>
        </w:rPr>
        <w:t xml:space="preserve">משרד מבקר המדינה העיר למשרד הבינוי כי הערכת הפעולות והתכניות </w:t>
      </w:r>
      <w:r w:rsidRPr="00F41E78">
        <w:rPr>
          <w:rFonts w:eastAsia="Calibri"/>
          <w:rtl/>
        </w:rPr>
        <w:t>ה</w:t>
      </w:r>
      <w:r w:rsidRPr="00F41E78">
        <w:rPr>
          <w:rFonts w:eastAsia="Calibri" w:hint="cs"/>
          <w:rtl/>
        </w:rPr>
        <w:t>י</w:t>
      </w:r>
      <w:r w:rsidRPr="00F41E78">
        <w:rPr>
          <w:rFonts w:eastAsia="Calibri"/>
          <w:rtl/>
        </w:rPr>
        <w:t xml:space="preserve">א אחד </w:t>
      </w:r>
      <w:r w:rsidRPr="00F41E78">
        <w:rPr>
          <w:rFonts w:eastAsia="Calibri" w:hint="cs"/>
          <w:rtl/>
        </w:rPr>
        <w:t>מכלי</w:t>
      </w:r>
      <w:r w:rsidRPr="00F41E78">
        <w:rPr>
          <w:rFonts w:eastAsia="Calibri"/>
          <w:rtl/>
        </w:rPr>
        <w:t xml:space="preserve"> </w:t>
      </w:r>
      <w:r w:rsidRPr="00F41E78">
        <w:rPr>
          <w:rFonts w:eastAsia="Calibri" w:hint="cs"/>
          <w:rtl/>
        </w:rPr>
        <w:t>הניהול</w:t>
      </w:r>
      <w:r w:rsidRPr="00F41E78">
        <w:rPr>
          <w:rFonts w:eastAsia="Calibri"/>
          <w:rtl/>
        </w:rPr>
        <w:t xml:space="preserve"> החשובים</w:t>
      </w:r>
      <w:r w:rsidRPr="00F41E78">
        <w:rPr>
          <w:rFonts w:eastAsia="Calibri" w:hint="cs"/>
          <w:rtl/>
        </w:rPr>
        <w:t xml:space="preserve"> המסייע בידי המנהלים להכריע בעניין</w:t>
      </w:r>
      <w:r w:rsidRPr="00F41E78">
        <w:rPr>
          <w:rFonts w:eastAsia="Calibri"/>
          <w:rtl/>
        </w:rPr>
        <w:t xml:space="preserve"> סדרי עדיפויות</w:t>
      </w:r>
      <w:r w:rsidRPr="00F41E78">
        <w:rPr>
          <w:rFonts w:eastAsia="Calibri" w:hint="cs"/>
          <w:rtl/>
        </w:rPr>
        <w:t xml:space="preserve"> הנוגעים לארגונים שבראשם הם עומדים. למרות זאת,</w:t>
      </w:r>
      <w:r w:rsidRPr="00F41E78">
        <w:rPr>
          <w:rFonts w:eastAsia="Calibri"/>
          <w:rtl/>
        </w:rPr>
        <w:t xml:space="preserve"> </w:t>
      </w:r>
      <w:r w:rsidRPr="00F41E78">
        <w:rPr>
          <w:rFonts w:eastAsia="Calibri" w:hint="cs"/>
          <w:rtl/>
        </w:rPr>
        <w:t>הוא לא הקפיד לקיים באופן קבוע ת</w:t>
      </w:r>
      <w:r w:rsidRPr="00F41E78">
        <w:rPr>
          <w:rFonts w:eastAsia="Calibri"/>
          <w:rtl/>
        </w:rPr>
        <w:t xml:space="preserve">הליכים סדורים ומתועדים של הפקת לקחים מפעולותיו בתחום </w:t>
      </w:r>
      <w:r w:rsidRPr="00F41E78">
        <w:rPr>
          <w:rFonts w:eastAsia="Calibri" w:hint="cs"/>
          <w:rtl/>
        </w:rPr>
        <w:t>ה</w:t>
      </w:r>
      <w:r w:rsidRPr="00F41E78">
        <w:rPr>
          <w:rFonts w:eastAsia="Calibri"/>
          <w:rtl/>
        </w:rPr>
        <w:t xml:space="preserve">בנייה להשכרה לטווח ארוך. בהיעדר </w:t>
      </w:r>
      <w:r w:rsidRPr="00F41E78">
        <w:rPr>
          <w:rFonts w:eastAsia="Calibri" w:hint="cs"/>
          <w:rtl/>
        </w:rPr>
        <w:t>ת</w:t>
      </w:r>
      <w:r w:rsidRPr="00F41E78">
        <w:rPr>
          <w:rFonts w:eastAsia="Calibri"/>
          <w:rtl/>
        </w:rPr>
        <w:t>הליך סדור להפקת לקחים לא למד משרד הבינוי מניסיונותיו הקודמים</w:t>
      </w:r>
      <w:r w:rsidRPr="00F41E78">
        <w:rPr>
          <w:rFonts w:eastAsia="Calibri" w:hint="cs"/>
          <w:rtl/>
        </w:rPr>
        <w:t>;</w:t>
      </w:r>
      <w:r w:rsidRPr="00F41E78">
        <w:rPr>
          <w:rFonts w:eastAsia="Calibri"/>
          <w:rtl/>
        </w:rPr>
        <w:t xml:space="preserve"> הוא לא עמד על הסיבות לכישלון מכרזים </w:t>
      </w:r>
      <w:r w:rsidRPr="00F41E78">
        <w:rPr>
          <w:rFonts w:eastAsia="Calibri" w:hint="cs"/>
          <w:rtl/>
        </w:rPr>
        <w:t>או ל</w:t>
      </w:r>
      <w:r w:rsidRPr="00F41E78">
        <w:rPr>
          <w:rFonts w:eastAsia="Calibri"/>
          <w:rtl/>
        </w:rPr>
        <w:t xml:space="preserve">הצלחתם </w:t>
      </w:r>
      <w:r w:rsidRPr="00F41E78">
        <w:rPr>
          <w:rFonts w:eastAsia="Calibri" w:hint="cs"/>
          <w:rtl/>
        </w:rPr>
        <w:t>ו</w:t>
      </w:r>
      <w:r w:rsidRPr="00F41E78">
        <w:rPr>
          <w:rFonts w:eastAsia="Calibri"/>
          <w:rtl/>
        </w:rPr>
        <w:t xml:space="preserve">לא </w:t>
      </w:r>
      <w:r w:rsidRPr="00F41E78">
        <w:rPr>
          <w:rFonts w:eastAsia="Calibri" w:hint="cs"/>
          <w:rtl/>
        </w:rPr>
        <w:t xml:space="preserve">בחן כיצד </w:t>
      </w:r>
      <w:r w:rsidRPr="00F41E78">
        <w:rPr>
          <w:rFonts w:eastAsia="Calibri"/>
          <w:rtl/>
        </w:rPr>
        <w:t xml:space="preserve">פרמטרים </w:t>
      </w:r>
      <w:r w:rsidRPr="00F41E78">
        <w:rPr>
          <w:rFonts w:eastAsia="Calibri" w:hint="cs"/>
          <w:rtl/>
        </w:rPr>
        <w:t xml:space="preserve">שונים </w:t>
      </w:r>
      <w:r w:rsidRPr="00F41E78">
        <w:rPr>
          <w:rFonts w:eastAsia="Calibri"/>
          <w:rtl/>
        </w:rPr>
        <w:t xml:space="preserve">משפיעים על נכונות היזמים להתמודד במכרזים </w:t>
      </w:r>
      <w:r w:rsidRPr="00F41E78">
        <w:rPr>
          <w:rFonts w:eastAsia="Calibri" w:hint="cs"/>
          <w:rtl/>
        </w:rPr>
        <w:t xml:space="preserve">ועל </w:t>
      </w:r>
      <w:r w:rsidRPr="00F41E78">
        <w:rPr>
          <w:rFonts w:eastAsia="Calibri"/>
          <w:rtl/>
        </w:rPr>
        <w:t>בחירת המסלול המתאים, ובהתאם לכך להיערך למכרזים עתידיים.</w:t>
      </w:r>
    </w:p>
    <w:p w:rsidR="00E97EDA" w:rsidRPr="00F41E78" w:rsidP="00F07DDA">
      <w:pPr>
        <w:spacing w:before="180" w:after="240" w:line="230" w:lineRule="exact"/>
        <w:jc w:val="both"/>
        <w:rPr>
          <w:rFonts w:eastAsia="Calibri" w:cs="FrankRuehl"/>
          <w:sz w:val="18"/>
          <w:szCs w:val="22"/>
          <w:rtl/>
          <w:lang w:eastAsia="he-IL"/>
        </w:rPr>
      </w:pPr>
      <w:r w:rsidRPr="00F41E78">
        <w:rPr>
          <w:rFonts w:eastAsia="Calibri" w:cs="FrankRuehl"/>
          <w:sz w:val="18"/>
          <w:szCs w:val="22"/>
          <w:rtl/>
          <w:lang w:eastAsia="he-IL"/>
        </w:rPr>
        <w:t>בתשובתו מסר משרד הבינוי כי "אי ביצוע ניתוח מכרזים בכתב אינו ראיה לכך שלא הופקו לקחים. הראיה העיקרית לכך שאכן הופקו הלקחים הינה הפסקת הוצאת המכרזים במסלול זה עד לשיפור תנאי המכרזים שעיקרם העמקת הסבסוד והבטחת רשת ביטחון ליזמים"</w:t>
      </w:r>
      <w:r w:rsidRPr="00F41E78">
        <w:rPr>
          <w:rFonts w:eastAsia="Calibri" w:cs="FrankRuehl" w:hint="cs"/>
          <w:sz w:val="18"/>
          <w:szCs w:val="22"/>
          <w:rtl/>
          <w:lang w:eastAsia="he-IL"/>
        </w:rPr>
        <w:t>.</w:t>
      </w:r>
    </w:p>
    <w:p w:rsidR="00D22B16" w:rsidRPr="00F41E78" w:rsidP="00D22B16">
      <w:pPr>
        <w:pStyle w:val="RESHET"/>
        <w:keepLines/>
        <w:rPr>
          <w:rFonts w:eastAsia="Calibri"/>
          <w:rtl/>
        </w:rPr>
      </w:pPr>
      <w:r w:rsidRPr="00F41E78">
        <w:rPr>
          <w:rFonts w:eastAsia="Calibri" w:hint="cs"/>
          <w:rtl/>
        </w:rPr>
        <w:t xml:space="preserve">משרד מבקר המדינה מעיר למשרד הבינוי כי סדרי מינהל תקין מחייבים לתעד את הפעולות העקרוניות והחשובות, לרבות תהליך קבלת ההחלטות. התיעוד נועד לצורכי הפקת לקחים ומטרתו לאפשר את שקיפותם של התהליכים ושל הפעולות ואת קיומה של הבקרה עליהם. החלטה עקרונית בדבר הפסקת השיווק במסלול השכרה לטווח ארוך היא מסוג ההחלטות שראוי שנסיבות קבלתן יתועדו. אולם הביקורת העלתה שאין המשרד מחזיק במסמכים המעידים על פעולותיו השונות. </w:t>
      </w:r>
    </w:p>
    <w:p w:rsidR="00E97EDA" w:rsidRPr="00F41E78" w:rsidP="00F07DDA">
      <w:pPr>
        <w:spacing w:before="180" w:after="240" w:line="230" w:lineRule="exact"/>
        <w:jc w:val="both"/>
        <w:rPr>
          <w:rFonts w:eastAsia="Calibri" w:cs="FrankRuehl"/>
          <w:sz w:val="18"/>
          <w:szCs w:val="22"/>
          <w:rtl/>
          <w:lang w:eastAsia="he-IL"/>
        </w:rPr>
      </w:pPr>
      <w:r w:rsidRPr="00F41E78">
        <w:rPr>
          <w:rFonts w:cs="FrankRuehl"/>
          <w:bCs/>
          <w:spacing w:val="40"/>
          <w:sz w:val="18"/>
          <w:szCs w:val="22"/>
          <w:rtl/>
        </w:rPr>
        <w:t xml:space="preserve">רמ"י: </w:t>
      </w:r>
      <w:r w:rsidRPr="00F41E78">
        <w:rPr>
          <w:rFonts w:eastAsia="Calibri" w:cs="FrankRuehl"/>
          <w:sz w:val="18"/>
          <w:szCs w:val="22"/>
          <w:rtl/>
          <w:lang w:eastAsia="he-IL"/>
        </w:rPr>
        <w:t>ב</w:t>
      </w:r>
      <w:r w:rsidRPr="00F41E78">
        <w:rPr>
          <w:rFonts w:eastAsia="Calibri" w:cs="FrankRuehl" w:hint="cs"/>
          <w:sz w:val="18"/>
          <w:szCs w:val="22"/>
          <w:rtl/>
          <w:lang w:eastAsia="he-IL"/>
        </w:rPr>
        <w:t xml:space="preserve">יולי 2013 </w:t>
      </w:r>
      <w:r w:rsidRPr="00F41E78">
        <w:rPr>
          <w:rFonts w:eastAsia="Calibri" w:cs="FrankRuehl"/>
          <w:sz w:val="18"/>
          <w:szCs w:val="22"/>
          <w:rtl/>
          <w:lang w:eastAsia="he-IL"/>
        </w:rPr>
        <w:t xml:space="preserve">התכנסה מועצת מקרקעי ישראל ודנה בתוצאות המכרזים להקצאת קרקע לבניית </w:t>
      </w:r>
      <w:r w:rsidRPr="00F41E78">
        <w:rPr>
          <w:rFonts w:eastAsia="Calibri" w:cs="FrankRuehl" w:hint="cs"/>
          <w:sz w:val="18"/>
          <w:szCs w:val="22"/>
          <w:rtl/>
          <w:lang w:eastAsia="he-IL"/>
        </w:rPr>
        <w:t>יח"ד</w:t>
      </w:r>
      <w:r w:rsidRPr="00F41E78">
        <w:rPr>
          <w:rFonts w:eastAsia="Calibri" w:cs="FrankRuehl"/>
          <w:sz w:val="18"/>
          <w:szCs w:val="22"/>
          <w:rtl/>
          <w:lang w:eastAsia="he-IL"/>
        </w:rPr>
        <w:t xml:space="preserve"> להשכרה. בדיון השתתפו בין השאר נציגי</w:t>
      </w:r>
      <w:r w:rsidRPr="00F41E78">
        <w:rPr>
          <w:rFonts w:eastAsia="Calibri" w:cs="FrankRuehl" w:hint="cs"/>
          <w:sz w:val="18"/>
          <w:szCs w:val="22"/>
          <w:rtl/>
          <w:lang w:eastAsia="he-IL"/>
        </w:rPr>
        <w:t>ם מ</w:t>
      </w:r>
      <w:r w:rsidRPr="00F41E78">
        <w:rPr>
          <w:rFonts w:eastAsia="Calibri" w:cs="FrankRuehl"/>
          <w:sz w:val="18"/>
          <w:szCs w:val="22"/>
          <w:rtl/>
          <w:lang w:eastAsia="he-IL"/>
        </w:rPr>
        <w:t>משרד הבינוי</w:t>
      </w:r>
      <w:r w:rsidRPr="00F41E78">
        <w:rPr>
          <w:rFonts w:eastAsia="Calibri" w:cs="FrankRuehl" w:hint="cs"/>
          <w:sz w:val="18"/>
          <w:szCs w:val="22"/>
          <w:rtl/>
          <w:lang w:eastAsia="he-IL"/>
        </w:rPr>
        <w:t>,</w:t>
      </w:r>
      <w:r w:rsidRPr="00F41E78">
        <w:rPr>
          <w:rFonts w:eastAsia="Calibri" w:cs="FrankRuehl"/>
          <w:sz w:val="18"/>
          <w:szCs w:val="22"/>
          <w:rtl/>
          <w:lang w:eastAsia="he-IL"/>
        </w:rPr>
        <w:t xml:space="preserve"> ובהם מנהלת אגף נכסים ודיור</w:t>
      </w:r>
      <w:r w:rsidRPr="00F41E78">
        <w:rPr>
          <w:rFonts w:eastAsia="Calibri" w:cs="FrankRuehl" w:hint="cs"/>
          <w:sz w:val="18"/>
          <w:szCs w:val="22"/>
          <w:rtl/>
          <w:lang w:eastAsia="he-IL"/>
        </w:rPr>
        <w:t xml:space="preserve"> ש</w:t>
      </w:r>
      <w:r w:rsidRPr="00F41E78">
        <w:rPr>
          <w:rFonts w:eastAsia="Calibri" w:cs="FrankRuehl"/>
          <w:sz w:val="18"/>
          <w:szCs w:val="22"/>
          <w:rtl/>
          <w:lang w:eastAsia="he-IL"/>
        </w:rPr>
        <w:t>דיווחה למועצה כי "המסקנות הן ששני המסלולים</w:t>
      </w:r>
      <w:r w:rsidRPr="00F41E78">
        <w:rPr>
          <w:rFonts w:eastAsia="Calibri" w:cs="FrankRuehl" w:hint="cs"/>
          <w:sz w:val="18"/>
          <w:szCs w:val="22"/>
          <w:rtl/>
          <w:lang w:eastAsia="he-IL"/>
        </w:rPr>
        <w:t xml:space="preserve"> [מסלולים א ו-ב]</w:t>
      </w:r>
      <w:r w:rsidRPr="00F41E78">
        <w:rPr>
          <w:rFonts w:eastAsia="Calibri" w:cs="FrankRuehl"/>
          <w:sz w:val="18"/>
          <w:szCs w:val="22"/>
          <w:rtl/>
          <w:lang w:eastAsia="he-IL"/>
        </w:rPr>
        <w:t xml:space="preserve"> קצת בעיתיים, הם לא מספיקים אטרקטיביים"</w:t>
      </w:r>
      <w:r w:rsidRPr="00F41E78">
        <w:rPr>
          <w:rFonts w:eastAsia="Calibri" w:cs="FrankRuehl" w:hint="cs"/>
          <w:sz w:val="18"/>
          <w:szCs w:val="22"/>
          <w:rtl/>
          <w:lang w:eastAsia="he-IL"/>
        </w:rPr>
        <w:t>.</w:t>
      </w:r>
      <w:r w:rsidRPr="00F41E78">
        <w:rPr>
          <w:rFonts w:eastAsia="Calibri" w:cs="FrankRuehl"/>
          <w:sz w:val="18"/>
          <w:szCs w:val="22"/>
          <w:rtl/>
          <w:lang w:eastAsia="he-IL"/>
        </w:rPr>
        <w:t xml:space="preserve"> היא הוסיפה: "אנחנו נמצאים בשלב החשיבה לגבי... בנייה להשכרה. אנחנו נעשה את התיקונים, בשביל זה עושים את התיקונים"</w:t>
      </w:r>
      <w:r w:rsidRPr="00F41E78">
        <w:rPr>
          <w:rFonts w:eastAsia="Calibri" w:cs="FrankRuehl" w:hint="cs"/>
          <w:sz w:val="18"/>
          <w:szCs w:val="22"/>
          <w:rtl/>
          <w:lang w:eastAsia="he-IL"/>
        </w:rPr>
        <w:t>.</w:t>
      </w:r>
    </w:p>
    <w:p w:rsidR="00D22B16" w:rsidRPr="00F41E78" w:rsidP="00D22B16">
      <w:pPr>
        <w:pStyle w:val="RESHET"/>
        <w:keepLines/>
        <w:rPr>
          <w:rFonts w:eastAsia="Calibri"/>
          <w:rtl/>
        </w:rPr>
      </w:pPr>
      <w:r w:rsidRPr="00F41E78">
        <w:rPr>
          <w:rFonts w:eastAsia="Calibri" w:hint="cs"/>
          <w:rtl/>
        </w:rPr>
        <w:t>נכון למועד סיום הביקורת טרם</w:t>
      </w:r>
      <w:r w:rsidRPr="00F41E78">
        <w:rPr>
          <w:rFonts w:eastAsia="Calibri"/>
          <w:rtl/>
        </w:rPr>
        <w:t xml:space="preserve"> קיבלה </w:t>
      </w:r>
      <w:r w:rsidRPr="00F41E78">
        <w:rPr>
          <w:rFonts w:eastAsia="Calibri" w:hint="cs"/>
          <w:rtl/>
        </w:rPr>
        <w:t>מועצת מקרקעי ישראל</w:t>
      </w:r>
      <w:r w:rsidRPr="00F41E78">
        <w:rPr>
          <w:rFonts w:eastAsia="Calibri"/>
          <w:rtl/>
        </w:rPr>
        <w:t xml:space="preserve"> החלט</w:t>
      </w:r>
      <w:r w:rsidRPr="00F41E78">
        <w:rPr>
          <w:rFonts w:eastAsia="Calibri" w:hint="cs"/>
          <w:rtl/>
        </w:rPr>
        <w:t xml:space="preserve">ות </w:t>
      </w:r>
      <w:r w:rsidRPr="00F41E78">
        <w:rPr>
          <w:rFonts w:eastAsia="Calibri"/>
          <w:rtl/>
        </w:rPr>
        <w:t>אופרטיבי</w:t>
      </w:r>
      <w:r w:rsidRPr="00F41E78">
        <w:rPr>
          <w:rFonts w:eastAsia="Calibri" w:hint="cs"/>
          <w:rtl/>
        </w:rPr>
        <w:t>ו</w:t>
      </w:r>
      <w:r w:rsidRPr="00F41E78">
        <w:rPr>
          <w:rFonts w:eastAsia="Calibri"/>
          <w:rtl/>
        </w:rPr>
        <w:t xml:space="preserve">ת </w:t>
      </w:r>
      <w:r w:rsidRPr="00F41E78">
        <w:rPr>
          <w:rFonts w:eastAsia="Calibri" w:hint="cs"/>
          <w:rtl/>
        </w:rPr>
        <w:t>הנוגעות להפעלת המסלול אם בנוגע ל</w:t>
      </w:r>
      <w:r w:rsidRPr="00F41E78">
        <w:rPr>
          <w:rFonts w:eastAsia="Calibri"/>
          <w:rtl/>
        </w:rPr>
        <w:t xml:space="preserve">הקצאת קרקע לבניית </w:t>
      </w:r>
      <w:r w:rsidRPr="00F41E78">
        <w:rPr>
          <w:rFonts w:eastAsia="Calibri" w:hint="cs"/>
          <w:rtl/>
        </w:rPr>
        <w:t>יח"ד אם בנוגע לתנאים שיאפשרו את ישימותו של השיווק. י</w:t>
      </w:r>
      <w:r w:rsidRPr="00F41E78">
        <w:rPr>
          <w:rFonts w:eastAsia="Calibri"/>
          <w:rtl/>
        </w:rPr>
        <w:t xml:space="preserve">וצא </w:t>
      </w:r>
      <w:r w:rsidRPr="00F41E78">
        <w:rPr>
          <w:rFonts w:eastAsia="Calibri" w:hint="cs"/>
          <w:rtl/>
        </w:rPr>
        <w:t xml:space="preserve">אפוא </w:t>
      </w:r>
      <w:r w:rsidRPr="00F41E78">
        <w:rPr>
          <w:rFonts w:eastAsia="Calibri"/>
          <w:rtl/>
        </w:rPr>
        <w:t>כי שש שנים לאחר ש</w:t>
      </w:r>
      <w:r w:rsidRPr="00F41E78">
        <w:rPr>
          <w:rFonts w:eastAsia="Calibri" w:hint="cs"/>
          <w:rtl/>
        </w:rPr>
        <w:t xml:space="preserve">המועצה </w:t>
      </w:r>
      <w:r w:rsidRPr="00F41E78">
        <w:rPr>
          <w:rFonts w:eastAsia="Calibri"/>
          <w:rtl/>
        </w:rPr>
        <w:t xml:space="preserve">החליטה לראשונה </w:t>
      </w:r>
      <w:r w:rsidRPr="00F41E78">
        <w:rPr>
          <w:rFonts w:eastAsia="Calibri" w:hint="cs"/>
          <w:rtl/>
        </w:rPr>
        <w:t>להפעיל את המסלול ל</w:t>
      </w:r>
      <w:r w:rsidRPr="00F41E78">
        <w:rPr>
          <w:rFonts w:eastAsia="Calibri"/>
          <w:rtl/>
        </w:rPr>
        <w:t xml:space="preserve">הקצאת קרקע לבנייה להשכרה </w:t>
      </w:r>
      <w:r w:rsidRPr="00F41E78">
        <w:rPr>
          <w:rFonts w:eastAsia="Calibri" w:hint="cs"/>
          <w:rtl/>
        </w:rPr>
        <w:t>ל</w:t>
      </w:r>
      <w:r w:rsidRPr="00F41E78">
        <w:rPr>
          <w:rFonts w:eastAsia="Calibri"/>
          <w:rtl/>
        </w:rPr>
        <w:t>טווח</w:t>
      </w:r>
      <w:r w:rsidRPr="00F41E78">
        <w:rPr>
          <w:rFonts w:eastAsia="Calibri" w:hint="cs"/>
          <w:rtl/>
        </w:rPr>
        <w:t xml:space="preserve"> ארוך</w:t>
      </w:r>
      <w:r w:rsidRPr="00F41E78">
        <w:rPr>
          <w:rFonts w:eastAsia="Calibri"/>
          <w:rtl/>
        </w:rPr>
        <w:t xml:space="preserve">, </w:t>
      </w:r>
      <w:r w:rsidRPr="00F41E78">
        <w:rPr>
          <w:rFonts w:eastAsia="Calibri" w:hint="cs"/>
          <w:rtl/>
        </w:rPr>
        <w:t xml:space="preserve">עדיין </w:t>
      </w:r>
      <w:r w:rsidRPr="00F41E78">
        <w:rPr>
          <w:rFonts w:eastAsia="Calibri"/>
          <w:rtl/>
        </w:rPr>
        <w:t xml:space="preserve">לא גיבשה רמ"י תכניות ליישום </w:t>
      </w:r>
      <w:r w:rsidRPr="00F41E78">
        <w:rPr>
          <w:rFonts w:eastAsia="Calibri" w:hint="cs"/>
          <w:rtl/>
        </w:rPr>
        <w:t>ה</w:t>
      </w:r>
      <w:r w:rsidRPr="00F41E78">
        <w:rPr>
          <w:rFonts w:eastAsia="Calibri"/>
          <w:rtl/>
        </w:rPr>
        <w:t>החלטות</w:t>
      </w:r>
      <w:r w:rsidRPr="00F41E78">
        <w:rPr>
          <w:rFonts w:eastAsia="Calibri" w:hint="cs"/>
          <w:rtl/>
        </w:rPr>
        <w:t>.</w:t>
      </w:r>
    </w:p>
    <w:p w:rsidR="00E97EDA" w:rsidRPr="00F41E78" w:rsidP="00A7557B">
      <w:pPr>
        <w:spacing w:after="120" w:line="230" w:lineRule="exact"/>
        <w:jc w:val="both"/>
        <w:rPr>
          <w:rFonts w:eastAsia="Calibri" w:cs="FrankRuehl"/>
          <w:sz w:val="18"/>
          <w:szCs w:val="22"/>
          <w:lang w:eastAsia="he-IL"/>
        </w:rPr>
      </w:pPr>
    </w:p>
    <w:p w:rsidR="00995D25" w:rsidRPr="00F41E78" w:rsidP="00A7557B">
      <w:pPr>
        <w:spacing w:after="120" w:line="230" w:lineRule="exact"/>
        <w:jc w:val="both"/>
        <w:rPr>
          <w:rFonts w:eastAsia="Calibri" w:cs="FrankRuehl"/>
          <w:sz w:val="18"/>
          <w:szCs w:val="22"/>
          <w:rtl/>
          <w:lang w:eastAsia="he-IL"/>
        </w:rPr>
      </w:pPr>
    </w:p>
    <w:p w:rsidR="00E97EDA" w:rsidRPr="00FA1F2C" w:rsidP="00A7557B">
      <w:pPr>
        <w:pStyle w:val="KOT4"/>
        <w:rPr>
          <w:rFonts w:eastAsia="Calibri"/>
          <w:rtl/>
          <w:lang w:eastAsia="he-IL"/>
        </w:rPr>
      </w:pPr>
      <w:r w:rsidRPr="00FA1F2C">
        <w:rPr>
          <w:rFonts w:eastAsia="Calibri"/>
          <w:rtl/>
          <w:lang w:eastAsia="he-IL"/>
        </w:rPr>
        <w:t>החלטות קבינט הדיור בדבר בנייה להשכרה</w:t>
      </w:r>
    </w:p>
    <w:p w:rsidR="00E97EDA" w:rsidRPr="00F41E78" w:rsidP="00A7557B">
      <w:pPr>
        <w:spacing w:after="120" w:line="230" w:lineRule="exact"/>
        <w:jc w:val="both"/>
        <w:rPr>
          <w:rFonts w:eastAsia="Calibri" w:cs="FrankRuehl"/>
          <w:sz w:val="18"/>
          <w:szCs w:val="22"/>
          <w:rtl/>
          <w:lang w:eastAsia="he-IL"/>
        </w:rPr>
      </w:pPr>
      <w:r w:rsidRPr="00F41E78">
        <w:rPr>
          <w:rFonts w:eastAsia="Calibri" w:cs="FrankRuehl" w:hint="cs"/>
          <w:sz w:val="18"/>
          <w:szCs w:val="22"/>
          <w:rtl/>
          <w:lang w:eastAsia="he-IL"/>
        </w:rPr>
        <w:t>ל</w:t>
      </w:r>
      <w:r w:rsidRPr="00F41E78">
        <w:rPr>
          <w:rFonts w:eastAsia="Calibri" w:cs="FrankRuehl"/>
          <w:sz w:val="18"/>
          <w:szCs w:val="22"/>
          <w:rtl/>
          <w:lang w:eastAsia="he-IL"/>
        </w:rPr>
        <w:t xml:space="preserve">נוכח כישלון המסלול לבניית </w:t>
      </w:r>
      <w:r w:rsidRPr="00F41E78">
        <w:rPr>
          <w:rFonts w:eastAsia="Calibri" w:cs="FrankRuehl" w:hint="cs"/>
          <w:sz w:val="18"/>
          <w:szCs w:val="22"/>
          <w:rtl/>
          <w:lang w:eastAsia="he-IL"/>
        </w:rPr>
        <w:t>יח"ד</w:t>
      </w:r>
      <w:r w:rsidRPr="00F41E78">
        <w:rPr>
          <w:rFonts w:eastAsia="Calibri" w:cs="FrankRuehl"/>
          <w:sz w:val="18"/>
          <w:szCs w:val="22"/>
          <w:rtl/>
          <w:lang w:eastAsia="he-IL"/>
        </w:rPr>
        <w:t xml:space="preserve"> ל</w:t>
      </w:r>
      <w:r w:rsidRPr="00F41E78">
        <w:rPr>
          <w:rFonts w:eastAsia="Calibri" w:cs="FrankRuehl" w:hint="cs"/>
          <w:sz w:val="18"/>
          <w:szCs w:val="22"/>
          <w:rtl/>
          <w:lang w:eastAsia="he-IL"/>
        </w:rPr>
        <w:t>השכרה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קיבלו קבינט הדיור והממשלה </w:t>
      </w:r>
      <w:r w:rsidRPr="00F41E78">
        <w:rPr>
          <w:rFonts w:eastAsia="Calibri" w:cs="FrankRuehl" w:hint="cs"/>
          <w:sz w:val="18"/>
          <w:szCs w:val="22"/>
          <w:rtl/>
          <w:lang w:eastAsia="he-IL"/>
        </w:rPr>
        <w:t xml:space="preserve">כמה </w:t>
      </w:r>
      <w:r w:rsidRPr="00F41E78">
        <w:rPr>
          <w:rFonts w:eastAsia="Calibri" w:cs="FrankRuehl"/>
          <w:sz w:val="18"/>
          <w:szCs w:val="22"/>
          <w:rtl/>
          <w:lang w:eastAsia="he-IL"/>
        </w:rPr>
        <w:t xml:space="preserve">החלטות בעניין הפעלת פרויקט לאומי רחב היקף </w:t>
      </w:r>
      <w:r w:rsidRPr="00F41E78">
        <w:rPr>
          <w:rFonts w:eastAsia="Calibri" w:cs="FrankRuehl" w:hint="cs"/>
          <w:sz w:val="18"/>
          <w:szCs w:val="22"/>
          <w:rtl/>
          <w:lang w:eastAsia="he-IL"/>
        </w:rPr>
        <w:t>ל</w:t>
      </w:r>
      <w:r w:rsidRPr="00F41E78">
        <w:rPr>
          <w:rFonts w:eastAsia="Calibri" w:cs="FrankRuehl"/>
          <w:sz w:val="18"/>
          <w:szCs w:val="22"/>
          <w:rtl/>
          <w:lang w:eastAsia="he-IL"/>
        </w:rPr>
        <w:t>השכרה לטווח ארוך</w:t>
      </w:r>
      <w:r w:rsidRPr="00F41E78">
        <w:rPr>
          <w:rFonts w:eastAsia="Calibri" w:cs="FrankRuehl" w:hint="cs"/>
          <w:sz w:val="18"/>
          <w:szCs w:val="22"/>
          <w:rtl/>
          <w:lang w:eastAsia="he-IL"/>
        </w:rPr>
        <w:t>.</w:t>
      </w:r>
    </w:p>
    <w:p w:rsidR="00E97EDA" w:rsidRPr="00F41E78" w:rsidP="00F07DDA">
      <w:pPr>
        <w:spacing w:after="12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1.</w:t>
      </w:r>
      <w:r w:rsidRPr="00F41E78">
        <w:rPr>
          <w:rFonts w:eastAsia="Calibri" w:cs="FrankRuehl"/>
          <w:sz w:val="18"/>
          <w:szCs w:val="22"/>
          <w:rtl/>
          <w:lang w:eastAsia="he-IL"/>
        </w:rPr>
        <w:tab/>
        <w:t xml:space="preserve">בהחלטת </w:t>
      </w:r>
      <w:r w:rsidRPr="00F41E78">
        <w:rPr>
          <w:rFonts w:eastAsia="Calibri" w:cs="FrankRuehl" w:hint="cs"/>
          <w:sz w:val="18"/>
          <w:szCs w:val="22"/>
          <w:rtl/>
          <w:lang w:eastAsia="he-IL"/>
        </w:rPr>
        <w:t>ה</w:t>
      </w:r>
      <w:r w:rsidRPr="00F41E78">
        <w:rPr>
          <w:rFonts w:eastAsia="Calibri" w:cs="FrankRuehl"/>
          <w:sz w:val="18"/>
          <w:szCs w:val="22"/>
          <w:rtl/>
          <w:lang w:eastAsia="he-IL"/>
        </w:rPr>
        <w:t>ממשלה</w:t>
      </w:r>
      <w:r w:rsidRPr="00F41E78">
        <w:rPr>
          <w:rFonts w:eastAsia="Calibri" w:cs="FrankRuehl" w:hint="cs"/>
          <w:sz w:val="18"/>
          <w:szCs w:val="22"/>
          <w:rtl/>
          <w:lang w:eastAsia="he-IL"/>
        </w:rPr>
        <w:t xml:space="preserve"> 301 </w:t>
      </w:r>
      <w:r w:rsidRPr="00F41E78">
        <w:rPr>
          <w:rFonts w:eastAsia="Calibri" w:cs="FrankRuehl"/>
          <w:sz w:val="18"/>
          <w:szCs w:val="22"/>
          <w:rtl/>
          <w:lang w:eastAsia="he-IL"/>
        </w:rPr>
        <w:t>מ</w:t>
      </w:r>
      <w:r w:rsidRPr="00F41E78">
        <w:rPr>
          <w:rFonts w:eastAsia="Calibri" w:cs="FrankRuehl" w:hint="cs"/>
          <w:sz w:val="18"/>
          <w:szCs w:val="22"/>
          <w:rtl/>
          <w:lang w:eastAsia="he-IL"/>
        </w:rPr>
        <w:t>מאי 2013</w:t>
      </w:r>
      <w:r w:rsidRPr="00F41E78">
        <w:rPr>
          <w:rFonts w:eastAsia="Calibri" w:cs="FrankRuehl"/>
          <w:sz w:val="18"/>
          <w:szCs w:val="22"/>
          <w:rtl/>
          <w:lang w:eastAsia="he-IL"/>
        </w:rPr>
        <w:t xml:space="preserve"> שעניינה פרויקט דיור לאומי הוחלט </w:t>
      </w:r>
      <w:r w:rsidRPr="00F41E78">
        <w:rPr>
          <w:rFonts w:eastAsia="Calibri" w:cs="FrankRuehl" w:hint="cs"/>
          <w:sz w:val="18"/>
          <w:szCs w:val="22"/>
          <w:rtl/>
          <w:lang w:eastAsia="he-IL"/>
        </w:rPr>
        <w:t>להקים</w:t>
      </w:r>
      <w:r w:rsidRPr="00F41E78">
        <w:rPr>
          <w:rFonts w:eastAsia="Calibri" w:cs="FrankRuehl"/>
          <w:sz w:val="18"/>
          <w:szCs w:val="22"/>
          <w:rtl/>
          <w:lang w:eastAsia="he-IL"/>
        </w:rPr>
        <w:t xml:space="preserve"> צוות שיגבש תכנית ממשלתית להרחבת היצע הדירות באמצעות דירות להשכרה</w:t>
      </w:r>
      <w:r w:rsidRPr="00F41E78">
        <w:rPr>
          <w:rFonts w:eastAsia="Calibri" w:cs="FrankRuehl" w:hint="cs"/>
          <w:sz w:val="18"/>
          <w:szCs w:val="22"/>
          <w:rtl/>
          <w:lang w:eastAsia="he-IL"/>
        </w:rPr>
        <w:t xml:space="preserve">, לרבות השכרה במחיר מפוקח. על הצוות הוטל לבחון בין השאר את </w:t>
      </w:r>
      <w:r w:rsidRPr="00F41E78">
        <w:rPr>
          <w:rFonts w:eastAsia="Calibri" w:cs="FrankRuehl"/>
          <w:sz w:val="18"/>
          <w:szCs w:val="22"/>
          <w:rtl/>
          <w:lang w:eastAsia="he-IL"/>
        </w:rPr>
        <w:t xml:space="preserve">העקרונות </w:t>
      </w:r>
      <w:r w:rsidRPr="00F41E78">
        <w:rPr>
          <w:rFonts w:eastAsia="Calibri" w:cs="FrankRuehl" w:hint="cs"/>
          <w:sz w:val="18"/>
          <w:szCs w:val="22"/>
          <w:rtl/>
          <w:lang w:eastAsia="he-IL"/>
        </w:rPr>
        <w:t>האלו</w:t>
      </w:r>
      <w:r w:rsidRPr="00F41E78">
        <w:rPr>
          <w:rFonts w:eastAsia="Calibri" w:cs="FrankRuehl"/>
          <w:sz w:val="18"/>
          <w:szCs w:val="22"/>
          <w:rtl/>
          <w:lang w:eastAsia="he-IL"/>
        </w:rPr>
        <w:t>:</w:t>
      </w:r>
    </w:p>
    <w:p w:rsidR="00E97EDA" w:rsidRPr="00F41E78" w:rsidP="00F07DDA">
      <w:pPr>
        <w:spacing w:after="120" w:line="230" w:lineRule="exact"/>
        <w:ind w:left="680" w:hanging="340"/>
        <w:jc w:val="both"/>
        <w:rPr>
          <w:rFonts w:eastAsia="Calibri" w:cs="FrankRuehl"/>
          <w:sz w:val="18"/>
          <w:szCs w:val="22"/>
          <w:rtl/>
          <w:lang w:eastAsia="he-IL"/>
        </w:rPr>
      </w:pPr>
      <w:r>
        <w:rPr>
          <w:rFonts w:eastAsia="Calibri" w:cs="FrankRuehl" w:hint="cs"/>
          <w:sz w:val="18"/>
          <w:szCs w:val="22"/>
          <w:rtl/>
          <w:lang w:eastAsia="he-IL"/>
        </w:rPr>
        <w:t>א.</w:t>
      </w:r>
      <w:r w:rsidRPr="00F41E78">
        <w:rPr>
          <w:rFonts w:eastAsia="Calibri" w:cs="FrankRuehl" w:hint="cs"/>
          <w:sz w:val="18"/>
          <w:szCs w:val="22"/>
          <w:rtl/>
          <w:lang w:eastAsia="he-IL"/>
        </w:rPr>
        <w:tab/>
      </w:r>
      <w:r w:rsidRPr="00F41E78">
        <w:rPr>
          <w:rFonts w:eastAsia="Calibri" w:cs="FrankRuehl"/>
          <w:sz w:val="18"/>
          <w:szCs w:val="22"/>
          <w:rtl/>
          <w:lang w:eastAsia="he-IL"/>
        </w:rPr>
        <w:t>הצורך בהוספה של שטחים זמינים לתכנון ולמימוש הפרויקט הלאומי לדיור, ושיעור ההוספה הנדרשת, באופן שמספר הדירות שייבנו יעמוד על כ-150,000, בתקופה של כעשר שנים</w:t>
      </w:r>
      <w:r w:rsidRPr="00F41E78">
        <w:rPr>
          <w:rFonts w:eastAsia="Calibri" w:cs="FrankRuehl" w:hint="cs"/>
          <w:sz w:val="18"/>
          <w:szCs w:val="22"/>
          <w:rtl/>
          <w:lang w:eastAsia="he-IL"/>
        </w:rPr>
        <w:t xml:space="preserve">. </w:t>
      </w:r>
    </w:p>
    <w:p w:rsidR="00E97EDA" w:rsidRPr="00F41E78" w:rsidP="00F07DDA">
      <w:pPr>
        <w:spacing w:after="120" w:line="230" w:lineRule="exact"/>
        <w:ind w:left="680" w:hanging="340"/>
        <w:jc w:val="both"/>
        <w:rPr>
          <w:rFonts w:eastAsia="Calibri" w:cs="FrankRuehl"/>
          <w:sz w:val="18"/>
          <w:szCs w:val="22"/>
          <w:rtl/>
          <w:lang w:eastAsia="he-IL"/>
        </w:rPr>
      </w:pPr>
      <w:r>
        <w:rPr>
          <w:rFonts w:eastAsia="Calibri" w:cs="FrankRuehl" w:hint="cs"/>
          <w:sz w:val="18"/>
          <w:szCs w:val="22"/>
          <w:rtl/>
          <w:lang w:eastAsia="he-IL"/>
        </w:rPr>
        <w:t>ב.</w:t>
      </w:r>
      <w:r w:rsidRPr="00F41E78">
        <w:rPr>
          <w:rFonts w:eastAsia="Calibri" w:cs="FrankRuehl" w:hint="cs"/>
          <w:sz w:val="18"/>
          <w:szCs w:val="22"/>
          <w:rtl/>
          <w:lang w:eastAsia="he-IL"/>
        </w:rPr>
        <w:tab/>
      </w:r>
      <w:r w:rsidRPr="00F41E78">
        <w:rPr>
          <w:rFonts w:eastAsia="Calibri" w:cs="FrankRuehl"/>
          <w:sz w:val="18"/>
          <w:szCs w:val="22"/>
          <w:rtl/>
          <w:lang w:eastAsia="he-IL"/>
        </w:rPr>
        <w:t xml:space="preserve">הקמת </w:t>
      </w:r>
      <w:r w:rsidRPr="00F41E78">
        <w:rPr>
          <w:rFonts w:eastAsia="Calibri" w:cs="FrankRuehl" w:hint="cs"/>
          <w:sz w:val="18"/>
          <w:szCs w:val="22"/>
          <w:rtl/>
          <w:lang w:eastAsia="he-IL"/>
        </w:rPr>
        <w:t>יח"ד</w:t>
      </w:r>
      <w:r w:rsidRPr="00F41E78">
        <w:rPr>
          <w:rFonts w:eastAsia="Calibri" w:cs="FrankRuehl"/>
          <w:sz w:val="18"/>
          <w:szCs w:val="22"/>
          <w:rtl/>
          <w:lang w:eastAsia="he-IL"/>
        </w:rPr>
        <w:t xml:space="preserve"> להשכרה </w:t>
      </w:r>
      <w:r w:rsidRPr="00F41E78">
        <w:rPr>
          <w:rFonts w:eastAsia="Calibri" w:cs="FrankRuehl" w:hint="cs"/>
          <w:sz w:val="18"/>
          <w:szCs w:val="22"/>
          <w:rtl/>
          <w:lang w:eastAsia="he-IL"/>
        </w:rPr>
        <w:t>ל</w:t>
      </w:r>
      <w:r w:rsidRPr="00F41E78">
        <w:rPr>
          <w:rFonts w:eastAsia="Calibri" w:cs="FrankRuehl"/>
          <w:sz w:val="18"/>
          <w:szCs w:val="22"/>
          <w:rtl/>
          <w:lang w:eastAsia="he-IL"/>
        </w:rPr>
        <w:t>טווח</w:t>
      </w:r>
      <w:r w:rsidRPr="00F41E78">
        <w:rPr>
          <w:rFonts w:eastAsia="Calibri" w:cs="FrankRuehl" w:hint="cs"/>
          <w:sz w:val="18"/>
          <w:szCs w:val="22"/>
          <w:rtl/>
          <w:lang w:eastAsia="he-IL"/>
        </w:rPr>
        <w:t xml:space="preserve"> ארוך</w:t>
      </w:r>
      <w:r w:rsidRPr="00F41E78">
        <w:rPr>
          <w:rFonts w:eastAsia="Calibri" w:cs="FrankRuehl"/>
          <w:sz w:val="18"/>
          <w:szCs w:val="22"/>
          <w:rtl/>
          <w:lang w:eastAsia="he-IL"/>
        </w:rPr>
        <w:t xml:space="preserve"> תתבסס על מודל כלכלי שיבטיח תשואה נאותה ליזם.</w:t>
      </w:r>
    </w:p>
    <w:p w:rsidR="00E97EDA" w:rsidRPr="00F41E78" w:rsidP="00F07DDA">
      <w:pPr>
        <w:spacing w:after="120" w:line="230" w:lineRule="exact"/>
        <w:ind w:left="680" w:hanging="340"/>
        <w:jc w:val="both"/>
        <w:rPr>
          <w:rFonts w:eastAsia="Calibri" w:cs="FrankRuehl"/>
          <w:sz w:val="18"/>
          <w:szCs w:val="22"/>
          <w:rtl/>
          <w:lang w:eastAsia="he-IL"/>
        </w:rPr>
      </w:pPr>
      <w:r>
        <w:rPr>
          <w:rFonts w:eastAsia="Calibri" w:cs="FrankRuehl" w:hint="cs"/>
          <w:sz w:val="18"/>
          <w:szCs w:val="22"/>
          <w:rtl/>
          <w:lang w:eastAsia="he-IL"/>
        </w:rPr>
        <w:t>ג.</w:t>
      </w:r>
      <w:r>
        <w:rPr>
          <w:rFonts w:eastAsia="Calibri" w:cs="FrankRuehl" w:hint="cs"/>
          <w:sz w:val="18"/>
          <w:szCs w:val="22"/>
          <w:rtl/>
          <w:lang w:eastAsia="he-IL"/>
        </w:rPr>
        <w:tab/>
      </w:r>
      <w:r w:rsidRPr="00F41E78">
        <w:rPr>
          <w:rFonts w:eastAsia="Calibri" w:cs="FrankRuehl" w:hint="cs"/>
          <w:sz w:val="18"/>
          <w:szCs w:val="22"/>
          <w:rtl/>
          <w:lang w:eastAsia="he-IL"/>
        </w:rPr>
        <w:t>קביעת</w:t>
      </w:r>
      <w:r w:rsidRPr="00F41E78">
        <w:rPr>
          <w:rFonts w:eastAsia="Calibri" w:cs="FrankRuehl"/>
          <w:sz w:val="18"/>
          <w:szCs w:val="22"/>
          <w:rtl/>
          <w:lang w:eastAsia="he-IL"/>
        </w:rPr>
        <w:t xml:space="preserve"> שיעור מסוים ומהותי של </w:t>
      </w:r>
      <w:r w:rsidRPr="00F41E78">
        <w:rPr>
          <w:rFonts w:eastAsia="Calibri" w:cs="FrankRuehl" w:hint="cs"/>
          <w:sz w:val="18"/>
          <w:szCs w:val="22"/>
          <w:rtl/>
          <w:lang w:eastAsia="he-IL"/>
        </w:rPr>
        <w:t>יח"ד</w:t>
      </w:r>
      <w:r w:rsidRPr="00F41E78">
        <w:rPr>
          <w:rFonts w:eastAsia="Calibri" w:cs="FrankRuehl"/>
          <w:sz w:val="18"/>
          <w:szCs w:val="22"/>
          <w:rtl/>
          <w:lang w:eastAsia="he-IL"/>
        </w:rPr>
        <w:t xml:space="preserve"> </w:t>
      </w:r>
      <w:r w:rsidRPr="00F41E78">
        <w:rPr>
          <w:rFonts w:eastAsia="Calibri" w:cs="FrankRuehl" w:hint="cs"/>
          <w:sz w:val="18"/>
          <w:szCs w:val="22"/>
          <w:rtl/>
          <w:lang w:eastAsia="he-IL"/>
        </w:rPr>
        <w:t>להשכרה</w:t>
      </w:r>
      <w:r w:rsidRPr="00F41E78">
        <w:rPr>
          <w:rFonts w:eastAsia="Calibri" w:cs="FrankRuehl"/>
          <w:sz w:val="18"/>
          <w:szCs w:val="22"/>
          <w:rtl/>
          <w:lang w:eastAsia="he-IL"/>
        </w:rPr>
        <w:t xml:space="preserve"> במחיר מפוקח</w:t>
      </w:r>
      <w:r w:rsidRPr="00F41E78">
        <w:rPr>
          <w:rFonts w:eastAsia="Calibri" w:cs="FrankRuehl" w:hint="cs"/>
          <w:sz w:val="18"/>
          <w:szCs w:val="22"/>
          <w:rtl/>
          <w:lang w:eastAsia="he-IL"/>
        </w:rPr>
        <w:t xml:space="preserve"> באזורי הפריפריה</w:t>
      </w:r>
      <w:r w:rsidRPr="00F41E78">
        <w:rPr>
          <w:rFonts w:eastAsia="Calibri" w:cs="FrankRuehl"/>
          <w:sz w:val="18"/>
          <w:szCs w:val="22"/>
          <w:rtl/>
          <w:lang w:eastAsia="he-IL"/>
        </w:rPr>
        <w:t>.</w:t>
      </w:r>
    </w:p>
    <w:p w:rsidR="00E97EDA" w:rsidRPr="00F41E78" w:rsidP="00F07DDA">
      <w:pPr>
        <w:spacing w:after="120" w:line="230" w:lineRule="exact"/>
        <w:ind w:left="680" w:hanging="340"/>
        <w:jc w:val="both"/>
        <w:rPr>
          <w:rFonts w:eastAsia="Calibri" w:cs="FrankRuehl"/>
          <w:sz w:val="18"/>
          <w:szCs w:val="22"/>
          <w:rtl/>
          <w:lang w:eastAsia="he-IL"/>
        </w:rPr>
      </w:pPr>
      <w:r>
        <w:rPr>
          <w:rFonts w:eastAsia="Calibri" w:cs="FrankRuehl" w:hint="cs"/>
          <w:sz w:val="18"/>
          <w:szCs w:val="22"/>
          <w:rtl/>
          <w:lang w:eastAsia="he-IL"/>
        </w:rPr>
        <w:t>ד.</w:t>
      </w:r>
      <w:r w:rsidRPr="00F41E78">
        <w:rPr>
          <w:rFonts w:eastAsia="Calibri" w:cs="FrankRuehl" w:hint="cs"/>
          <w:sz w:val="18"/>
          <w:szCs w:val="22"/>
          <w:rtl/>
          <w:lang w:eastAsia="he-IL"/>
        </w:rPr>
        <w:tab/>
        <w:t xml:space="preserve">קביעת </w:t>
      </w:r>
      <w:r w:rsidRPr="00F41E78">
        <w:rPr>
          <w:rFonts w:eastAsia="Calibri" w:cs="FrankRuehl"/>
          <w:sz w:val="18"/>
          <w:szCs w:val="22"/>
          <w:rtl/>
          <w:lang w:eastAsia="he-IL"/>
        </w:rPr>
        <w:t xml:space="preserve">שיעור </w:t>
      </w:r>
      <w:r w:rsidRPr="00F41E78">
        <w:rPr>
          <w:rFonts w:eastAsia="Calibri" w:cs="FrankRuehl" w:hint="cs"/>
          <w:sz w:val="18"/>
          <w:szCs w:val="22"/>
          <w:rtl/>
          <w:lang w:eastAsia="he-IL"/>
        </w:rPr>
        <w:t>יחידות הדיור</w:t>
      </w:r>
      <w:r w:rsidRPr="00F41E78">
        <w:rPr>
          <w:rFonts w:eastAsia="Calibri" w:cs="FrankRuehl"/>
          <w:sz w:val="18"/>
          <w:szCs w:val="22"/>
          <w:rtl/>
          <w:lang w:eastAsia="he-IL"/>
        </w:rPr>
        <w:t xml:space="preserve"> ל</w:t>
      </w:r>
      <w:r w:rsidRPr="00F41E78">
        <w:rPr>
          <w:rFonts w:eastAsia="Calibri" w:cs="FrankRuehl" w:hint="cs"/>
          <w:sz w:val="18"/>
          <w:szCs w:val="22"/>
          <w:rtl/>
          <w:lang w:eastAsia="he-IL"/>
        </w:rPr>
        <w:t>השכרה</w:t>
      </w:r>
      <w:r w:rsidRPr="00F41E78">
        <w:rPr>
          <w:rFonts w:eastAsia="Calibri" w:cs="FrankRuehl"/>
          <w:sz w:val="18"/>
          <w:szCs w:val="22"/>
          <w:rtl/>
          <w:lang w:eastAsia="he-IL"/>
        </w:rPr>
        <w:t xml:space="preserve"> במחיר מפוקח בכל בניין</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כמו כן יעוגנו בחוק </w:t>
      </w:r>
      <w:r w:rsidRPr="00F41E78">
        <w:rPr>
          <w:rFonts w:eastAsia="Calibri" w:cs="FrankRuehl"/>
          <w:sz w:val="18"/>
          <w:szCs w:val="22"/>
          <w:rtl/>
          <w:lang w:eastAsia="he-IL"/>
        </w:rPr>
        <w:t xml:space="preserve">מנגנוני הגנה משפטיים שיבטיחו בין היתר כי </w:t>
      </w:r>
      <w:r w:rsidRPr="00F41E78">
        <w:rPr>
          <w:rFonts w:eastAsia="Calibri" w:cs="FrankRuehl" w:hint="cs"/>
          <w:sz w:val="18"/>
          <w:szCs w:val="22"/>
          <w:rtl/>
          <w:lang w:eastAsia="he-IL"/>
        </w:rPr>
        <w:t xml:space="preserve">יח"ד אכן ישמשו להשכרה בלבד </w:t>
      </w:r>
      <w:r w:rsidRPr="00F41E78">
        <w:rPr>
          <w:rFonts w:eastAsia="Calibri" w:cs="FrankRuehl"/>
          <w:sz w:val="18"/>
          <w:szCs w:val="22"/>
          <w:rtl/>
          <w:lang w:eastAsia="he-IL"/>
        </w:rPr>
        <w:t>ו</w:t>
      </w:r>
      <w:r w:rsidRPr="00F41E78">
        <w:rPr>
          <w:rFonts w:eastAsia="Calibri" w:cs="FrankRuehl" w:hint="cs"/>
          <w:sz w:val="18"/>
          <w:szCs w:val="22"/>
          <w:rtl/>
          <w:lang w:eastAsia="he-IL"/>
        </w:rPr>
        <w:t>רק הזכאים ל</w:t>
      </w:r>
      <w:r w:rsidRPr="00F41E78">
        <w:rPr>
          <w:rFonts w:eastAsia="Calibri" w:cs="FrankRuehl"/>
          <w:sz w:val="18"/>
          <w:szCs w:val="22"/>
          <w:rtl/>
          <w:lang w:eastAsia="he-IL"/>
        </w:rPr>
        <w:t xml:space="preserve">הטבה במחיר השכירות </w:t>
      </w:r>
      <w:r w:rsidRPr="00F41E78">
        <w:rPr>
          <w:rFonts w:eastAsia="Calibri" w:cs="FrankRuehl" w:hint="cs"/>
          <w:sz w:val="18"/>
          <w:szCs w:val="22"/>
          <w:rtl/>
          <w:lang w:eastAsia="he-IL"/>
        </w:rPr>
        <w:t>יוכלו לגור בהן</w:t>
      </w:r>
      <w:r w:rsidRPr="00F41E78">
        <w:rPr>
          <w:rFonts w:eastAsia="Calibri" w:cs="FrankRuehl"/>
          <w:sz w:val="18"/>
          <w:szCs w:val="22"/>
          <w:rtl/>
          <w:lang w:eastAsia="he-IL"/>
        </w:rPr>
        <w:t>.</w:t>
      </w:r>
      <w:r w:rsidRPr="00F41E78">
        <w:rPr>
          <w:rFonts w:eastAsia="Calibri" w:cs="FrankRuehl" w:hint="cs"/>
          <w:sz w:val="18"/>
          <w:szCs w:val="22"/>
          <w:rtl/>
          <w:lang w:eastAsia="he-IL"/>
        </w:rPr>
        <w:tab/>
      </w:r>
    </w:p>
    <w:p w:rsidR="00E97EDA" w:rsidRPr="00F41E78" w:rsidP="00F07DDA">
      <w:pPr>
        <w:spacing w:after="12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2.</w:t>
      </w:r>
      <w:r w:rsidRPr="00F41E78">
        <w:rPr>
          <w:rFonts w:eastAsia="Calibri" w:cs="FrankRuehl" w:hint="cs"/>
          <w:sz w:val="18"/>
          <w:szCs w:val="22"/>
          <w:rtl/>
          <w:lang w:eastAsia="he-IL"/>
        </w:rPr>
        <w:tab/>
      </w:r>
      <w:r w:rsidRPr="00F41E78">
        <w:rPr>
          <w:rFonts w:eastAsia="Calibri" w:cs="FrankRuehl"/>
          <w:sz w:val="18"/>
          <w:szCs w:val="22"/>
          <w:rtl/>
          <w:lang w:eastAsia="he-IL"/>
        </w:rPr>
        <w:t xml:space="preserve">בהחלטת </w:t>
      </w:r>
      <w:r w:rsidRPr="00F41E78">
        <w:rPr>
          <w:rFonts w:eastAsia="Calibri" w:cs="FrankRuehl" w:hint="cs"/>
          <w:sz w:val="18"/>
          <w:szCs w:val="22"/>
          <w:rtl/>
          <w:lang w:eastAsia="he-IL"/>
        </w:rPr>
        <w:t>ה</w:t>
      </w:r>
      <w:r w:rsidRPr="00F41E78">
        <w:rPr>
          <w:rFonts w:eastAsia="Calibri" w:cs="FrankRuehl"/>
          <w:sz w:val="18"/>
          <w:szCs w:val="22"/>
          <w:rtl/>
          <w:lang w:eastAsia="he-IL"/>
        </w:rPr>
        <w:t>ממשלה</w:t>
      </w:r>
      <w:r w:rsidRPr="00F41E78">
        <w:rPr>
          <w:rFonts w:eastAsia="Calibri" w:cs="FrankRuehl" w:hint="cs"/>
          <w:sz w:val="18"/>
          <w:szCs w:val="22"/>
          <w:rtl/>
          <w:lang w:eastAsia="he-IL"/>
        </w:rPr>
        <w:t xml:space="preserve"> </w:t>
      </w:r>
      <w:r w:rsidRPr="00F41E78">
        <w:rPr>
          <w:rFonts w:eastAsia="Calibri" w:cs="FrankRuehl"/>
          <w:sz w:val="18"/>
          <w:szCs w:val="22"/>
          <w:rtl/>
          <w:lang w:eastAsia="he-IL"/>
        </w:rPr>
        <w:t>372 מיו</w:t>
      </w:r>
      <w:r w:rsidRPr="00F41E78">
        <w:rPr>
          <w:rFonts w:eastAsia="Calibri" w:cs="FrankRuehl" w:hint="cs"/>
          <w:sz w:val="18"/>
          <w:szCs w:val="22"/>
          <w:rtl/>
          <w:lang w:eastAsia="he-IL"/>
        </w:rPr>
        <w:t xml:space="preserve">ני 2013 </w:t>
      </w:r>
      <w:r w:rsidRPr="00F41E78">
        <w:rPr>
          <w:rFonts w:eastAsia="Calibri" w:cs="FrankRuehl"/>
          <w:sz w:val="18"/>
          <w:szCs w:val="22"/>
          <w:rtl/>
          <w:lang w:eastAsia="he-IL"/>
        </w:rPr>
        <w:t xml:space="preserve">שעניינה הסרת חסמים בבנייה להשכרה הוחלט על נקיטת </w:t>
      </w:r>
      <w:r w:rsidRPr="00F41E78">
        <w:rPr>
          <w:rFonts w:eastAsia="Calibri" w:cs="FrankRuehl" w:hint="cs"/>
          <w:sz w:val="18"/>
          <w:szCs w:val="22"/>
          <w:rtl/>
          <w:lang w:eastAsia="he-IL"/>
        </w:rPr>
        <w:t>כמה</w:t>
      </w:r>
      <w:r w:rsidRPr="00F41E78">
        <w:rPr>
          <w:rFonts w:eastAsia="Calibri" w:cs="FrankRuehl"/>
          <w:sz w:val="18"/>
          <w:szCs w:val="22"/>
          <w:rtl/>
          <w:lang w:eastAsia="he-IL"/>
        </w:rPr>
        <w:t xml:space="preserve"> צעדים </w:t>
      </w:r>
      <w:r w:rsidRPr="00F41E78">
        <w:rPr>
          <w:rFonts w:eastAsia="Calibri" w:cs="FrankRuehl" w:hint="cs"/>
          <w:sz w:val="18"/>
          <w:szCs w:val="22"/>
          <w:rtl/>
          <w:lang w:eastAsia="he-IL"/>
        </w:rPr>
        <w:t>לקידום</w:t>
      </w:r>
      <w:r w:rsidRPr="00F41E78">
        <w:rPr>
          <w:rFonts w:eastAsia="Calibri" w:cs="FrankRuehl"/>
          <w:sz w:val="18"/>
          <w:szCs w:val="22"/>
          <w:rtl/>
          <w:lang w:eastAsia="he-IL"/>
        </w:rPr>
        <w:t xml:space="preserve"> דיור להשכרה:</w:t>
      </w:r>
    </w:p>
    <w:p w:rsidR="00E97EDA" w:rsidRPr="00F41E78" w:rsidP="00F07DDA">
      <w:pPr>
        <w:spacing w:after="120" w:line="230" w:lineRule="exact"/>
        <w:ind w:left="680" w:hanging="340"/>
        <w:jc w:val="both"/>
        <w:rPr>
          <w:rFonts w:eastAsia="Calibri" w:cs="FrankRuehl"/>
          <w:sz w:val="18"/>
          <w:szCs w:val="22"/>
          <w:rtl/>
          <w:lang w:eastAsia="he-IL"/>
        </w:rPr>
      </w:pPr>
      <w:r>
        <w:rPr>
          <w:rFonts w:eastAsia="Calibri" w:cs="FrankRuehl" w:hint="cs"/>
          <w:sz w:val="18"/>
          <w:szCs w:val="22"/>
          <w:rtl/>
          <w:lang w:eastAsia="he-IL"/>
        </w:rPr>
        <w:t>א.</w:t>
      </w:r>
      <w:r w:rsidRPr="00F41E78">
        <w:rPr>
          <w:rFonts w:eastAsia="Calibri" w:cs="FrankRuehl"/>
          <w:sz w:val="18"/>
          <w:szCs w:val="22"/>
          <w:rtl/>
          <w:lang w:eastAsia="he-IL"/>
        </w:rPr>
        <w:tab/>
      </w:r>
      <w:r w:rsidRPr="00F41E78">
        <w:rPr>
          <w:rFonts w:eastAsia="Calibri" w:cs="FrankRuehl" w:hint="cs"/>
          <w:sz w:val="18"/>
          <w:szCs w:val="22"/>
          <w:rtl/>
          <w:lang w:eastAsia="he-IL"/>
        </w:rPr>
        <w:t>ביצוע</w:t>
      </w:r>
      <w:r w:rsidRPr="00F41E78">
        <w:rPr>
          <w:rFonts w:eastAsia="Calibri" w:cs="FrankRuehl"/>
          <w:sz w:val="18"/>
          <w:szCs w:val="22"/>
          <w:rtl/>
          <w:lang w:eastAsia="he-IL"/>
        </w:rPr>
        <w:t xml:space="preserve"> תיקונים בחוק מס הכנסה (פטור ממס לקופת גמל על הכנסה מדמי שכירות בשל השכרת דירות מגורים לטווח ארוך)</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p>
    <w:p w:rsidR="00E97EDA" w:rsidRPr="00F41E78" w:rsidP="00F07DDA">
      <w:pPr>
        <w:spacing w:after="120" w:line="230" w:lineRule="exact"/>
        <w:ind w:left="680" w:hanging="340"/>
        <w:jc w:val="both"/>
        <w:rPr>
          <w:rFonts w:eastAsia="Calibri" w:cs="FrankRuehl"/>
          <w:sz w:val="18"/>
          <w:szCs w:val="22"/>
          <w:rtl/>
          <w:lang w:eastAsia="he-IL"/>
        </w:rPr>
      </w:pPr>
      <w:r>
        <w:rPr>
          <w:rFonts w:eastAsia="Calibri" w:cs="FrankRuehl" w:hint="cs"/>
          <w:sz w:val="18"/>
          <w:szCs w:val="22"/>
          <w:rtl/>
          <w:lang w:eastAsia="he-IL"/>
        </w:rPr>
        <w:t>ב.</w:t>
      </w:r>
      <w:r w:rsidRPr="00F41E78">
        <w:rPr>
          <w:rFonts w:eastAsia="Calibri" w:cs="FrankRuehl"/>
          <w:sz w:val="18"/>
          <w:szCs w:val="22"/>
          <w:rtl/>
          <w:lang w:eastAsia="he-IL"/>
        </w:rPr>
        <w:tab/>
      </w:r>
      <w:r w:rsidRPr="00F41E78">
        <w:rPr>
          <w:rFonts w:eastAsia="Calibri" w:cs="FrankRuehl" w:hint="cs"/>
          <w:sz w:val="18"/>
          <w:szCs w:val="22"/>
          <w:rtl/>
          <w:lang w:eastAsia="he-IL"/>
        </w:rPr>
        <w:t>תיקון של משרד הפנים ל</w:t>
      </w:r>
      <w:r w:rsidRPr="00F41E78">
        <w:rPr>
          <w:rFonts w:eastAsia="Calibri" w:cs="FrankRuehl"/>
          <w:sz w:val="18"/>
          <w:szCs w:val="22"/>
          <w:rtl/>
          <w:lang w:eastAsia="he-IL"/>
        </w:rPr>
        <w:t xml:space="preserve">סעיף 62א(א) בחוק התכנון והבנייה </w:t>
      </w:r>
      <w:r w:rsidRPr="00F41E78">
        <w:rPr>
          <w:rFonts w:eastAsia="Calibri" w:cs="FrankRuehl" w:hint="cs"/>
          <w:sz w:val="18"/>
          <w:szCs w:val="22"/>
          <w:rtl/>
          <w:lang w:eastAsia="he-IL"/>
        </w:rPr>
        <w:t>באופן</w:t>
      </w:r>
      <w:r w:rsidRPr="00F41E78">
        <w:rPr>
          <w:rFonts w:eastAsia="Calibri" w:cs="FrankRuehl"/>
          <w:sz w:val="18"/>
          <w:szCs w:val="22"/>
          <w:rtl/>
          <w:lang w:eastAsia="he-IL"/>
        </w:rPr>
        <w:t xml:space="preserve"> שיורחבו הסמכויות של הוועדות המקומיות </w:t>
      </w:r>
      <w:r w:rsidRPr="00F41E78">
        <w:rPr>
          <w:rFonts w:eastAsia="Calibri" w:cs="FrankRuehl" w:hint="cs"/>
          <w:sz w:val="18"/>
          <w:szCs w:val="22"/>
          <w:rtl/>
          <w:lang w:eastAsia="he-IL"/>
        </w:rPr>
        <w:t>בנוגע</w:t>
      </w:r>
      <w:r w:rsidRPr="00F41E78">
        <w:rPr>
          <w:rFonts w:eastAsia="Calibri" w:cs="FrankRuehl"/>
          <w:sz w:val="18"/>
          <w:szCs w:val="22"/>
          <w:rtl/>
          <w:lang w:eastAsia="he-IL"/>
        </w:rPr>
        <w:t xml:space="preserve"> לאישור תכניות מפורטות במגרש המיועד למגורים</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p>
    <w:p w:rsidR="00E97EDA" w:rsidRPr="00F41E78" w:rsidP="00F07DDA">
      <w:pPr>
        <w:spacing w:after="120" w:line="230" w:lineRule="exact"/>
        <w:ind w:left="680" w:hanging="340"/>
        <w:jc w:val="both"/>
        <w:rPr>
          <w:rFonts w:eastAsia="Calibri" w:cs="FrankRuehl"/>
          <w:sz w:val="18"/>
          <w:szCs w:val="22"/>
          <w:rtl/>
          <w:lang w:eastAsia="he-IL"/>
        </w:rPr>
      </w:pPr>
      <w:r>
        <w:rPr>
          <w:rFonts w:eastAsia="Calibri" w:cs="FrankRuehl" w:hint="cs"/>
          <w:sz w:val="18"/>
          <w:szCs w:val="22"/>
          <w:rtl/>
          <w:lang w:eastAsia="he-IL"/>
        </w:rPr>
        <w:t>ג.</w:t>
      </w:r>
      <w:r w:rsidRPr="00F41E78">
        <w:rPr>
          <w:rFonts w:eastAsia="Calibri" w:cs="FrankRuehl"/>
          <w:sz w:val="18"/>
          <w:szCs w:val="22"/>
          <w:rtl/>
          <w:lang w:eastAsia="he-IL"/>
        </w:rPr>
        <w:tab/>
      </w:r>
      <w:r w:rsidRPr="00F41E78">
        <w:rPr>
          <w:rFonts w:eastAsia="Calibri" w:cs="FrankRuehl" w:hint="cs"/>
          <w:sz w:val="18"/>
          <w:szCs w:val="22"/>
          <w:rtl/>
          <w:lang w:eastAsia="he-IL"/>
        </w:rPr>
        <w:t xml:space="preserve">תיקון של </w:t>
      </w:r>
      <w:r w:rsidRPr="00F41E78">
        <w:rPr>
          <w:rFonts w:eastAsia="Calibri" w:cs="FrankRuehl"/>
          <w:sz w:val="18"/>
          <w:szCs w:val="22"/>
          <w:rtl/>
          <w:lang w:eastAsia="he-IL"/>
        </w:rPr>
        <w:t xml:space="preserve">מועצת מקרקעי ישראל </w:t>
      </w:r>
      <w:r w:rsidRPr="00F41E78">
        <w:rPr>
          <w:rFonts w:eastAsia="Calibri" w:cs="FrankRuehl" w:hint="cs"/>
          <w:sz w:val="18"/>
          <w:szCs w:val="22"/>
          <w:rtl/>
          <w:lang w:eastAsia="he-IL"/>
        </w:rPr>
        <w:t>ל</w:t>
      </w:r>
      <w:r w:rsidRPr="00F41E78">
        <w:rPr>
          <w:rFonts w:eastAsia="Calibri" w:cs="FrankRuehl"/>
          <w:sz w:val="18"/>
          <w:szCs w:val="22"/>
          <w:rtl/>
          <w:lang w:eastAsia="he-IL"/>
        </w:rPr>
        <w:t>החלטת</w:t>
      </w:r>
      <w:r w:rsidRPr="00F41E78">
        <w:rPr>
          <w:rFonts w:eastAsia="Calibri" w:cs="FrankRuehl" w:hint="cs"/>
          <w:sz w:val="18"/>
          <w:szCs w:val="22"/>
          <w:rtl/>
          <w:lang w:eastAsia="he-IL"/>
        </w:rPr>
        <w:t>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מס'</w:t>
      </w:r>
      <w:r w:rsidRPr="00F41E78">
        <w:rPr>
          <w:rFonts w:eastAsia="Calibri" w:cs="FrankRuehl"/>
          <w:sz w:val="18"/>
          <w:szCs w:val="22"/>
          <w:rtl/>
          <w:lang w:eastAsia="he-IL"/>
        </w:rPr>
        <w:t xml:space="preserve"> 1248 </w:t>
      </w:r>
      <w:r w:rsidRPr="00F41E78">
        <w:rPr>
          <w:rFonts w:eastAsia="Calibri" w:cs="FrankRuehl" w:hint="cs"/>
          <w:sz w:val="18"/>
          <w:szCs w:val="22"/>
          <w:rtl/>
          <w:lang w:eastAsia="he-IL"/>
        </w:rPr>
        <w:t>באופן</w:t>
      </w:r>
      <w:r w:rsidRPr="00F41E78">
        <w:rPr>
          <w:rFonts w:eastAsia="Calibri" w:cs="FrankRuehl"/>
          <w:sz w:val="18"/>
          <w:szCs w:val="22"/>
          <w:rtl/>
          <w:lang w:eastAsia="he-IL"/>
        </w:rPr>
        <w:t xml:space="preserve"> שיתאפשר שיווק של בניינים להשכרת דירות הכוללים שימוש למטרת מסחר. </w:t>
      </w:r>
    </w:p>
    <w:p w:rsidR="00E97EDA" w:rsidRPr="00F41E78" w:rsidP="00F07DDA">
      <w:pPr>
        <w:spacing w:after="120" w:line="230" w:lineRule="exact"/>
        <w:ind w:left="680" w:hanging="340"/>
        <w:jc w:val="both"/>
        <w:rPr>
          <w:rFonts w:eastAsia="Calibri" w:cs="FrankRuehl"/>
          <w:sz w:val="18"/>
          <w:szCs w:val="22"/>
          <w:rtl/>
          <w:lang w:eastAsia="he-IL"/>
        </w:rPr>
      </w:pPr>
      <w:r>
        <w:rPr>
          <w:rFonts w:eastAsia="Calibri" w:cs="FrankRuehl" w:hint="cs"/>
          <w:sz w:val="18"/>
          <w:szCs w:val="22"/>
          <w:rtl/>
          <w:lang w:eastAsia="he-IL"/>
        </w:rPr>
        <w:t>ד.</w:t>
      </w:r>
      <w:r w:rsidRPr="00F41E78">
        <w:rPr>
          <w:rFonts w:eastAsia="Calibri" w:cs="FrankRuehl"/>
          <w:sz w:val="18"/>
          <w:szCs w:val="22"/>
          <w:rtl/>
          <w:lang w:eastAsia="he-IL"/>
        </w:rPr>
        <w:tab/>
      </w:r>
      <w:r w:rsidRPr="00F41E78">
        <w:rPr>
          <w:rFonts w:eastAsia="Calibri" w:cs="FrankRuehl" w:hint="cs"/>
          <w:sz w:val="18"/>
          <w:szCs w:val="22"/>
          <w:rtl/>
          <w:lang w:eastAsia="he-IL"/>
        </w:rPr>
        <w:t xml:space="preserve">העמדת </w:t>
      </w:r>
      <w:r w:rsidRPr="00F41E78">
        <w:rPr>
          <w:rFonts w:eastAsia="Calibri" w:cs="FrankRuehl"/>
          <w:sz w:val="18"/>
          <w:szCs w:val="22"/>
          <w:rtl/>
          <w:lang w:eastAsia="he-IL"/>
        </w:rPr>
        <w:t>היעד לשיווק יח"ד להשכרה לשנים</w:t>
      </w:r>
      <w:r w:rsidRPr="00F41E78">
        <w:rPr>
          <w:rFonts w:eastAsia="Calibri" w:cs="FrankRuehl" w:hint="cs"/>
          <w:sz w:val="18"/>
          <w:szCs w:val="22"/>
          <w:rtl/>
          <w:lang w:eastAsia="he-IL"/>
        </w:rPr>
        <w:t xml:space="preserve"> 2014-2013 על</w:t>
      </w:r>
      <w:r w:rsidRPr="00F41E78">
        <w:rPr>
          <w:rFonts w:eastAsia="Calibri" w:cs="FrankRuehl"/>
          <w:sz w:val="18"/>
          <w:szCs w:val="22"/>
          <w:rtl/>
          <w:lang w:eastAsia="he-IL"/>
        </w:rPr>
        <w:t xml:space="preserve"> 5,832 </w:t>
      </w:r>
      <w:r w:rsidRPr="00F41E78">
        <w:rPr>
          <w:rFonts w:eastAsia="Calibri" w:cs="FrankRuehl" w:hint="cs"/>
          <w:sz w:val="18"/>
          <w:szCs w:val="22"/>
          <w:rtl/>
          <w:lang w:eastAsia="he-IL"/>
        </w:rPr>
        <w:t>יח"ד</w:t>
      </w:r>
      <w:r w:rsidRPr="00F41E78">
        <w:rPr>
          <w:rFonts w:eastAsia="Calibri" w:cs="FrankRuehl"/>
          <w:sz w:val="18"/>
          <w:szCs w:val="22"/>
          <w:rtl/>
          <w:lang w:eastAsia="he-IL"/>
        </w:rPr>
        <w:t>.</w:t>
      </w:r>
    </w:p>
    <w:p w:rsidR="00E97EDA" w:rsidRPr="00F41E78" w:rsidP="00F07DDA">
      <w:pPr>
        <w:spacing w:after="12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3.</w:t>
      </w:r>
      <w:r w:rsidRPr="00F41E78">
        <w:rPr>
          <w:rFonts w:eastAsia="Calibri" w:cs="FrankRuehl"/>
          <w:sz w:val="18"/>
          <w:szCs w:val="22"/>
          <w:rtl/>
          <w:lang w:eastAsia="he-IL"/>
        </w:rPr>
        <w:tab/>
        <w:t>ב</w:t>
      </w:r>
      <w:r w:rsidRPr="00F41E78">
        <w:rPr>
          <w:rFonts w:eastAsia="Calibri" w:cs="FrankRuehl" w:hint="cs"/>
          <w:sz w:val="18"/>
          <w:szCs w:val="22"/>
          <w:rtl/>
          <w:lang w:eastAsia="he-IL"/>
        </w:rPr>
        <w:t>אוקטובר 2013</w:t>
      </w:r>
      <w:r w:rsidRPr="00F41E78">
        <w:rPr>
          <w:rFonts w:eastAsia="Calibri" w:cs="FrankRuehl"/>
          <w:sz w:val="18"/>
          <w:szCs w:val="22"/>
          <w:rtl/>
          <w:lang w:eastAsia="he-IL"/>
        </w:rPr>
        <w:t xml:space="preserve"> קיבלה הממשלה </w:t>
      </w:r>
      <w:r w:rsidRPr="00F41E78">
        <w:rPr>
          <w:rFonts w:eastAsia="Calibri" w:cs="FrankRuehl" w:hint="cs"/>
          <w:sz w:val="18"/>
          <w:szCs w:val="22"/>
          <w:rtl/>
          <w:lang w:eastAsia="he-IL"/>
        </w:rPr>
        <w:t xml:space="preserve">את </w:t>
      </w:r>
      <w:r w:rsidRPr="00F41E78">
        <w:rPr>
          <w:rFonts w:eastAsia="Calibri" w:cs="FrankRuehl"/>
          <w:sz w:val="18"/>
          <w:szCs w:val="22"/>
          <w:rtl/>
          <w:lang w:eastAsia="he-IL"/>
        </w:rPr>
        <w:t>החלטה</w:t>
      </w:r>
      <w:r w:rsidRPr="00F41E78">
        <w:rPr>
          <w:rFonts w:eastAsia="Calibri" w:cs="FrankRuehl" w:hint="cs"/>
          <w:sz w:val="18"/>
          <w:szCs w:val="22"/>
          <w:rtl/>
          <w:lang w:eastAsia="he-IL"/>
        </w:rPr>
        <w:t xml:space="preserve"> מס'</w:t>
      </w:r>
      <w:r w:rsidRPr="00F41E78">
        <w:rPr>
          <w:rFonts w:eastAsia="Calibri" w:cs="FrankRuehl"/>
          <w:sz w:val="18"/>
          <w:szCs w:val="22"/>
          <w:rtl/>
          <w:lang w:eastAsia="he-IL"/>
        </w:rPr>
        <w:t xml:space="preserve"> 770 </w:t>
      </w:r>
      <w:r w:rsidRPr="00F41E78">
        <w:rPr>
          <w:rFonts w:eastAsia="Calibri" w:cs="FrankRuehl" w:hint="cs"/>
          <w:sz w:val="18"/>
          <w:szCs w:val="22"/>
          <w:rtl/>
          <w:lang w:eastAsia="he-IL"/>
        </w:rPr>
        <w:t>שבמסגרתה</w:t>
      </w:r>
      <w:r w:rsidRPr="00F41E78">
        <w:rPr>
          <w:rFonts w:eastAsia="Calibri" w:cs="FrankRuehl"/>
          <w:sz w:val="18"/>
          <w:szCs w:val="22"/>
          <w:rtl/>
          <w:lang w:eastAsia="he-IL"/>
        </w:rPr>
        <w:t xml:space="preserve"> הוחלט </w:t>
      </w:r>
      <w:r w:rsidRPr="00F41E78">
        <w:rPr>
          <w:rFonts w:eastAsia="Calibri" w:cs="FrankRuehl" w:hint="cs"/>
          <w:sz w:val="18"/>
          <w:szCs w:val="22"/>
          <w:rtl/>
          <w:lang w:eastAsia="he-IL"/>
        </w:rPr>
        <w:t>להקים</w:t>
      </w:r>
      <w:r w:rsidRPr="00F41E78">
        <w:rPr>
          <w:rFonts w:eastAsia="Calibri" w:cs="FrankRuehl"/>
          <w:sz w:val="18"/>
          <w:szCs w:val="22"/>
          <w:rtl/>
          <w:lang w:eastAsia="he-IL"/>
        </w:rPr>
        <w:t xml:space="preserve"> חברה ממשלתית ייעודית </w:t>
      </w:r>
      <w:r w:rsidRPr="00F41E78">
        <w:rPr>
          <w:rFonts w:eastAsia="Calibri" w:cs="FrankRuehl" w:hint="cs"/>
          <w:sz w:val="18"/>
          <w:szCs w:val="22"/>
          <w:rtl/>
          <w:lang w:eastAsia="he-IL"/>
        </w:rPr>
        <w:t>ל</w:t>
      </w:r>
      <w:r w:rsidRPr="00F41E78">
        <w:rPr>
          <w:rFonts w:eastAsia="Calibri" w:cs="FrankRuehl"/>
          <w:sz w:val="18"/>
          <w:szCs w:val="22"/>
          <w:rtl/>
          <w:lang w:eastAsia="he-IL"/>
        </w:rPr>
        <w:t>קידום דיור להשכרה במסגרת פרויקט הדיור הלאומי.</w:t>
      </w:r>
    </w:p>
    <w:p w:rsidR="00E97EDA" w:rsidRPr="00F41E78" w:rsidP="00F07DDA">
      <w:pPr>
        <w:spacing w:after="120" w:line="230" w:lineRule="exact"/>
        <w:ind w:left="340" w:hanging="340"/>
        <w:jc w:val="both"/>
        <w:rPr>
          <w:rFonts w:eastAsia="Calibri" w:cs="FrankRuehl"/>
          <w:sz w:val="18"/>
          <w:szCs w:val="22"/>
          <w:rtl/>
          <w:lang w:eastAsia="he-IL"/>
        </w:rPr>
      </w:pPr>
      <w:r w:rsidRPr="00F41E78">
        <w:rPr>
          <w:rFonts w:eastAsia="Calibri" w:cs="FrankRuehl" w:hint="cs"/>
          <w:sz w:val="18"/>
          <w:szCs w:val="22"/>
          <w:rtl/>
          <w:lang w:eastAsia="he-IL"/>
        </w:rPr>
        <w:t>4.</w:t>
      </w:r>
      <w:r w:rsidRPr="00F41E78">
        <w:rPr>
          <w:rFonts w:eastAsia="Calibri" w:cs="FrankRuehl"/>
          <w:sz w:val="18"/>
          <w:szCs w:val="22"/>
          <w:rtl/>
          <w:lang w:eastAsia="he-IL"/>
        </w:rPr>
        <w:tab/>
        <w:t>ב</w:t>
      </w:r>
      <w:r w:rsidRPr="00F41E78">
        <w:rPr>
          <w:rFonts w:eastAsia="Calibri" w:cs="FrankRuehl" w:hint="cs"/>
          <w:sz w:val="18"/>
          <w:szCs w:val="22"/>
          <w:rtl/>
          <w:lang w:eastAsia="he-IL"/>
        </w:rPr>
        <w:t>נובמבר 2013</w:t>
      </w:r>
      <w:r w:rsidRPr="00F41E78">
        <w:rPr>
          <w:rFonts w:eastAsia="Calibri" w:cs="FrankRuehl"/>
          <w:sz w:val="18"/>
          <w:szCs w:val="22"/>
          <w:rtl/>
          <w:lang w:eastAsia="he-IL"/>
        </w:rPr>
        <w:t xml:space="preserve"> קיבלה הממשלה שתי החלטות נוספות</w:t>
      </w:r>
      <w:r w:rsidRPr="00F41E78">
        <w:rPr>
          <w:rFonts w:eastAsia="Calibri" w:cs="FrankRuehl" w:hint="cs"/>
          <w:sz w:val="18"/>
          <w:szCs w:val="22"/>
          <w:rtl/>
          <w:lang w:eastAsia="he-IL"/>
        </w:rPr>
        <w:t>.</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האחת, </w:t>
      </w:r>
      <w:r w:rsidRPr="00F41E78">
        <w:rPr>
          <w:rFonts w:eastAsia="Calibri" w:cs="FrankRuehl"/>
          <w:sz w:val="18"/>
          <w:szCs w:val="22"/>
          <w:rtl/>
          <w:lang w:eastAsia="he-IL"/>
        </w:rPr>
        <w:t>החלטה</w:t>
      </w:r>
      <w:r w:rsidRPr="00F41E78">
        <w:rPr>
          <w:rFonts w:eastAsia="Calibri" w:cs="FrankRuehl" w:hint="cs"/>
          <w:sz w:val="18"/>
          <w:szCs w:val="22"/>
          <w:rtl/>
          <w:lang w:eastAsia="he-IL"/>
        </w:rPr>
        <w:t xml:space="preserve"> מס'</w:t>
      </w:r>
      <w:r w:rsidRPr="00F41E78">
        <w:rPr>
          <w:rFonts w:eastAsia="Calibri" w:cs="FrankRuehl"/>
          <w:sz w:val="18"/>
          <w:szCs w:val="22"/>
          <w:rtl/>
          <w:lang w:eastAsia="he-IL"/>
        </w:rPr>
        <w:t xml:space="preserve"> 987 בנושא יישום הפרויקט הלאומי לדיור </w:t>
      </w:r>
      <w:r w:rsidRPr="00F41E78">
        <w:rPr>
          <w:rFonts w:eastAsia="Calibri" w:cs="FrankRuehl" w:hint="cs"/>
          <w:sz w:val="18"/>
          <w:szCs w:val="22"/>
          <w:rtl/>
          <w:lang w:eastAsia="he-IL"/>
        </w:rPr>
        <w:t>ו</w:t>
      </w:r>
      <w:r w:rsidRPr="00F41E78">
        <w:rPr>
          <w:rFonts w:eastAsia="Calibri" w:cs="FrankRuehl"/>
          <w:sz w:val="18"/>
          <w:szCs w:val="22"/>
          <w:rtl/>
          <w:lang w:eastAsia="he-IL"/>
        </w:rPr>
        <w:t xml:space="preserve">בה הוחלט לאמץ את </w:t>
      </w:r>
      <w:r w:rsidRPr="00F41E78">
        <w:rPr>
          <w:rFonts w:eastAsia="Calibri" w:cs="FrankRuehl" w:hint="cs"/>
          <w:sz w:val="18"/>
          <w:szCs w:val="22"/>
          <w:rtl/>
          <w:lang w:eastAsia="he-IL"/>
        </w:rPr>
        <w:t xml:space="preserve">מסקנותיו של </w:t>
      </w:r>
      <w:r w:rsidRPr="00F41E78">
        <w:rPr>
          <w:rFonts w:eastAsia="Calibri" w:cs="FrankRuehl"/>
          <w:sz w:val="18"/>
          <w:szCs w:val="22"/>
          <w:rtl/>
          <w:lang w:eastAsia="he-IL"/>
        </w:rPr>
        <w:t>הצוות הבין</w:t>
      </w:r>
      <w:r w:rsidRPr="00F41E78">
        <w:rPr>
          <w:rFonts w:eastAsia="Calibri" w:cs="FrankRuehl" w:hint="cs"/>
          <w:sz w:val="18"/>
          <w:szCs w:val="22"/>
          <w:rtl/>
          <w:lang w:eastAsia="he-IL"/>
        </w:rPr>
        <w:t>-</w:t>
      </w:r>
      <w:r w:rsidRPr="00F41E78">
        <w:rPr>
          <w:rFonts w:eastAsia="Calibri" w:cs="FrankRuehl"/>
          <w:sz w:val="18"/>
          <w:szCs w:val="22"/>
          <w:rtl/>
          <w:lang w:eastAsia="he-IL"/>
        </w:rPr>
        <w:t xml:space="preserve">משרדי לגיבוש הפרויקט הלאומי לדיור </w:t>
      </w:r>
      <w:r w:rsidRPr="00F41E78">
        <w:rPr>
          <w:rFonts w:eastAsia="Calibri" w:cs="FrankRuehl" w:hint="cs"/>
          <w:sz w:val="18"/>
          <w:szCs w:val="22"/>
          <w:rtl/>
          <w:lang w:eastAsia="he-IL"/>
        </w:rPr>
        <w:t>ש</w:t>
      </w:r>
      <w:r w:rsidRPr="00F41E78">
        <w:rPr>
          <w:rFonts w:eastAsia="Calibri" w:cs="FrankRuehl"/>
          <w:sz w:val="18"/>
          <w:szCs w:val="22"/>
          <w:rtl/>
          <w:lang w:eastAsia="he-IL"/>
        </w:rPr>
        <w:t>הוקם מכוח החלטת</w:t>
      </w:r>
      <w:r w:rsidRPr="00F41E78">
        <w:rPr>
          <w:rFonts w:eastAsia="Calibri" w:cs="FrankRuehl" w:hint="cs"/>
          <w:sz w:val="18"/>
          <w:szCs w:val="22"/>
          <w:rtl/>
          <w:lang w:eastAsia="he-IL"/>
        </w:rPr>
        <w:t>ה</w:t>
      </w:r>
      <w:r w:rsidRPr="00F41E78">
        <w:rPr>
          <w:rFonts w:eastAsia="Calibri" w:cs="FrankRuehl"/>
          <w:sz w:val="18"/>
          <w:szCs w:val="22"/>
          <w:rtl/>
          <w:lang w:eastAsia="he-IL"/>
        </w:rPr>
        <w:t xml:space="preserve"> </w:t>
      </w:r>
      <w:r w:rsidRPr="00F41E78">
        <w:rPr>
          <w:rFonts w:eastAsia="Calibri" w:cs="FrankRuehl" w:hint="cs"/>
          <w:sz w:val="18"/>
          <w:szCs w:val="22"/>
          <w:rtl/>
          <w:lang w:eastAsia="he-IL"/>
        </w:rPr>
        <w:t>ממאי 2013</w:t>
      </w:r>
      <w:r w:rsidRPr="00F41E78">
        <w:rPr>
          <w:rFonts w:eastAsia="Calibri" w:cs="FrankRuehl"/>
          <w:sz w:val="18"/>
          <w:szCs w:val="22"/>
          <w:rtl/>
          <w:lang w:eastAsia="he-IL"/>
        </w:rPr>
        <w:t xml:space="preserve">. </w:t>
      </w:r>
      <w:r w:rsidRPr="00F41E78">
        <w:rPr>
          <w:rFonts w:eastAsia="Calibri" w:cs="FrankRuehl" w:hint="cs"/>
          <w:sz w:val="18"/>
          <w:szCs w:val="22"/>
          <w:rtl/>
          <w:lang w:eastAsia="he-IL"/>
        </w:rPr>
        <w:t xml:space="preserve">ההחלטה האחרת היא </w:t>
      </w:r>
      <w:r w:rsidRPr="00F41E78">
        <w:rPr>
          <w:rFonts w:eastAsia="Calibri" w:cs="FrankRuehl"/>
          <w:sz w:val="18"/>
          <w:szCs w:val="22"/>
          <w:rtl/>
          <w:lang w:eastAsia="he-IL"/>
        </w:rPr>
        <w:t>החלטה</w:t>
      </w:r>
      <w:r w:rsidRPr="00F41E78">
        <w:rPr>
          <w:rFonts w:eastAsia="Calibri" w:cs="FrankRuehl" w:hint="cs"/>
          <w:sz w:val="18"/>
          <w:szCs w:val="22"/>
          <w:rtl/>
          <w:lang w:eastAsia="he-IL"/>
        </w:rPr>
        <w:t xml:space="preserve"> מס'</w:t>
      </w:r>
      <w:r w:rsidRPr="00F41E78">
        <w:rPr>
          <w:rFonts w:eastAsia="Calibri" w:cs="FrankRuehl"/>
          <w:sz w:val="18"/>
          <w:szCs w:val="22"/>
          <w:rtl/>
          <w:lang w:eastAsia="he-IL"/>
        </w:rPr>
        <w:t xml:space="preserve"> 988 בנושא הסדרים נלווים להקמת החברה הממשלתית לשם קידום דיור להשכרה, ובה הוחלט לאמץ את ההסכמות שגובשו בין </w:t>
      </w:r>
      <w:r w:rsidR="00FF71E2">
        <w:rPr>
          <w:rFonts w:eastAsia="Calibri" w:cs="FrankRuehl"/>
          <w:sz w:val="18"/>
          <w:szCs w:val="22"/>
          <w:rtl/>
          <w:lang w:eastAsia="he-IL"/>
        </w:rPr>
        <w:t>משרדי הבינוי</w:t>
      </w:r>
      <w:r w:rsidRPr="00F41E78">
        <w:rPr>
          <w:rFonts w:eastAsia="Calibri" w:cs="FrankRuehl"/>
          <w:sz w:val="18"/>
          <w:szCs w:val="22"/>
          <w:rtl/>
          <w:lang w:eastAsia="he-IL"/>
        </w:rPr>
        <w:t xml:space="preserve"> </w:t>
      </w:r>
      <w:r w:rsidRPr="00F41E78">
        <w:rPr>
          <w:rFonts w:eastAsia="Calibri" w:cs="FrankRuehl" w:hint="cs"/>
          <w:sz w:val="18"/>
          <w:szCs w:val="22"/>
          <w:rtl/>
          <w:lang w:eastAsia="he-IL"/>
        </w:rPr>
        <w:t>ו</w:t>
      </w:r>
      <w:r w:rsidRPr="00F41E78">
        <w:rPr>
          <w:rFonts w:eastAsia="Calibri" w:cs="FrankRuehl"/>
          <w:sz w:val="18"/>
          <w:szCs w:val="22"/>
          <w:rtl/>
          <w:lang w:eastAsia="he-IL"/>
        </w:rPr>
        <w:t>האוצר</w:t>
      </w:r>
      <w:r w:rsidRPr="00F41E78">
        <w:rPr>
          <w:rFonts w:eastAsia="Calibri" w:cs="FrankRuehl" w:hint="cs"/>
          <w:sz w:val="18"/>
          <w:szCs w:val="22"/>
          <w:rtl/>
          <w:lang w:eastAsia="he-IL"/>
        </w:rPr>
        <w:t xml:space="preserve"> </w:t>
      </w:r>
      <w:r w:rsidRPr="00F41E78">
        <w:rPr>
          <w:rFonts w:eastAsia="Calibri" w:cs="FrankRuehl"/>
          <w:sz w:val="18"/>
          <w:szCs w:val="22"/>
          <w:rtl/>
          <w:lang w:eastAsia="he-IL"/>
        </w:rPr>
        <w:t>ו</w:t>
      </w:r>
      <w:r w:rsidRPr="00F41E78">
        <w:rPr>
          <w:rFonts w:eastAsia="Calibri" w:cs="FrankRuehl" w:hint="cs"/>
          <w:sz w:val="18"/>
          <w:szCs w:val="22"/>
          <w:rtl/>
          <w:lang w:eastAsia="he-IL"/>
        </w:rPr>
        <w:t>רמ"י בנוגע</w:t>
      </w:r>
      <w:r w:rsidRPr="00F41E78">
        <w:rPr>
          <w:rFonts w:eastAsia="Calibri" w:cs="FrankRuehl"/>
          <w:sz w:val="18"/>
          <w:szCs w:val="22"/>
          <w:rtl/>
          <w:lang w:eastAsia="he-IL"/>
        </w:rPr>
        <w:t xml:space="preserve"> לאופן פעילותם מול החברה</w:t>
      </w:r>
      <w:r w:rsidRPr="00F41E78">
        <w:rPr>
          <w:rFonts w:eastAsia="Calibri" w:cs="FrankRuehl" w:hint="cs"/>
          <w:sz w:val="18"/>
          <w:szCs w:val="22"/>
          <w:rtl/>
          <w:lang w:eastAsia="he-IL"/>
        </w:rPr>
        <w:t xml:space="preserve"> הממשלתית</w:t>
      </w:r>
      <w:r w:rsidRPr="00F41E78">
        <w:rPr>
          <w:rFonts w:eastAsia="Calibri" w:cs="FrankRuehl"/>
          <w:sz w:val="18"/>
          <w:szCs w:val="22"/>
          <w:rtl/>
          <w:lang w:eastAsia="he-IL"/>
        </w:rPr>
        <w:t>.</w:t>
      </w:r>
    </w:p>
    <w:p w:rsidR="00953690" w:rsidP="00953690">
      <w:pPr>
        <w:spacing w:after="120" w:line="230" w:lineRule="exact"/>
        <w:jc w:val="both"/>
        <w:rPr>
          <w:rFonts w:cs="FrankRuehl"/>
          <w:sz w:val="22"/>
          <w:szCs w:val="22"/>
          <w:rtl/>
        </w:rPr>
      </w:pPr>
    </w:p>
    <w:p w:rsidR="00953690" w:rsidP="00953690">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953690" w:rsidP="00953690">
      <w:pPr>
        <w:spacing w:after="120" w:line="230" w:lineRule="exact"/>
        <w:jc w:val="both"/>
        <w:rPr>
          <w:rFonts w:cs="FrankRuehl"/>
          <w:sz w:val="22"/>
          <w:szCs w:val="22"/>
          <w:rtl/>
        </w:rPr>
      </w:pPr>
    </w:p>
    <w:p w:rsidR="00D22B16" w:rsidRPr="00F41E78" w:rsidP="00D22B16">
      <w:pPr>
        <w:pStyle w:val="RESHET"/>
        <w:keepLines/>
        <w:rPr>
          <w:rFonts w:eastAsia="Calibri"/>
          <w:rtl/>
        </w:rPr>
      </w:pPr>
      <w:r w:rsidRPr="00F41E78">
        <w:rPr>
          <w:rFonts w:eastAsia="Calibri"/>
          <w:rtl/>
        </w:rPr>
        <w:t>ממצאי</w:t>
      </w:r>
      <w:r w:rsidRPr="00F41E78">
        <w:rPr>
          <w:rFonts w:eastAsia="Calibri" w:hint="cs"/>
          <w:rtl/>
        </w:rPr>
        <w:t xml:space="preserve"> הביקורת מעידים כי כבר לפני </w:t>
      </w:r>
      <w:r w:rsidRPr="00F41E78">
        <w:rPr>
          <w:rFonts w:eastAsia="Calibri"/>
          <w:rtl/>
        </w:rPr>
        <w:t xml:space="preserve">שנים </w:t>
      </w:r>
      <w:r w:rsidRPr="00F41E78">
        <w:rPr>
          <w:rFonts w:eastAsia="Calibri" w:hint="cs"/>
          <w:rtl/>
        </w:rPr>
        <w:t xml:space="preserve">קבעו </w:t>
      </w:r>
      <w:r w:rsidRPr="00F41E78">
        <w:rPr>
          <w:rFonts w:eastAsia="Calibri"/>
          <w:rtl/>
        </w:rPr>
        <w:t xml:space="preserve">הממשלה ומועצת מקרקעי ישראל כי אחד הפתרונות </w:t>
      </w:r>
      <w:r w:rsidRPr="00F41E78">
        <w:rPr>
          <w:rFonts w:eastAsia="Calibri" w:hint="cs"/>
          <w:rtl/>
        </w:rPr>
        <w:t>למחסור ב</w:t>
      </w:r>
      <w:r w:rsidRPr="00F41E78">
        <w:rPr>
          <w:rFonts w:eastAsia="Calibri"/>
          <w:rtl/>
        </w:rPr>
        <w:t xml:space="preserve">דיור </w:t>
      </w:r>
      <w:r w:rsidRPr="00F41E78">
        <w:rPr>
          <w:rFonts w:eastAsia="Calibri" w:hint="cs"/>
          <w:rtl/>
        </w:rPr>
        <w:t>בר השגה</w:t>
      </w:r>
      <w:r w:rsidRPr="00F41E78">
        <w:rPr>
          <w:rFonts w:eastAsia="Calibri"/>
          <w:rtl/>
        </w:rPr>
        <w:t xml:space="preserve"> הוא </w:t>
      </w:r>
      <w:r w:rsidRPr="00F41E78">
        <w:rPr>
          <w:rFonts w:eastAsia="Calibri" w:hint="cs"/>
          <w:rtl/>
        </w:rPr>
        <w:t>שוק שכירות ארוכת טווח.</w:t>
      </w:r>
      <w:r w:rsidRPr="00F41E78">
        <w:rPr>
          <w:rFonts w:eastAsia="Calibri"/>
          <w:rtl/>
        </w:rPr>
        <w:t xml:space="preserve"> אולם רמ"י </w:t>
      </w:r>
      <w:r w:rsidRPr="00F41E78">
        <w:rPr>
          <w:rFonts w:eastAsia="Calibri" w:hint="cs"/>
          <w:rtl/>
        </w:rPr>
        <w:t>ו</w:t>
      </w:r>
      <w:r>
        <w:rPr>
          <w:rFonts w:eastAsia="Calibri"/>
          <w:rtl/>
        </w:rPr>
        <w:t>משרדי הבינוי</w:t>
      </w:r>
      <w:r w:rsidRPr="00F41E78">
        <w:rPr>
          <w:rFonts w:eastAsia="Calibri"/>
          <w:rtl/>
        </w:rPr>
        <w:t xml:space="preserve"> והאוצר שהיו מעורבים בהרחבת שוק זה </w:t>
      </w:r>
      <w:r w:rsidRPr="00F41E78">
        <w:rPr>
          <w:rFonts w:eastAsia="Calibri" w:hint="cs"/>
          <w:rtl/>
        </w:rPr>
        <w:t xml:space="preserve">- </w:t>
      </w:r>
      <w:r w:rsidRPr="00F41E78">
        <w:rPr>
          <w:rFonts w:eastAsia="Calibri"/>
          <w:rtl/>
        </w:rPr>
        <w:t xml:space="preserve">בתכנון הקרקע </w:t>
      </w:r>
      <w:r w:rsidRPr="00F41E78">
        <w:rPr>
          <w:rFonts w:eastAsia="Calibri" w:hint="cs"/>
          <w:rtl/>
        </w:rPr>
        <w:t>וב</w:t>
      </w:r>
      <w:r w:rsidRPr="00F41E78">
        <w:rPr>
          <w:rFonts w:eastAsia="Calibri"/>
          <w:rtl/>
        </w:rPr>
        <w:t xml:space="preserve">שיווקה </w:t>
      </w:r>
      <w:r w:rsidRPr="00F41E78">
        <w:rPr>
          <w:rFonts w:eastAsia="Calibri" w:hint="cs"/>
          <w:rtl/>
        </w:rPr>
        <w:t>וב</w:t>
      </w:r>
      <w:r w:rsidRPr="00F41E78">
        <w:rPr>
          <w:rFonts w:eastAsia="Calibri"/>
          <w:rtl/>
        </w:rPr>
        <w:t>קביעת הכדאיות הכלכלית של</w:t>
      </w:r>
      <w:r w:rsidRPr="00F41E78">
        <w:rPr>
          <w:rFonts w:eastAsia="Calibri" w:hint="cs"/>
          <w:rtl/>
        </w:rPr>
        <w:t xml:space="preserve"> ההשכרה לטווח ארוך</w:t>
      </w:r>
      <w:r w:rsidRPr="00F41E78">
        <w:rPr>
          <w:rFonts w:eastAsia="Calibri"/>
          <w:rtl/>
        </w:rPr>
        <w:t xml:space="preserve"> </w:t>
      </w:r>
      <w:r w:rsidRPr="00F41E78">
        <w:rPr>
          <w:rFonts w:eastAsia="Calibri" w:hint="cs"/>
          <w:rtl/>
        </w:rPr>
        <w:t>והשפעותיה</w:t>
      </w:r>
      <w:r w:rsidRPr="00F41E78">
        <w:rPr>
          <w:rFonts w:eastAsia="Calibri"/>
          <w:rtl/>
        </w:rPr>
        <w:t xml:space="preserve"> על תקציב המדינה </w:t>
      </w:r>
      <w:r w:rsidRPr="00F41E78">
        <w:rPr>
          <w:rFonts w:eastAsia="Calibri" w:hint="cs"/>
          <w:rtl/>
        </w:rPr>
        <w:t>-</w:t>
      </w:r>
      <w:r w:rsidRPr="00F41E78">
        <w:rPr>
          <w:rFonts w:eastAsia="Calibri"/>
          <w:rtl/>
        </w:rPr>
        <w:t xml:space="preserve"> לא עשו </w:t>
      </w:r>
      <w:r w:rsidRPr="00F41E78">
        <w:rPr>
          <w:rFonts w:eastAsia="Calibri" w:hint="cs"/>
          <w:rtl/>
        </w:rPr>
        <w:t xml:space="preserve">כל </w:t>
      </w:r>
      <w:r w:rsidRPr="00F41E78">
        <w:rPr>
          <w:rFonts w:eastAsia="Calibri"/>
          <w:rtl/>
        </w:rPr>
        <w:t xml:space="preserve">עבודת מטה פנימית </w:t>
      </w:r>
      <w:r w:rsidRPr="00F41E78">
        <w:rPr>
          <w:rFonts w:eastAsia="Calibri" w:hint="cs"/>
          <w:rtl/>
        </w:rPr>
        <w:t xml:space="preserve">או </w:t>
      </w:r>
      <w:r w:rsidRPr="00F41E78">
        <w:rPr>
          <w:rFonts w:eastAsia="Calibri"/>
          <w:rtl/>
        </w:rPr>
        <w:t xml:space="preserve">בין-משרדית לבחינת החלופות הקיימות </w:t>
      </w:r>
      <w:r w:rsidRPr="00F41E78">
        <w:rPr>
          <w:rFonts w:eastAsia="Calibri" w:hint="cs"/>
          <w:rtl/>
        </w:rPr>
        <w:t>ולקביעת החלופה</w:t>
      </w:r>
      <w:r w:rsidRPr="00F41E78">
        <w:rPr>
          <w:rFonts w:eastAsia="Calibri"/>
          <w:rtl/>
        </w:rPr>
        <w:t xml:space="preserve"> המועדפת. הם לא קבעו את מסגרת ההפעלה של מסלול השכרה לטווח ארוך ו</w:t>
      </w:r>
      <w:r w:rsidRPr="00F41E78">
        <w:rPr>
          <w:rFonts w:eastAsia="Calibri" w:hint="cs"/>
          <w:rtl/>
        </w:rPr>
        <w:t xml:space="preserve">את </w:t>
      </w:r>
      <w:r w:rsidRPr="00F41E78">
        <w:rPr>
          <w:rFonts w:eastAsia="Calibri"/>
          <w:rtl/>
        </w:rPr>
        <w:t xml:space="preserve">התנאים </w:t>
      </w:r>
      <w:r w:rsidRPr="00F41E78">
        <w:rPr>
          <w:rFonts w:eastAsia="Calibri" w:hint="cs"/>
          <w:rtl/>
        </w:rPr>
        <w:t xml:space="preserve">המיטביים </w:t>
      </w:r>
      <w:r w:rsidRPr="00F41E78">
        <w:rPr>
          <w:rFonts w:eastAsia="Calibri"/>
          <w:rtl/>
        </w:rPr>
        <w:t>הנדרשים להפעלתו</w:t>
      </w:r>
      <w:r w:rsidRPr="00F41E78">
        <w:rPr>
          <w:rFonts w:eastAsia="Calibri" w:hint="cs"/>
          <w:rtl/>
        </w:rPr>
        <w:t xml:space="preserve"> היעילה והמועילה. כמו כן, הם</w:t>
      </w:r>
      <w:r w:rsidRPr="00F41E78">
        <w:rPr>
          <w:rFonts w:eastAsia="Calibri"/>
          <w:rtl/>
        </w:rPr>
        <w:t xml:space="preserve"> לא </w:t>
      </w:r>
      <w:r w:rsidRPr="00F41E78">
        <w:rPr>
          <w:rFonts w:eastAsia="Calibri" w:hint="cs"/>
          <w:rtl/>
        </w:rPr>
        <w:t xml:space="preserve">בחנו האם קיים </w:t>
      </w:r>
      <w:r w:rsidRPr="00F41E78">
        <w:rPr>
          <w:rFonts w:eastAsia="Calibri"/>
          <w:rtl/>
        </w:rPr>
        <w:t xml:space="preserve">צורך להסדיר את שוק השכירות הקיים שהיקפו מאות אלפי משקי בית. </w:t>
      </w:r>
      <w:r w:rsidRPr="00F41E78">
        <w:rPr>
          <w:rFonts w:eastAsia="Calibri" w:hint="cs"/>
          <w:rtl/>
        </w:rPr>
        <w:t>בהתנהלותם זו, גופים אלו</w:t>
      </w:r>
      <w:r w:rsidRPr="00F41E78">
        <w:rPr>
          <w:rFonts w:eastAsia="Calibri"/>
          <w:rtl/>
        </w:rPr>
        <w:t xml:space="preserve"> לא קידמו את פיתוח שוק השכירות ו</w:t>
      </w:r>
      <w:r w:rsidRPr="00F41E78">
        <w:rPr>
          <w:rFonts w:eastAsia="Calibri" w:hint="cs"/>
          <w:rtl/>
        </w:rPr>
        <w:t xml:space="preserve">את </w:t>
      </w:r>
      <w:r w:rsidRPr="00F41E78">
        <w:rPr>
          <w:rFonts w:eastAsia="Calibri"/>
          <w:rtl/>
        </w:rPr>
        <w:t xml:space="preserve">הנגשתו לאוכלוסיות נרחבות </w:t>
      </w:r>
      <w:r w:rsidRPr="00F41E78">
        <w:rPr>
          <w:rFonts w:eastAsia="Calibri" w:hint="cs"/>
          <w:rtl/>
        </w:rPr>
        <w:t>ש</w:t>
      </w:r>
      <w:r w:rsidRPr="00F41E78">
        <w:rPr>
          <w:rFonts w:eastAsia="Calibri"/>
          <w:rtl/>
        </w:rPr>
        <w:t xml:space="preserve">עבורן מגורים בשכירות </w:t>
      </w:r>
      <w:r w:rsidRPr="00F41E78">
        <w:rPr>
          <w:rFonts w:eastAsia="Calibri" w:hint="cs"/>
          <w:rtl/>
        </w:rPr>
        <w:t>הם בגדר</w:t>
      </w:r>
      <w:r w:rsidRPr="00F41E78">
        <w:rPr>
          <w:rFonts w:eastAsia="Calibri"/>
          <w:rtl/>
        </w:rPr>
        <w:t xml:space="preserve"> חלופה נאותה. </w:t>
      </w:r>
    </w:p>
    <w:p w:rsidR="00D22B16" w:rsidRPr="00F41E78" w:rsidP="00D22B16">
      <w:pPr>
        <w:pStyle w:val="RESHET"/>
        <w:keepLines/>
        <w:rPr>
          <w:rFonts w:eastAsia="Calibri"/>
          <w:rtl/>
        </w:rPr>
      </w:pPr>
      <w:r w:rsidRPr="00F41E78">
        <w:rPr>
          <w:rFonts w:eastAsia="Calibri"/>
          <w:rtl/>
        </w:rPr>
        <w:t xml:space="preserve">כיום, בעיצומו של משבר הדיור, הממשלה נוקטת פעולות מואצות </w:t>
      </w:r>
      <w:r w:rsidRPr="00F41E78">
        <w:rPr>
          <w:rFonts w:eastAsia="Calibri" w:hint="cs"/>
          <w:rtl/>
        </w:rPr>
        <w:t>כדי ל</w:t>
      </w:r>
      <w:r w:rsidRPr="00F41E78">
        <w:rPr>
          <w:rFonts w:eastAsia="Calibri"/>
          <w:rtl/>
        </w:rPr>
        <w:t>הרח</w:t>
      </w:r>
      <w:r w:rsidRPr="00F41E78">
        <w:rPr>
          <w:rFonts w:eastAsia="Calibri" w:hint="cs"/>
          <w:rtl/>
        </w:rPr>
        <w:t>י</w:t>
      </w:r>
      <w:r w:rsidRPr="00F41E78">
        <w:rPr>
          <w:rFonts w:eastAsia="Calibri"/>
          <w:rtl/>
        </w:rPr>
        <w:t>ב</w:t>
      </w:r>
      <w:r w:rsidRPr="00F41E78">
        <w:rPr>
          <w:rFonts w:eastAsia="Calibri" w:hint="cs"/>
          <w:rtl/>
        </w:rPr>
        <w:t xml:space="preserve"> את</w:t>
      </w:r>
      <w:r w:rsidRPr="00F41E78">
        <w:rPr>
          <w:rFonts w:eastAsia="Calibri"/>
          <w:rtl/>
        </w:rPr>
        <w:t xml:space="preserve"> שוק השכירות </w:t>
      </w:r>
      <w:r w:rsidRPr="00F41E78">
        <w:rPr>
          <w:rFonts w:eastAsia="Calibri" w:hint="cs"/>
          <w:rtl/>
        </w:rPr>
        <w:t>תוך</w:t>
      </w:r>
      <w:r w:rsidRPr="00F41E78">
        <w:rPr>
          <w:rFonts w:eastAsia="Calibri"/>
          <w:rtl/>
        </w:rPr>
        <w:t xml:space="preserve"> </w:t>
      </w:r>
      <w:r w:rsidRPr="00F41E78">
        <w:rPr>
          <w:rFonts w:eastAsia="Calibri" w:hint="cs"/>
          <w:rtl/>
        </w:rPr>
        <w:t>כדי</w:t>
      </w:r>
      <w:r w:rsidRPr="00F41E78">
        <w:rPr>
          <w:rFonts w:eastAsia="Calibri"/>
          <w:rtl/>
        </w:rPr>
        <w:t xml:space="preserve"> </w:t>
      </w:r>
      <w:r w:rsidRPr="00F41E78">
        <w:rPr>
          <w:rFonts w:eastAsia="Calibri" w:hint="cs"/>
          <w:rtl/>
        </w:rPr>
        <w:t>הישענות</w:t>
      </w:r>
      <w:r w:rsidRPr="00F41E78">
        <w:rPr>
          <w:rFonts w:eastAsia="Calibri"/>
          <w:rtl/>
        </w:rPr>
        <w:t xml:space="preserve"> על גופים </w:t>
      </w:r>
      <w:r w:rsidRPr="00F41E78">
        <w:rPr>
          <w:rFonts w:eastAsia="Calibri" w:hint="cs"/>
          <w:rtl/>
        </w:rPr>
        <w:t>מוסדיים ועסקיים</w:t>
      </w:r>
      <w:r w:rsidRPr="00F41E78">
        <w:rPr>
          <w:rFonts w:eastAsia="Calibri"/>
          <w:rtl/>
        </w:rPr>
        <w:t xml:space="preserve">, ללא </w:t>
      </w:r>
      <w:r w:rsidRPr="00F41E78">
        <w:rPr>
          <w:rFonts w:eastAsia="Calibri" w:hint="cs"/>
          <w:rtl/>
        </w:rPr>
        <w:t>כל</w:t>
      </w:r>
      <w:r w:rsidRPr="00F41E78">
        <w:rPr>
          <w:rFonts w:eastAsia="Calibri"/>
          <w:rtl/>
        </w:rPr>
        <w:t xml:space="preserve"> בדיקות מקדימות. </w:t>
      </w:r>
      <w:r w:rsidRPr="00F41E78">
        <w:rPr>
          <w:rFonts w:eastAsia="Calibri" w:hint="cs"/>
          <w:rtl/>
        </w:rPr>
        <w:t>התנהלותה</w:t>
      </w:r>
      <w:r w:rsidRPr="00F41E78">
        <w:rPr>
          <w:rFonts w:eastAsia="Calibri"/>
          <w:rtl/>
        </w:rPr>
        <w:t xml:space="preserve"> </w:t>
      </w:r>
      <w:r w:rsidRPr="00F41E78">
        <w:rPr>
          <w:rFonts w:eastAsia="Calibri" w:hint="cs"/>
          <w:rtl/>
        </w:rPr>
        <w:t>זו</w:t>
      </w:r>
      <w:r w:rsidRPr="00F41E78">
        <w:rPr>
          <w:rFonts w:eastAsia="Calibri"/>
          <w:rtl/>
        </w:rPr>
        <w:t xml:space="preserve"> </w:t>
      </w:r>
      <w:r w:rsidRPr="00F41E78">
        <w:rPr>
          <w:rFonts w:eastAsia="Calibri" w:hint="cs"/>
          <w:rtl/>
        </w:rPr>
        <w:t>מעוררת</w:t>
      </w:r>
      <w:r w:rsidRPr="00F41E78">
        <w:rPr>
          <w:rFonts w:eastAsia="Calibri"/>
          <w:rtl/>
        </w:rPr>
        <w:t xml:space="preserve"> </w:t>
      </w:r>
      <w:r w:rsidRPr="00F41E78">
        <w:rPr>
          <w:rFonts w:eastAsia="Calibri" w:hint="cs"/>
          <w:rtl/>
        </w:rPr>
        <w:t>את</w:t>
      </w:r>
      <w:r w:rsidRPr="00F41E78">
        <w:rPr>
          <w:rFonts w:eastAsia="Calibri"/>
          <w:rtl/>
        </w:rPr>
        <w:t xml:space="preserve"> </w:t>
      </w:r>
      <w:r w:rsidRPr="00F41E78">
        <w:rPr>
          <w:rFonts w:eastAsia="Calibri" w:hint="cs"/>
          <w:rtl/>
        </w:rPr>
        <w:t>ה</w:t>
      </w:r>
      <w:r w:rsidRPr="00F41E78">
        <w:rPr>
          <w:rFonts w:eastAsia="Calibri"/>
          <w:rtl/>
        </w:rPr>
        <w:t xml:space="preserve">חשש כי העלות הכלכלית תהיה גבוהה בהרבה </w:t>
      </w:r>
      <w:r w:rsidRPr="00F41E78">
        <w:rPr>
          <w:rFonts w:eastAsia="Calibri" w:hint="cs"/>
          <w:rtl/>
        </w:rPr>
        <w:t>מהעלות שהייתה נושאת בה</w:t>
      </w:r>
      <w:r w:rsidRPr="00F41E78">
        <w:rPr>
          <w:rFonts w:eastAsia="Calibri"/>
          <w:rtl/>
        </w:rPr>
        <w:t xml:space="preserve"> לו הפעולות הנדרשות היו </w:t>
      </w:r>
      <w:r w:rsidRPr="00F41E78">
        <w:rPr>
          <w:rFonts w:eastAsia="Calibri" w:hint="cs"/>
          <w:rtl/>
        </w:rPr>
        <w:t>נעשות</w:t>
      </w:r>
      <w:r w:rsidRPr="00F41E78">
        <w:rPr>
          <w:rFonts w:eastAsia="Calibri"/>
          <w:rtl/>
        </w:rPr>
        <w:t xml:space="preserve"> </w:t>
      </w:r>
      <w:r w:rsidRPr="00F41E78">
        <w:rPr>
          <w:rFonts w:eastAsia="Calibri" w:hint="cs"/>
          <w:rtl/>
        </w:rPr>
        <w:t>מבעוד</w:t>
      </w:r>
      <w:r w:rsidRPr="00F41E78">
        <w:rPr>
          <w:rFonts w:eastAsia="Calibri"/>
          <w:rtl/>
        </w:rPr>
        <w:t xml:space="preserve"> </w:t>
      </w:r>
      <w:r w:rsidRPr="00F41E78">
        <w:rPr>
          <w:rFonts w:eastAsia="Calibri" w:hint="cs"/>
          <w:rtl/>
        </w:rPr>
        <w:t>מועד</w:t>
      </w:r>
      <w:r w:rsidRPr="00F41E78">
        <w:rPr>
          <w:rFonts w:eastAsia="Calibri"/>
          <w:rtl/>
        </w:rPr>
        <w:t xml:space="preserve"> ובאופן סדור ומתוכנן.</w:t>
      </w:r>
    </w:p>
    <w:p w:rsidR="00D22B16" w:rsidRPr="00F41E78" w:rsidP="00D22B16">
      <w:pPr>
        <w:pStyle w:val="RESHET"/>
        <w:keepLines/>
        <w:rPr>
          <w:rFonts w:eastAsia="Calibri"/>
          <w:rtl/>
        </w:rPr>
      </w:pPr>
      <w:r>
        <w:rPr>
          <w:rFonts w:eastAsia="Calibri" w:hint="cs"/>
          <w:rtl/>
        </w:rPr>
        <w:t xml:space="preserve">על </w:t>
      </w:r>
      <w:r w:rsidRPr="00F41E78">
        <w:rPr>
          <w:rFonts w:eastAsia="Calibri"/>
          <w:rtl/>
        </w:rPr>
        <w:t xml:space="preserve">פי החלטת קבינט הדיור </w:t>
      </w:r>
      <w:r w:rsidRPr="00F41E78">
        <w:rPr>
          <w:rFonts w:eastAsia="Calibri" w:hint="cs"/>
          <w:rtl/>
        </w:rPr>
        <w:t>ש</w:t>
      </w:r>
      <w:r w:rsidRPr="00F41E78">
        <w:rPr>
          <w:rFonts w:eastAsia="Calibri"/>
          <w:rtl/>
        </w:rPr>
        <w:t xml:space="preserve">אושרה בממשלה, </w:t>
      </w:r>
      <w:r w:rsidRPr="00F41E78">
        <w:rPr>
          <w:rFonts w:eastAsia="Calibri" w:hint="cs"/>
          <w:rtl/>
        </w:rPr>
        <w:t>ה</w:t>
      </w:r>
      <w:r w:rsidRPr="00F41E78">
        <w:rPr>
          <w:rFonts w:eastAsia="Calibri"/>
          <w:rtl/>
        </w:rPr>
        <w:t xml:space="preserve">מרכיב </w:t>
      </w:r>
      <w:r w:rsidRPr="00F41E78">
        <w:rPr>
          <w:rFonts w:eastAsia="Calibri" w:hint="cs"/>
          <w:rtl/>
        </w:rPr>
        <w:t>ה</w:t>
      </w:r>
      <w:r w:rsidRPr="00F41E78">
        <w:rPr>
          <w:rFonts w:eastAsia="Calibri"/>
          <w:rtl/>
        </w:rPr>
        <w:t>עיקרי במדיניות הדיור הלאומית הוא בניית</w:t>
      </w:r>
      <w:r w:rsidRPr="00F41E78">
        <w:rPr>
          <w:rFonts w:eastAsia="Calibri" w:hint="cs"/>
          <w:rtl/>
        </w:rPr>
        <w:t xml:space="preserve">ן של </w:t>
      </w:r>
      <w:r w:rsidRPr="00F41E78">
        <w:rPr>
          <w:rFonts w:eastAsia="Calibri"/>
          <w:rtl/>
        </w:rPr>
        <w:t xml:space="preserve">150,000 </w:t>
      </w:r>
      <w:r w:rsidRPr="00F41E78">
        <w:rPr>
          <w:rFonts w:eastAsia="Calibri" w:hint="cs"/>
          <w:rtl/>
        </w:rPr>
        <w:t>יח"ד</w:t>
      </w:r>
      <w:r w:rsidRPr="00F41E78">
        <w:rPr>
          <w:rFonts w:eastAsia="Calibri"/>
          <w:rtl/>
        </w:rPr>
        <w:t xml:space="preserve"> </w:t>
      </w:r>
      <w:r w:rsidRPr="00F41E78">
        <w:rPr>
          <w:rFonts w:eastAsia="Calibri" w:hint="cs"/>
          <w:rtl/>
        </w:rPr>
        <w:t>בעשור הקרוב,</w:t>
      </w:r>
      <w:r w:rsidRPr="00F41E78">
        <w:rPr>
          <w:rFonts w:eastAsia="Calibri"/>
          <w:rtl/>
        </w:rPr>
        <w:t xml:space="preserve"> </w:t>
      </w:r>
      <w:r w:rsidRPr="00F41E78">
        <w:rPr>
          <w:rFonts w:eastAsia="Calibri" w:hint="cs"/>
          <w:rtl/>
        </w:rPr>
        <w:t>ובהן יח"ד</w:t>
      </w:r>
      <w:r w:rsidRPr="00F41E78">
        <w:rPr>
          <w:rFonts w:eastAsia="Calibri"/>
          <w:rtl/>
        </w:rPr>
        <w:t xml:space="preserve"> להשכרה </w:t>
      </w:r>
      <w:r w:rsidRPr="00F41E78">
        <w:rPr>
          <w:rFonts w:eastAsia="Calibri" w:hint="cs"/>
          <w:rtl/>
        </w:rPr>
        <w:t>ל</w:t>
      </w:r>
      <w:r w:rsidRPr="00F41E78">
        <w:rPr>
          <w:rFonts w:eastAsia="Calibri"/>
          <w:rtl/>
        </w:rPr>
        <w:t>טווח</w:t>
      </w:r>
      <w:r w:rsidRPr="00F41E78">
        <w:rPr>
          <w:rFonts w:eastAsia="Calibri" w:hint="cs"/>
          <w:rtl/>
        </w:rPr>
        <w:t xml:space="preserve"> ארוך, שתסייע במתן מענה למחסור ב</w:t>
      </w:r>
      <w:r w:rsidRPr="00F41E78">
        <w:rPr>
          <w:rFonts w:eastAsia="Calibri"/>
          <w:rtl/>
        </w:rPr>
        <w:t>דיור בר השגה</w:t>
      </w:r>
      <w:r w:rsidRPr="00F41E78">
        <w:rPr>
          <w:rFonts w:eastAsia="Calibri" w:hint="cs"/>
          <w:rtl/>
        </w:rPr>
        <w:t>.</w:t>
      </w:r>
      <w:r w:rsidRPr="00F41E78">
        <w:rPr>
          <w:rFonts w:eastAsia="Calibri"/>
          <w:rtl/>
        </w:rPr>
        <w:t xml:space="preserve"> </w:t>
      </w:r>
      <w:r w:rsidRPr="00F41E78">
        <w:rPr>
          <w:rFonts w:eastAsia="Calibri" w:hint="cs"/>
          <w:rtl/>
        </w:rPr>
        <w:t>אם כך, מתעורר</w:t>
      </w:r>
      <w:r w:rsidRPr="00F41E78">
        <w:rPr>
          <w:rFonts w:eastAsia="Calibri"/>
          <w:rtl/>
        </w:rPr>
        <w:t xml:space="preserve"> צורך דחוף </w:t>
      </w:r>
      <w:r w:rsidRPr="00F41E78">
        <w:rPr>
          <w:rFonts w:eastAsia="Calibri" w:hint="cs"/>
          <w:rtl/>
        </w:rPr>
        <w:t xml:space="preserve">והכרחי </w:t>
      </w:r>
      <w:r w:rsidRPr="00F41E78">
        <w:rPr>
          <w:rFonts w:eastAsia="Calibri"/>
          <w:rtl/>
        </w:rPr>
        <w:t xml:space="preserve">שהגופים הממשלתיים </w:t>
      </w:r>
      <w:r w:rsidRPr="00F41E78">
        <w:rPr>
          <w:rFonts w:eastAsia="Calibri" w:hint="cs"/>
          <w:rtl/>
        </w:rPr>
        <w:t>שיש בידיהם</w:t>
      </w:r>
      <w:r w:rsidRPr="00F41E78">
        <w:rPr>
          <w:rFonts w:eastAsia="Calibri"/>
          <w:rtl/>
        </w:rPr>
        <w:t xml:space="preserve"> הכלים המקצועיים</w:t>
      </w:r>
      <w:r w:rsidRPr="00F41E78">
        <w:rPr>
          <w:rFonts w:eastAsia="Calibri" w:hint="cs"/>
          <w:rtl/>
        </w:rPr>
        <w:t xml:space="preserve"> הנדרשים</w:t>
      </w:r>
      <w:r w:rsidRPr="00F41E78">
        <w:rPr>
          <w:rFonts w:eastAsia="Calibri"/>
          <w:rtl/>
        </w:rPr>
        <w:t xml:space="preserve">, </w:t>
      </w:r>
      <w:r w:rsidRPr="00F41E78">
        <w:rPr>
          <w:rFonts w:eastAsia="Calibri" w:hint="cs"/>
          <w:rtl/>
        </w:rPr>
        <w:t>ו</w:t>
      </w:r>
      <w:r w:rsidRPr="00F41E78">
        <w:rPr>
          <w:rFonts w:eastAsia="Calibri"/>
          <w:rtl/>
        </w:rPr>
        <w:t xml:space="preserve">בהם </w:t>
      </w:r>
      <w:r>
        <w:rPr>
          <w:rFonts w:eastAsia="Calibri"/>
          <w:rtl/>
        </w:rPr>
        <w:t>משרדי הבינוי</w:t>
      </w:r>
      <w:r w:rsidRPr="00F41E78">
        <w:rPr>
          <w:rFonts w:eastAsia="Calibri"/>
          <w:rtl/>
        </w:rPr>
        <w:t xml:space="preserve"> </w:t>
      </w:r>
      <w:r w:rsidRPr="00F41E78">
        <w:rPr>
          <w:rFonts w:eastAsia="Calibri" w:hint="cs"/>
          <w:rtl/>
        </w:rPr>
        <w:t>ו</w:t>
      </w:r>
      <w:r w:rsidRPr="00F41E78">
        <w:rPr>
          <w:rFonts w:eastAsia="Calibri"/>
          <w:rtl/>
        </w:rPr>
        <w:t xml:space="preserve">האוצר </w:t>
      </w:r>
      <w:r w:rsidRPr="00F41E78">
        <w:rPr>
          <w:rFonts w:eastAsia="Calibri" w:hint="cs"/>
          <w:rtl/>
        </w:rPr>
        <w:t>ו</w:t>
      </w:r>
      <w:r w:rsidRPr="00F41E78">
        <w:rPr>
          <w:rFonts w:eastAsia="Calibri"/>
          <w:rtl/>
        </w:rPr>
        <w:t>רמ"י</w:t>
      </w:r>
      <w:r w:rsidRPr="00F41E78">
        <w:rPr>
          <w:rFonts w:eastAsia="Calibri" w:hint="cs"/>
          <w:rtl/>
        </w:rPr>
        <w:t>,</w:t>
      </w:r>
      <w:r w:rsidRPr="00F41E78">
        <w:rPr>
          <w:rFonts w:eastAsia="Calibri"/>
          <w:rtl/>
        </w:rPr>
        <w:t xml:space="preserve"> יכינו תכנית </w:t>
      </w:r>
      <w:r w:rsidRPr="00F41E78">
        <w:rPr>
          <w:rFonts w:eastAsia="Calibri" w:hint="cs"/>
          <w:rtl/>
        </w:rPr>
        <w:t xml:space="preserve">אסטרטגית </w:t>
      </w:r>
      <w:r w:rsidRPr="00F41E78">
        <w:rPr>
          <w:rFonts w:eastAsia="Calibri"/>
          <w:rtl/>
        </w:rPr>
        <w:t xml:space="preserve">ארוכת טווח </w:t>
      </w:r>
      <w:r w:rsidRPr="00F41E78">
        <w:rPr>
          <w:rFonts w:eastAsia="Calibri" w:hint="cs"/>
          <w:rtl/>
        </w:rPr>
        <w:t xml:space="preserve">הכוללת </w:t>
      </w:r>
      <w:r w:rsidRPr="00F41E78">
        <w:rPr>
          <w:rFonts w:eastAsia="Calibri"/>
          <w:rtl/>
        </w:rPr>
        <w:t>יעדים כמותיים</w:t>
      </w:r>
      <w:r w:rsidRPr="00F41E78">
        <w:rPr>
          <w:rFonts w:eastAsia="Calibri" w:hint="cs"/>
          <w:rtl/>
        </w:rPr>
        <w:t xml:space="preserve"> מתוך התייחסות לכל</w:t>
      </w:r>
      <w:r w:rsidRPr="00F41E78">
        <w:rPr>
          <w:rFonts w:eastAsia="Calibri"/>
          <w:rtl/>
        </w:rPr>
        <w:t xml:space="preserve"> המרכיבים </w:t>
      </w:r>
      <w:r w:rsidRPr="00F41E78">
        <w:rPr>
          <w:rFonts w:eastAsia="Calibri" w:hint="cs"/>
          <w:rtl/>
        </w:rPr>
        <w:t xml:space="preserve">העשויים להשפיע </w:t>
      </w:r>
      <w:r w:rsidRPr="00F41E78">
        <w:rPr>
          <w:rFonts w:eastAsia="Calibri"/>
          <w:rtl/>
        </w:rPr>
        <w:t xml:space="preserve">על שוק השכירות </w:t>
      </w:r>
      <w:r w:rsidRPr="00F41E78">
        <w:rPr>
          <w:rFonts w:eastAsia="Calibri" w:hint="cs"/>
          <w:rtl/>
        </w:rPr>
        <w:t xml:space="preserve">ועל שוק הדיור, </w:t>
      </w:r>
      <w:r w:rsidRPr="00F41E78">
        <w:rPr>
          <w:rFonts w:eastAsia="Calibri"/>
          <w:rtl/>
        </w:rPr>
        <w:t xml:space="preserve">תוך </w:t>
      </w:r>
      <w:r w:rsidRPr="00F41E78">
        <w:rPr>
          <w:rFonts w:eastAsia="Calibri" w:hint="cs"/>
          <w:rtl/>
        </w:rPr>
        <w:t xml:space="preserve">כדי </w:t>
      </w:r>
      <w:r w:rsidRPr="00F41E78">
        <w:rPr>
          <w:rFonts w:eastAsia="Calibri"/>
          <w:rtl/>
        </w:rPr>
        <w:t>הבטחת האינטרס הציבורי</w:t>
      </w:r>
      <w:r w:rsidRPr="00F41E78">
        <w:rPr>
          <w:rFonts w:eastAsia="Calibri" w:hint="cs"/>
          <w:rtl/>
        </w:rPr>
        <w:t>.</w:t>
      </w:r>
      <w:r w:rsidRPr="00F41E78">
        <w:rPr>
          <w:rFonts w:eastAsia="Calibri"/>
          <w:rtl/>
        </w:rPr>
        <w:t xml:space="preserve"> כמו כן</w:t>
      </w:r>
      <w:r w:rsidRPr="00F41E78">
        <w:rPr>
          <w:rFonts w:eastAsia="Calibri" w:hint="cs"/>
          <w:rtl/>
        </w:rPr>
        <w:t>,</w:t>
      </w:r>
      <w:r w:rsidRPr="00F41E78">
        <w:rPr>
          <w:rFonts w:eastAsia="Calibri"/>
          <w:rtl/>
        </w:rPr>
        <w:t xml:space="preserve"> ראוי לשתף בגיבוש התכנית גורמים </w:t>
      </w:r>
      <w:r w:rsidRPr="00F41E78">
        <w:rPr>
          <w:rFonts w:eastAsia="Calibri" w:hint="cs"/>
          <w:rtl/>
        </w:rPr>
        <w:t>רלוונטיים</w:t>
      </w:r>
      <w:r w:rsidRPr="00F41E78">
        <w:rPr>
          <w:rFonts w:eastAsia="Calibri"/>
          <w:rtl/>
        </w:rPr>
        <w:t xml:space="preserve"> אחרים</w:t>
      </w:r>
      <w:r w:rsidRPr="00F41E78">
        <w:rPr>
          <w:rFonts w:eastAsia="Calibri" w:hint="cs"/>
          <w:rtl/>
        </w:rPr>
        <w:t>,</w:t>
      </w:r>
      <w:r w:rsidRPr="00F41E78">
        <w:rPr>
          <w:rFonts w:eastAsia="Calibri"/>
          <w:rtl/>
        </w:rPr>
        <w:t xml:space="preserve"> </w:t>
      </w:r>
      <w:r w:rsidRPr="00F41E78">
        <w:rPr>
          <w:rFonts w:eastAsia="Calibri" w:hint="cs"/>
          <w:rtl/>
        </w:rPr>
        <w:t>למשל</w:t>
      </w:r>
      <w:r w:rsidRPr="00F41E78">
        <w:rPr>
          <w:rFonts w:eastAsia="Calibri"/>
          <w:rtl/>
        </w:rPr>
        <w:t xml:space="preserve"> </w:t>
      </w:r>
      <w:r w:rsidRPr="00F41E78">
        <w:rPr>
          <w:rFonts w:eastAsia="Calibri" w:hint="cs"/>
          <w:rtl/>
        </w:rPr>
        <w:t xml:space="preserve">את </w:t>
      </w:r>
      <w:r w:rsidRPr="00F41E78">
        <w:rPr>
          <w:rFonts w:eastAsia="Calibri"/>
          <w:rtl/>
        </w:rPr>
        <w:t>הרשויות המקומיות</w:t>
      </w:r>
      <w:r w:rsidRPr="00F41E78">
        <w:rPr>
          <w:rFonts w:eastAsia="Calibri" w:hint="cs"/>
          <w:rtl/>
        </w:rPr>
        <w:t xml:space="preserve"> ואת רשות המסים</w:t>
      </w:r>
      <w:r w:rsidRPr="00F41E78">
        <w:rPr>
          <w:rFonts w:eastAsia="Calibri"/>
          <w:rtl/>
        </w:rPr>
        <w:t>.</w:t>
      </w:r>
    </w:p>
    <w:p w:rsidR="00E97EDA" w:rsidRPr="00F41E78" w:rsidP="00A7557B">
      <w:pPr>
        <w:spacing w:after="120" w:line="230" w:lineRule="exact"/>
        <w:jc w:val="both"/>
        <w:rPr>
          <w:rFonts w:eastAsia="Calibri" w:cs="FrankRuehl"/>
          <w:b/>
          <w:bCs/>
          <w:sz w:val="18"/>
          <w:szCs w:val="22"/>
          <w:rtl/>
          <w:lang w:eastAsia="he-IL"/>
        </w:rPr>
      </w:pPr>
    </w:p>
    <w:p w:rsidR="00F4484B" w:rsidP="00F4484B">
      <w:pPr>
        <w:spacing w:after="120" w:line="230" w:lineRule="exact"/>
        <w:jc w:val="both"/>
        <w:rPr>
          <w:rFonts w:cs="FrankRuehl"/>
          <w:sz w:val="18"/>
          <w:szCs w:val="22"/>
          <w:rtl/>
        </w:rPr>
        <w:sectPr w:rsidSect="0076055F">
          <w:footnotePr>
            <w:numRestart w:val="eachSect"/>
          </w:footnotePr>
          <w:pgSz w:w="11906" w:h="16838" w:code="9"/>
          <w:pgMar w:top="1758" w:right="2552" w:bottom="4253" w:left="2552" w:header="1247" w:footer="1134" w:gutter="0"/>
          <w:cols w:space="720"/>
          <w:rtlGutter/>
        </w:sectPr>
      </w:pPr>
    </w:p>
    <w:p w:rsidR="00F4484B" w:rsidRPr="00F41E78" w:rsidP="00F4484B">
      <w:pPr>
        <w:spacing w:after="120" w:line="230" w:lineRule="exact"/>
        <w:jc w:val="both"/>
        <w:rPr>
          <w:rFonts w:cs="FrankRuehl"/>
          <w:sz w:val="18"/>
          <w:szCs w:val="22"/>
          <w:rtl/>
        </w:rPr>
      </w:pPr>
    </w:p>
    <w:p w:rsidR="00F4484B" w:rsidP="00F4484B">
      <w:pPr>
        <w:spacing w:after="120" w:line="230" w:lineRule="exact"/>
        <w:jc w:val="center"/>
        <w:rPr>
          <w:rtl/>
        </w:rPr>
      </w:pPr>
    </w:p>
    <w:p w:rsidR="00F4484B" w:rsidP="00F4484B">
      <w:pPr>
        <w:spacing w:after="120" w:line="230" w:lineRule="exact"/>
        <w:jc w:val="center"/>
      </w:pPr>
    </w:p>
    <w:p w:rsidR="00F4484B" w:rsidP="00F4484B">
      <w:pPr>
        <w:spacing w:after="120" w:line="230" w:lineRule="exact"/>
        <w:jc w:val="center"/>
        <w:rPr>
          <w:rtl/>
        </w:rPr>
      </w:pPr>
    </w:p>
    <w:p w:rsidR="00F4484B" w:rsidP="00F4484B">
      <w:pPr>
        <w:spacing w:after="120" w:line="230" w:lineRule="exact"/>
        <w:jc w:val="center"/>
      </w:pPr>
    </w:p>
    <w:p w:rsidR="00F4484B" w:rsidP="00F4484B">
      <w:pPr>
        <w:spacing w:after="120" w:line="230" w:lineRule="exact"/>
        <w:jc w:val="center"/>
      </w:pPr>
    </w:p>
    <w:p w:rsidR="00F4484B" w:rsidP="00F4484B">
      <w:pPr>
        <w:spacing w:after="120" w:line="230" w:lineRule="exact"/>
        <w:jc w:val="center"/>
      </w:pPr>
    </w:p>
    <w:p w:rsidR="00F4484B" w:rsidP="00F4484B">
      <w:pPr>
        <w:spacing w:after="120" w:line="230" w:lineRule="exact"/>
        <w:jc w:val="center"/>
        <w:rPr>
          <w:rtl/>
        </w:rPr>
      </w:pPr>
    </w:p>
    <w:p w:rsidR="00F4484B" w:rsidP="00F4484B">
      <w:pPr>
        <w:spacing w:after="120" w:line="230" w:lineRule="exact"/>
        <w:jc w:val="center"/>
        <w:rPr>
          <w:rtl/>
        </w:rPr>
      </w:pPr>
    </w:p>
    <w:p w:rsidR="00F4484B" w:rsidRPr="00F4484B" w:rsidP="00F4484B">
      <w:pPr>
        <w:pStyle w:val="KOT1"/>
        <w:tabs>
          <w:tab w:val="right" w:leader="dot" w:pos="6237"/>
          <w:tab w:val="left" w:pos="6350"/>
        </w:tabs>
        <w:spacing w:after="120"/>
        <w:outlineLvl w:val="0"/>
        <w:rPr>
          <w:sz w:val="32"/>
          <w:szCs w:val="32"/>
          <w:rtl/>
        </w:rPr>
      </w:pPr>
      <w:r>
        <w:rPr>
          <w:rFonts w:hint="cs"/>
          <w:b w:val="0"/>
          <w:bCs w:val="0"/>
          <w:sz w:val="32"/>
          <w:szCs w:val="32"/>
          <w:rtl/>
        </w:rPr>
        <w:t>שער</w:t>
      </w:r>
      <w:r>
        <w:rPr>
          <w:b w:val="0"/>
          <w:bCs w:val="0"/>
          <w:sz w:val="32"/>
          <w:szCs w:val="32"/>
          <w:rtl/>
        </w:rPr>
        <w:t xml:space="preserve"> </w:t>
      </w:r>
      <w:r>
        <w:rPr>
          <w:rFonts w:hint="cs"/>
          <w:b w:val="0"/>
          <w:bCs w:val="0"/>
          <w:sz w:val="32"/>
          <w:szCs w:val="32"/>
          <w:rtl/>
        </w:rPr>
        <w:t>חמישי</w:t>
      </w:r>
      <w:r>
        <w:rPr>
          <w:b w:val="0"/>
          <w:bCs w:val="0"/>
          <w:sz w:val="32"/>
          <w:szCs w:val="32"/>
          <w:rtl/>
        </w:rPr>
        <w:br/>
      </w:r>
      <w:r>
        <w:rPr>
          <w:rFonts w:hint="cs"/>
          <w:sz w:val="40"/>
          <w:szCs w:val="40"/>
          <w:rtl/>
        </w:rPr>
        <w:t>סיכום</w:t>
      </w:r>
    </w:p>
    <w:p w:rsidR="00F4484B" w:rsidRPr="00F4484B" w:rsidP="00F4484B">
      <w:pPr>
        <w:spacing w:after="120" w:line="230" w:lineRule="exact"/>
        <w:jc w:val="center"/>
        <w:rPr>
          <w:rtl/>
        </w:rPr>
      </w:pPr>
    </w:p>
    <w:p w:rsidR="00F4484B" w:rsidP="00F4484B">
      <w:pPr>
        <w:spacing w:after="120" w:line="230" w:lineRule="exact"/>
        <w:jc w:val="center"/>
        <w:rPr>
          <w:rtl/>
        </w:rPr>
        <w:sectPr w:rsidSect="00F4484B">
          <w:footnotePr>
            <w:numRestart w:val="eachSect"/>
          </w:footnotePr>
          <w:pgSz w:w="11906" w:h="16838" w:code="9"/>
          <w:pgMar w:top="1758" w:right="2552" w:bottom="4253" w:left="2552" w:header="1247" w:footer="1134" w:gutter="0"/>
          <w:cols w:space="720"/>
          <w:titlePg/>
          <w:rtlGutter/>
        </w:sectPr>
      </w:pPr>
    </w:p>
    <w:p w:rsidR="00F4484B" w:rsidRPr="00F4484B" w:rsidP="00F4484B">
      <w:pPr>
        <w:spacing w:after="120" w:line="230" w:lineRule="exact"/>
        <w:jc w:val="center"/>
        <w:rPr>
          <w:rtl/>
        </w:rPr>
      </w:pPr>
    </w:p>
    <w:p w:rsidR="00F4484B" w:rsidP="00A7557B">
      <w:pPr>
        <w:pStyle w:val="KOT4"/>
        <w:rPr>
          <w:rFonts w:eastAsia="Calibri"/>
          <w:rtl/>
          <w:lang w:eastAsia="he-IL"/>
        </w:rPr>
        <w:sectPr w:rsidSect="00F4484B">
          <w:footnotePr>
            <w:numRestart w:val="eachSect"/>
          </w:footnotePr>
          <w:pgSz w:w="11906" w:h="16838" w:code="9"/>
          <w:pgMar w:top="1758" w:right="2552" w:bottom="4253" w:left="2552" w:header="1247" w:footer="1134" w:gutter="0"/>
          <w:cols w:space="720"/>
          <w:titlePg/>
          <w:rtlGutter/>
        </w:sectPr>
      </w:pPr>
    </w:p>
    <w:p w:rsidR="00E97EDA" w:rsidRPr="00FA1F2C" w:rsidP="00A7557B">
      <w:pPr>
        <w:pStyle w:val="KOT4"/>
        <w:rPr>
          <w:rFonts w:eastAsia="Calibri"/>
          <w:rtl/>
          <w:lang w:eastAsia="he-IL"/>
        </w:rPr>
      </w:pPr>
      <w:r w:rsidRPr="00FA1F2C">
        <w:rPr>
          <w:rFonts w:eastAsia="Calibri" w:hint="cs"/>
          <w:rtl/>
          <w:lang w:eastAsia="he-IL"/>
        </w:rPr>
        <w:t>סיכום</w:t>
      </w:r>
    </w:p>
    <w:p w:rsidR="00D22B16" w:rsidRPr="00F41E78" w:rsidP="00D22B16">
      <w:pPr>
        <w:pStyle w:val="RESHET"/>
        <w:keepLines/>
        <w:rPr>
          <w:rFonts w:eastAsia="Calibri"/>
        </w:rPr>
      </w:pPr>
      <w:r w:rsidRPr="00F41E78">
        <w:rPr>
          <w:rFonts w:eastAsia="Calibri"/>
          <w:rtl/>
        </w:rPr>
        <w:t xml:space="preserve">משבר הדיור, דהיינו עליית מחירי הדיור וההכבדה בנטל הוצאות הדיור, מסכן את חוסנם הכלכלי של משקי בית רבים ופוגע ברמת חייהם, ואף יותר מכך, הוא טומן בחובו סכנה לחוסן הכלכלי של המשק כולו. </w:t>
      </w:r>
      <w:r w:rsidRPr="00F41E78">
        <w:rPr>
          <w:rFonts w:eastAsia="Calibri" w:hint="cs"/>
          <w:rtl/>
        </w:rPr>
        <w:t>דיור נאות</w:t>
      </w:r>
      <w:r w:rsidRPr="00F41E78">
        <w:rPr>
          <w:rFonts w:eastAsia="Calibri"/>
          <w:rtl/>
        </w:rPr>
        <w:t xml:space="preserve"> אינו </w:t>
      </w:r>
      <w:r w:rsidRPr="00F41E78">
        <w:rPr>
          <w:rFonts w:eastAsia="Calibri" w:hint="cs"/>
          <w:rtl/>
        </w:rPr>
        <w:t xml:space="preserve">רק ביטוי </w:t>
      </w:r>
      <w:r w:rsidRPr="00F41E78">
        <w:rPr>
          <w:rFonts w:eastAsia="Calibri"/>
          <w:rtl/>
        </w:rPr>
        <w:t>נדל</w:t>
      </w:r>
      <w:r w:rsidRPr="00F41E78">
        <w:rPr>
          <w:rFonts w:eastAsia="Calibri" w:hint="cs"/>
          <w:rtl/>
        </w:rPr>
        <w:t>"ני</w:t>
      </w:r>
      <w:r w:rsidRPr="00F41E78">
        <w:rPr>
          <w:rFonts w:eastAsia="Calibri"/>
          <w:rtl/>
        </w:rPr>
        <w:t xml:space="preserve"> גרידא</w:t>
      </w:r>
      <w:r w:rsidRPr="00F41E78">
        <w:rPr>
          <w:rFonts w:eastAsia="Calibri" w:hint="cs"/>
          <w:rtl/>
        </w:rPr>
        <w:t xml:space="preserve">, זהו </w:t>
      </w:r>
      <w:r w:rsidRPr="00F41E78">
        <w:rPr>
          <w:rFonts w:eastAsia="Calibri"/>
          <w:rtl/>
        </w:rPr>
        <w:t xml:space="preserve">צורך </w:t>
      </w:r>
      <w:r w:rsidRPr="00F41E78">
        <w:rPr>
          <w:rFonts w:eastAsia="Calibri" w:hint="cs"/>
          <w:rtl/>
        </w:rPr>
        <w:t xml:space="preserve">אזרחי </w:t>
      </w:r>
      <w:r w:rsidRPr="00F41E78">
        <w:rPr>
          <w:rFonts w:eastAsia="Calibri"/>
          <w:rtl/>
        </w:rPr>
        <w:t xml:space="preserve">בסיסי. </w:t>
      </w:r>
      <w:r w:rsidRPr="00F41E78">
        <w:rPr>
          <w:rFonts w:eastAsia="Calibri" w:hint="cs"/>
          <w:rtl/>
        </w:rPr>
        <w:t xml:space="preserve">מעורבות </w:t>
      </w:r>
      <w:r w:rsidRPr="00F41E78">
        <w:rPr>
          <w:rFonts w:eastAsia="Calibri"/>
          <w:rtl/>
        </w:rPr>
        <w:t xml:space="preserve">הממשלה בשוק הדיור ובשרשרת הייצור של יחידות דיור מטילה לפתחה אחריות עליונה לקיום היצע של </w:t>
      </w:r>
      <w:r w:rsidRPr="00F41E78">
        <w:rPr>
          <w:rFonts w:eastAsia="Calibri" w:hint="cs"/>
          <w:rtl/>
        </w:rPr>
        <w:t xml:space="preserve">פתרונות דיור </w:t>
      </w:r>
      <w:r w:rsidRPr="00F41E78">
        <w:rPr>
          <w:rFonts w:eastAsia="Calibri"/>
          <w:rtl/>
        </w:rPr>
        <w:t>במחיר</w:t>
      </w:r>
      <w:r w:rsidRPr="00F41E78">
        <w:rPr>
          <w:rFonts w:eastAsia="Calibri" w:hint="cs"/>
          <w:rtl/>
        </w:rPr>
        <w:t>ים</w:t>
      </w:r>
      <w:r w:rsidRPr="00F41E78">
        <w:rPr>
          <w:rFonts w:eastAsia="Calibri"/>
          <w:rtl/>
        </w:rPr>
        <w:t xml:space="preserve"> שאינ</w:t>
      </w:r>
      <w:r w:rsidRPr="00F41E78">
        <w:rPr>
          <w:rFonts w:eastAsia="Calibri" w:hint="cs"/>
          <w:rtl/>
        </w:rPr>
        <w:t>ם</w:t>
      </w:r>
      <w:r w:rsidRPr="00F41E78">
        <w:rPr>
          <w:rFonts w:eastAsia="Calibri"/>
          <w:rtl/>
        </w:rPr>
        <w:t xml:space="preserve"> מכביד</w:t>
      </w:r>
      <w:r w:rsidRPr="00F41E78">
        <w:rPr>
          <w:rFonts w:eastAsia="Calibri" w:hint="cs"/>
          <w:rtl/>
        </w:rPr>
        <w:t>ים</w:t>
      </w:r>
      <w:r w:rsidRPr="00F41E78">
        <w:rPr>
          <w:rFonts w:eastAsia="Calibri"/>
          <w:rtl/>
        </w:rPr>
        <w:t xml:space="preserve"> יתר על המידה על האזרח ואינ</w:t>
      </w:r>
      <w:r w:rsidRPr="00F41E78">
        <w:rPr>
          <w:rFonts w:eastAsia="Calibri" w:hint="cs"/>
          <w:rtl/>
        </w:rPr>
        <w:t>ם פוגעים</w:t>
      </w:r>
      <w:r w:rsidRPr="00F41E78">
        <w:rPr>
          <w:rFonts w:eastAsia="Calibri"/>
          <w:rtl/>
        </w:rPr>
        <w:t xml:space="preserve"> ביכולתו לממן את צרכיו הבסיסיים האחרים.</w:t>
      </w:r>
    </w:p>
    <w:p w:rsidR="00D22B16" w:rsidRPr="00F41E78" w:rsidP="00D22B16">
      <w:pPr>
        <w:pStyle w:val="RESHET"/>
        <w:keepLines/>
        <w:rPr>
          <w:rFonts w:eastAsia="Calibri"/>
        </w:rPr>
      </w:pPr>
      <w:r w:rsidRPr="00F41E78">
        <w:rPr>
          <w:rFonts w:eastAsia="Calibri"/>
          <w:rtl/>
        </w:rPr>
        <w:t xml:space="preserve">בדוח זה הועלו ליקויים מהותיים בהיערכותן של הממשלה ושל רשויות נוספות לטיפול במשבר הדיור ותוארו הכשלים בהתמודדות עמו. חלק מהליקויים מערכתיים, החוצים את הדרגים השונים הנושאים באחריות, והם מלמדים על בעיות מבניות בתפקוד הממשלה ובתפקודם של מכלול הגופים המעורבים בשרשרת הייצור של יחידות דיור. </w:t>
      </w:r>
    </w:p>
    <w:p w:rsidR="00D22B16" w:rsidRPr="00F41E78" w:rsidP="00BC584F">
      <w:pPr>
        <w:pStyle w:val="RESHET"/>
        <w:keepLines/>
        <w:rPr>
          <w:rFonts w:eastAsia="Calibri"/>
        </w:rPr>
      </w:pPr>
      <w:r w:rsidRPr="00582A43">
        <w:rPr>
          <w:rFonts w:eastAsia="Calibri"/>
          <w:rtl/>
        </w:rPr>
        <w:t xml:space="preserve">הממשלה </w:t>
      </w:r>
      <w:r w:rsidRPr="00582A43" w:rsidR="00BC584F">
        <w:rPr>
          <w:rFonts w:eastAsia="Calibri" w:hint="cs"/>
          <w:rtl/>
        </w:rPr>
        <w:t>ומשרדיה התוו</w:t>
      </w:r>
      <w:r w:rsidRPr="00582A43">
        <w:rPr>
          <w:rFonts w:eastAsia="Calibri"/>
          <w:rtl/>
        </w:rPr>
        <w:t xml:space="preserve"> מדיניות דיור לאומית</w:t>
      </w:r>
      <w:r w:rsidRPr="00582A43" w:rsidR="00BC584F">
        <w:rPr>
          <w:rFonts w:eastAsia="Calibri" w:hint="cs"/>
          <w:rtl/>
        </w:rPr>
        <w:t xml:space="preserve"> באופן לקוי</w:t>
      </w:r>
      <w:r w:rsidRPr="00582A43">
        <w:rPr>
          <w:rFonts w:eastAsia="Calibri"/>
          <w:rtl/>
        </w:rPr>
        <w:t>. בהיבטים רבים</w:t>
      </w:r>
      <w:r w:rsidRPr="00F41E78">
        <w:rPr>
          <w:rFonts w:eastAsia="Calibri"/>
          <w:rtl/>
        </w:rPr>
        <w:t xml:space="preserve"> הממשלה פועלת ללא מידע</w:t>
      </w:r>
      <w:r w:rsidRPr="00F41E78">
        <w:rPr>
          <w:rFonts w:eastAsia="Calibri" w:hint="cs"/>
          <w:rtl/>
        </w:rPr>
        <w:t xml:space="preserve"> מלא</w:t>
      </w:r>
      <w:r w:rsidRPr="00F41E78">
        <w:rPr>
          <w:rFonts w:eastAsia="Calibri"/>
          <w:rtl/>
        </w:rPr>
        <w:t xml:space="preserve"> מהימן ורלוונטי ונוקטת פעולות מאולתרות ובלתי מתוכננות. חלק ניכר מהחלטותיה לא יושם או שיישומן התעכב. הממשלה לא הצליחה להכווין את הביקושים מהמרכז לפריפריה וחלים עיכובים בפיתוחה של הפריפריה. שרשרת הייצור התנהלה באטיות, לעתים ללא יעדים </w:t>
      </w:r>
      <w:r w:rsidRPr="00F41E78">
        <w:rPr>
          <w:rFonts w:eastAsia="Calibri" w:hint="cs"/>
          <w:rtl/>
        </w:rPr>
        <w:t xml:space="preserve">כמותיים </w:t>
      </w:r>
      <w:r w:rsidRPr="00F41E78">
        <w:rPr>
          <w:rFonts w:eastAsia="Calibri"/>
          <w:rtl/>
        </w:rPr>
        <w:t xml:space="preserve">ברורים ותפוקותיה </w:t>
      </w:r>
      <w:r w:rsidRPr="00F41E78">
        <w:rPr>
          <w:rFonts w:eastAsia="Calibri" w:hint="cs"/>
          <w:rtl/>
        </w:rPr>
        <w:t xml:space="preserve">במשך מספר שנים </w:t>
      </w:r>
      <w:r w:rsidRPr="00F41E78">
        <w:rPr>
          <w:rFonts w:eastAsia="Calibri"/>
          <w:rtl/>
        </w:rPr>
        <w:t>היו נמוכות מהנדרש למשק. כפועל יוצא מהכשלים בכל אחד משלבי שרשרת הייצור נוצרו פערים גדולים בין היצע לביקוש וחלה עלייה חדה במחירי הדיור. לנוכח העובדה שהליכי התכנון ותהליכי מימוש התכנ</w:t>
      </w:r>
      <w:r w:rsidRPr="00F41E78">
        <w:rPr>
          <w:rFonts w:eastAsia="Calibri" w:hint="cs"/>
          <w:rtl/>
        </w:rPr>
        <w:t>י</w:t>
      </w:r>
      <w:r w:rsidRPr="00F41E78">
        <w:rPr>
          <w:rFonts w:eastAsia="Calibri"/>
          <w:rtl/>
        </w:rPr>
        <w:t>ות עדיין נמשכים בממוצע כ-</w:t>
      </w:r>
      <w:r w:rsidRPr="00F41E78">
        <w:rPr>
          <w:rFonts w:eastAsia="Calibri" w:hint="cs"/>
          <w:rtl/>
        </w:rPr>
        <w:t>12</w:t>
      </w:r>
      <w:r w:rsidRPr="00F41E78">
        <w:rPr>
          <w:rFonts w:eastAsia="Calibri"/>
          <w:rtl/>
        </w:rPr>
        <w:t xml:space="preserve"> שנים, ובשל המחסור המסתמן בכל שלב משלבי שרשרת הייצור, מסתמן מצב העלול להקשות על הגדלת ההיצע במידה הנדרשת גם בשנים הקרובות.</w:t>
      </w:r>
    </w:p>
    <w:p w:rsidR="00D22B16" w:rsidRPr="00F41E78" w:rsidP="00D22B16">
      <w:pPr>
        <w:pStyle w:val="RESHET"/>
        <w:keepLines/>
        <w:rPr>
          <w:rFonts w:eastAsia="Calibri"/>
          <w:rtl/>
        </w:rPr>
      </w:pPr>
      <w:r w:rsidRPr="00F41E78">
        <w:rPr>
          <w:rFonts w:eastAsia="Calibri"/>
          <w:rtl/>
        </w:rPr>
        <w:t xml:space="preserve">גיבוש מדיניות דיור כוללת וארוכת טווח, שיפור תהליכי קבלת ההחלטות ויישומן וייעול שרשרת הייצור חיוניים </w:t>
      </w:r>
      <w:r w:rsidRPr="00F41E78">
        <w:rPr>
          <w:rFonts w:eastAsia="Calibri" w:hint="cs"/>
          <w:rtl/>
        </w:rPr>
        <w:t>כדי</w:t>
      </w:r>
      <w:r w:rsidRPr="00F41E78">
        <w:rPr>
          <w:rFonts w:eastAsia="Calibri"/>
          <w:rtl/>
        </w:rPr>
        <w:t xml:space="preserve"> להבטיח היצע דיור מגוון ובמחירים הוגנים, דהיינו היצע ההולם את צרכיה של האוכלוסייה ואת יכולתה הכלכלית. להתמודדות עם משבר הדיור ולהסרת החסמים המונעים את התאמת היצע הדיור המצוי לזה הרצוי ישנה חשיבות לאומית</w:t>
      </w:r>
      <w:r w:rsidRPr="00F41E78">
        <w:rPr>
          <w:rFonts w:eastAsia="Calibri" w:hint="cs"/>
          <w:rtl/>
        </w:rPr>
        <w:t>,</w:t>
      </w:r>
      <w:r w:rsidRPr="00F41E78">
        <w:rPr>
          <w:rFonts w:eastAsia="Calibri"/>
          <w:rtl/>
        </w:rPr>
        <w:t xml:space="preserve"> ובכוחן לחזק את החוסן החברתי והכלכלי של מדינת ישראל.</w:t>
      </w:r>
    </w:p>
    <w:p w:rsidR="00C8241F" w:rsidRPr="00F41E78" w:rsidP="00A7557B">
      <w:pPr>
        <w:spacing w:after="120" w:line="230" w:lineRule="exact"/>
        <w:jc w:val="both"/>
        <w:rPr>
          <w:rFonts w:cs="FrankRuehl"/>
          <w:sz w:val="18"/>
          <w:szCs w:val="22"/>
          <w:rtl/>
        </w:rPr>
      </w:pPr>
      <w:bookmarkStart w:id="65" w:name="_GoBack"/>
      <w:bookmarkEnd w:id="65"/>
    </w:p>
    <w:sectPr w:rsidSect="0076055F">
      <w:footnotePr>
        <w:numRestart w:val="eachSect"/>
      </w:footnotePr>
      <w:pgSz w:w="11906" w:h="16838" w:code="9"/>
      <w:pgMar w:top="1758" w:right="2552" w:bottom="4253" w:left="2552" w:header="1247" w:footer="1134" w:gutter="0"/>
      <w:cols w:space="720"/>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auto"/>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onotype Sorts">
    <w:altName w:val="Zapf Dingbats"/>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17E8" w:rsidRPr="00C00972" w:rsidP="00C00972">
    <w:pPr>
      <w:tabs>
        <w:tab w:val="left" w:pos="1222"/>
        <w:tab w:val="center" w:pos="4153"/>
        <w:tab w:val="right" w:pos="8306"/>
      </w:tabs>
      <w:spacing w:line="160" w:lineRule="exact"/>
      <w:rPr>
        <w:sz w:val="16"/>
        <w:szCs w:val="16"/>
        <w:rtl/>
      </w:rPr>
    </w:pPr>
    <w:r w:rsidRPr="00C00972">
      <w:rPr>
        <w:sz w:val="16"/>
        <w:szCs w:val="16"/>
        <w:rtl/>
      </w:rPr>
      <w:t>שם הדוח:</w:t>
    </w:r>
    <w:r w:rsidRPr="00C00972">
      <w:rPr>
        <w:sz w:val="16"/>
        <w:szCs w:val="16"/>
        <w:rtl/>
      </w:rPr>
      <w:tab/>
    </w:r>
    <w:r w:rsidRPr="00C00972">
      <w:rPr>
        <w:rFonts w:hint="cs"/>
        <w:sz w:val="16"/>
        <w:szCs w:val="16"/>
        <w:rtl/>
      </w:rPr>
      <w:t>משבר הדיור</w:t>
    </w:r>
  </w:p>
  <w:p w:rsidR="001A17E8" w:rsidRPr="00961D4F" w:rsidP="008540F5">
    <w:pPr>
      <w:tabs>
        <w:tab w:val="left" w:pos="1222"/>
        <w:tab w:val="center" w:pos="4153"/>
        <w:tab w:val="right" w:pos="8306"/>
      </w:tabs>
      <w:spacing w:line="160" w:lineRule="exact"/>
      <w:rPr>
        <w:sz w:val="16"/>
        <w:szCs w:val="16"/>
        <w:rtl/>
      </w:rPr>
    </w:pPr>
    <w:r w:rsidRPr="00961D4F">
      <w:rPr>
        <w:sz w:val="16"/>
        <w:szCs w:val="16"/>
        <w:rtl/>
      </w:rPr>
      <w:t>מסגרת הפרסום:</w:t>
    </w:r>
    <w:r w:rsidRPr="00961D4F">
      <w:rPr>
        <w:sz w:val="16"/>
        <w:szCs w:val="16"/>
        <w:rtl/>
      </w:rPr>
      <w:tab/>
    </w:r>
    <w:r>
      <w:rPr>
        <w:rFonts w:hint="cs"/>
        <w:sz w:val="16"/>
        <w:szCs w:val="16"/>
        <w:rtl/>
      </w:rPr>
      <w:t>דוח ביקורת מיוחד</w:t>
    </w:r>
  </w:p>
  <w:p w:rsidR="001A17E8" w:rsidP="009718F9">
    <w:pPr>
      <w:pStyle w:val="Footer"/>
      <w:tabs>
        <w:tab w:val="left" w:pos="1222"/>
      </w:tabs>
      <w:spacing w:line="160" w:lineRule="exact"/>
      <w:rPr>
        <w:sz w:val="16"/>
        <w:szCs w:val="16"/>
        <w:rtl/>
      </w:rPr>
    </w:pPr>
    <w:r>
      <w:rPr>
        <w:sz w:val="16"/>
        <w:szCs w:val="16"/>
        <w:rtl/>
      </w:rPr>
      <w:t>שנת פרסום:</w:t>
    </w:r>
    <w:r>
      <w:rPr>
        <w:sz w:val="16"/>
        <w:szCs w:val="16"/>
        <w:rtl/>
      </w:rPr>
      <w:tab/>
      <w:t>התשע"</w:t>
    </w:r>
    <w:r>
      <w:rPr>
        <w:rFonts w:hint="cs"/>
        <w:sz w:val="16"/>
        <w:szCs w:val="16"/>
        <w:rtl/>
      </w:rPr>
      <w:t>ה</w:t>
    </w:r>
    <w:r>
      <w:rPr>
        <w:sz w:val="16"/>
        <w:szCs w:val="16"/>
        <w:rtl/>
      </w:rPr>
      <w:t>-201</w:t>
    </w:r>
    <w:r>
      <w:rPr>
        <w:rFonts w:hint="cs"/>
        <w:sz w:val="16"/>
        <w:szCs w:val="16"/>
        <w:rtl/>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17E8" w:rsidRPr="00C00972" w:rsidP="00C00972">
    <w:pPr>
      <w:tabs>
        <w:tab w:val="left" w:pos="1222"/>
        <w:tab w:val="center" w:pos="4153"/>
        <w:tab w:val="right" w:pos="8306"/>
      </w:tabs>
      <w:spacing w:line="160" w:lineRule="exact"/>
      <w:rPr>
        <w:sz w:val="16"/>
        <w:szCs w:val="16"/>
        <w:rtl/>
      </w:rPr>
    </w:pPr>
    <w:r w:rsidRPr="00C00972">
      <w:rPr>
        <w:sz w:val="16"/>
        <w:szCs w:val="16"/>
        <w:rtl/>
      </w:rPr>
      <w:t>שם הדוח:</w:t>
    </w:r>
    <w:r w:rsidRPr="00C00972">
      <w:rPr>
        <w:sz w:val="16"/>
        <w:szCs w:val="16"/>
        <w:rtl/>
      </w:rPr>
      <w:tab/>
    </w:r>
    <w:r w:rsidRPr="00C00972">
      <w:rPr>
        <w:rFonts w:hint="cs"/>
        <w:sz w:val="16"/>
        <w:szCs w:val="16"/>
        <w:rtl/>
      </w:rPr>
      <w:t>משבר הדיור</w:t>
    </w:r>
  </w:p>
  <w:p w:rsidR="001A17E8" w:rsidRPr="00961D4F" w:rsidP="008540F5">
    <w:pPr>
      <w:tabs>
        <w:tab w:val="left" w:pos="1222"/>
        <w:tab w:val="center" w:pos="4153"/>
        <w:tab w:val="right" w:pos="8306"/>
      </w:tabs>
      <w:spacing w:line="160" w:lineRule="exact"/>
      <w:rPr>
        <w:sz w:val="16"/>
        <w:szCs w:val="16"/>
        <w:rtl/>
      </w:rPr>
    </w:pPr>
    <w:r w:rsidRPr="00961D4F">
      <w:rPr>
        <w:sz w:val="16"/>
        <w:szCs w:val="16"/>
        <w:rtl/>
      </w:rPr>
      <w:t>מסגרת הפרסום:</w:t>
    </w:r>
    <w:r w:rsidRPr="00961D4F">
      <w:rPr>
        <w:sz w:val="16"/>
        <w:szCs w:val="16"/>
        <w:rtl/>
      </w:rPr>
      <w:tab/>
    </w:r>
    <w:r>
      <w:rPr>
        <w:rFonts w:hint="cs"/>
        <w:sz w:val="16"/>
        <w:szCs w:val="16"/>
        <w:rtl/>
      </w:rPr>
      <w:t>דוח ביקורת מיוחד</w:t>
    </w:r>
  </w:p>
  <w:p w:rsidR="001A17E8" w:rsidP="009718F9">
    <w:pPr>
      <w:pStyle w:val="Footer"/>
      <w:tabs>
        <w:tab w:val="left" w:pos="1222"/>
      </w:tabs>
      <w:spacing w:line="160" w:lineRule="exact"/>
      <w:rPr>
        <w:sz w:val="16"/>
        <w:szCs w:val="16"/>
        <w:rtl/>
      </w:rPr>
    </w:pPr>
    <w:r>
      <w:rPr>
        <w:sz w:val="16"/>
        <w:szCs w:val="16"/>
        <w:rtl/>
      </w:rPr>
      <w:t>שנת פרסום:</w:t>
    </w:r>
    <w:r>
      <w:rPr>
        <w:sz w:val="16"/>
        <w:szCs w:val="16"/>
        <w:rtl/>
      </w:rPr>
      <w:tab/>
      <w:t>התשע"</w:t>
    </w:r>
    <w:r>
      <w:rPr>
        <w:rFonts w:hint="cs"/>
        <w:sz w:val="16"/>
        <w:szCs w:val="16"/>
        <w:rtl/>
      </w:rPr>
      <w:t>ה</w:t>
    </w:r>
    <w:r>
      <w:rPr>
        <w:sz w:val="16"/>
        <w:szCs w:val="16"/>
        <w:rtl/>
      </w:rPr>
      <w:t>-201</w:t>
    </w:r>
    <w:r>
      <w:rPr>
        <w:rFonts w:hint="cs"/>
        <w:sz w:val="16"/>
        <w:szCs w:val="16"/>
        <w:rtl/>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17E8" w:rsidRPr="00C00972" w:rsidP="00C00972">
    <w:pPr>
      <w:tabs>
        <w:tab w:val="left" w:pos="1222"/>
        <w:tab w:val="center" w:pos="4153"/>
        <w:tab w:val="right" w:pos="8306"/>
      </w:tabs>
      <w:spacing w:line="160" w:lineRule="exact"/>
      <w:rPr>
        <w:sz w:val="16"/>
        <w:szCs w:val="16"/>
        <w:rtl/>
      </w:rPr>
    </w:pPr>
    <w:r w:rsidRPr="00C00972">
      <w:rPr>
        <w:sz w:val="16"/>
        <w:szCs w:val="16"/>
        <w:rtl/>
      </w:rPr>
      <w:t>שם הדוח:</w:t>
    </w:r>
    <w:r w:rsidRPr="00C00972">
      <w:rPr>
        <w:sz w:val="16"/>
        <w:szCs w:val="16"/>
        <w:rtl/>
      </w:rPr>
      <w:tab/>
    </w:r>
    <w:r w:rsidRPr="00C00972">
      <w:rPr>
        <w:rFonts w:hint="cs"/>
        <w:sz w:val="16"/>
        <w:szCs w:val="16"/>
        <w:rtl/>
      </w:rPr>
      <w:t>משבר הדיור</w:t>
    </w:r>
  </w:p>
  <w:p w:rsidR="001A17E8" w:rsidRPr="00961D4F" w:rsidP="008540F5">
    <w:pPr>
      <w:tabs>
        <w:tab w:val="left" w:pos="1222"/>
        <w:tab w:val="center" w:pos="4153"/>
        <w:tab w:val="right" w:pos="8306"/>
      </w:tabs>
      <w:spacing w:line="160" w:lineRule="exact"/>
      <w:rPr>
        <w:sz w:val="16"/>
        <w:szCs w:val="16"/>
        <w:rtl/>
      </w:rPr>
    </w:pPr>
    <w:r w:rsidRPr="00961D4F">
      <w:rPr>
        <w:sz w:val="16"/>
        <w:szCs w:val="16"/>
        <w:rtl/>
      </w:rPr>
      <w:t>מסגרת הפרסום:</w:t>
    </w:r>
    <w:r w:rsidRPr="00961D4F">
      <w:rPr>
        <w:sz w:val="16"/>
        <w:szCs w:val="16"/>
        <w:rtl/>
      </w:rPr>
      <w:tab/>
    </w:r>
    <w:r>
      <w:rPr>
        <w:rFonts w:hint="cs"/>
        <w:sz w:val="16"/>
        <w:szCs w:val="16"/>
        <w:rtl/>
      </w:rPr>
      <w:t>דוח ביקורת מיוחד</w:t>
    </w:r>
  </w:p>
  <w:p w:rsidR="001A17E8" w:rsidP="008540F5">
    <w:pPr>
      <w:pStyle w:val="Footer"/>
      <w:tabs>
        <w:tab w:val="left" w:pos="1222"/>
      </w:tabs>
      <w:spacing w:line="160" w:lineRule="exact"/>
      <w:rPr>
        <w:sz w:val="16"/>
        <w:szCs w:val="16"/>
        <w:rtl/>
      </w:rPr>
    </w:pPr>
    <w:r>
      <w:rPr>
        <w:sz w:val="16"/>
        <w:szCs w:val="16"/>
        <w:rtl/>
      </w:rPr>
      <w:t>שנת פרסום:</w:t>
    </w:r>
    <w:r>
      <w:rPr>
        <w:sz w:val="16"/>
        <w:szCs w:val="16"/>
        <w:rtl/>
      </w:rPr>
      <w:tab/>
      <w:t>התשע"</w:t>
    </w:r>
    <w:r>
      <w:rPr>
        <w:rFonts w:hint="cs"/>
        <w:sz w:val="16"/>
        <w:szCs w:val="16"/>
        <w:rtl/>
      </w:rPr>
      <w:t>ה</w:t>
    </w:r>
    <w:r>
      <w:rPr>
        <w:sz w:val="16"/>
        <w:szCs w:val="16"/>
        <w:rtl/>
      </w:rPr>
      <w:t>-201</w:t>
    </w:r>
    <w:r>
      <w:rPr>
        <w:rFonts w:hint="cs"/>
        <w:sz w:val="16"/>
        <w:szCs w:val="16"/>
        <w:rtl/>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17E8" w:rsidRPr="00417CBF" w:rsidP="00417CBF">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459EF">
      <w:pPr>
        <w:spacing w:after="120"/>
        <w:rPr>
          <w:sz w:val="16"/>
          <w:szCs w:val="16"/>
        </w:rPr>
      </w:pPr>
      <w:r>
        <w:rPr>
          <w:sz w:val="16"/>
          <w:szCs w:val="16"/>
          <w:rtl/>
        </w:rPr>
        <w:t>__________________</w:t>
      </w:r>
    </w:p>
  </w:footnote>
  <w:footnote w:type="continuationSeparator" w:id="1">
    <w:p w:rsidR="004459EF">
      <w:r>
        <w:t>_______________</w:t>
      </w:r>
    </w:p>
  </w:footnote>
  <w:footnote w:id="2">
    <w:p w:rsidR="001A17E8" w:rsidRPr="00315F89" w:rsidP="00350D21">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מוסדות התכנון כהגדרתם בחוק התכנון והבניה, התשכ"ה-1965, רשויות סטטוטוריות וחברות ממשלתיות.</w:t>
      </w:r>
    </w:p>
  </w:footnote>
  <w:footnote w:id="3">
    <w:p w:rsidR="001A17E8" w:rsidRPr="00315F89" w:rsidP="00893437">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תכניות שהוסיפו יותר מ-200 יח"ד למלאי התכנוני והתבררו כמקור העיקרי ליצירת מלאי תכנוני.</w:t>
      </w:r>
    </w:p>
  </w:footnote>
  <w:footnote w:id="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"הכרזה לכל באי עולם בדבר זכויות האדם", סעיף 25, 1948.</w:t>
      </w:r>
    </w:p>
  </w:footnote>
  <w:footnote w:id="5">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"האמנה הבינלאומית בדבר זכויות כלכליות. חברתיות ותרבותיות", סעיף 11 (1966), כ"א 1037, כרך 31, עמ' 205. ישראל אשררה את האמנה בשנת 1991.</w:t>
      </w:r>
    </w:p>
  </w:footnote>
  <w:footnote w:id="6">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בעבר מינהל מקרקעי ישראל שהפך לרשות מקרקעי ישראל ב-2013 לאחר הרפורמה במינהל מקרקעי ישראל.</w:t>
      </w:r>
    </w:p>
  </w:footnote>
  <w:footnote w:id="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עלייה וירידה במונחים ריאליים.</w:t>
      </w:r>
    </w:p>
  </w:footnote>
  <w:footnote w:id="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מוסדות התכנון כהגדרתם בחוק התכנון והבניה, התשכ"ה-1965, רשויות סטטוטוריות כמו רשות מקרקעי ישראל, חברות ממשלתיות.</w:t>
      </w:r>
    </w:p>
  </w:footnote>
  <w:footnote w:id="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באוגוסט 2011, בעקבות המחאה החברתית שפרצה באותה תקופה, הכריז ראש הממשלה מר בנימין נתניהו על הקמת ועדת מומחים שמטרתה לבחון ולהציע פתרונות למצוקת יוקר המחיה במדינת ישראל - "הוועדה לשינוי כלכלי חברתי" בראשותו של פרופ' מנואל טרכטנברג (להלן - ועדת טרכטנברג).</w:t>
      </w:r>
    </w:p>
  </w:footnote>
  <w:footnote w:id="10">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על פי הגדרת הלמ"ס, משק בית הוא קבוצת אנשים הגרים יחד בדירה באופן קבוע ברוב ימי השבוע ויש להם תקציב משותף להוצאות על מזון. משק בית יכול לכלול אדם אחד או יותר וגם אנשים שאינם קרובי משפחה. </w:t>
      </w:r>
    </w:p>
  </w:footnote>
  <w:footnote w:id="11">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משרד הפנים אחראי גם לתפעולן של ועדות מקומיות שבמרחב התכנון שלהן נמצאת יותר מרשות מקומית אחת (להלן - ועדות מרחביות).</w:t>
      </w:r>
    </w:p>
  </w:footnote>
  <w:footnote w:id="1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על פי החלטת ממשלה מס' 5189 מ-28.10.12.</w:t>
      </w:r>
    </w:p>
  </w:footnote>
  <w:footnote w:id="13">
    <w:p w:rsidR="001A17E8" w:rsidRPr="00315F89" w:rsidP="0015642F">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על פי חוק יסוד: מקרקעי ישראל הם המקרקעים של המדינה, של רשות הפיתוח או של הקרן הקיימת לישראל.</w:t>
      </w:r>
    </w:p>
  </w:footnote>
  <w:footnote w:id="1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למעט בוועדות המרחביות שבתחומן כמה רשויות מקומיות. </w:t>
      </w:r>
    </w:p>
  </w:footnote>
  <w:footnote w:id="15">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"הכרזה לכל באי עולם בדבר זכויות האדם", סעיף 25(1), 1948.</w:t>
      </w:r>
    </w:p>
  </w:footnote>
  <w:footnote w:id="16">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סעיף 11 לאמנה מזכיר את אותן הזכויות. האמנה התקבלה בשנת 1966, וישראל אשררה אותה בשנת 1991. </w:t>
      </w:r>
    </w:p>
  </w:footnote>
  <w:footnote w:id="1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ועדה לדיור לאומי הוקמה בכל אחד מששת המחוזות על פי החלוקה המינהלית של משרד הפנים למחוזות. חברי הוועדה הם נציגים ממשרדי הממשלה, מהגופים הציבוריים העוסקים באיכות הסביבה ומהארגונים המקצועיים בתחומי התכנון והבנייה. כמו כן הוקמה ועדה ארצית לדיור לאומי.</w:t>
      </w:r>
    </w:p>
  </w:footnote>
  <w:footnote w:id="1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על פי המבנה הארגוני שלו למשרד הבינוי שבעה מחוזות: מחוז חיפה, מחוז תל אביב, מחוז ירושלים, מחוז הצפון, מחוז המרכז, מחוז הדרום ומחוז יהודה ושומרון. חלוקה זו אינה חופפת את החלוקה הנהוגה במשרד הפנים.</w:t>
      </w:r>
    </w:p>
  </w:footnote>
  <w:footnote w:id="19">
    <w:p w:rsidR="001A17E8" w:rsidRPr="00315F89" w:rsidP="00D2455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משבר הסאבפריים הוא משבר פיננסי-נדל"ני שפרץ בארה"ב ביולי-אוגוסט 2007 ומספטמבר 2008 התגלגל לידי משבר כלל-עולמי. המשבר מקורו בכך שבמשך העשור הראשון של המאה העשרים ואחת העניקו הבנקים בארה"ב משכנתאות כמעט לכל דורש, לרבות לווים בעלי יכולות החזר נמוכות מאוד וברמות מינוף של כמעט 100%. משכנתאות מסוכ</w:t>
      </w:r>
      <w:r>
        <w:rPr>
          <w:rFonts w:cs="FrankRuehl"/>
          <w:sz w:val="18"/>
          <w:rtl/>
        </w:rPr>
        <w:t>נות אלו נקראו משכנתאות סאבפריים</w:t>
      </w:r>
      <w:r w:rsidRPr="00315F89">
        <w:rPr>
          <w:rFonts w:cs="FrankRuehl"/>
          <w:sz w:val="18"/>
          <w:rtl/>
        </w:rPr>
        <w:t>. לווים רבים לא עמדו בתשלומי המשכנתה, החלה האטה בשוק הנדל"ן ומחירי הדירות ירדו ירידה חדה, ואף היו נמוכים מערך המשכנתאות שנלקחו לצורך רכישתן. אירועים אלו הביאו לידי כך שבנקים אמריקניים פשטו את הרגל, קרנות גידור, פנסיה וגופי השקעה רבים ספגו הפסדים כבדים והבורסות בכל העולם נכנסו למיתון קשה ביותר.</w:t>
      </w:r>
    </w:p>
  </w:footnote>
  <w:footnote w:id="2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שינויים במדד מחירי הדירות בניכוי מדד </w:t>
      </w:r>
      <w:r>
        <w:rPr>
          <w:rFonts w:cs="FrankRuehl" w:hint="cs"/>
          <w:sz w:val="18"/>
          <w:rtl/>
        </w:rPr>
        <w:t>ה</w:t>
      </w:r>
      <w:r w:rsidRPr="00315F89">
        <w:rPr>
          <w:rFonts w:cs="FrankRuehl"/>
          <w:sz w:val="18"/>
          <w:rtl/>
        </w:rPr>
        <w:t>מחירים לצרכן.</w:t>
      </w:r>
    </w:p>
  </w:footnote>
  <w:footnote w:id="21">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לפי הלמ"ס, מדד מחירי הדירות הוא מדד הדוני (השוואת מחירי דירות בניכוי מרכיב העלייה באיכות הדירה) והוא מחושב על בסיס משתנים כמו היישוב, רמת האזור ביישוב הנקבעת על פי גובה הארנונה, שטח הדירה במ"ר, מספר החדרים בדירה, גיל הדירה, החודש שבו התבצעה הבדיקה. הסברים נוספים על השיטה ראו: דורון סייג, מדידת השינויים במחירי הדירות לפי אזור ואמידת הגמישות של מאפייני הדירה והסביבה, סדרת ניירות עבודה - מס' 51, יולי 2010, הלמ"ס והאוניברסיטה העברית בירושלים.</w:t>
      </w:r>
    </w:p>
  </w:footnote>
  <w:footnote w:id="22">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Style w:val="FootnoteReference0"/>
          <w:rFonts w:cs="FrankRuehl"/>
          <w:sz w:val="18"/>
          <w:rtl/>
        </w:rPr>
        <w:t xml:space="preserve"> </w:t>
      </w:r>
      <w:r w:rsidRPr="00315F89">
        <w:rPr>
          <w:rFonts w:cs="FrankRuehl"/>
          <w:sz w:val="18"/>
          <w:rtl/>
        </w:rPr>
        <w:tab/>
        <w:t>בחינה באמצעות אמידת קו מגמה ארוך טווח - אומדן שנתי ממוצע המתקבל מהרצת רגרסיה לוגריתמית על מדד ריאלי של מחירי דירות בבעלות. עיבוד של אגף מידע וניתוח כלכלי, משרד הבינוי.</w:t>
      </w:r>
    </w:p>
  </w:footnote>
  <w:footnote w:id="2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בעניין ליקויים ביחסי הגומלין בין הלמ"ס למשרדי הממשלה בנושא זה ראו להלן בשער השני. כמו כן מבקר המדינה פרסם בשנת 2014 דוח על היבטים בתפקוד הלמ"ס, ראו מבקר המדינה,</w:t>
      </w:r>
      <w:r w:rsidRPr="00315F89">
        <w:rPr>
          <w:rFonts w:cs="FrankRuehl"/>
          <w:b/>
          <w:bCs/>
          <w:sz w:val="18"/>
          <w:rtl/>
        </w:rPr>
        <w:t xml:space="preserve"> דוח שנתי 64ג</w:t>
      </w:r>
      <w:r w:rsidRPr="00315F89">
        <w:rPr>
          <w:rFonts w:cs="FrankRuehl"/>
          <w:sz w:val="18"/>
          <w:rtl/>
        </w:rPr>
        <w:t xml:space="preserve"> (2014) עמ' 249-231.</w:t>
      </w:r>
    </w:p>
  </w:footnote>
  <w:footnote w:id="2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"שנת 2013 - מחירי דירות לפי מחוזות ותקופה בממוצע ארצי (באלפי ש"ח)", </w:t>
      </w:r>
      <w:r w:rsidRPr="00315F89">
        <w:rPr>
          <w:rFonts w:cs="FrankRuehl"/>
          <w:b/>
          <w:bCs/>
          <w:sz w:val="18"/>
          <w:rtl/>
        </w:rPr>
        <w:t>ענף הבנייה בישראל</w:t>
      </w:r>
      <w:r w:rsidRPr="00315F89">
        <w:rPr>
          <w:rFonts w:cs="FrankRuehl"/>
          <w:sz w:val="18"/>
          <w:rtl/>
        </w:rPr>
        <w:t xml:space="preserve">. חוברת שפרסם משרד הבינוי, על בסיס נתוני רשות המסים. </w:t>
      </w:r>
    </w:p>
  </w:footnote>
  <w:footnote w:id="25">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נתונים שהועברו למשרד מבקר המדינה על פי בקשתו.</w:t>
      </w:r>
    </w:p>
  </w:footnote>
  <w:footnote w:id="2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כ-74,000 מהם קיבלו סיוע במסגרת דיור ציבורי וכ-139,000 קיבלו סיוע בשכר דירה.</w:t>
      </w:r>
    </w:p>
  </w:footnote>
  <w:footnote w:id="27">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כ-61,500 מהם קיבלו סיוע במסגרת דיור ציבורי.</w:t>
      </w:r>
    </w:p>
  </w:footnote>
  <w:footnote w:id="28">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ההכנסה החודשית נטו של משק בית בעשירונים אלו הייתה 9,450-3,465 ש"ח.</w:t>
      </w:r>
    </w:p>
  </w:footnote>
  <w:footnote w:id="29">
    <w:p w:rsidR="001A17E8" w:rsidRPr="00315F89" w:rsidP="00FB0D47">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הרף של 30% נוגע למשקי בית בעלי הכנסה של עד 150% מההכנסה הממוצעת במשק. לעניין</w:t>
      </w:r>
      <w:r w:rsidRPr="00315F89">
        <w:rPr>
          <w:rFonts w:cs="FrankRuehl"/>
          <w:sz w:val="18"/>
        </w:rPr>
        <w:t xml:space="preserve"> </w:t>
      </w:r>
      <w:r w:rsidRPr="00315F89">
        <w:rPr>
          <w:rFonts w:cs="FrankRuehl"/>
          <w:sz w:val="18"/>
          <w:rtl/>
        </w:rPr>
        <w:t xml:space="preserve">זה ראו פרופ' רחל אלתרמן וד"ר חיים פיאלקוף, טיוטת מחקר בנושא "דיור בר השגה: כלים של תכנון סטטוטורי ומדיניות מקומית" (מאי 2011), עמ' 21 (במועד סיום הביקורת טרם הוגש דוח סופי). כמו כן, הלשכה הסטטיסטית של </w:t>
      </w:r>
      <w:r w:rsidRPr="00582A43">
        <w:rPr>
          <w:rFonts w:cs="FrankRuehl"/>
          <w:sz w:val="18"/>
          <w:rtl/>
        </w:rPr>
        <w:t>האיחוד האירופי (</w:t>
      </w:r>
      <w:r w:rsidRPr="00582A43">
        <w:rPr>
          <w:rFonts w:cs="FrankRuehl"/>
          <w:sz w:val="18"/>
        </w:rPr>
        <w:t>eurostat</w:t>
      </w:r>
      <w:r w:rsidRPr="00582A43">
        <w:rPr>
          <w:rFonts w:cs="FrankRuehl"/>
          <w:sz w:val="18"/>
          <w:rtl/>
        </w:rPr>
        <w:t>) מתייחסת</w:t>
      </w:r>
      <w:r w:rsidRPr="00315F89">
        <w:rPr>
          <w:rFonts w:cs="FrankRuehl"/>
          <w:sz w:val="18"/>
          <w:rtl/>
        </w:rPr>
        <w:t xml:space="preserve"> לנטל הוצאות הדיור ששיעורו גבוה מ-40% כאל נטל שהוא לא סביר. יצוין כי בחישוב הנטל על ידי היורו-סטס בצד מרכיבי הוצאות הדיור נכללו גם הוצאות על מים, חשמל, גז, הסקה, ארנונה, תשלומי ועד, ביטוח ואף עלויות תחזוקה שוטפת ותיקונים. </w:t>
      </w:r>
    </w:p>
  </w:footnote>
  <w:footnote w:id="30">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לוח 21 שכותרתו "נתונים נבחרים על דיור בעשירונים של משקי בית, לפי הכנסה נטו לנפש סטנדרטית - דירות בבעלותם", מתוך סקר הוצאות משק הבית 2011, סיכומים כלליים, פורסם ב-21.3.13.</w:t>
      </w:r>
    </w:p>
  </w:footnote>
  <w:footnote w:id="31">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נטל הוצאות הדיור חושב על בסיס הוצאות שכר דירה בלבד ובלי להתחשב בהוצאות הדיור כמו ארנונה, מים, חשמל ומסי ועד בית. אם ייכללו הוצאות אלו יעלה באופן חד נטל ההוצאות על דיור.</w:t>
      </w:r>
    </w:p>
  </w:footnote>
  <w:footnote w:id="32">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העיבוד נעשה על בסיס נתוני הלמ"ס שהופקו לבקשתו של משרד מבקר המדינה.</w:t>
      </w:r>
    </w:p>
  </w:footnote>
  <w:footnote w:id="3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בשנת 2012 הייתה הכנסתם הממוצעת כ-5,578 ש"ח, דהיינו 40% מההכנסה הממוצעת לחודש של כלל משקי הבית.</w:t>
      </w:r>
    </w:p>
  </w:footnote>
  <w:footnote w:id="34">
    <w:p w:rsidR="001A17E8" w:rsidRPr="009A7B59" w:rsidP="009A7B59">
      <w:pPr>
        <w:pStyle w:val="FootnoteText"/>
        <w:keepLines/>
        <w:spacing w:line="200" w:lineRule="exact"/>
        <w:ind w:left="397" w:hanging="397"/>
        <w:jc w:val="both"/>
        <w:rPr>
          <w:rStyle w:val="FootnoteReference0"/>
          <w:rFonts w:ascii="FrankRuehl" w:hAnsi="FrankRuehl" w:cs="FrankRuehl"/>
          <w:vertAlign w:val="baseline"/>
        </w:rPr>
      </w:pPr>
      <w:r w:rsidRPr="009A7B59">
        <w:rPr>
          <w:rStyle w:val="FootnoteReference0"/>
          <w:rFonts w:ascii="FrankRuehl" w:hAnsi="FrankRuehl" w:cs="FrankRuehl"/>
          <w:vertAlign w:val="baseline"/>
        </w:rPr>
        <w:footnoteRef/>
      </w:r>
      <w:r w:rsidRPr="009A7B59">
        <w:rPr>
          <w:rStyle w:val="FootnoteReference0"/>
          <w:rFonts w:ascii="FrankRuehl" w:hAnsi="FrankRuehl" w:cs="FrankRuehl"/>
          <w:vertAlign w:val="baseline"/>
          <w:rtl/>
        </w:rPr>
        <w:t xml:space="preserve"> </w:t>
      </w:r>
      <w:r>
        <w:rPr>
          <w:rStyle w:val="FootnoteReference0"/>
          <w:rFonts w:ascii="FrankRuehl" w:hAnsi="FrankRuehl" w:cs="FrankRuehl"/>
          <w:vertAlign w:val="baseline"/>
        </w:rPr>
        <w:tab/>
      </w:r>
      <w:r w:rsidRPr="00315F89">
        <w:rPr>
          <w:rFonts w:cs="FrankRuehl"/>
          <w:sz w:val="18"/>
          <w:rtl/>
        </w:rPr>
        <w:t>לפי נתוני הלמ"ס - סקר כוח אדם המעודכן לאפריל 2013 - 87.3% מכלל המועסקים במשק הם עובדים במשרת שכיר.</w:t>
      </w:r>
    </w:p>
  </w:footnote>
  <w:footnote w:id="35">
    <w:p w:rsidR="001A17E8" w:rsidRPr="00331CA4" w:rsidP="00331CA4">
      <w:pPr>
        <w:pStyle w:val="FootnoteText"/>
        <w:keepNext/>
        <w:keepLines/>
        <w:rPr>
          <w:rStyle w:val="FootnoteReference0"/>
          <w:rFonts w:ascii="FrankRuehl" w:hAnsi="FrankRuehl" w:cs="FrankRuehl"/>
          <w:vertAlign w:val="baseline"/>
        </w:rPr>
      </w:pPr>
      <w:r w:rsidRPr="00205099">
        <w:rPr>
          <w:rStyle w:val="FootnoteReference0"/>
          <w:rFonts w:ascii="FrankRuehl" w:hAnsi="FrankRuehl" w:cs="FrankRuehl"/>
          <w:vertAlign w:val="baseline"/>
        </w:rPr>
        <w:footnoteRef/>
      </w:r>
      <w:r w:rsidRPr="00205099">
        <w:rPr>
          <w:rStyle w:val="FootnoteReference0"/>
          <w:rFonts w:ascii="FrankRuehl" w:hAnsi="FrankRuehl" w:cs="FrankRuehl"/>
          <w:vertAlign w:val="baseline"/>
          <w:rtl/>
        </w:rPr>
        <w:t xml:space="preserve"> </w:t>
      </w:r>
      <w:r w:rsidRPr="00205099">
        <w:rPr>
          <w:rStyle w:val="FootnoteReference0"/>
          <w:rFonts w:ascii="FrankRuehl" w:hAnsi="FrankRuehl" w:cs="FrankRuehl" w:hint="cs"/>
          <w:vertAlign w:val="baseline"/>
          <w:rtl/>
        </w:rPr>
        <w:tab/>
      </w:r>
      <w:r w:rsidRPr="00205099">
        <w:rPr>
          <w:rFonts w:cs="FrankRuehl"/>
          <w:sz w:val="18"/>
          <w:rtl/>
        </w:rPr>
        <w:t>על פי נתוני האגף למידע וניתוח כלכלי במשרד הבינוי.</w:t>
      </w:r>
    </w:p>
  </w:footnote>
  <w:footnote w:id="36">
    <w:p w:rsidR="001A17E8" w:rsidRPr="00315F89" w:rsidP="008E4F38">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על פי נתונים של האגף למידע וניתוח כלכלי במשרד הבינוי, על בסיס נתוני הלמ"ס.</w:t>
      </w:r>
    </w:p>
  </w:footnote>
  <w:footnote w:id="37">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קלמן גייר וסרגיי סומקין, </w:t>
      </w:r>
      <w:r w:rsidRPr="00315F89">
        <w:rPr>
          <w:rFonts w:cs="FrankRuehl"/>
          <w:b/>
          <w:bCs/>
          <w:sz w:val="18"/>
          <w:rtl/>
        </w:rPr>
        <w:t>כימוי אובדן הרווחה הכלכלית כתוצאה ממדיניות שיווק קרקעות למגורים בישראל בשנים 1990-2011</w:t>
      </w:r>
      <w:r w:rsidRPr="00315F89">
        <w:rPr>
          <w:rFonts w:cs="FrankRuehl"/>
          <w:sz w:val="18"/>
          <w:rtl/>
        </w:rPr>
        <w:t xml:space="preserve">, א.ג.פ אפלייד אקונומיקס בע"מ, ינואר 2013. המחקר בוצע עבור המכון הישראלי לתכנון כלכלי. </w:t>
      </w:r>
    </w:p>
  </w:footnote>
  <w:footnote w:id="38">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r>
      <w:r w:rsidRPr="00315F89">
        <w:rPr>
          <w:rFonts w:cs="FrankRuehl"/>
          <w:sz w:val="18"/>
          <w:rtl/>
          <w:lang w:eastAsia="he-IL"/>
        </w:rPr>
        <w:t>הארגון לשיתוף פעולה ולפיתוח כלכלי - ארגון בינלאומי של המדינות המפותחות הפועלות בהתאם לעקרונות דמוקרטיים וליברליים שכלכלתן מבוססת על עקרונות השוק החופשי. ישראל חברה בארגון משנת 2010.</w:t>
      </w:r>
    </w:p>
  </w:footnote>
  <w:footnote w:id="3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שנת 2002 נבחרה כשנה הראשונה לחישוב היחס בין מספר משקי הבית שנוספו ובין מספר התחלות הבנייה, משום שבין 2001 לשנת 2002 התאפס הפער המצטבר בין התחלות הבנייה ובין תוספת משקי בית, שחושב משנת 1995.</w:t>
      </w:r>
    </w:p>
  </w:footnote>
  <w:footnote w:id="4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משרד הבינוי, "ענף הבנייה בישראל - ניתוח כלכלי", חוברת סיכום לשנת 2013, עמ' 42.</w:t>
      </w:r>
    </w:p>
  </w:footnote>
  <w:footnote w:id="41">
    <w:p w:rsidR="001A17E8" w:rsidRPr="00315F89" w:rsidP="00315F89">
      <w:pPr>
        <w:keepLines/>
        <w:spacing w:line="200" w:lineRule="exact"/>
        <w:ind w:left="397" w:hanging="397"/>
        <w:jc w:val="both"/>
        <w:rPr>
          <w:rFonts w:cs="FrankRuehl"/>
          <w:sz w:val="18"/>
          <w:szCs w:val="20"/>
          <w:rtl/>
        </w:rPr>
      </w:pPr>
      <w:r w:rsidRPr="00315F89">
        <w:rPr>
          <w:rStyle w:val="FootnoteReference0"/>
          <w:rFonts w:ascii="FrankRuehl" w:hAnsi="FrankRuehl" w:cs="FrankRuehl"/>
          <w:sz w:val="20"/>
          <w:szCs w:val="20"/>
          <w:vertAlign w:val="baseline"/>
        </w:rPr>
        <w:footnoteRef/>
      </w:r>
      <w:r w:rsidRPr="00315F89">
        <w:rPr>
          <w:rStyle w:val="FootnoteReference0"/>
          <w:rFonts w:cs="FrankRuehl"/>
          <w:sz w:val="18"/>
          <w:szCs w:val="20"/>
          <w:rtl/>
        </w:rPr>
        <w:t xml:space="preserve"> </w:t>
      </w:r>
      <w:r w:rsidRPr="00315F89">
        <w:rPr>
          <w:rFonts w:cs="FrankRuehl"/>
          <w:sz w:val="18"/>
          <w:szCs w:val="20"/>
          <w:rtl/>
        </w:rPr>
        <w:tab/>
        <w:t xml:space="preserve">יצוין כי באוגוסט 2013 התקבל חוק ההסדרים ולפיו מ-1.1.14 ייכנסו לתוקף תיקונים המשפיעים השפעה ניכרת על הפטורים וההסדרים הקבועים בחוק מיסוי מקרקעין (שבח ורכישה), התשכ"ג-1963, שבכוחם להקטין את כדאיות ההשקעה בדירות למגורים. </w:t>
      </w:r>
    </w:p>
  </w:footnote>
  <w:footnote w:id="4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ab/>
        <w:t xml:space="preserve">הוועדה המוניטרית מונה שישה חברים - הנגיד המשמש יו"ר הוועדה, המשנה לנגיד, עובד הבנק שמינה הנגיד ושלושה חברים מקרב הציבור. תפקידה בין היתר הוא לקבוע את המדיניות להשגת מטרות הבנק. </w:t>
      </w:r>
    </w:p>
  </w:footnote>
  <w:footnote w:id="4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בפורום הרחב משתתפים חברי הוועדה המוניטרית ועובדים בדרגים שונים בבנק.</w:t>
      </w:r>
    </w:p>
  </w:footnote>
  <w:footnote w:id="44">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בפורום המצומצם משתתפים חברי הוועדה המוניטרית ושני מנהלי החטיבות הכלכליות (מחקר ושווקים).</w:t>
      </w:r>
    </w:p>
  </w:footnote>
  <w:footnote w:id="45">
    <w:p w:rsidR="001A17E8" w:rsidRPr="00315F89" w:rsidP="00315F89">
      <w:pPr>
        <w:keepLines/>
        <w:spacing w:line="200" w:lineRule="exact"/>
        <w:ind w:left="397" w:hanging="397"/>
        <w:jc w:val="both"/>
        <w:rPr>
          <w:rFonts w:cs="FrankRuehl"/>
          <w:sz w:val="18"/>
          <w:szCs w:val="20"/>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t>פרופ' צבי אקשטיין, ד"ר אפרת טולקובסקי, ניצן צור, "האם מחירי הדיור בישראל גבוהים בשל מלאי תכנוני קטן?", נייר מדיניות, מכון גזית-גלוב לחקר נדל"ן והמרכז הבינתחומי הרצליה, דצמבר 2012.</w:t>
      </w:r>
    </w:p>
  </w:footnote>
  <w:footnote w:id="46">
    <w:p w:rsidR="001A17E8" w:rsidRPr="00315F89" w:rsidP="00315F89">
      <w:pPr>
        <w:keepLines/>
        <w:spacing w:line="200" w:lineRule="exact"/>
        <w:ind w:left="397" w:hanging="397"/>
        <w:jc w:val="both"/>
        <w:rPr>
          <w:rFonts w:cs="FrankRuehl"/>
          <w:sz w:val="18"/>
          <w:szCs w:val="20"/>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t xml:space="preserve">לפי הגדרת המחקר, אזורי ביקוש הם אזורים מבוקשים שבהם עלות הדיור גבוהה וההיצע קטן. </w:t>
      </w:r>
    </w:p>
  </w:footnote>
  <w:footnote w:id="47">
    <w:p w:rsidR="001A17E8" w:rsidRPr="00315F89" w:rsidP="00315F89">
      <w:pPr>
        <w:pStyle w:val="FootnoteText"/>
        <w:keepLines/>
        <w:spacing w:line="200" w:lineRule="exact"/>
        <w:ind w:left="397" w:hanging="397"/>
        <w:jc w:val="both"/>
        <w:rPr>
          <w:rFonts w:cs="FrankRuehl"/>
          <w:b/>
          <w:bCs/>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דוח שנתי 45</w:t>
      </w:r>
      <w:r w:rsidRPr="00315F89">
        <w:rPr>
          <w:rFonts w:cs="FrankRuehl"/>
          <w:sz w:val="18"/>
          <w:rtl/>
        </w:rPr>
        <w:t xml:space="preserve"> (1995), עמ' 100; </w:t>
      </w:r>
      <w:r w:rsidRPr="00315F89">
        <w:rPr>
          <w:rFonts w:cs="FrankRuehl"/>
          <w:b/>
          <w:bCs/>
          <w:sz w:val="18"/>
          <w:rtl/>
        </w:rPr>
        <w:t>דוח שנתי 52ב</w:t>
      </w:r>
      <w:r w:rsidRPr="00315F89">
        <w:rPr>
          <w:rFonts w:cs="FrankRuehl"/>
          <w:sz w:val="18"/>
          <w:rtl/>
        </w:rPr>
        <w:t xml:space="preserve"> (2002), עמ' 939; </w:t>
      </w:r>
      <w:r w:rsidRPr="00315F89">
        <w:rPr>
          <w:rFonts w:cs="FrankRuehl"/>
          <w:b/>
          <w:bCs/>
          <w:sz w:val="18"/>
          <w:rtl/>
        </w:rPr>
        <w:t>דוח שנתי 55ב</w:t>
      </w:r>
      <w:r w:rsidRPr="00315F89">
        <w:rPr>
          <w:rFonts w:cs="FrankRuehl"/>
          <w:sz w:val="18"/>
          <w:rtl/>
        </w:rPr>
        <w:t xml:space="preserve"> (2005), עמ'</w:t>
      </w:r>
      <w:r w:rsidRPr="00315F89">
        <w:rPr>
          <w:rFonts w:cs="FrankRuehl"/>
          <w:b/>
          <w:bCs/>
          <w:sz w:val="18"/>
          <w:rtl/>
        </w:rPr>
        <w:t xml:space="preserve"> </w:t>
      </w:r>
      <w:r w:rsidRPr="00315F89">
        <w:rPr>
          <w:rFonts w:cs="FrankRuehl"/>
          <w:sz w:val="18"/>
          <w:rtl/>
        </w:rPr>
        <w:t>434</w:t>
      </w:r>
      <w:r w:rsidRPr="00315F89">
        <w:rPr>
          <w:rFonts w:cs="FrankRuehl"/>
          <w:b/>
          <w:bCs/>
          <w:sz w:val="18"/>
          <w:rtl/>
        </w:rPr>
        <w:t>.</w:t>
      </w:r>
    </w:p>
  </w:footnote>
  <w:footnote w:id="4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הנתונים נוגעים לעסקאות שמקורן בפרסום מכרז ואין הם כוללים נתונים על עסקאות באזור יהודה ושומרון.</w:t>
      </w:r>
    </w:p>
  </w:footnote>
  <w:footnote w:id="49">
    <w:p w:rsidR="001A17E8" w:rsidRPr="00315F89" w:rsidP="00315F89">
      <w:pPr>
        <w:keepLines/>
        <w:spacing w:line="200" w:lineRule="exact"/>
        <w:ind w:left="397" w:hanging="397"/>
        <w:jc w:val="both"/>
        <w:rPr>
          <w:rFonts w:cs="FrankRuehl"/>
          <w:sz w:val="18"/>
          <w:szCs w:val="20"/>
        </w:rPr>
      </w:pPr>
      <w:r w:rsidRPr="00315F89">
        <w:rPr>
          <w:rStyle w:val="FootnoteReference0"/>
          <w:rFonts w:ascii="FrankRuehl" w:hAnsi="FrankRuehl" w:cs="FrankRuehl"/>
          <w:sz w:val="20"/>
          <w:szCs w:val="20"/>
          <w:vertAlign w:val="baseline"/>
        </w:rPr>
        <w:footnoteRef/>
      </w:r>
      <w:r w:rsidRPr="00315F89">
        <w:rPr>
          <w:rStyle w:val="FootnoteReference0"/>
          <w:rFonts w:cs="FrankRuehl"/>
          <w:sz w:val="18"/>
          <w:szCs w:val="20"/>
          <w:rtl/>
        </w:rPr>
        <w:t xml:space="preserve"> </w:t>
      </w:r>
      <w:r w:rsidRPr="00315F89">
        <w:rPr>
          <w:rFonts w:cs="FrankRuehl"/>
          <w:sz w:val="18"/>
          <w:szCs w:val="20"/>
          <w:rtl/>
        </w:rPr>
        <w:tab/>
        <w:t>ויצמן נגר, גיא סגל, "מה מסביר את התפתחות מחירי הדירות ושכר הדירה בישראל בשנים 2010-1999, מתוך סקר בנק ישראל 85, דצמבר 2011, עמ' 59-7.</w:t>
      </w:r>
    </w:p>
  </w:footnote>
  <w:footnote w:id="50">
    <w:p w:rsidR="001A17E8" w:rsidRPr="00315F89" w:rsidP="00315F89">
      <w:pPr>
        <w:keepLines/>
        <w:spacing w:line="200" w:lineRule="exact"/>
        <w:ind w:left="397" w:hanging="397"/>
        <w:jc w:val="both"/>
        <w:rPr>
          <w:rFonts w:cs="FrankRuehl"/>
          <w:sz w:val="18"/>
          <w:szCs w:val="20"/>
          <w:rtl/>
        </w:rPr>
      </w:pPr>
      <w:r w:rsidRPr="00A01D32">
        <w:rPr>
          <w:rStyle w:val="50"/>
          <w:rFonts w:ascii="FrankRuehl" w:eastAsia="Calibri" w:hAnsi="FrankRuehl" w:cs="FrankRuehl"/>
          <w:bCs w:val="0"/>
          <w:sz w:val="20"/>
          <w:szCs w:val="20"/>
          <w:u w:val="none"/>
        </w:rPr>
        <w:footnoteRef/>
      </w:r>
      <w:r w:rsidRPr="00315F89">
        <w:rPr>
          <w:rFonts w:cs="FrankRuehl"/>
          <w:b/>
          <w:bCs/>
          <w:sz w:val="18"/>
          <w:szCs w:val="20"/>
          <w:rtl/>
        </w:rPr>
        <w:t xml:space="preserve"> </w:t>
      </w:r>
      <w:r w:rsidRPr="00315F89">
        <w:rPr>
          <w:rFonts w:cs="FrankRuehl"/>
          <w:sz w:val="18"/>
          <w:szCs w:val="20"/>
          <w:rtl/>
        </w:rPr>
        <w:tab/>
        <w:t>ראו תרשים 6 לעיל.</w:t>
      </w:r>
    </w:p>
  </w:footnote>
  <w:footnote w:id="51">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הנתונים נוגעים לבנייה ביזמה ציבורית ופרטית.</w:t>
      </w:r>
    </w:p>
  </w:footnote>
  <w:footnote w:id="5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Pr>
          <w:rFonts w:cs="FrankRuehl"/>
          <w:sz w:val="18"/>
        </w:rPr>
        <w:tab/>
      </w:r>
      <w:r w:rsidRPr="00315F89">
        <w:rPr>
          <w:rFonts w:cs="FrankRuehl"/>
          <w:sz w:val="18"/>
          <w:rtl/>
        </w:rPr>
        <w:t>סעיף 63ב(ב).</w:t>
      </w:r>
    </w:p>
  </w:footnote>
  <w:footnote w:id="5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חוק מס ערך מוסף, התשל"ו-1975, עוסק במי שמוכר נכס או נותן שירות במהלך עסקיו ובלבד שאינו מלכ"ר או מוסד כספי, וכן במי שעושה עסקת אקראי.</w:t>
      </w:r>
    </w:p>
  </w:footnote>
  <w:footnote w:id="5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15% מהעסקאות שאינן נכללות בקובץ הכרמ"ן הן עסקאות של מכירת נדל"ן עסקי, ירושות והעברות בעלות בין קרובים, פעולות באיגודים, העברות ומכירות בקיבוצים וכן הפקעות</w:t>
      </w:r>
      <w:r w:rsidRPr="00315F89">
        <w:rPr>
          <w:rFonts w:cs="FrankRuehl"/>
          <w:sz w:val="18"/>
        </w:rPr>
        <w:t>.</w:t>
      </w:r>
      <w:r w:rsidRPr="00315F89">
        <w:rPr>
          <w:rFonts w:cs="FrankRuehl"/>
          <w:sz w:val="18"/>
          <w:rtl/>
        </w:rPr>
        <w:t xml:space="preserve"> לכן, מחירי עסקאות אלו אינם משקפים בהכרח מחיר בעסקה בין קונה מרצון למוכר מרצון.</w:t>
      </w:r>
    </w:p>
  </w:footnote>
  <w:footnote w:id="55">
    <w:p w:rsidR="001A17E8" w:rsidRPr="00315F89" w:rsidP="003D6B9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העברת המידע מגוף ציבורי לגוף ציבורי נעשית על פי תקנות הגנת הפרטיות (תנאי החזקת מידע ושמירתו וסדרי העברת מידע בין גופים ציבוריים), התשמ"ו-1986.</w:t>
      </w:r>
    </w:p>
  </w:footnote>
  <w:footnote w:id="56">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אתר האינטרנט של מינהל הכנסות המדינה, </w:t>
      </w:r>
      <w:r w:rsidRPr="00315F89">
        <w:rPr>
          <w:rFonts w:cs="FrankRuehl"/>
          <w:sz w:val="18"/>
        </w:rPr>
        <w:t>www.mof.gov.il/hachnasot</w:t>
      </w:r>
      <w:r w:rsidRPr="00315F89">
        <w:rPr>
          <w:rFonts w:cs="FrankRuehl"/>
          <w:sz w:val="18"/>
          <w:rtl/>
        </w:rPr>
        <w:t xml:space="preserve">. המסמך פורסם </w:t>
      </w:r>
      <w:r>
        <w:rPr>
          <w:rFonts w:cs="FrankRuehl" w:hint="cs"/>
          <w:sz w:val="18"/>
          <w:rtl/>
        </w:rPr>
        <w:br/>
      </w:r>
      <w:r w:rsidRPr="00315F89">
        <w:rPr>
          <w:rFonts w:cs="FrankRuehl"/>
          <w:sz w:val="18"/>
          <w:rtl/>
        </w:rPr>
        <w:t>ב-22.6.09.</w:t>
      </w:r>
    </w:p>
  </w:footnote>
  <w:footnote w:id="57">
    <w:p w:rsidR="001A17E8" w:rsidRPr="00315F89" w:rsidP="00491726">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Style w:val="FootnoteReference0"/>
          <w:rFonts w:cs="FrankRuehl"/>
          <w:sz w:val="18"/>
          <w:rtl/>
        </w:rPr>
        <w:t xml:space="preserve"> </w:t>
      </w:r>
      <w:r w:rsidRPr="00315F89">
        <w:rPr>
          <w:rFonts w:cs="FrankRuehl"/>
          <w:sz w:val="18"/>
          <w:rtl/>
        </w:rPr>
        <w:tab/>
        <w:t xml:space="preserve">הישיבה התקיימה ב-31.08.09, ובין היתר השתתפו בה </w:t>
      </w:r>
      <w:r>
        <w:rPr>
          <w:rFonts w:cs="FrankRuehl"/>
          <w:sz w:val="18"/>
          <w:rtl/>
        </w:rPr>
        <w:t>נציגים ממשרד ראש הממשלה, ממשרדי</w:t>
      </w:r>
      <w:r>
        <w:rPr>
          <w:rFonts w:cs="FrankRuehl" w:hint="cs"/>
          <w:sz w:val="18"/>
          <w:rtl/>
        </w:rPr>
        <w:t xml:space="preserve"> </w:t>
      </w:r>
      <w:r w:rsidRPr="00315F89">
        <w:rPr>
          <w:rFonts w:cs="FrankRuehl"/>
          <w:sz w:val="18"/>
          <w:rtl/>
        </w:rPr>
        <w:t xml:space="preserve">האוצר, </w:t>
      </w:r>
      <w:r>
        <w:rPr>
          <w:rFonts w:cs="FrankRuehl" w:hint="cs"/>
          <w:sz w:val="18"/>
          <w:rtl/>
        </w:rPr>
        <w:t>הבינוי</w:t>
      </w:r>
      <w:r w:rsidRPr="00315F89">
        <w:rPr>
          <w:rFonts w:cs="FrankRuehl"/>
          <w:sz w:val="18"/>
          <w:rtl/>
        </w:rPr>
        <w:t xml:space="preserve"> והפנים, ממשרד השמאי הממשלתי, מרשות המסים, מהלמ"ס, מבנק ישראל ומהתאחדות הקבלנים וכן נציגים ממוסדות מחקר אוניברסיטאיים.</w:t>
      </w:r>
    </w:p>
  </w:footnote>
  <w:footnote w:id="58">
    <w:p w:rsidR="001A17E8" w:rsidRPr="00315F89" w:rsidP="00491726">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הצוות כלל נציגים מהלמ"ס, ממשרדי הפנים, </w:t>
      </w:r>
      <w:r>
        <w:rPr>
          <w:rFonts w:cs="FrankRuehl" w:hint="cs"/>
          <w:sz w:val="18"/>
          <w:rtl/>
        </w:rPr>
        <w:t>הבינוי</w:t>
      </w:r>
      <w:r w:rsidRPr="00315F89">
        <w:rPr>
          <w:rFonts w:cs="FrankRuehl"/>
          <w:sz w:val="18"/>
          <w:rtl/>
        </w:rPr>
        <w:t xml:space="preserve"> והמשפטים, מרמ"י, מהמרכז למיפוי ישראל, מרשות המסים ומבנק ישראל.</w:t>
      </w:r>
    </w:p>
  </w:footnote>
  <w:footnote w:id="5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Style w:val="FootnoteReference0"/>
          <w:rFonts w:cs="FrankRuehl"/>
          <w:sz w:val="18"/>
          <w:rtl/>
        </w:rPr>
        <w:t xml:space="preserve"> </w:t>
      </w:r>
      <w:r w:rsidRPr="00315F89">
        <w:rPr>
          <w:rFonts w:cs="FrankRuehl"/>
          <w:sz w:val="18"/>
          <w:rtl/>
        </w:rPr>
        <w:tab/>
        <w:t xml:space="preserve">החלטת ממשלה מס' 430 מ-10.9.06. </w:t>
      </w:r>
    </w:p>
  </w:footnote>
  <w:footnote w:id="6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הצוות הבין-משרדי לטיוב נתוני הדיור בישראל, בראשות המועצה הלאומית לכלכלה.</w:t>
      </w:r>
    </w:p>
  </w:footnote>
  <w:footnote w:id="61">
    <w:p w:rsidR="001A17E8" w:rsidRPr="00315F89" w:rsidP="00315F89">
      <w:pPr>
        <w:pStyle w:val="FootnoteText"/>
        <w:keepLines/>
        <w:spacing w:line="200" w:lineRule="exact"/>
        <w:ind w:left="397" w:hanging="397"/>
        <w:jc w:val="both"/>
        <w:rPr>
          <w:rStyle w:val="FootnoteReference0"/>
          <w:rFonts w:cs="FrankRuehl"/>
          <w:sz w:val="18"/>
        </w:rPr>
      </w:pPr>
      <w:r w:rsidRPr="00315F89">
        <w:rPr>
          <w:rStyle w:val="FootnoteReference0"/>
          <w:rFonts w:ascii="FrankRuehl" w:hAnsi="FrankRuehl" w:cs="FrankRuehl"/>
          <w:vertAlign w:val="baseline"/>
        </w:rPr>
        <w:footnoteRef/>
      </w:r>
      <w:r w:rsidRPr="00315F89">
        <w:rPr>
          <w:rStyle w:val="FootnoteReference0"/>
          <w:rFonts w:cs="FrankRuehl"/>
          <w:sz w:val="18"/>
          <w:rtl/>
        </w:rPr>
        <w:t xml:space="preserve"> </w:t>
      </w:r>
      <w:r w:rsidRPr="00315F89">
        <w:rPr>
          <w:rStyle w:val="FootnoteReference0"/>
          <w:rFonts w:cs="FrankRuehl"/>
          <w:sz w:val="18"/>
          <w:rtl/>
        </w:rPr>
        <w:tab/>
      </w:r>
      <w:r w:rsidRPr="00315F89">
        <w:rPr>
          <w:rFonts w:cs="FrankRuehl"/>
          <w:sz w:val="18"/>
          <w:rtl/>
        </w:rPr>
        <w:t>דוח ביניים של הצוות הבין-משרדי לטיוב נתוני הדיור בישראל, ינואר 2014.</w:t>
      </w:r>
    </w:p>
  </w:footnote>
  <w:footnote w:id="62">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כאמור, הוראת רשות המסים מ-22.1.07.</w:t>
      </w:r>
    </w:p>
  </w:footnote>
  <w:footnote w:id="63">
    <w:p w:rsidR="001A17E8" w:rsidRPr="00315F89" w:rsidP="00315F89">
      <w:pPr>
        <w:pStyle w:val="FootnoteText"/>
        <w:keepLines/>
        <w:spacing w:line="200" w:lineRule="exact"/>
        <w:ind w:left="397" w:hanging="397"/>
        <w:jc w:val="both"/>
        <w:rPr>
          <w:rStyle w:val="FootnoteReference0"/>
          <w:rFonts w:cs="FrankRuehl"/>
          <w:sz w:val="18"/>
          <w:rtl/>
        </w:rPr>
      </w:pPr>
      <w:r w:rsidRPr="00315F89">
        <w:rPr>
          <w:rStyle w:val="FootnoteReference0"/>
          <w:rFonts w:ascii="FrankRuehl" w:hAnsi="FrankRuehl" w:cs="FrankRuehl"/>
          <w:vertAlign w:val="baseline"/>
        </w:rPr>
        <w:footnoteRef/>
      </w:r>
      <w:r w:rsidRPr="00315F89">
        <w:rPr>
          <w:rStyle w:val="FootnoteReference0"/>
          <w:rFonts w:cs="FrankRuehl"/>
          <w:sz w:val="18"/>
          <w:rtl/>
        </w:rPr>
        <w:t xml:space="preserve"> </w:t>
      </w:r>
      <w:r w:rsidRPr="00315F89">
        <w:rPr>
          <w:rStyle w:val="FootnoteReference0"/>
          <w:rFonts w:cs="FrankRuehl"/>
          <w:sz w:val="18"/>
          <w:rtl/>
        </w:rPr>
        <w:tab/>
      </w:r>
      <w:r w:rsidRPr="00315F89">
        <w:rPr>
          <w:rFonts w:cs="FrankRuehl"/>
          <w:sz w:val="18"/>
          <w:rtl/>
        </w:rPr>
        <w:t>נבדקו שדות המשמשים את הלמ"ס לחישוב מדד מחירי הדירות.</w:t>
      </w:r>
    </w:p>
  </w:footnote>
  <w:footnote w:id="64">
    <w:p w:rsidR="001A17E8" w:rsidRPr="00315F89" w:rsidP="00315F89">
      <w:pPr>
        <w:keepLines/>
        <w:spacing w:line="200" w:lineRule="exact"/>
        <w:ind w:left="397" w:hanging="397"/>
        <w:jc w:val="both"/>
        <w:rPr>
          <w:rFonts w:cs="FrankRuehl"/>
          <w:sz w:val="18"/>
          <w:szCs w:val="20"/>
        </w:rPr>
      </w:pPr>
      <w:r w:rsidRPr="00315F89">
        <w:rPr>
          <w:rStyle w:val="FootnoteReference0"/>
          <w:rFonts w:ascii="FrankRuehl" w:hAnsi="FrankRuehl" w:cs="FrankRuehl"/>
          <w:sz w:val="20"/>
          <w:szCs w:val="20"/>
          <w:vertAlign w:val="baseline"/>
        </w:rPr>
        <w:footnoteRef/>
      </w:r>
      <w:r w:rsidRPr="00315F89">
        <w:rPr>
          <w:rStyle w:val="FootnoteReference0"/>
          <w:rFonts w:cs="FrankRuehl"/>
          <w:sz w:val="18"/>
          <w:szCs w:val="20"/>
          <w:rtl/>
        </w:rPr>
        <w:t xml:space="preserve"> </w:t>
      </w:r>
      <w:r w:rsidRPr="00315F89">
        <w:rPr>
          <w:rFonts w:cs="FrankRuehl"/>
          <w:sz w:val="18"/>
          <w:szCs w:val="20"/>
          <w:rtl/>
        </w:rPr>
        <w:tab/>
        <w:t>היחידה לשירות עיבודים ממוכנים. יחידת שע"ם כפופה לרשות המסים ומספקת שירותי מחשוב כמו תחזוקת קובץ העסקאות וקובץ הכרמ"ן, הפקתם ושליחתם לגורמים הממשלתיים השונים הפעילים בתחום הדיור ומפיקים נתונים על השינויים במחירי הדיור.</w:t>
      </w:r>
    </w:p>
  </w:footnote>
  <w:footnote w:id="65">
    <w:p w:rsidR="001A17E8" w:rsidRPr="00315F89" w:rsidP="003D6B9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ההשוואה נעשתה בין עסקאות שהוזנו בהן נתונים בשדות המקבילים. לדוגמה, בשדה מספר חדרים היו כ-14.5 אלף עסקאות חוזרות ובשדה מספר הקומות הוזנו כ-9.5 אלפי עסקאות חוזרות.</w:t>
      </w:r>
    </w:p>
  </w:footnote>
  <w:footnote w:id="6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התכנית הכלכלית לשנים 2014-2013, שינויים מבניים, מצרפי התקציב והרכבי התקציב, מאי 2013.</w:t>
      </w:r>
    </w:p>
  </w:footnote>
  <w:footnote w:id="6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התיקון נעשה במסגרת החוק לשינוי סדרי עדיפויות לאומיים (תיקוני חקיקה להשגת יעדי התקציב לשנים 2013 ו-2014), התשע"ג-2013, שהתקבל בכנסת באוגוסט 2013.</w:t>
      </w:r>
    </w:p>
  </w:footnote>
  <w:footnote w:id="68">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Style w:val="FootnoteReference0"/>
          <w:rFonts w:cs="FrankRuehl"/>
          <w:sz w:val="18"/>
          <w:rtl/>
        </w:rPr>
        <w:t xml:space="preserve"> </w:t>
      </w:r>
      <w:r w:rsidRPr="00315F89">
        <w:rPr>
          <w:rFonts w:cs="FrankRuehl"/>
          <w:sz w:val="18"/>
        </w:rPr>
        <w:tab/>
      </w:r>
      <w:r w:rsidRPr="00315F89">
        <w:rPr>
          <w:rFonts w:cs="FrankRuehl"/>
          <w:sz w:val="18"/>
          <w:rtl/>
        </w:rPr>
        <w:t>מדד המחירים לצרכן מודד את שיעור השינוי שחל עם הזמן בהוצאה הדרושה לקניית "סל קבוע" של מוצרים ושירותים</w:t>
      </w:r>
      <w:r w:rsidRPr="00315F89">
        <w:rPr>
          <w:rFonts w:cs="FrankRuehl"/>
          <w:sz w:val="18"/>
          <w:rtl/>
        </w:rPr>
        <w:t>,</w:t>
      </w:r>
      <w:r w:rsidRPr="00315F89">
        <w:rPr>
          <w:rFonts w:cs="FrankRuehl"/>
          <w:sz w:val="18"/>
          <w:rtl/>
        </w:rPr>
        <w:t xml:space="preserve"> המייצג את התצרוכת של אוכלוסיית משקי הבית. המדד משמש בין היתר להצמדות שונות, לקביעת תוספת היוקר, לתעריפי השכר ולניתוח מגמות המחירים במשק.</w:t>
      </w:r>
    </w:p>
  </w:footnote>
  <w:footnote w:id="69">
    <w:p w:rsidR="001A17E8" w:rsidRPr="00315F89" w:rsidP="00BB556A">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Style w:val="FootnoteReference0"/>
          <w:rFonts w:cs="FrankRuehl"/>
          <w:sz w:val="18"/>
          <w:rtl/>
        </w:rPr>
        <w:t xml:space="preserve"> </w:t>
      </w:r>
      <w:r w:rsidRPr="00315F89">
        <w:rPr>
          <w:rFonts w:cs="FrankRuehl"/>
          <w:sz w:val="18"/>
          <w:rtl/>
        </w:rPr>
        <w:tab/>
        <w:t>בשנת 2012 נמכרו</w:t>
      </w:r>
      <w:r>
        <w:rPr>
          <w:rFonts w:cs="FrankRuehl" w:hint="cs"/>
          <w:sz w:val="18"/>
          <w:rtl/>
        </w:rPr>
        <w:t xml:space="preserve"> </w:t>
      </w:r>
      <w:r w:rsidRPr="00315F89">
        <w:rPr>
          <w:rFonts w:cs="FrankRuehl"/>
          <w:sz w:val="18"/>
          <w:rtl/>
        </w:rPr>
        <w:t xml:space="preserve"> כ-86,500 דירות חדשות ומיד שנייה.</w:t>
      </w:r>
    </w:p>
  </w:footnote>
  <w:footnote w:id="70">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שיעור סכום המשכנתה מערך הדירה הנרכשת. </w:t>
      </w:r>
    </w:p>
  </w:footnote>
  <w:footnote w:id="71">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Style w:val="FootnoteReference0"/>
          <w:rFonts w:cs="FrankRuehl"/>
          <w:sz w:val="18"/>
          <w:rtl/>
        </w:rPr>
        <w:t xml:space="preserve"> </w:t>
      </w:r>
      <w:r w:rsidRPr="00315F89">
        <w:rPr>
          <w:rFonts w:cs="FrankRuehl"/>
          <w:sz w:val="18"/>
          <w:rtl/>
        </w:rPr>
        <w:tab/>
        <w:t>משרד המשפטים, אגף שומת מקרקעין - לשכת מנהל האגף, "סקירת מחירי דירות ברבעון הראשון של שנת 2012", 10.05.12.</w:t>
      </w:r>
    </w:p>
  </w:footnote>
  <w:footnote w:id="7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Style w:val="FootnoteReference0"/>
          <w:rFonts w:cs="FrankRuehl"/>
          <w:sz w:val="18"/>
          <w:rtl/>
        </w:rPr>
        <w:t xml:space="preserve"> </w:t>
      </w:r>
      <w:r w:rsidRPr="00315F89">
        <w:rPr>
          <w:rFonts w:cs="FrankRuehl"/>
          <w:sz w:val="18"/>
          <w:rtl/>
        </w:rPr>
        <w:tab/>
        <w:t>משרד המשפטים, אגף שומת מקרקעין - לשכת מנהל האגף, "סקירת מחירי דירות ברבעון הראשון של שנת 2009", 23.06.09.</w:t>
      </w:r>
    </w:p>
  </w:footnote>
  <w:footnote w:id="73">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Style w:val="FootnoteReference0"/>
          <w:rFonts w:cs="FrankRuehl"/>
          <w:sz w:val="18"/>
          <w:rtl/>
        </w:rPr>
        <w:t xml:space="preserve"> </w:t>
      </w:r>
      <w:r w:rsidRPr="00315F89">
        <w:rPr>
          <w:rFonts w:cs="FrankRuehl"/>
          <w:sz w:val="18"/>
          <w:rtl/>
        </w:rPr>
        <w:tab/>
        <w:t xml:space="preserve">משרד האוצר, מינהל הכנסות המדינה, </w:t>
      </w:r>
      <w:r w:rsidRPr="00315F89">
        <w:rPr>
          <w:rFonts w:cs="FrankRuehl"/>
          <w:b/>
          <w:bCs/>
          <w:sz w:val="18"/>
          <w:rtl/>
        </w:rPr>
        <w:t>דוח שנתי 58 לשנים 2010-2009</w:t>
      </w:r>
      <w:r w:rsidRPr="00315F89">
        <w:rPr>
          <w:rFonts w:cs="FrankRuehl"/>
          <w:sz w:val="18"/>
          <w:rtl/>
        </w:rPr>
        <w:t>, עמ' 233-232.</w:t>
      </w:r>
    </w:p>
  </w:footnote>
  <w:footnote w:id="74">
    <w:p w:rsidR="001A17E8" w:rsidRPr="00315F89" w:rsidP="000849B8">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r>
      <w:r>
        <w:rPr>
          <w:rFonts w:cs="FrankRuehl" w:hint="cs"/>
          <w:sz w:val="18"/>
          <w:rtl/>
        </w:rPr>
        <w:t>ראו</w:t>
      </w:r>
      <w:r w:rsidRPr="00315F89">
        <w:rPr>
          <w:rFonts w:cs="FrankRuehl"/>
          <w:sz w:val="18"/>
          <w:rtl/>
        </w:rPr>
        <w:t xml:space="preserve"> </w:t>
      </w:r>
      <w:r>
        <w:rPr>
          <w:rFonts w:cs="FrankRuehl" w:hint="cs"/>
          <w:sz w:val="18"/>
          <w:rtl/>
        </w:rPr>
        <w:t>ב</w:t>
      </w:r>
      <w:r w:rsidRPr="00315F89">
        <w:rPr>
          <w:rFonts w:cs="FrankRuehl"/>
          <w:sz w:val="18"/>
          <w:rtl/>
        </w:rPr>
        <w:t>אתר האינטרנט של הלמ"ס</w:t>
      </w:r>
      <w:r>
        <w:rPr>
          <w:rFonts w:cs="FrankRuehl" w:hint="cs"/>
          <w:sz w:val="18"/>
          <w:rtl/>
        </w:rPr>
        <w:t>:</w:t>
      </w:r>
      <w:r w:rsidRPr="00315F89">
        <w:rPr>
          <w:rFonts w:cs="FrankRuehl"/>
          <w:sz w:val="18"/>
          <w:rtl/>
        </w:rPr>
        <w:t xml:space="preserve"> </w:t>
      </w:r>
      <w:r w:rsidRPr="00315F89">
        <w:rPr>
          <w:rFonts w:cs="FrankRuehl"/>
          <w:sz w:val="18"/>
        </w:rPr>
        <w:t>http://www.cbs.gov.il</w:t>
      </w:r>
      <w:r>
        <w:rPr>
          <w:rFonts w:cs="FrankRuehl" w:hint="cs"/>
          <w:sz w:val="18"/>
          <w:rtl/>
        </w:rPr>
        <w:t>.</w:t>
      </w:r>
    </w:p>
  </w:footnote>
  <w:footnote w:id="75">
    <w:p w:rsidR="001A17E8" w:rsidRPr="00315F89" w:rsidP="00FD6744">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Style w:val="FootnoteReference0"/>
          <w:rFonts w:cs="FrankRuehl"/>
          <w:sz w:val="18"/>
          <w:rtl/>
        </w:rPr>
        <w:t xml:space="preserve"> </w:t>
      </w:r>
      <w:r w:rsidRPr="00315F89">
        <w:rPr>
          <w:rFonts w:cs="FrankRuehl"/>
          <w:sz w:val="18"/>
        </w:rPr>
        <w:tab/>
      </w:r>
      <w:r w:rsidRPr="00315F89">
        <w:rPr>
          <w:rFonts w:cs="FrankRuehl"/>
          <w:sz w:val="18"/>
          <w:rtl/>
        </w:rPr>
        <w:t>ראו באתר האינטרנט</w:t>
      </w:r>
      <w:r>
        <w:rPr>
          <w:rFonts w:cs="FrankRuehl" w:hint="cs"/>
          <w:sz w:val="18"/>
          <w:rtl/>
        </w:rPr>
        <w:t>:</w:t>
      </w:r>
      <w:r w:rsidRPr="00315F89">
        <w:rPr>
          <w:rFonts w:cs="FrankRuehl"/>
          <w:sz w:val="18"/>
          <w:rtl/>
        </w:rPr>
        <w:t xml:space="preserve"> </w:t>
      </w:r>
      <w:r w:rsidRPr="00315F89">
        <w:rPr>
          <w:rFonts w:cs="FrankRuehl"/>
          <w:sz w:val="18"/>
        </w:rPr>
        <w:t>www.fdgc.gov</w:t>
      </w:r>
      <w:r w:rsidRPr="00315F89">
        <w:rPr>
          <w:rFonts w:cs="FrankRuehl"/>
          <w:sz w:val="18"/>
          <w:rtl/>
        </w:rPr>
        <w:t>; ראו גם על מערכות מידע מאוחדות בסינגפור</w:t>
      </w:r>
      <w:r>
        <w:rPr>
          <w:rFonts w:cs="FrankRuehl" w:hint="cs"/>
          <w:sz w:val="18"/>
          <w:rtl/>
        </w:rPr>
        <w:t>:</w:t>
      </w:r>
      <w:r w:rsidRPr="00315F89">
        <w:rPr>
          <w:rFonts w:cs="FrankRuehl"/>
          <w:sz w:val="18"/>
          <w:rtl/>
        </w:rPr>
        <w:t xml:space="preserve">  </w:t>
      </w:r>
      <w:r w:rsidRPr="00315F89">
        <w:rPr>
          <w:rFonts w:cs="FrankRuehl"/>
          <w:sz w:val="18"/>
        </w:rPr>
        <w:t>www.inlis.gov.sg</w:t>
      </w:r>
      <w:r w:rsidRPr="00315F89">
        <w:rPr>
          <w:rFonts w:cs="FrankRuehl"/>
          <w:sz w:val="18"/>
          <w:rtl/>
        </w:rPr>
        <w:t xml:space="preserve"> ועל מערכת מידע במדינת ויקטוריה באוסטרליה, המאפשרות רישום בעלות על מקרקעין באינטרנט</w:t>
      </w:r>
      <w:r>
        <w:rPr>
          <w:rFonts w:cs="FrankRuehl" w:hint="cs"/>
          <w:sz w:val="18"/>
          <w:rtl/>
        </w:rPr>
        <w:t>:</w:t>
      </w:r>
      <w:r w:rsidRPr="00315F89">
        <w:rPr>
          <w:rFonts w:cs="FrankRuehl"/>
          <w:sz w:val="18"/>
          <w:rtl/>
        </w:rPr>
        <w:t xml:space="preserve"> </w:t>
      </w:r>
      <w:r w:rsidRPr="00315F89">
        <w:rPr>
          <w:rFonts w:cs="FrankRuehl"/>
          <w:sz w:val="18"/>
        </w:rPr>
        <w:t>www.ec.land.vic.gov.au</w:t>
      </w:r>
      <w:r w:rsidRPr="00315F89">
        <w:rPr>
          <w:rFonts w:cs="FrankRuehl"/>
          <w:sz w:val="18"/>
          <w:rtl/>
        </w:rPr>
        <w:t>.</w:t>
      </w:r>
    </w:p>
  </w:footnote>
  <w:footnote w:id="76">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מידע אודות המקרקעין שהנו תיאורי מילולי ומידע מתמטי הדורש שימוש בספרות.</w:t>
      </w:r>
    </w:p>
  </w:footnote>
  <w:footnote w:id="7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חוק הגנת הפרטיות, התשמ"א-1981, ותקנות הגנת הפרטיות (תנאי החזקת מידע ושמירתו וסדרי העברת מידע בין גופים ציבוריים), התשמ"ו-1986.</w:t>
      </w:r>
    </w:p>
  </w:footnote>
  <w:footnote w:id="78">
    <w:p w:rsidR="001A17E8" w:rsidRPr="00315F89" w:rsidP="000C0162">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Style w:val="FootnoteReference0"/>
          <w:rFonts w:cs="FrankRuehl"/>
          <w:sz w:val="18"/>
          <w:rtl/>
        </w:rPr>
        <w:t xml:space="preserve"> </w:t>
      </w:r>
      <w:r w:rsidRPr="00315F89">
        <w:rPr>
          <w:rFonts w:cs="FrankRuehl"/>
          <w:sz w:val="18"/>
          <w:rtl/>
        </w:rPr>
        <w:tab/>
      </w:r>
      <w:r>
        <w:rPr>
          <w:rFonts w:cs="FrankRuehl" w:hint="cs"/>
          <w:sz w:val="18"/>
          <w:rtl/>
        </w:rPr>
        <w:t xml:space="preserve">ראו: </w:t>
      </w:r>
      <w:r w:rsidRPr="00315F89">
        <w:rPr>
          <w:rFonts w:cs="FrankRuehl"/>
          <w:sz w:val="18"/>
        </w:rPr>
        <w:t>IMF Country Report No 06/125, March 2006</w:t>
      </w:r>
      <w:r>
        <w:rPr>
          <w:rFonts w:cs="FrankRuehl" w:hint="cs"/>
          <w:sz w:val="18"/>
          <w:rtl/>
        </w:rPr>
        <w:t>.</w:t>
      </w:r>
    </w:p>
  </w:footnote>
  <w:footnote w:id="79">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Style w:val="FootnoteReference0"/>
          <w:rFonts w:cs="FrankRuehl"/>
          <w:sz w:val="18"/>
          <w:rtl/>
        </w:rPr>
        <w:t xml:space="preserve"> </w:t>
      </w:r>
      <w:r w:rsidRPr="00315F89">
        <w:rPr>
          <w:rFonts w:cs="FrankRuehl"/>
          <w:sz w:val="18"/>
          <w:rtl/>
        </w:rPr>
        <w:tab/>
        <w:t>משרד המשפטים, אגף שומת מקרקעין - לשכת מנהל האגף</w:t>
      </w:r>
      <w:r w:rsidRPr="00315F89">
        <w:rPr>
          <w:rFonts w:cs="FrankRuehl"/>
          <w:b/>
          <w:bCs/>
          <w:sz w:val="18"/>
          <w:rtl/>
        </w:rPr>
        <w:t xml:space="preserve">, </w:t>
      </w:r>
      <w:r w:rsidRPr="00315F89">
        <w:rPr>
          <w:rFonts w:cs="FrankRuehl"/>
          <w:sz w:val="18"/>
          <w:rtl/>
        </w:rPr>
        <w:t>מסמך שכותרתו "חסמי מידע בענף הנדל"ן והתועלת שתצמח למשק הישראלי עם הסרתם", 3.9.09.</w:t>
      </w:r>
    </w:p>
  </w:footnote>
  <w:footnote w:id="80">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עת"מ 1218/09 </w:t>
      </w:r>
      <w:r w:rsidRPr="00315F89">
        <w:rPr>
          <w:rFonts w:cs="FrankRuehl"/>
          <w:b/>
          <w:bCs/>
          <w:sz w:val="18"/>
          <w:rtl/>
        </w:rPr>
        <w:t>דני בן שחר ואפרת טולקובסקי</w:t>
      </w:r>
      <w:r w:rsidRPr="00315F89">
        <w:rPr>
          <w:rFonts w:cs="FrankRuehl"/>
          <w:sz w:val="18"/>
          <w:rtl/>
        </w:rPr>
        <w:t xml:space="preserve"> נ' </w:t>
      </w:r>
      <w:r w:rsidRPr="00315F89">
        <w:rPr>
          <w:rFonts w:cs="FrankRuehl"/>
          <w:b/>
          <w:bCs/>
          <w:sz w:val="18"/>
          <w:rtl/>
        </w:rPr>
        <w:t>רשות המיסים בישראל ומנהל רשות המיסים בישראל.</w:t>
      </w:r>
      <w:r w:rsidRPr="00315F89">
        <w:rPr>
          <w:rFonts w:cs="FrankRuehl"/>
          <w:sz w:val="18"/>
          <w:rtl/>
        </w:rPr>
        <w:t xml:space="preserve"> </w:t>
      </w:r>
    </w:p>
  </w:footnote>
  <w:footnote w:id="81">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יובהר כי אין מדובר במגבלה שמקורה בקשיים טכנולוגיים אלא בהחלטה של רשות המסים.</w:t>
      </w:r>
    </w:p>
  </w:footnote>
  <w:footnote w:id="82">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את המצגת שהציג ראש הממשלה מר בנימין נתניהו במסיבת העיתונאים מ-26.7.11 בנושא "דיור בהישג יד". </w:t>
      </w:r>
    </w:p>
  </w:footnote>
  <w:footnote w:id="8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למעט סמכויותיה לפי חוק היסוד שאינן הסמכויות השיוריות לפי סעיף 32 בחוק היסוד.</w:t>
      </w:r>
    </w:p>
  </w:footnote>
  <w:footnote w:id="8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לעניין זה: הנחיה מס' 1.1001 להנחיות היועץ המשפטי לממשלה (21.484); בג"ץ 234/51 </w:t>
      </w:r>
      <w:r w:rsidRPr="00315F89">
        <w:rPr>
          <w:rFonts w:cs="FrankRuehl"/>
          <w:b/>
          <w:bCs/>
          <w:sz w:val="18"/>
          <w:rtl/>
        </w:rPr>
        <w:t xml:space="preserve">קוואס </w:t>
      </w:r>
      <w:r w:rsidRPr="00315F89">
        <w:rPr>
          <w:rFonts w:cs="FrankRuehl"/>
          <w:sz w:val="18"/>
          <w:rtl/>
        </w:rPr>
        <w:t xml:space="preserve">נ' </w:t>
      </w:r>
      <w:r w:rsidRPr="00315F89">
        <w:rPr>
          <w:rFonts w:cs="FrankRuehl"/>
          <w:b/>
          <w:bCs/>
          <w:sz w:val="18"/>
          <w:rtl/>
        </w:rPr>
        <w:t>שר התחבורה</w:t>
      </w:r>
      <w:r w:rsidRPr="00315F89">
        <w:rPr>
          <w:rFonts w:cs="FrankRuehl"/>
          <w:sz w:val="18"/>
          <w:rtl/>
        </w:rPr>
        <w:t xml:space="preserve">, פ"ד ו' 1192, 1196; בג"ץ 176/58 </w:t>
      </w:r>
      <w:r w:rsidRPr="00315F89">
        <w:rPr>
          <w:rFonts w:cs="FrankRuehl"/>
          <w:b/>
          <w:bCs/>
          <w:sz w:val="18"/>
          <w:rtl/>
        </w:rPr>
        <w:t xml:space="preserve">חברת חלקה 11 בגוש 6605 בע"מ </w:t>
      </w:r>
      <w:r w:rsidRPr="00315F89">
        <w:rPr>
          <w:rFonts w:cs="FrankRuehl"/>
          <w:sz w:val="18"/>
          <w:rtl/>
        </w:rPr>
        <w:t xml:space="preserve">נ' </w:t>
      </w:r>
      <w:r w:rsidRPr="00315F89">
        <w:rPr>
          <w:rFonts w:cs="FrankRuehl"/>
          <w:b/>
          <w:bCs/>
          <w:sz w:val="18"/>
          <w:rtl/>
        </w:rPr>
        <w:t>שר הפיתוח</w:t>
      </w:r>
      <w:r w:rsidRPr="00315F89">
        <w:rPr>
          <w:rFonts w:cs="FrankRuehl"/>
          <w:sz w:val="18"/>
          <w:rtl/>
        </w:rPr>
        <w:t xml:space="preserve">, פ"ד יג' 1099, 1105; ע"פ 131/67 </w:t>
      </w:r>
      <w:r w:rsidRPr="00315F89">
        <w:rPr>
          <w:rFonts w:cs="FrankRuehl"/>
          <w:b/>
          <w:bCs/>
          <w:sz w:val="18"/>
          <w:rtl/>
        </w:rPr>
        <w:t xml:space="preserve">הישמט קמיאר </w:t>
      </w:r>
      <w:r w:rsidRPr="00315F89">
        <w:rPr>
          <w:rFonts w:cs="FrankRuehl"/>
          <w:sz w:val="18"/>
          <w:rtl/>
        </w:rPr>
        <w:t xml:space="preserve">נ' </w:t>
      </w:r>
      <w:r w:rsidRPr="00315F89">
        <w:rPr>
          <w:rFonts w:cs="FrankRuehl"/>
          <w:b/>
          <w:bCs/>
          <w:sz w:val="18"/>
          <w:rtl/>
        </w:rPr>
        <w:t>מדינת ישראל</w:t>
      </w:r>
      <w:r w:rsidRPr="00315F89">
        <w:rPr>
          <w:rFonts w:cs="FrankRuehl"/>
          <w:sz w:val="18"/>
          <w:rtl/>
        </w:rPr>
        <w:t>, פ"ד כב(2) 85, 92.</w:t>
      </w:r>
    </w:p>
  </w:footnote>
  <w:footnote w:id="85">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דוח שנתי 61ב</w:t>
      </w:r>
      <w:r w:rsidRPr="00315F89">
        <w:rPr>
          <w:rFonts w:cs="FrankRuehl"/>
          <w:sz w:val="18"/>
          <w:rtl/>
        </w:rPr>
        <w:t xml:space="preserve"> (2011), בפרק "הטיפול במחלוקות בין-משרדיות מתמשכות", עמ' 5.</w:t>
      </w:r>
    </w:p>
  </w:footnote>
  <w:footnote w:id="8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בשנת 2005 התקבלו החלטות הממשלה ה-30 בנושאים מרכזיים אלו: אישורה של תכנית לאומית אסטרטגית לפיתוח הנגב לשנים 2015-2006, מתן תוקף לתמ"א 35 ואישור המלצות ועדת גדיש בדבר הרפורמה במינהל מקרקעי ישראל.</w:t>
      </w:r>
    </w:p>
  </w:footnote>
  <w:footnote w:id="87">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בהחלטת ממשלה מס' 123 ממאי 2009 נקבע כי מינהל מקרקעי ישראל יוסב לרשות מקרקעי ישראל. </w:t>
      </w:r>
    </w:p>
  </w:footnote>
  <w:footnote w:id="8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ועדה ציבורית שמינה שר התעשייה המסחר והתעסוקה ב-2.5.04, בראשותו של מר</w:t>
      </w:r>
      <w:r w:rsidRPr="00582A43">
        <w:rPr>
          <w:rFonts w:cs="FrankRuehl"/>
          <w:sz w:val="18"/>
          <w:rtl/>
        </w:rPr>
        <w:t xml:space="preserve"> יעקב גדיש</w:t>
      </w:r>
      <w:r w:rsidRPr="00582A43">
        <w:rPr>
          <w:rFonts w:cs="FrankRuehl" w:hint="cs"/>
          <w:sz w:val="18"/>
          <w:rtl/>
        </w:rPr>
        <w:t xml:space="preserve"> ז"ל </w:t>
      </w:r>
      <w:r w:rsidRPr="00582A43">
        <w:rPr>
          <w:rFonts w:cs="FrankRuehl"/>
          <w:sz w:val="18"/>
          <w:rtl/>
        </w:rPr>
        <w:t xml:space="preserve"> לעניין </w:t>
      </w:r>
      <w:r w:rsidRPr="00315F89">
        <w:rPr>
          <w:rFonts w:cs="FrankRuehl"/>
          <w:sz w:val="18"/>
          <w:rtl/>
        </w:rPr>
        <w:t xml:space="preserve">הרפורמה במינהל מקרקעי ישראל כדי להגדיר את המטרות העיקריות, את המבנה הארגוני ואת דרכי הפעולה של הרשות החדשה. </w:t>
      </w:r>
    </w:p>
  </w:footnote>
  <w:footnote w:id="89">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דוח שנתי 53ב</w:t>
      </w:r>
      <w:r w:rsidRPr="00315F89">
        <w:rPr>
          <w:rFonts w:cs="FrankRuehl"/>
          <w:sz w:val="18"/>
          <w:rtl/>
        </w:rPr>
        <w:t xml:space="preserve"> (2002), בפרק "עבודת המטה במשרדי הממשלה", עמ' 14.</w:t>
      </w:r>
    </w:p>
  </w:footnote>
  <w:footnote w:id="9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Pr>
        <w:tab/>
      </w:r>
      <w:r w:rsidRPr="00315F89">
        <w:rPr>
          <w:rFonts w:cs="FrankRuehl"/>
          <w:sz w:val="18"/>
          <w:rtl/>
        </w:rPr>
        <w:t>את ההחלטות האלו קיבלה ועדת השרים לפיתוח הנגב והגליל. אחר כך קיבלו החלטות אלו תוקף של החלטות הממשלה.</w:t>
      </w:r>
    </w:p>
  </w:footnote>
  <w:footnote w:id="91">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דוח שנתי 64ג</w:t>
      </w:r>
      <w:r w:rsidRPr="00315F89">
        <w:rPr>
          <w:rFonts w:cs="FrankRuehl"/>
          <w:sz w:val="18"/>
          <w:rtl/>
        </w:rPr>
        <w:t xml:space="preserve"> (2014), בפרק "הרפורמה במקרקעי ישראל", עמ' 319.</w:t>
      </w:r>
    </w:p>
  </w:footnote>
  <w:footnote w:id="9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על תכניות לה"ב לעמוד בקריטריונים אלו: תכנית הכוללת יותר מ-200 יח"ד, היתכנות למימוש התכנית, בשלות התכנית, דהיינו תכנית שהוחל בה הליך תכנוני משמעותי ותרומת התכנית להגדלת היצע הדיור באזור שבו ישנם ביקושים או צפויים ביקושים. </w:t>
      </w:r>
    </w:p>
  </w:footnote>
  <w:footnote w:id="93">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פירוט בעניין זה - ראו השער הרביעי, הפרק "ההסדרה של דיור בר השגה". </w:t>
      </w:r>
    </w:p>
  </w:footnote>
  <w:footnote w:id="9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דוח ועדת טרכטנברג, בפרק "הדיור - עיקרי המלצות", ספטמבר 2011, עמ' 198.</w:t>
      </w:r>
    </w:p>
  </w:footnote>
  <w:footnote w:id="95">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הממשלה קבעה בהחלטתה זו כי "לעניין זה, דיור בר השגה יהיה דיור להשכרה לטווח ארוך או דירות קטנות כהגדרתן בדוח הוועדה לשינוי חברתי כלכלי אשר אומץ על ידי הממשלה בהחלטתה מיום 9.10.2011 או דירות קטנות כהגדרתן בהחלטות מועצת מקרקעי ישראל".</w:t>
      </w:r>
    </w:p>
  </w:footnote>
  <w:footnote w:id="9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הצהרת הממשלה ביולי 2010 (החלטה 1980) להנהיג מדיניות שמטרתה הורדת מחירי הדיור מתוך שימת דגש על דירות לצעירים.</w:t>
      </w:r>
    </w:p>
  </w:footnote>
  <w:footnote w:id="9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כללי מדריך התכנון הממשלתי לעריכת תכניות עבודה שנתיות של משרדי ממשלה מטעם האגף לתכנון מדיניות במשרד ראש הממשלה;</w:t>
      </w:r>
    </w:p>
  </w:footnote>
  <w:footnote w:id="98">
    <w:p w:rsidR="001A17E8" w:rsidRPr="00315F89" w:rsidP="000449EE">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ראו מבקר המדינה</w:t>
      </w:r>
      <w:r>
        <w:rPr>
          <w:rFonts w:cs="FrankRuehl" w:hint="cs"/>
          <w:sz w:val="18"/>
          <w:rtl/>
        </w:rPr>
        <w:t xml:space="preserve">, </w:t>
      </w:r>
      <w:r>
        <w:rPr>
          <w:rFonts w:cs="FrankRuehl" w:hint="cs"/>
          <w:b/>
          <w:bCs/>
          <w:sz w:val="18"/>
          <w:rtl/>
        </w:rPr>
        <w:t>דוח שנתי 53ב</w:t>
      </w:r>
      <w:r>
        <w:rPr>
          <w:rFonts w:cs="FrankRuehl" w:hint="cs"/>
          <w:sz w:val="18"/>
          <w:rtl/>
        </w:rPr>
        <w:t xml:space="preserve"> (2002),</w:t>
      </w:r>
      <w:r w:rsidRPr="00315F89">
        <w:rPr>
          <w:rFonts w:cs="FrankRuehl"/>
          <w:sz w:val="18"/>
          <w:rtl/>
        </w:rPr>
        <w:t xml:space="preserve"> </w:t>
      </w:r>
      <w:r>
        <w:rPr>
          <w:rFonts w:cs="FrankRuehl" w:hint="cs"/>
          <w:sz w:val="18"/>
          <w:rtl/>
        </w:rPr>
        <w:t>ב</w:t>
      </w:r>
      <w:r w:rsidRPr="00315F89">
        <w:rPr>
          <w:rFonts w:cs="FrankRuehl"/>
          <w:sz w:val="18"/>
          <w:rtl/>
        </w:rPr>
        <w:t>תת פרק "תכנון אסטרטגי", ע</w:t>
      </w:r>
      <w:r>
        <w:rPr>
          <w:rFonts w:cs="FrankRuehl" w:hint="cs"/>
          <w:sz w:val="18"/>
          <w:rtl/>
        </w:rPr>
        <w:t>מ</w:t>
      </w:r>
      <w:r w:rsidRPr="00315F89">
        <w:rPr>
          <w:rFonts w:cs="FrankRuehl"/>
          <w:sz w:val="18"/>
          <w:rtl/>
        </w:rPr>
        <w:t>' 47.</w:t>
      </w:r>
    </w:p>
  </w:footnote>
  <w:footnote w:id="99">
    <w:p w:rsidR="001A17E8" w:rsidRPr="00315F89" w:rsidP="000449EE">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הדברים נאמרו ב-23.7.13 בדיון הראשון של הצוות הבין-משרדי שהוקם מכוח החלטת ממשלה מס' 301</w:t>
      </w:r>
      <w:r>
        <w:rPr>
          <w:rFonts w:cs="FrankRuehl" w:hint="cs"/>
          <w:sz w:val="18"/>
          <w:rtl/>
        </w:rPr>
        <w:t xml:space="preserve"> </w:t>
      </w:r>
      <w:r w:rsidRPr="00315F89">
        <w:rPr>
          <w:rFonts w:cs="FrankRuehl"/>
          <w:sz w:val="18"/>
          <w:rtl/>
        </w:rPr>
        <w:t xml:space="preserve">(דר/2) ממאי 2013. על הצוות הוטל לגבש תכנית ממשלתית להרחבת ההיצע בשוק הדיור באמצעות בניית יח"ד להשכרה, לרבות השכרה במחיר מפוקח. </w:t>
      </w:r>
    </w:p>
  </w:footnote>
  <w:footnote w:id="10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בהחלטת ממשלה מס' 5058 מאוגוסט 2012 נקבע כי תקנון הממשלה יעודכן. בפרק י"ג: מעקב אחרי ביצוע החלטות הממשלה; בסעיף 88 לתקנון נקבע בין היתר כי "(א) נקבה הממשלה בהחלטתה בגורם שיהיה אחראי למעקב אחר ביצוע אותה החלטה - יהיה הגורם הנזכר בהחלטה אחראי למעקב אחר ביצוע ההחלטה וידווח על ביצועה למי שנקבע בהחלטה... (ג) המעקב אחר ביצוע החלטות המתקבלות במסגרת דיונים על תקציב המדינה, לרבות החלטות הנוגעים לחוקים הקשורים לתקציב, ירוכז על-ידי הממונה על התקציבים במשרד האוצר, אלא אם כן, נקבע אחרת. (ד) מזכיר הממשלה יעקב אחר ביצוע החלטות הממשלה שעל-פי מהותן טעונות ביצוע... (ה) ... החלטות שבהן לא התקבל מידע אודות ביצוען יפנה מזכיר הממשלה אל השרים ככל שהדבר מתבקש ובנסיבות העניין, ויבקשם לדווח על ביצוע החלטות הנוגעות למשרדם". </w:t>
      </w:r>
    </w:p>
  </w:footnote>
  <w:footnote w:id="101">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סעיף 4 לחוק יסוד הממשלה.</w:t>
      </w:r>
    </w:p>
  </w:footnote>
  <w:footnote w:id="10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אג"ח שחר היא אגרת חוב לא צמודה של ממשלת ישראל בריבית קבועה.</w:t>
      </w:r>
    </w:p>
  </w:footnote>
  <w:footnote w:id="103">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ab/>
        <w:t>הדוח השנתי של בנק ישראל (2010), "שוק הדיור וצעדים מקרו יציבותיים", פרק ג, עמ' 109-108.</w:t>
      </w:r>
    </w:p>
  </w:footnote>
  <w:footnote w:id="104">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ab/>
        <w:t>שם, עמוד 64.</w:t>
      </w:r>
    </w:p>
  </w:footnote>
  <w:footnote w:id="105">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ab/>
        <w:t>דיון בוועדת הכספים של הכנסת בנושא שוק הדיור ב-29.04.13.</w:t>
      </w:r>
    </w:p>
  </w:footnote>
  <w:footnote w:id="106">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הנתונים נוגעים להלוואות בריבית משתנה שאינה צמודה (ריבית פריים).</w:t>
      </w:r>
    </w:p>
  </w:footnote>
  <w:footnote w:id="10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ab/>
        <w:t>בנק ישראל, דוח האינפלציה לשנת 2010, הרביע השלישי, אוקטובר 2010, עמ' 26-24.</w:t>
      </w:r>
    </w:p>
  </w:footnote>
  <w:footnote w:id="10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ab/>
        <w:t>התחזקות שער החליפין של השקל מול שערי מטבעות של מדינות אחרות.</w:t>
      </w:r>
    </w:p>
  </w:footnote>
  <w:footnote w:id="10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ab/>
        <w:t>בנק ישראל, הודעה לעיתונות, דברי נגיד בנק ישראל בכנס הרצליה במסגרת המושב "מגמות במשבר הכלכלי העולמי - משמעויות לישראל", כנס הרצליה ה-13, מרץ 2013.</w:t>
      </w:r>
    </w:p>
  </w:footnote>
  <w:footnote w:id="11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ab/>
        <w:t>בנק ישראל, הודעה לעיתונות מתוך דוח שכותרתו "ההתפתחויות המרכזיות בשוק הדירות להשקעה בשנים האחרונות", 5.3.12.</w:t>
      </w:r>
    </w:p>
  </w:footnote>
  <w:footnote w:id="111">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ab/>
        <w:t>דוח בנק ישראל לשנת 2011, "התוצר, השימושים וענפי המשק", פרק ב, עמ' 90-71.</w:t>
      </w:r>
    </w:p>
  </w:footnote>
  <w:footnote w:id="112">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צעד מקרו-יציבותי הוא פעולה הנועדה לבלום פגיעויות מערכתיות, דהיינו להקנות יציבות למערכת הפיננסית כמכלול. </w:t>
      </w:r>
    </w:p>
  </w:footnote>
  <w:footnote w:id="113">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ab/>
        <w:t>ראו בנק ישראל, חטיבת המחקר, ההתפתחויות הכלכליות בחודשים האחרונים, 5.3.12 אפריל עד ספטמבר 2013, דצמבר 2013. על פי המחקר, גודלה הממוצע של משכנתה שנוטלים רוכשי דירה להשקעה קטן ב-8.1% מזה של משכנתה שנוטלים רוכשי דירה למגורים; תקופת הפירעון הצפויה למשקיעים קצרה בכארבע שנים וההחזר על משכנתאות שניתנו למשקיעים גבוה ב-6.4% מזה של רוכשי דירה למגורים. ראשית, למשקיעים אמצעים כלכליים רבים יותר, המאפשרים להם לשאת בהחזר חודשי גדול יותר; שנית, בהנחה שמדובר בהשקעה למטרת השכרה, השכירות שתשולם מהווה בסיס מרכזי להחזר החודשי. משקיעים אינם מעדיפים דירות בשכונות מרקע חברתי-כלכלי ספציפי, המחירים שהם משלמים דומים למחירי שרוכשים אחרים משלמים (זכאי משרד הבינוי ואחרים הרוכשים דירה ראשונה ומשפרי דיור) והם מעדיפים לרכוש דירות קטנות יחסית. ממחקר בבנק ישראל עולה שכאשר התשואה על השכרת דירה עולה בנקודת אחוז, ההסתברות שמשקיע - ולא קונה אחר - ירכוש דירה נתונה עולה בכ-22%</w:t>
      </w:r>
      <w:r w:rsidRPr="00315F89">
        <w:rPr>
          <w:rFonts w:cs="FrankRuehl"/>
          <w:sz w:val="18"/>
        </w:rPr>
        <w:t>;</w:t>
      </w:r>
      <w:r w:rsidRPr="00315F89">
        <w:rPr>
          <w:rFonts w:cs="FrankRuehl"/>
          <w:sz w:val="18"/>
          <w:rtl/>
        </w:rPr>
        <w:t xml:space="preserve"> כאשר שער הריבית עולה בנקודת אחוז, ההסתברות לכך פוחתת בכ-8%. </w:t>
      </w:r>
    </w:p>
  </w:footnote>
  <w:footnote w:id="114">
    <w:p w:rsidR="001A17E8" w:rsidRPr="00315F89" w:rsidP="00E9076C">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ab/>
        <w:t>המפקח על הבנקים, "הוראות הדיווח לפיקוח, חלוקת סיכון האשראי הכולל לפי ענפי משק (רבעוני)".</w:t>
      </w:r>
    </w:p>
  </w:footnote>
  <w:footnote w:id="115">
    <w:p w:rsidR="001A17E8" w:rsidRPr="00315F89" w:rsidP="00315F89">
      <w:pPr>
        <w:pStyle w:val="a0"/>
        <w:keepLines/>
        <w:widowControl/>
        <w:spacing w:line="200" w:lineRule="exact"/>
        <w:ind w:left="397" w:hanging="397"/>
        <w:rPr>
          <w:rFonts w:cs="FrankRuehl"/>
          <w:sz w:val="18"/>
        </w:rPr>
      </w:pPr>
      <w:r w:rsidRPr="00315F89">
        <w:rPr>
          <w:rStyle w:val="FootnoteReference0"/>
          <w:rFonts w:ascii="FrankRuehl" w:hAnsi="FrankRuehl" w:cs="FrankRuehl"/>
          <w:vertAlign w:val="baseline"/>
        </w:rPr>
        <w:footnoteRef/>
      </w:r>
      <w:r w:rsidRPr="00315F89">
        <w:rPr>
          <w:rFonts w:cs="FrankRuehl"/>
          <w:sz w:val="18"/>
          <w:rtl/>
        </w:rPr>
        <w:tab/>
        <w:t>אשראי ללווה העוסק בעבודות הנדסה אזרחית יסווג כאשראי לבינוי ונדל"ן עד שהסתיים עיקר תהליך הבנייה והחלו להתקבל הכנסות של ממש מתפעול הפרויקט. משלב זה יש לסווגו לפי ענף המשק שאליו הוא שייך על פי הגדרות הלמ</w:t>
      </w:r>
      <w:r w:rsidRPr="00315F89">
        <w:rPr>
          <w:rFonts w:cs="FrankRuehl"/>
          <w:sz w:val="18"/>
        </w:rPr>
        <w:t>"</w:t>
      </w:r>
      <w:r w:rsidRPr="00315F89">
        <w:rPr>
          <w:rFonts w:cs="FrankRuehl"/>
          <w:sz w:val="18"/>
          <w:rtl/>
        </w:rPr>
        <w:t xml:space="preserve">ס. </w:t>
      </w:r>
    </w:p>
  </w:footnote>
  <w:footnote w:id="116">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ab/>
        <w:t>המפקח על הבנקים, "ניהול בנקאי תקין, הפרשה נוספת לחובות מסופקים", הוראה 315.</w:t>
      </w:r>
    </w:p>
  </w:footnote>
  <w:footnote w:id="11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ab/>
        <w:t>בדיון בוועדת הכספים של הכנסת בנושא שוק הדיור ב-29.4.13.</w:t>
      </w:r>
    </w:p>
  </w:footnote>
  <w:footnote w:id="11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ab/>
        <w:t>בנק ישראל, המפקח על הבנקים, היחידה הכלכלית, מערכת הבנקאות בישראל - סקירה שנתית 2011.</w:t>
      </w:r>
    </w:p>
  </w:footnote>
  <w:footnote w:id="11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ab/>
        <w:t>בנק ישראל, המפקח על הבנקים, היחידה הכלכלית, מערכת הבנקאות בישראל - סקירה שנתית 2012.</w:t>
      </w:r>
    </w:p>
  </w:footnote>
  <w:footnote w:id="12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ab/>
        <w:t>הלוואה לדיור בריבית משתנה היא הלוואה לדיור, או חלק ממנה, ששיעור הריבית שהיא נושאת עשוי להשתנות לאחר מועד אישורה.</w:t>
      </w:r>
    </w:p>
  </w:footnote>
  <w:footnote w:id="121">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ab/>
        <w:t xml:space="preserve">בנק ישראל, הודעה לעיתונות, "רכיב ההלוואות לדיור בריבית משתנה יוגבל לשליש מסך ההלוואה לדיור", 27.4.11. </w:t>
      </w:r>
    </w:p>
  </w:footnote>
  <w:footnote w:id="12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ab/>
        <w:t>בנק ישראל, "שאלות ותשובות: הגבלת שיעור המימון בהלוואות לדיור", 29.10.12.</w:t>
      </w:r>
    </w:p>
  </w:footnote>
  <w:footnote w:id="123">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לפי נתונים של אגף הכלכלן הראשי - הכנסות המדינה, מחקר וקשרים לאומיים.</w:t>
      </w:r>
    </w:p>
  </w:footnote>
  <w:footnote w:id="124">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ab/>
        <w:t>הוראות הפיקוח על הבנקים מחייבות את הבנקים להחזיק הון בשיעור מסוים כנגד הנכסים המפורטים במאזניהם וכנגד פריטים חוץ-מאזניים. לשם חישוב שווי הנכסים והפריטים החוץ-מאזניים משקללים כל אחד מהם במשקל סיכון. משקל הסיכון נמוך יותר ככל שהנכס "בטוח יותר", משמע שסביר יותר שמימושו בעת הצורך יהיה בערך הנקוב בספרים. לדוגמה, ניתן להחיל משקל סיכון של 0% לנכס הבנק שהוא אג"ח של מדינת ישראל הנקובות בשקלים ושמומנו בשקלים. פריטים חוץ</w:t>
      </w:r>
      <w:r w:rsidRPr="00315F89">
        <w:rPr>
          <w:rFonts w:cs="FrankRuehl"/>
          <w:sz w:val="18"/>
        </w:rPr>
        <w:t>-</w:t>
      </w:r>
      <w:r w:rsidRPr="00315F89">
        <w:rPr>
          <w:rFonts w:cs="FrankRuehl"/>
          <w:sz w:val="18"/>
          <w:rtl/>
        </w:rPr>
        <w:t>מאזניים יומרו לשווה ערך חשיפות אשראי באמצעות שימוש במקדמי המרה לאשראי (</w:t>
      </w:r>
      <w:r w:rsidRPr="00315F89">
        <w:rPr>
          <w:rFonts w:cs="FrankRuehl"/>
          <w:sz w:val="18"/>
        </w:rPr>
        <w:t>CCF - Credit Conversion Factors</w:t>
      </w:r>
      <w:r w:rsidRPr="00315F89">
        <w:rPr>
          <w:rFonts w:cs="FrankRuehl"/>
          <w:sz w:val="18"/>
          <w:rtl/>
        </w:rPr>
        <w:t>). לדוגמה, תחליפי אשראי ישירים, כמו ערבויות כלליות לחוב, יקבלו מקדם המרה לאשראי של 100%.</w:t>
      </w:r>
    </w:p>
  </w:footnote>
  <w:footnote w:id="125">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בנק ישראל, הודעה לעיתונות, "טיוטת הנחיות בנושא הקצאת ההון וההפרשה לחובות מסופקים בגין הלוואות לדיור ושינוי משקל הסיכון של ערבות לפי חוק המכר", 19.2.13.</w:t>
      </w:r>
    </w:p>
  </w:footnote>
  <w:footnote w:id="126">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ab/>
        <w:t>בנק ישראל, המפקח על הבנקים, "תהליך הסקירה הפיקוחי (</w:t>
      </w:r>
      <w:r w:rsidRPr="00315F89">
        <w:rPr>
          <w:rFonts w:cs="FrankRuehl"/>
          <w:sz w:val="18"/>
        </w:rPr>
        <w:t>Supervisory Review Process</w:t>
      </w:r>
      <w:r w:rsidRPr="00315F89">
        <w:rPr>
          <w:rFonts w:cs="FrankRuehl"/>
          <w:sz w:val="18"/>
          <w:rtl/>
        </w:rPr>
        <w:t>)", 20.6.10.</w:t>
      </w:r>
    </w:p>
  </w:footnote>
  <w:footnote w:id="127">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המפקח על הבנקים, הוראות הדיווח לציבור, "הפרשה כוללת להפסדי אשראי", סעיף 29.</w:t>
      </w:r>
    </w:p>
  </w:footnote>
  <w:footnote w:id="12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ab/>
        <w:t>בנק ישראל, "שאלות ותשובות: טיוטת הנחיות בנושא הקצאת ההון וההפרשה לחובות מסופקים בגין הלוואות לדיור ושינוי משקל הסיכון של ערבות לפי חוק המכר" 19.2.13.</w:t>
      </w:r>
    </w:p>
  </w:footnote>
  <w:footnote w:id="129">
    <w:p w:rsidR="001A17E8" w:rsidRPr="00315F89" w:rsidP="00315F89">
      <w:pPr>
        <w:keepLines/>
        <w:spacing w:line="200" w:lineRule="exact"/>
        <w:ind w:left="397" w:hanging="397"/>
        <w:jc w:val="both"/>
        <w:rPr>
          <w:rFonts w:cs="FrankRuehl"/>
          <w:sz w:val="18"/>
          <w:szCs w:val="20"/>
          <w:rtl/>
        </w:rPr>
      </w:pPr>
      <w:r w:rsidRPr="00315F89">
        <w:rPr>
          <w:rStyle w:val="FootnoteReference0"/>
          <w:rFonts w:ascii="FrankRuehl" w:hAnsi="FrankRuehl" w:cs="FrankRuehl"/>
          <w:sz w:val="20"/>
          <w:szCs w:val="20"/>
          <w:vertAlign w:val="baseline"/>
        </w:rPr>
        <w:footnoteRef/>
      </w:r>
      <w:r w:rsidRPr="00315F89">
        <w:rPr>
          <w:rFonts w:cs="FrankRuehl"/>
          <w:sz w:val="18"/>
          <w:szCs w:val="20"/>
          <w:rtl/>
        </w:rPr>
        <w:tab/>
        <w:t>בנק ישראל פירט בתגובתו כי ב-11.7.10 נקבעה הפרשה נוספת מינימלית של 0.75% על הלוואות חדשות לדיור שיחס ה-</w:t>
      </w:r>
      <w:r w:rsidRPr="00315F89">
        <w:rPr>
          <w:rFonts w:cs="FrankRuehl"/>
          <w:sz w:val="18"/>
          <w:szCs w:val="20"/>
        </w:rPr>
        <w:t>LTV</w:t>
      </w:r>
      <w:r w:rsidRPr="00315F89">
        <w:rPr>
          <w:rFonts w:cs="FrankRuehl"/>
          <w:sz w:val="18"/>
          <w:szCs w:val="20"/>
          <w:rtl/>
        </w:rPr>
        <w:t xml:space="preserve"> שלהן גדול מ-60%, שבגינה גדלו ההפרשות בסוף 2010 בכ-100 מיליון ש"ח (אחרי מס); וכי חלו שינויים נוספים שהביאו לגידול בהפרשה הכוללת במערכת הבנקאית, כגון: שינוי שיטת המדידה החשבונאית החל ב-1.1.11, שהגדילה את ההפרשה הכוללת בכ-3.8 מיליארד ש"ח (33% מסך ההפרשה למועד זה); ופנייה נוספת של הפיקוח לבנקים ב-1.5.11 ובה התבקשו הבנקים להוסיף להפרשה הקבוצתית רכיב נוסף בגין תיק ההלוואות לדיור. מהלך זה הגדיל את ההפרשה הכוללת בכ-300 מיליון ש"ח. </w:t>
      </w:r>
    </w:p>
  </w:footnote>
  <w:footnote w:id="13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ab/>
        <w:t>ראו בנק ישראל, שאלות ותשובות: "טיוטת הנחיות בנושא הקצאת ההון וההפרשה לחובות מסופקים בגין הלוואות לדיור ושינוי משקל הסיכון של ערבות לפי חוק המכר" (19.02.13)</w:t>
      </w:r>
    </w:p>
  </w:footnote>
  <w:footnote w:id="131">
    <w:p w:rsidR="001A17E8" w:rsidRPr="00315F89" w:rsidP="00315F89">
      <w:pPr>
        <w:pStyle w:val="P00"/>
        <w:keepLines/>
        <w:widowControl/>
        <w:tabs>
          <w:tab w:val="left" w:pos="588"/>
          <w:tab w:val="clear" w:pos="1021"/>
          <w:tab w:val="clear" w:pos="1474"/>
          <w:tab w:val="clear" w:pos="1928"/>
          <w:tab w:val="clear" w:pos="2381"/>
          <w:tab w:val="clear" w:pos="2835"/>
        </w:tabs>
        <w:spacing w:before="0" w:line="200" w:lineRule="exact"/>
        <w:ind w:left="397" w:hanging="397"/>
        <w:rPr>
          <w:rFonts w:cs="FrankRuehl"/>
          <w:sz w:val="18"/>
          <w:szCs w:val="20"/>
        </w:rPr>
      </w:pPr>
      <w:r w:rsidRPr="00315F89">
        <w:rPr>
          <w:rStyle w:val="FootnoteReference0"/>
          <w:rFonts w:ascii="FrankRuehl" w:hAnsi="FrankRuehl" w:cs="FrankRuehl"/>
          <w:noProof w:val="0"/>
          <w:szCs w:val="20"/>
          <w:vertAlign w:val="baseline"/>
        </w:rPr>
        <w:footnoteRef/>
      </w:r>
      <w:r w:rsidRPr="00315F89">
        <w:rPr>
          <w:rFonts w:cs="FrankRuehl"/>
          <w:sz w:val="18"/>
          <w:szCs w:val="20"/>
          <w:rtl/>
        </w:rPr>
        <w:t xml:space="preserve"> </w:t>
      </w:r>
      <w:r w:rsidRPr="00315F89">
        <w:rPr>
          <w:rFonts w:cs="FrankRuehl"/>
          <w:sz w:val="18"/>
          <w:szCs w:val="20"/>
          <w:rtl/>
        </w:rPr>
        <w:tab/>
      </w:r>
      <w:r w:rsidRPr="00315F89">
        <w:rPr>
          <w:rFonts w:cs="FrankRuehl"/>
          <w:noProof w:val="0"/>
          <w:sz w:val="18"/>
          <w:szCs w:val="20"/>
          <w:rtl/>
        </w:rPr>
        <w:t>לפי חוק</w:t>
      </w:r>
      <w:r w:rsidRPr="00315F89">
        <w:rPr>
          <w:rFonts w:cs="FrankRuehl"/>
          <w:sz w:val="18"/>
          <w:szCs w:val="20"/>
          <w:rtl/>
        </w:rPr>
        <w:t xml:space="preserve"> </w:t>
      </w:r>
      <w:r w:rsidRPr="00315F89">
        <w:rPr>
          <w:rFonts w:cs="FrankRuehl"/>
          <w:noProof w:val="0"/>
          <w:sz w:val="18"/>
          <w:szCs w:val="20"/>
          <w:rtl/>
        </w:rPr>
        <w:t xml:space="preserve">מיסוי מקרקעין, מקרקעין הם קרקע בישראל, לרבות בתים, בניינים ודברים אחרים המחוברים לקרקע חיבור של קבע. </w:t>
      </w:r>
    </w:p>
  </w:footnote>
  <w:footnote w:id="132">
    <w:p w:rsidR="001A17E8" w:rsidRPr="00315F89" w:rsidP="00315F89">
      <w:pPr>
        <w:pStyle w:val="P00"/>
        <w:keepLines/>
        <w:widowControl/>
        <w:tabs>
          <w:tab w:val="left" w:pos="588"/>
          <w:tab w:val="clear" w:pos="1021"/>
          <w:tab w:val="clear" w:pos="1474"/>
          <w:tab w:val="clear" w:pos="1928"/>
          <w:tab w:val="clear" w:pos="2381"/>
          <w:tab w:val="clear" w:pos="2835"/>
        </w:tabs>
        <w:spacing w:before="0" w:line="200" w:lineRule="exact"/>
        <w:ind w:left="397" w:hanging="397"/>
        <w:rPr>
          <w:rFonts w:cs="FrankRuehl"/>
          <w:noProof w:val="0"/>
          <w:sz w:val="18"/>
          <w:szCs w:val="20"/>
        </w:rPr>
      </w:pPr>
      <w:r w:rsidRPr="00315F89">
        <w:rPr>
          <w:rStyle w:val="FootnoteReference0"/>
          <w:rFonts w:ascii="FrankRuehl" w:hAnsi="FrankRuehl" w:cs="FrankRuehl"/>
          <w:noProof w:val="0"/>
          <w:szCs w:val="20"/>
          <w:vertAlign w:val="baseline"/>
        </w:rPr>
        <w:footnoteRef/>
      </w:r>
      <w:r w:rsidRPr="00315F89">
        <w:rPr>
          <w:rStyle w:val="FootnoteReference0"/>
          <w:rFonts w:cs="FrankRuehl"/>
          <w:noProof w:val="0"/>
          <w:sz w:val="18"/>
          <w:szCs w:val="20"/>
          <w:rtl/>
        </w:rPr>
        <w:t xml:space="preserve"> </w:t>
      </w:r>
      <w:r w:rsidRPr="00315F89">
        <w:rPr>
          <w:rFonts w:cs="FrankRuehl"/>
          <w:sz w:val="18"/>
          <w:szCs w:val="20"/>
          <w:rtl/>
        </w:rPr>
        <w:tab/>
      </w:r>
      <w:r w:rsidRPr="00315F89">
        <w:rPr>
          <w:rFonts w:cs="FrankRuehl"/>
          <w:noProof w:val="0"/>
          <w:sz w:val="18"/>
          <w:szCs w:val="20"/>
          <w:rtl/>
        </w:rPr>
        <w:t>מס שבח הוא מס המוטל על השבח במכירת זכות במקרקעין; השבח הוא הסכום שבו עולה שווי המכירה על יתרת שווי הרכישה כמשמעותה בחוק מיסוי מקרקעין.</w:t>
      </w:r>
    </w:p>
  </w:footnote>
  <w:footnote w:id="133">
    <w:p w:rsidR="001A17E8" w:rsidRPr="00315F89" w:rsidP="00315F89">
      <w:pPr>
        <w:pStyle w:val="FootnoteText"/>
        <w:keepLines/>
        <w:tabs>
          <w:tab w:val="left" w:pos="588"/>
        </w:tab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מס רכישה הוא מס מחזור המוטל כשיעור ממחיר מקרקעין שנרכשו. </w:t>
      </w:r>
    </w:p>
  </w:footnote>
  <w:footnote w:id="134">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על השימוש בכלי מס השבח במשך השנים כדי להשפיע על שוק הדיור, וכן על היזמה לבטל את הפטור ממס שבח על מכירת דירה לא יחידה, ראו להלן בפרק "השימוש במס שבח ככלי בתחום הדיור".</w:t>
      </w:r>
    </w:p>
  </w:footnote>
  <w:footnote w:id="135">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קבוצת רכישה היא קבוצת רוכשים המתארגנת לרכישת זכות במקרקעין ולבנייה על הקרקע של נכס באמצעות גורם מארגן, ובלבד שהרוכשים בקבוצה מחויבים למסגרת חוזית. נכס לעניין זה הוא נכס שאינו דירת מגורים או נכס שהוא דירה המיועדת למגורים או נכסים כהגדרתם בחוק מיסוי מקרקעין.</w:t>
      </w:r>
    </w:p>
  </w:footnote>
  <w:footnote w:id="136">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תיקון 69 לחוק מיסוי מקרקעין מקורו בסעיף 35 לחוק המדיניות הכלכלית לשנים 2011 ו-2012 (תיקוני חקיקה), התשע"א-2010. תחילתו של התיקון ב-1.1.11.</w:t>
      </w:r>
    </w:p>
  </w:footnote>
  <w:footnote w:id="13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תיקון 40 לחוק מס ערך מוסף, התשל"ו-1975, מקורו בסעיפים 33 ו-34 לחוק המדיניות הכלכלית לשנים 2011 ו-2012 (תיקוני חקיקה), התשע"א-2010.</w:t>
      </w:r>
    </w:p>
  </w:footnote>
  <w:footnote w:id="138">
    <w:p w:rsidR="001A17E8" w:rsidRPr="00315F89" w:rsidP="00315F89">
      <w:pPr>
        <w:keepLines/>
        <w:spacing w:line="200" w:lineRule="exact"/>
        <w:ind w:left="397" w:hanging="397"/>
        <w:jc w:val="both"/>
        <w:rPr>
          <w:rFonts w:cs="FrankRuehl"/>
          <w:sz w:val="18"/>
          <w:szCs w:val="20"/>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t>לפי סעיף 49(א) לחוק מיסוי מקרקעין, דירת מגורים מזכה היא "דירת מגורים ששימשה בעיקרה למגורים לפחות באחת משתי התקופות שלהלן: (1) ארבע חמישיות מהתקופה שבשלה מחושב השבח; (2) ארבע השנים שקדמו למכירתה; לעניין הגדרה זו, יראו תקופה שבה לא נעשה בדירה שימוש כלשהו, או תקופה שבה שימשה הדירה לפעולות חינוך, לרבות פעוטון, או דת כפי שקבע שר האוצר, באישור ועדת הכספים של הכנסת, כתקופה שבה שימשה הדירה למגורים".</w:t>
      </w:r>
    </w:p>
  </w:footnote>
  <w:footnote w:id="139">
    <w:p w:rsidR="001A17E8" w:rsidRPr="00315F89" w:rsidP="00315F89">
      <w:pPr>
        <w:keepLines/>
        <w:tabs>
          <w:tab w:val="left" w:pos="12"/>
        </w:tabs>
        <w:spacing w:line="200" w:lineRule="exact"/>
        <w:ind w:left="397" w:hanging="397"/>
        <w:jc w:val="both"/>
        <w:rPr>
          <w:rFonts w:cs="FrankRuehl"/>
          <w:sz w:val="18"/>
          <w:szCs w:val="20"/>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t>חוק מיסוי מקרקעין (הגדלת ההיצע של דירות מגורים - הוראת שעה), התש"ע-2011.</w:t>
      </w:r>
    </w:p>
  </w:footnote>
  <w:footnote w:id="14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שם.</w:t>
      </w:r>
    </w:p>
  </w:footnote>
  <w:footnote w:id="141">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שם.</w:t>
      </w:r>
    </w:p>
  </w:footnote>
  <w:footnote w:id="142">
    <w:p w:rsidR="001A17E8" w:rsidRPr="00315F89" w:rsidP="00BE12D6">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Pr>
        <w:tab/>
      </w:r>
      <w:r w:rsidRPr="00315F89">
        <w:rPr>
          <w:rFonts w:cs="FrankRuehl"/>
          <w:sz w:val="18"/>
          <w:rtl/>
        </w:rPr>
        <w:t>לפי חוק מיסוי מקרקעין, דירה יחידה היא דירת מגורים שהיא דירתו היחידה של הרוכש בישראל ובאזור; רוכש ובן זוגו, למעט בן זוג הגר בדרך קבע בנפרד, וילדיהם שטרם מלאו להם 18 שנים, למעט ילד נשוי, ייחשבו רוכש אחד.</w:t>
      </w:r>
    </w:p>
  </w:footnote>
  <w:footnote w:id="143">
    <w:p w:rsidR="001A17E8" w:rsidRPr="00315F89" w:rsidP="00315F89">
      <w:pPr>
        <w:pStyle w:val="FootnoteText"/>
        <w:keepLines/>
        <w:suppressAutoHyphen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תיקון 75 לחוק מיסוי מקרקעין.</w:t>
      </w:r>
    </w:p>
  </w:footnote>
  <w:footnote w:id="144">
    <w:p w:rsidR="001A17E8" w:rsidRPr="00315F89" w:rsidP="00315F89">
      <w:pPr>
        <w:pStyle w:val="P22"/>
        <w:keepLines/>
        <w:widowControl/>
        <w:tabs>
          <w:tab w:val="left" w:pos="708"/>
        </w:tabs>
        <w:spacing w:before="0" w:line="200" w:lineRule="exact"/>
        <w:ind w:left="397" w:right="0" w:hanging="397"/>
        <w:rPr>
          <w:rFonts w:cs="FrankRuehl"/>
          <w:sz w:val="18"/>
          <w:szCs w:val="20"/>
          <w:rtl/>
        </w:rPr>
      </w:pPr>
      <w:r w:rsidRPr="00315F89">
        <w:rPr>
          <w:rStyle w:val="FootnoteReference0"/>
          <w:rFonts w:ascii="FrankRuehl" w:hAnsi="FrankRuehl" w:cs="FrankRuehl"/>
          <w:szCs w:val="20"/>
          <w:vertAlign w:val="baseline"/>
        </w:rPr>
        <w:footnoteRef/>
      </w:r>
      <w:r w:rsidRPr="00315F89">
        <w:rPr>
          <w:rFonts w:cs="FrankRuehl"/>
          <w:sz w:val="18"/>
          <w:szCs w:val="20"/>
          <w:rtl/>
        </w:rPr>
        <w:t xml:space="preserve"> </w:t>
      </w:r>
      <w:r w:rsidRPr="00315F89">
        <w:rPr>
          <w:rFonts w:cs="FrankRuehl"/>
          <w:sz w:val="18"/>
          <w:szCs w:val="20"/>
          <w:rtl/>
        </w:rPr>
        <w:tab/>
        <w:t xml:space="preserve">חוק מיסוי מקרקעין (שבח ורכישה) תשכ"ג-1963-תיקון 76, שהוכנס בחוק לשינוי סדרי עדיפויות לאומים (תיקוני חקיקה </w:t>
      </w:r>
      <w:r>
        <w:rPr>
          <w:rFonts w:cs="FrankRuehl"/>
          <w:sz w:val="18"/>
          <w:szCs w:val="20"/>
          <w:rtl/>
        </w:rPr>
        <w:t>להשגת יעדי התקציב לשנים 2013 ו-</w:t>
      </w:r>
      <w:r w:rsidRPr="00315F89">
        <w:rPr>
          <w:rFonts w:cs="FrankRuehl"/>
          <w:sz w:val="18"/>
          <w:szCs w:val="20"/>
          <w:rtl/>
        </w:rPr>
        <w:t>2014), התשע"ג-2013.</w:t>
      </w:r>
    </w:p>
  </w:footnote>
  <w:footnote w:id="145">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 xml:space="preserve">דוח שנתי 64א </w:t>
      </w:r>
      <w:r w:rsidRPr="00315F89">
        <w:rPr>
          <w:rFonts w:cs="FrankRuehl"/>
          <w:sz w:val="18"/>
          <w:rtl/>
        </w:rPr>
        <w:t>(2013), בפרק "החלטות בתחום המיסים - תהליך קבלתן והתאמתן ליעדי הממשלה", עמ' 157-152.</w:t>
      </w:r>
    </w:p>
  </w:footnote>
  <w:footnote w:id="14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את המחקר ביצעו חברות חיצוניות המתמחות בייעוץ כלכלי והנדסי בתחום הבינוי והשיכון. </w:t>
      </w:r>
    </w:p>
  </w:footnote>
  <w:footnote w:id="147">
    <w:p w:rsidR="001A17E8" w:rsidRPr="00315F89" w:rsidP="00315F89">
      <w:pPr>
        <w:keepLines/>
        <w:spacing w:line="200" w:lineRule="exact"/>
        <w:ind w:left="397" w:hanging="397"/>
        <w:jc w:val="both"/>
        <w:rPr>
          <w:rFonts w:cs="FrankRuehl"/>
          <w:sz w:val="18"/>
          <w:szCs w:val="20"/>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t xml:space="preserve">הנתונים התבססו על פרויקטים שבנייתם הסתיימה במהלך 2010 עד יוני 2012 והקרקע שלהם נרכשה בשנים 2009-2007. מהמחקר עולה כי משנת 2008 חלה עלייה חדה הן במחירי הקרקעות הן במחירי הדירות, בעיקר באזורי הביקוש. לפיכך, סביר שהנתונים במדגם מייצגים פרויקטים שבהם משקל הקרקע יחסית לכלל מרכיבי העלות היה קטן מאשר כיום. בעת שנעשה המחקר שיעור מס הערך המוסף החל על הרוכשים היה 16% ואילו לאחר מועד איסוף הנתונים עלה ל-18% (ביוני 2013). </w:t>
      </w:r>
    </w:p>
  </w:footnote>
  <w:footnote w:id="14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בבניינים שבהם 8-3 קומות. </w:t>
      </w:r>
    </w:p>
  </w:footnote>
  <w:footnote w:id="149">
    <w:p w:rsidR="001A17E8" w:rsidRPr="00315F89" w:rsidP="00315F89">
      <w:pPr>
        <w:keepLines/>
        <w:spacing w:line="200" w:lineRule="exact"/>
        <w:ind w:left="397" w:hanging="397"/>
        <w:jc w:val="both"/>
        <w:rPr>
          <w:rFonts w:cs="FrankRuehl"/>
          <w:sz w:val="18"/>
          <w:szCs w:val="20"/>
          <w:rtl/>
        </w:rPr>
      </w:pPr>
      <w:r w:rsidRPr="00315F89">
        <w:rPr>
          <w:rStyle w:val="FootnoteReference0"/>
          <w:rFonts w:ascii="FrankRuehl" w:hAnsi="FrankRuehl" w:cs="FrankRuehl"/>
          <w:sz w:val="20"/>
          <w:szCs w:val="20"/>
          <w:vertAlign w:val="baseline"/>
        </w:rPr>
        <w:footnoteRef/>
      </w:r>
      <w:r w:rsidRPr="00315F89">
        <w:rPr>
          <w:rStyle w:val="FootnoteReference0"/>
          <w:rFonts w:cs="FrankRuehl"/>
          <w:sz w:val="18"/>
          <w:szCs w:val="20"/>
          <w:rtl/>
        </w:rPr>
        <w:t xml:space="preserve"> </w:t>
      </w:r>
      <w:r w:rsidRPr="00315F89">
        <w:rPr>
          <w:rFonts w:cs="FrankRuehl"/>
          <w:sz w:val="18"/>
          <w:szCs w:val="20"/>
          <w:rtl/>
        </w:rPr>
        <w:tab/>
        <w:t>באוגוסט 2001 מינה שר האוצר דאז ועדה ציבורית לרפורמה במערכת מיסוי המקרקעין בראשותו של רו"ח יאיר רבינוביץ (להלן - ועדה למיסוי מקרקעין). בנובמבר 2001 הגישה הוועדה לשר האוצר את מסקנותיה. חברי הוועדה התבקשו להציע רפורמה במערכת מיסוי המקרקעין שתתקן עיוותים, תסיר חסמי מס, תשפר את רמת הוודאות ותאיץ את הפעילות בענף הנדל"ן שנקלע למיתון. שיעור מס השבח שחל על מקרקעין באותה עת היה 50%-30% מהשבח הריאלי ליחידים (לפי שיעור המס השולי החל עליהם) ובשיעור של 36% לחברות. כמו כן הוטל מס בשיעור של 10% מהשבח האינפלציוני שצמח עד לשנת 1993 (על השבח האינפלציוני שצמח החל משנת 1994 אין חיוב במס).</w:t>
      </w:r>
    </w:p>
  </w:footnote>
  <w:footnote w:id="150">
    <w:p w:rsidR="001A17E8" w:rsidRPr="00315F89" w:rsidP="00315F89">
      <w:pPr>
        <w:keepLines/>
        <w:spacing w:line="200" w:lineRule="exact"/>
        <w:ind w:left="397" w:hanging="397"/>
        <w:jc w:val="both"/>
        <w:rPr>
          <w:rFonts w:cs="FrankRuehl"/>
          <w:sz w:val="18"/>
          <w:szCs w:val="20"/>
          <w:rtl/>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r>
      <w:r>
        <w:fldChar w:fldCharType="begin"/>
      </w:r>
      <w:r>
        <w:instrText xml:space="preserve"> HYPERLINK "http://www.nevo.co.il/Law_word/law14/LAW-1838.pdf" </w:instrText>
      </w:r>
      <w:r>
        <w:fldChar w:fldCharType="separate"/>
      </w:r>
      <w:r w:rsidRPr="00315F89">
        <w:rPr>
          <w:rFonts w:cs="FrankRuehl"/>
          <w:sz w:val="18"/>
          <w:szCs w:val="20"/>
          <w:rtl/>
        </w:rPr>
        <w:t>ס"ח תשס"ב מס' 1838</w:t>
      </w:r>
      <w:r>
        <w:fldChar w:fldCharType="end"/>
      </w:r>
      <w:r w:rsidRPr="00315F89">
        <w:rPr>
          <w:rFonts w:cs="FrankRuehl"/>
          <w:sz w:val="18"/>
          <w:szCs w:val="20"/>
          <w:rtl/>
        </w:rPr>
        <w:t xml:space="preserve"> מ-24.3.02, עמ' 220 (</w:t>
      </w:r>
      <w:r>
        <w:fldChar w:fldCharType="begin"/>
      </w:r>
      <w:r>
        <w:instrText xml:space="preserve"> HYPERLINK "http://www.nevo.co.il/Law_word/law17/PROP-3087.pdf" </w:instrText>
      </w:r>
      <w:r>
        <w:fldChar w:fldCharType="separate"/>
      </w:r>
      <w:r w:rsidRPr="00315F89">
        <w:rPr>
          <w:rFonts w:cs="FrankRuehl"/>
          <w:sz w:val="18"/>
          <w:szCs w:val="20"/>
          <w:rtl/>
        </w:rPr>
        <w:t>ה"ח תשס"ב מס' 3087</w:t>
      </w:r>
      <w:r>
        <w:fldChar w:fldCharType="end"/>
      </w:r>
      <w:r w:rsidRPr="00315F89">
        <w:rPr>
          <w:rFonts w:cs="FrankRuehl"/>
          <w:sz w:val="18"/>
          <w:szCs w:val="20"/>
          <w:rtl/>
        </w:rPr>
        <w:t xml:space="preserve"> עמ' 316) - תיקון מס' 50 והוראת שעה; תחילתו 60 ימים מיום פרסומו, וראו סעיף 33 לעניין תחולה. </w:t>
      </w:r>
      <w:r>
        <w:fldChar w:fldCharType="begin"/>
      </w:r>
      <w:r>
        <w:instrText xml:space="preserve"> HYPERLINK "http://www.nevo.co.il/Law_word/law14/LAW-1960.pdf" </w:instrText>
      </w:r>
      <w:r>
        <w:fldChar w:fldCharType="separate"/>
      </w:r>
      <w:r w:rsidRPr="00315F89">
        <w:rPr>
          <w:rFonts w:cs="FrankRuehl"/>
          <w:sz w:val="18"/>
          <w:szCs w:val="20"/>
          <w:rtl/>
        </w:rPr>
        <w:t>ת"ט ס"ח תשס"ה מס' 1960</w:t>
      </w:r>
      <w:r>
        <w:fldChar w:fldCharType="end"/>
      </w:r>
      <w:r w:rsidRPr="00315F89">
        <w:rPr>
          <w:rFonts w:cs="FrankRuehl"/>
          <w:sz w:val="18"/>
          <w:szCs w:val="20"/>
          <w:rtl/>
        </w:rPr>
        <w:t xml:space="preserve"> </w:t>
      </w:r>
      <w:r>
        <w:rPr>
          <w:rFonts w:cs="FrankRuehl" w:hint="cs"/>
          <w:sz w:val="18"/>
          <w:szCs w:val="20"/>
          <w:rtl/>
        </w:rPr>
        <w:br/>
      </w:r>
      <w:r w:rsidRPr="00315F89">
        <w:rPr>
          <w:rFonts w:cs="FrankRuehl"/>
          <w:sz w:val="18"/>
          <w:szCs w:val="20"/>
          <w:rtl/>
        </w:rPr>
        <w:t xml:space="preserve">מ-28.10.04 עמ' 3; תחילתו ב-7.11.01. </w:t>
      </w:r>
    </w:p>
  </w:footnote>
  <w:footnote w:id="151">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היחס שבין כל אחת מהתקופות; זו שלפני היום הקובע וזו שלאחריו לכלל התקופה שבה נצבר השבח. היום הקובע נקבע ל-7.11.01.</w:t>
      </w:r>
    </w:p>
  </w:footnote>
  <w:footnote w:id="152">
    <w:p w:rsidR="001A17E8" w:rsidRPr="00315F89" w:rsidP="00315F89">
      <w:pPr>
        <w:keepLines/>
        <w:spacing w:line="200" w:lineRule="exact"/>
        <w:ind w:left="397" w:hanging="397"/>
        <w:jc w:val="both"/>
        <w:rPr>
          <w:rFonts w:cs="FrankRuehl"/>
          <w:sz w:val="18"/>
          <w:szCs w:val="20"/>
          <w:rtl/>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t xml:space="preserve">בפברואר 2002 מינה שר האוצר דאז ועדה לרפורמה במס הכנסה בראשותו של רו"ח יאיר רבינוביץ. ביוני 2002 הגישה הוועדה את המלצותיה. הוועדה המלציה לצמצם את הפער בין נטל המס על עבודה ובין נטל המס על רווחי הון בבורסה שהיו פטורים ממס. </w:t>
      </w:r>
    </w:p>
  </w:footnote>
  <w:footnote w:id="153">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חוק מס שבח מקרקעין (פטור במכירת דירת מגורים) (הוראת שעה), התשנ"א-1992.</w:t>
      </w:r>
    </w:p>
  </w:footnote>
  <w:footnote w:id="154">
    <w:p w:rsidR="001A17E8" w:rsidRPr="00315F89" w:rsidP="00315F89">
      <w:pPr>
        <w:pStyle w:val="FootnoteText"/>
        <w:keepLines/>
        <w:tabs>
          <w:tab w:val="left" w:pos="720"/>
          <w:tab w:val="left" w:pos="1440"/>
          <w:tab w:val="left" w:pos="2160"/>
          <w:tab w:val="left" w:pos="2880"/>
          <w:tab w:val="left" w:pos="3600"/>
          <w:tab w:val="left" w:pos="4320"/>
          <w:tab w:val="left" w:pos="5040"/>
          <w:tab w:val="left" w:pos="6196"/>
        </w:tab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חוק מיסוי מקרקעין (שבח ורכישה), התשכ"ג-1963 - תיקון 34</w:t>
      </w:r>
      <w:r>
        <w:rPr>
          <w:rFonts w:cs="FrankRuehl"/>
          <w:sz w:val="18"/>
        </w:rPr>
        <w:t>.</w:t>
      </w:r>
    </w:p>
  </w:footnote>
  <w:footnote w:id="155">
    <w:p w:rsidR="001A17E8" w:rsidRPr="00315F89" w:rsidP="00315F89">
      <w:pPr>
        <w:keepLines/>
        <w:spacing w:line="200" w:lineRule="exact"/>
        <w:ind w:left="397" w:hanging="397"/>
        <w:jc w:val="both"/>
        <w:rPr>
          <w:rFonts w:cs="FrankRuehl"/>
          <w:sz w:val="18"/>
          <w:szCs w:val="20"/>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t>חוק מס הכנסה (פטור ממס על הכנסה מהשכרה דירה למגורים), התש"ן-1990.</w:t>
      </w:r>
    </w:p>
  </w:footnote>
  <w:footnote w:id="156">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תקרת הסכום נקבעת בפקודת מס הכנסה. לשנת 2013 תקרת הפטור על הכנסות מהשכרת דירות מגורים בישראל היא 4,980 ש"ח לחודש.</w:t>
      </w:r>
    </w:p>
  </w:footnote>
  <w:footnote w:id="157">
    <w:p w:rsidR="001A17E8" w:rsidRPr="00315F89" w:rsidP="00315F89">
      <w:pPr>
        <w:keepLines/>
        <w:spacing w:line="200" w:lineRule="exact"/>
        <w:ind w:left="397" w:hanging="397"/>
        <w:jc w:val="both"/>
        <w:rPr>
          <w:rFonts w:cs="FrankRuehl"/>
          <w:sz w:val="18"/>
          <w:szCs w:val="20"/>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t>חוק מס הכנסה (פטור ממס על הכנסה מהשכרה דירה למגורים), התש"ן-1990.</w:t>
      </w:r>
    </w:p>
  </w:footnote>
  <w:footnote w:id="15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דירה שרכש מי שבבעלותו כבר רשומה לפחות דירה אחת נוספת.</w:t>
      </w:r>
    </w:p>
  </w:footnote>
  <w:footnote w:id="159">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מינהל הכנסות המדינה, "רוכשי דירות להשקעה - מאפיינים ומגמות", ניתוח רב-שנתי, 27.10.09.</w:t>
      </w:r>
    </w:p>
  </w:footnote>
  <w:footnote w:id="16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אג"ת הציע מתכונת חיוב במס שבח שלפיה בעלים של כמה דירות מגורים מזכות יוכל לקבוע, בנוגע לכל דירה בנפרד, תקופת זמן שהשבח שנצבר במהלכה יהיה פטור ממס שבח. תקופות הזמן שנבחרו אסור שיחפפו ביניהן מפני שאז ייתכן מצב שבו לכמה דירות יינתן פטור ממס שבח על אותה תקופה. אם נמכרה דירת מגורים מזכה והתבקש עבורה פרק זמן שבו השבח שנצבר יהיה פטור, אסור יהיה במכירת דירה עתידית כלשהי של המוכר ובן זוגו לבקש שוב פטור לתקופה זו. יוצא אפוא שבמתכונת זו נדרש בין היתר שמוכר שיש לו בן זוג המבקש לבחור תקופת שבח פטורה יהיה חייב לצרף את הסכמת בן זוגו לבחירה האמורה. מוכר שלא יצרף הסכמה כאמור יראוהו כמי שלא בחר תקופה לפטור. הסכמה זו נדרשת מכיוון שבני זוג נחשבים כמוכר אחד לעניין אפשרות לקבלת פטורים עתידיים בגין מכירת דירות נוספות שיש בידם במשותף או בנפרד. עוד עולה שבמתכונת זו נדרשת היערכות מחשובית מרשות המסים שתאפשר מעקב אחר כל תקופות הזמן שנבחרו בנוגע לכל אחת מהדירות שהיו בידי כל אזרח ונמכרו ואחר כל הדירות המצויות בידו בכל רגע נתון.</w:t>
      </w:r>
    </w:p>
  </w:footnote>
  <w:footnote w:id="161">
    <w:p w:rsidR="001A17E8" w:rsidRPr="00315F89" w:rsidP="00315F89">
      <w:pPr>
        <w:keepLines/>
        <w:spacing w:line="200" w:lineRule="exact"/>
        <w:ind w:left="397" w:hanging="397"/>
        <w:jc w:val="both"/>
        <w:rPr>
          <w:rFonts w:cs="FrankRuehl"/>
          <w:sz w:val="18"/>
          <w:szCs w:val="20"/>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t>הצעת חוק</w:t>
      </w:r>
      <w:r>
        <w:fldChar w:fldCharType="begin"/>
      </w:r>
      <w:r>
        <w:instrText xml:space="preserve"> HYPERLINK "http://www.nevo.co.il/Law_word/law15/memshala-603.pdf" </w:instrText>
      </w:r>
      <w:r>
        <w:fldChar w:fldCharType="separate"/>
      </w:r>
      <w:r w:rsidRPr="00315F89">
        <w:rPr>
          <w:rFonts w:cs="FrankRuehl"/>
          <w:sz w:val="18"/>
          <w:szCs w:val="20"/>
          <w:rtl/>
        </w:rPr>
        <w:t xml:space="preserve"> הממשלה תשע"א מס' 603</w:t>
      </w:r>
      <w:r>
        <w:fldChar w:fldCharType="end"/>
      </w:r>
      <w:r w:rsidRPr="00315F89">
        <w:rPr>
          <w:rFonts w:cs="FrankRuehl"/>
          <w:sz w:val="18"/>
          <w:szCs w:val="20"/>
          <w:rtl/>
        </w:rPr>
        <w:t xml:space="preserve"> (עמ' 1292) - תיקון מס' 71 חוק מיסוי מקרקעין (שבח ורכישה), תשע"א-2011, 11.7.11. </w:t>
      </w:r>
    </w:p>
  </w:footnote>
  <w:footnote w:id="162">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דיוני ועדת הכספים מיום 24.7.11 ומיום 26.7.11. </w:t>
      </w:r>
    </w:p>
  </w:footnote>
  <w:footnote w:id="163">
    <w:p w:rsidR="001A17E8" w:rsidRPr="00315F89" w:rsidP="00315F89">
      <w:pPr>
        <w:keepNext/>
        <w:keepLines/>
        <w:spacing w:line="200" w:lineRule="exact"/>
        <w:ind w:left="397" w:hanging="397"/>
        <w:jc w:val="both"/>
        <w:rPr>
          <w:rFonts w:cs="FrankRuehl"/>
          <w:sz w:val="18"/>
          <w:szCs w:val="20"/>
          <w:rtl/>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t>בשנים 2012-2003 נרכשו כ-250,000 דירות על ידי משקיעים.</w:t>
      </w:r>
    </w:p>
  </w:footnote>
  <w:footnote w:id="164">
    <w:p w:rsidR="001A17E8" w:rsidRPr="00315F89" w:rsidP="003D6B9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חוק מיסוי מקרקעין (שבח ורכישה) תשכ"ג-1963 - תיקון 76, שהוכנס בחוק לשינוי סדרי עדיפויות לאומים (תיקוני חקיקה להשגת יעדי התקציב לשנים 2013 ו-2014), התשע"ג-2013.</w:t>
      </w:r>
    </w:p>
  </w:footnote>
  <w:footnote w:id="165">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לפי סעיף 145(ז) לחוק התכנון והבנייה, מתן היתר בנייה מכוח תכנית שהופקדה אחרי ינואר 1996 מותנה באישורה של תכנית הקובעת הוראות לייעודי הקרקע, חלוקה למגרשים או לחלקות וגבולותיהם, קווי בניין, מספר קומות או גובה הבניינים ושטחי הבנייה המותרים בסייג שנקבע בחוק. </w:t>
      </w:r>
    </w:p>
  </w:footnote>
  <w:footnote w:id="16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ע"פ 377/87 </w:t>
      </w:r>
      <w:r w:rsidRPr="00315F89">
        <w:rPr>
          <w:rFonts w:cs="FrankRuehl"/>
          <w:b/>
          <w:bCs/>
          <w:sz w:val="18"/>
          <w:rtl/>
        </w:rPr>
        <w:t>קלקא נחום בע"מ נ' מדינת ישראל</w:t>
      </w:r>
      <w:r w:rsidRPr="00315F89">
        <w:rPr>
          <w:rFonts w:cs="FrankRuehl"/>
          <w:sz w:val="18"/>
          <w:rtl/>
        </w:rPr>
        <w:t>, פ"ד מא(4) 673 (1987).</w:t>
      </w:r>
    </w:p>
  </w:footnote>
  <w:footnote w:id="167">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לפי סעיף 30 לחוק התכנון והבנייה, יו"ר הוועדה המקומית או יו"ר ועדת המשנה של הוועדה המקומית ומהנדסה הם רשות רישוי מקומית.</w:t>
      </w:r>
    </w:p>
  </w:footnote>
  <w:footnote w:id="16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ההגדרה בתכנית היא מרקם עירוני.</w:t>
      </w:r>
    </w:p>
  </w:footnote>
  <w:footnote w:id="16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תמ"א 35 אינה חלה על אזור יהודה ושומרון.</w:t>
      </w:r>
    </w:p>
  </w:footnote>
  <w:footnote w:id="17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חיפה, ירושלים, תל אביב, באר שבע.</w:t>
      </w:r>
    </w:p>
  </w:footnote>
  <w:footnote w:id="171">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סעיף 18 להוראות התמ"א. </w:t>
      </w:r>
    </w:p>
  </w:footnote>
  <w:footnote w:id="17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הוועדה לנושאים תכנוניים עקרוניים שהיא גם ועדת המשנה של המועצה הארצית.</w:t>
      </w:r>
    </w:p>
  </w:footnote>
  <w:footnote w:id="17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באותו החודש היא החלה לכהן בתפקיד זה.</w:t>
      </w:r>
    </w:p>
  </w:footnote>
  <w:footnote w:id="174">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לפי צוות המעקב, כ-60% מיזמות הבנייה הציבורית בשנים אלו היו במחוזות ירושלים והמרכז. </w:t>
      </w:r>
    </w:p>
  </w:footnote>
  <w:footnote w:id="175">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תמ"א 35, ליווי, מעקב ועדכון, דוח שלב ג (2010), עמ' 402-373. </w:t>
      </w:r>
    </w:p>
  </w:footnote>
  <w:footnote w:id="17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שם, עמ' 457.</w:t>
      </w:r>
    </w:p>
  </w:footnote>
  <w:footnote w:id="17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שם.</w:t>
      </w:r>
    </w:p>
  </w:footnote>
  <w:footnote w:id="17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ראו מבקר המדינה,</w:t>
      </w:r>
      <w:r w:rsidRPr="00315F89">
        <w:rPr>
          <w:rFonts w:cs="FrankRuehl"/>
          <w:b/>
          <w:bCs/>
          <w:sz w:val="18"/>
          <w:rtl/>
        </w:rPr>
        <w:t xml:space="preserve"> דוח שנתי 60א</w:t>
      </w:r>
      <w:r w:rsidRPr="00315F89">
        <w:rPr>
          <w:rFonts w:cs="FrankRuehl"/>
          <w:sz w:val="18"/>
          <w:rtl/>
        </w:rPr>
        <w:t xml:space="preserve"> (2010), עמ' 408-369.</w:t>
      </w:r>
    </w:p>
  </w:footnote>
  <w:footnote w:id="179">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על פי נתוני הלמ"ס, הרשויות המקומיות בישראל 2011. </w:t>
      </w:r>
    </w:p>
  </w:footnote>
  <w:footnote w:id="18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יש לציין כי תמ"א 38 מאפשרת אף היא מתן היתר בנייה לבנייתן של יח"ד, אך בהערכת המלאי התכנוני לא הובאה אפשרות זאת בחשבון בשל הקשיים ביישומה ובשל העובדה כי יישומה נעשה באופן הדרגתי לאורך שנים רבות. </w:t>
      </w:r>
    </w:p>
  </w:footnote>
  <w:footnote w:id="181">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תמ"א 35, </w:t>
      </w:r>
      <w:r w:rsidRPr="00315F89">
        <w:rPr>
          <w:rFonts w:cs="FrankRuehl"/>
          <w:b/>
          <w:bCs/>
          <w:sz w:val="18"/>
          <w:rtl/>
        </w:rPr>
        <w:t>כרך אמצעי המדיניות</w:t>
      </w:r>
      <w:r w:rsidRPr="00315F89">
        <w:rPr>
          <w:rFonts w:cs="FrankRuehl"/>
          <w:sz w:val="18"/>
          <w:rtl/>
        </w:rPr>
        <w:t>, בפרק "עיקרי הפרוגרמה", עמ' 95-92.</w:t>
      </w:r>
    </w:p>
  </w:footnote>
  <w:footnote w:id="18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בהחלטת הממשלה נקבעה מכסה של יח"ד לכל מחוז - מחוז הצפון - 10,000; במחוזות ירושלים והדרום - 9,000 בכל מחוז; מחוז תל אביב - 5,000; מחוז חיפה - 8,000; ומחוז המרכז - 19,000.</w:t>
      </w:r>
    </w:p>
  </w:footnote>
  <w:footnote w:id="18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משרד הפנים, </w:t>
      </w:r>
      <w:r w:rsidRPr="00315F89">
        <w:rPr>
          <w:rFonts w:cs="FrankRuehl"/>
          <w:b/>
          <w:bCs/>
          <w:sz w:val="18"/>
          <w:rtl/>
        </w:rPr>
        <w:t>השירות התכנוני - הישגים ויעדים 2010-2005</w:t>
      </w:r>
      <w:r w:rsidRPr="00315F89">
        <w:rPr>
          <w:rFonts w:cs="FrankRuehl"/>
          <w:sz w:val="18"/>
          <w:rtl/>
        </w:rPr>
        <w:t>, אפריל 2008, עמ' 19.</w:t>
      </w:r>
    </w:p>
  </w:footnote>
  <w:footnote w:id="18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מכרז פומבי מס' 16/27 - הזמנה לקבלת הצעות לאיסוף מידע כמותי מתכניות וניתוחו.</w:t>
      </w:r>
    </w:p>
  </w:footnote>
  <w:footnote w:id="185">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נוסף לכך ישנן כ-50,000 יח"ד בתכניות שקיבלו תוקף, שהליכי רישומן בלשכת רישום המקרקעין טרם הסתיימו.</w:t>
      </w:r>
    </w:p>
  </w:footnote>
  <w:footnote w:id="18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הנתונים המוצגים מבוססים על הנתונים המוזנים למערכת המחשב של משרד הפנים. אין הם כוללים נתונים הנוגעים לאזור יהודה ושומרון משום שמשרד הפנים אינו מרכז נתונים על אזור זה.</w:t>
      </w:r>
    </w:p>
  </w:footnote>
  <w:footnote w:id="18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מכון דש"א הוא ארגון שאינו ממשלתי שהוקם בתחילת שנות התשעים. הארגון עוסק באיסוף מידע וניתוחו לצורך גיבוש עקרונות מנחים וקווי מדיניות בתחום המקרקעין, בעיקר בכל הנוגע לשמירה על שטחים פתוחים.</w:t>
      </w:r>
    </w:p>
  </w:footnote>
  <w:footnote w:id="18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בכ-10% מהתכניות נקבעו תנאים שמימושם עשוי להסתיים בתוך כמה חודשים ובשאר לא נקבעו תנאים המעכבים את המימוש.</w:t>
      </w:r>
    </w:p>
  </w:footnote>
  <w:footnote w:id="18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לפי הנתונים המופיעים בחוברת עיקרי התקציב של משרד הפנים לשנת 2008.</w:t>
      </w:r>
    </w:p>
  </w:footnote>
  <w:footnote w:id="19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בהחלטת הממשלה נקבעה מכסה של יח"ד לכל מחוז - מחוז הצפון - 10,000; במחוזות ירושלים והדרום - 9,000 בכל מחוז; מחוז תל אביב - 5,000; מחוז חיפה - 8,000; ומחוז המרכז - 19,000.</w:t>
      </w:r>
    </w:p>
  </w:footnote>
  <w:footnote w:id="191">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הסדר מ-12.7.00 בין מינהל מקרקעי ישראל (כיום רמ"י) ומשרד הבינוי בנושא הרשאות לתכנון ופיתוח. </w:t>
      </w:r>
    </w:p>
  </w:footnote>
  <w:footnote w:id="192">
    <w:p w:rsidR="001A17E8" w:rsidRPr="00315F89" w:rsidP="007F6D5D">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מבקר המדינה, </w:t>
      </w:r>
      <w:r w:rsidRPr="00315F89">
        <w:rPr>
          <w:rFonts w:cs="FrankRuehl"/>
          <w:b/>
          <w:bCs/>
          <w:sz w:val="18"/>
          <w:rtl/>
        </w:rPr>
        <w:t>דוח שנתי 55ב</w:t>
      </w:r>
      <w:r>
        <w:rPr>
          <w:rFonts w:cs="FrankRuehl" w:hint="cs"/>
          <w:b/>
          <w:bCs/>
          <w:sz w:val="18"/>
          <w:rtl/>
        </w:rPr>
        <w:t xml:space="preserve"> </w:t>
      </w:r>
      <w:r w:rsidRPr="00315F89">
        <w:rPr>
          <w:rFonts w:cs="FrankRuehl"/>
          <w:b/>
          <w:bCs/>
          <w:sz w:val="18"/>
          <w:rtl/>
        </w:rPr>
        <w:t>(</w:t>
      </w:r>
      <w:r w:rsidRPr="00315F89">
        <w:rPr>
          <w:rFonts w:cs="FrankRuehl"/>
          <w:sz w:val="18"/>
          <w:rtl/>
        </w:rPr>
        <w:t>2005)</w:t>
      </w:r>
      <w:r>
        <w:rPr>
          <w:rFonts w:cs="FrankRuehl" w:hint="cs"/>
          <w:sz w:val="18"/>
          <w:rtl/>
        </w:rPr>
        <w:t xml:space="preserve">, </w:t>
      </w:r>
      <w:r w:rsidRPr="00315F89">
        <w:rPr>
          <w:rFonts w:cs="FrankRuehl"/>
          <w:sz w:val="18"/>
          <w:rtl/>
        </w:rPr>
        <w:t>תכנון ושיווק של קרקע לבנייה למגורים, עמ</w:t>
      </w:r>
      <w:r>
        <w:rPr>
          <w:rFonts w:cs="FrankRuehl" w:hint="cs"/>
          <w:sz w:val="18"/>
          <w:rtl/>
        </w:rPr>
        <w:t>'</w:t>
      </w:r>
      <w:r w:rsidRPr="00315F89">
        <w:rPr>
          <w:rFonts w:cs="FrankRuehl"/>
          <w:sz w:val="18"/>
          <w:rtl/>
        </w:rPr>
        <w:t xml:space="preserve"> 445-419.</w:t>
      </w:r>
    </w:p>
  </w:footnote>
  <w:footnote w:id="193">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ועדת גדיש היא ועדה ציבורית שמינה שר התעשייה המסחר והתעסוקה ב-2.5.04 בראשותו של מר יעקב גדיש. הוועדה עסקה ברפורמה במינהל מקרקעי ישראל במטרה להגדיר את מטרות הפעולה העיקריות של הרשות החדשה, את המבנה הארגוני שלה ואת דרכי פעולתה. ביוני 2005 אישרה הממשלה את המלצות הוועדה, ומועצת מקרקעי ישראל עשתה זאת בינואר 2006.</w:t>
      </w:r>
    </w:p>
  </w:footnote>
  <w:footnote w:id="19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לדוגמה, במעלות, ביבנה ובדימונה (כ-5,000 יח"ד)</w:t>
      </w:r>
      <w:r>
        <w:rPr>
          <w:rFonts w:cs="FrankRuehl" w:hint="cs"/>
          <w:sz w:val="18"/>
          <w:rtl/>
        </w:rPr>
        <w:t>.</w:t>
      </w:r>
    </w:p>
  </w:footnote>
  <w:footnote w:id="195">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לדוגמה, ביקנעם, בעכו, באילת ובירוחם (כ-9,500 יח"ד).</w:t>
      </w:r>
    </w:p>
  </w:footnote>
  <w:footnote w:id="196">
    <w:p w:rsidR="001A17E8" w:rsidRPr="00315F89" w:rsidP="00315F89">
      <w:pPr>
        <w:keepLines/>
        <w:spacing w:line="200" w:lineRule="exact"/>
        <w:ind w:left="397" w:hanging="397"/>
        <w:jc w:val="both"/>
        <w:rPr>
          <w:rFonts w:cs="FrankRuehl"/>
          <w:sz w:val="18"/>
          <w:szCs w:val="20"/>
          <w:rtl/>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t>לדוגמה, בבית שאן, בכרמיאל, בנצרת עלית, באור עקיבא, ברכסים ובקריית גת (כ-43,000 יח"ד).</w:t>
      </w:r>
    </w:p>
  </w:footnote>
  <w:footnote w:id="197">
    <w:p w:rsidR="001A17E8" w:rsidRPr="00315F89" w:rsidP="008C0652">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r>
      <w:r>
        <w:rPr>
          <w:rFonts w:cs="FrankRuehl" w:hint="cs"/>
          <w:sz w:val="18"/>
          <w:rtl/>
        </w:rPr>
        <w:t xml:space="preserve">מבקר המדינה, </w:t>
      </w:r>
      <w:r>
        <w:rPr>
          <w:rFonts w:cs="FrankRuehl" w:hint="cs"/>
          <w:b/>
          <w:bCs/>
          <w:sz w:val="18"/>
          <w:rtl/>
        </w:rPr>
        <w:t xml:space="preserve">דוח שנתי </w:t>
      </w:r>
      <w:r w:rsidRPr="008C0652">
        <w:rPr>
          <w:rFonts w:cs="FrankRuehl" w:hint="cs"/>
          <w:sz w:val="18"/>
          <w:rtl/>
        </w:rPr>
        <w:t>55ב</w:t>
      </w:r>
      <w:r>
        <w:rPr>
          <w:rFonts w:cs="FrankRuehl" w:hint="cs"/>
          <w:sz w:val="18"/>
          <w:rtl/>
        </w:rPr>
        <w:t xml:space="preserve"> (2005), </w:t>
      </w:r>
      <w:r w:rsidRPr="008C0652">
        <w:rPr>
          <w:rFonts w:cs="FrankRuehl"/>
          <w:sz w:val="18"/>
          <w:rtl/>
        </w:rPr>
        <w:t>עמ</w:t>
      </w:r>
      <w:r>
        <w:rPr>
          <w:rFonts w:cs="FrankRuehl" w:hint="cs"/>
          <w:sz w:val="18"/>
          <w:rtl/>
        </w:rPr>
        <w:t>'</w:t>
      </w:r>
      <w:r w:rsidRPr="00315F89">
        <w:rPr>
          <w:rFonts w:cs="FrankRuehl"/>
          <w:sz w:val="18"/>
          <w:rtl/>
        </w:rPr>
        <w:t xml:space="preserve"> 426-423.</w:t>
      </w:r>
    </w:p>
  </w:footnote>
  <w:footnote w:id="198">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דוח שנתי 45</w:t>
      </w:r>
      <w:r w:rsidRPr="00315F89">
        <w:rPr>
          <w:rFonts w:cs="FrankRuehl"/>
          <w:sz w:val="18"/>
          <w:rtl/>
        </w:rPr>
        <w:t xml:space="preserve"> (1995), בפרק "משרדי ממשלה, משרד הבינוי: תכנון ושיווק של קרקע המיועדת לבנייה למגורים", עמ' 83; </w:t>
      </w:r>
      <w:r w:rsidRPr="00315F89">
        <w:rPr>
          <w:rFonts w:cs="FrankRuehl"/>
          <w:b/>
          <w:bCs/>
          <w:sz w:val="18"/>
          <w:rtl/>
        </w:rPr>
        <w:t>דוח שנתי 55ב</w:t>
      </w:r>
      <w:r w:rsidRPr="00315F89">
        <w:rPr>
          <w:rFonts w:cs="FrankRuehl"/>
          <w:sz w:val="18"/>
          <w:rtl/>
        </w:rPr>
        <w:t xml:space="preserve"> (2005), בפרק "משרדי ממשלה, משרד הבינוי: סדרי תכנון קרקע למגורים", עמ' 439.</w:t>
      </w:r>
    </w:p>
  </w:footnote>
  <w:footnote w:id="19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רק בהחלטה מס' 367 מיוני 2013 קבעה הממשלה כי יש "להגדיר את אזורי הביקוש כמחוזות ת"א, מרכז, ירושלים, חיפה וכן נפת אשקלון וזאת על פי הגדרות משרד הפנים". </w:t>
      </w:r>
    </w:p>
  </w:footnote>
  <w:footnote w:id="200">
    <w:p w:rsidR="001A17E8" w:rsidRPr="00315F89" w:rsidP="00315F89">
      <w:pPr>
        <w:keepLines/>
        <w:spacing w:line="200" w:lineRule="exact"/>
        <w:ind w:left="397" w:hanging="397"/>
        <w:jc w:val="both"/>
        <w:rPr>
          <w:rFonts w:cs="FrankRuehl"/>
          <w:sz w:val="18"/>
          <w:szCs w:val="20"/>
          <w:rtl/>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t xml:space="preserve">במאגרי הנתונים נמצא כי ישנו הבדל בחלוקת המחוזות במשרד הפנים, ברמ"י ובמשרד הבינוי. למשל, במשרד הפנים אשדוד משויכת למחוז דרום, ברמ"י למחוז ירושלים ובמשרד הבינוי למחוז המרכז. </w:t>
      </w:r>
    </w:p>
  </w:footnote>
  <w:footnote w:id="201">
    <w:p w:rsidR="001A17E8" w:rsidRPr="00315F89" w:rsidP="00A53141">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תכנית "שערי העיר" בנתיבות; תכנית מתחם שש ברהט; תכנית קריית גת צפון - מתחם </w:t>
      </w:r>
      <w:r>
        <w:rPr>
          <w:rFonts w:cs="FrankRuehl" w:hint="cs"/>
          <w:sz w:val="18"/>
          <w:rtl/>
        </w:rPr>
        <w:t>7</w:t>
      </w:r>
      <w:r w:rsidRPr="00315F89">
        <w:rPr>
          <w:rFonts w:cs="FrankRuehl"/>
          <w:sz w:val="18"/>
          <w:rtl/>
        </w:rPr>
        <w:t>; תכנית שכונות מזרחיות בפורדיס.</w:t>
      </w:r>
    </w:p>
  </w:footnote>
  <w:footnote w:id="20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תכנית מס' 2/140/02/9.</w:t>
      </w:r>
    </w:p>
  </w:footnote>
  <w:footnote w:id="20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תכנית מס' 4/140/03/9.</w:t>
      </w:r>
    </w:p>
  </w:footnote>
  <w:footnote w:id="20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סעיף 12.3 בתמ"מ 4/ 48/14. </w:t>
      </w:r>
    </w:p>
  </w:footnote>
  <w:footnote w:id="205">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תכנית מס' 140/02/09. </w:t>
      </w:r>
    </w:p>
  </w:footnote>
  <w:footnote w:id="20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את הוועדה ההנדסית ממנה המועצה הארצית לענייני ניקוז. על פי סעיף 3(ב) לחוק הניקוז, על הוועדה ההנדסית לבדוק תכניות ניקוז מהבחינה ההנדסית.</w:t>
      </w:r>
    </w:p>
  </w:footnote>
  <w:footnote w:id="20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חלקו המזרחי עד כביש 40 מופיע כעורק משני בתמ"א 34/ב/3.</w:t>
      </w:r>
    </w:p>
  </w:footnote>
  <w:footnote w:id="20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הצפיפות במחוז תל-אביב ב-2012 הייתה 7,485 תושבים לקמ"ר לעומת ממוצע ארצי של 321 תושבים לקמ"ר.</w:t>
      </w:r>
    </w:p>
  </w:footnote>
  <w:footnote w:id="209">
    <w:p w:rsidR="001A17E8" w:rsidRPr="00582A43" w:rsidP="00EC0D7D">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r>
      <w:r w:rsidRPr="00582A43">
        <w:rPr>
          <w:rFonts w:cs="FrankRuehl" w:hint="cs"/>
          <w:sz w:val="18"/>
          <w:rtl/>
        </w:rPr>
        <w:t>לעומת זאת</w:t>
      </w:r>
      <w:r>
        <w:rPr>
          <w:rFonts w:cs="FrankRuehl" w:hint="cs"/>
          <w:sz w:val="18"/>
          <w:rtl/>
        </w:rPr>
        <w:t>,</w:t>
      </w:r>
      <w:r w:rsidRPr="00582A43">
        <w:rPr>
          <w:rFonts w:cs="FrankRuehl" w:hint="cs"/>
          <w:sz w:val="18"/>
          <w:rtl/>
        </w:rPr>
        <w:t xml:space="preserve"> למחוז תל אביב קבעה </w:t>
      </w:r>
      <w:r w:rsidRPr="00582A43">
        <w:rPr>
          <w:rFonts w:cs="FrankRuehl"/>
          <w:sz w:val="18"/>
          <w:rtl/>
        </w:rPr>
        <w:t>הממשלה מכסה התואמת לתחזית שבתכנית המתאר המחוזית למחוז</w:t>
      </w:r>
      <w:r w:rsidRPr="00582A43">
        <w:rPr>
          <w:rFonts w:cs="FrankRuehl" w:hint="cs"/>
          <w:sz w:val="18"/>
          <w:rtl/>
        </w:rPr>
        <w:t xml:space="preserve"> </w:t>
      </w:r>
      <w:r w:rsidRPr="00582A43">
        <w:rPr>
          <w:rFonts w:cs="FrankRuehl"/>
          <w:sz w:val="18"/>
          <w:rtl/>
        </w:rPr>
        <w:t>זה.</w:t>
      </w:r>
    </w:p>
  </w:footnote>
  <w:footnote w:id="210">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אריה שחר, </w:t>
      </w:r>
      <w:r w:rsidRPr="00315F89">
        <w:rPr>
          <w:rFonts w:cs="FrankRuehl"/>
          <w:b/>
          <w:bCs/>
          <w:sz w:val="18"/>
          <w:rtl/>
        </w:rPr>
        <w:t>תכנית האב למטרופולין תל-אביב</w:t>
      </w:r>
      <w:r w:rsidRPr="00315F89">
        <w:rPr>
          <w:rFonts w:cs="FrankRuehl"/>
          <w:sz w:val="18"/>
          <w:rtl/>
        </w:rPr>
        <w:t xml:space="preserve">, בפרק </w:t>
      </w:r>
      <w:r w:rsidRPr="00315F89">
        <w:rPr>
          <w:rFonts w:cs="FrankRuehl"/>
          <w:b/>
          <w:bCs/>
          <w:sz w:val="18"/>
          <w:rtl/>
        </w:rPr>
        <w:t>"</w:t>
      </w:r>
      <w:r w:rsidRPr="00315F89">
        <w:rPr>
          <w:rFonts w:cs="FrankRuehl"/>
          <w:sz w:val="18"/>
          <w:rtl/>
        </w:rPr>
        <w:t>הדילמות הראשיות של התכנון</w:t>
      </w:r>
      <w:r w:rsidRPr="00315F89">
        <w:rPr>
          <w:rFonts w:cs="FrankRuehl"/>
          <w:b/>
          <w:bCs/>
          <w:sz w:val="18"/>
          <w:rtl/>
        </w:rPr>
        <w:t xml:space="preserve"> </w:t>
      </w:r>
      <w:r w:rsidRPr="00315F89">
        <w:rPr>
          <w:rFonts w:cs="FrankRuehl"/>
          <w:sz w:val="18"/>
          <w:rtl/>
        </w:rPr>
        <w:t xml:space="preserve">המטרופוליני" (1998). </w:t>
      </w:r>
    </w:p>
  </w:footnote>
  <w:footnote w:id="211">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תכנית מתאר ארצית משולבת לבניה, פיתוח ולקליטת עליה (תמ"א 31). בינואר 1993 אישרה הממשלה את התכנית, אך היא בוטלה עם אישור תמ"א 35 בשנת 2005.</w:t>
      </w:r>
    </w:p>
  </w:footnote>
  <w:footnote w:id="212">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תכנית מתאר ארצית לתפרוסת הגאוגרפית של אוכלוסייה בת 8 מיליון תושבים בישראל. במרץ 1995 אימצה המועצה הארצית את התכנית. </w:t>
      </w:r>
    </w:p>
  </w:footnote>
  <w:footnote w:id="21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בדוח המעקב לתמ"א 35 מוצע יעד חדש למחוז המרכז של 8,500 יח"ד בכל שנה. יעד זה גבוה מהיעד המקורי של התמ"א, והוא הוצע כפשרה בין הנורמה ובין המציאות. מנגד בהחלטת ממשלה מס' 2019 מיולי 2010 נקבע יעד של אישור 19,000 יח"ד בכל שנה בחמש השנים שלאחר מועד ההחלטה. </w:t>
      </w:r>
    </w:p>
  </w:footnote>
  <w:footnote w:id="21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פחת תכנוני מתייחס לגריעת יח"ד בתכניות עקב חסמים או עקב שינויים ברמת הפירוט של התכנון, הנובעים משינוי קני המידה בין תכניות.</w:t>
      </w:r>
    </w:p>
  </w:footnote>
  <w:footnote w:id="215">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על פי נתוני צוות המעקב, ברמה הארצית נבנו כ-111,000 יח"ד צמודות קרקע שהן כ-36% מהיח"ד שנבנו בשנים 2007-1998 ונדרשו עבורן כ-77% מצריכת הקרקע הארצית למגורים, כלומר מדובר בניצול לא יעיל של משאב הקרקע. </w:t>
      </w:r>
    </w:p>
  </w:footnote>
  <w:footnote w:id="21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דוח שפרסם משרד הפנים על יישומה של תמ"א 38 במהלך 2013. </w:t>
      </w:r>
    </w:p>
  </w:footnote>
  <w:footnote w:id="217">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החלטת ממשלה מס' 368 (דר/4) מ-12.6.13.</w:t>
      </w:r>
    </w:p>
  </w:footnote>
  <w:footnote w:id="218">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משרד הפנים - מחוז המרכז, </w:t>
      </w:r>
      <w:r w:rsidRPr="00315F89">
        <w:rPr>
          <w:rFonts w:cs="FrankRuehl"/>
          <w:b/>
          <w:bCs/>
          <w:sz w:val="18"/>
          <w:rtl/>
        </w:rPr>
        <w:t>תכנית התייעלות בנושאי תכנון ובניה במחוז המרכז</w:t>
      </w:r>
      <w:r w:rsidRPr="00315F89">
        <w:rPr>
          <w:rFonts w:cs="FrankRuehl"/>
          <w:sz w:val="18"/>
          <w:rtl/>
        </w:rPr>
        <w:t xml:space="preserve"> (אוגוסט 2003),</w:t>
      </w:r>
      <w:r w:rsidRPr="00315F89">
        <w:rPr>
          <w:rFonts w:cs="FrankRuehl"/>
          <w:b/>
          <w:bCs/>
          <w:sz w:val="18"/>
          <w:rtl/>
        </w:rPr>
        <w:t xml:space="preserve"> </w:t>
      </w:r>
      <w:r w:rsidRPr="00315F89">
        <w:rPr>
          <w:rFonts w:cs="FrankRuehl"/>
          <w:sz w:val="18"/>
          <w:rtl/>
        </w:rPr>
        <w:t>עמ' 21.</w:t>
      </w:r>
    </w:p>
  </w:footnote>
  <w:footnote w:id="21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בעניין התמשכות תהליכי האישור של תכניות מתאר מקומיות, ראו מבקר המדינה</w:t>
      </w:r>
      <w:r w:rsidRPr="00315F89">
        <w:rPr>
          <w:rFonts w:cs="FrankRuehl"/>
          <w:b/>
          <w:bCs/>
          <w:sz w:val="18"/>
          <w:rtl/>
        </w:rPr>
        <w:t xml:space="preserve">, דוח שנתי 60א </w:t>
      </w:r>
      <w:r w:rsidRPr="00315F89">
        <w:rPr>
          <w:rFonts w:cs="FrankRuehl"/>
          <w:sz w:val="18"/>
          <w:rtl/>
        </w:rPr>
        <w:t xml:space="preserve">(2010), עמ' 408-369. </w:t>
      </w:r>
    </w:p>
  </w:footnote>
  <w:footnote w:id="22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סדן-לובנטל בע"מ, </w:t>
      </w:r>
      <w:r w:rsidRPr="00315F89">
        <w:rPr>
          <w:rFonts w:cs="FrankRuehl"/>
          <w:b/>
          <w:bCs/>
          <w:sz w:val="18"/>
          <w:rtl/>
        </w:rPr>
        <w:t xml:space="preserve">התכנון המרחבי והבקרה התכנונית - תועלות ועלויות </w:t>
      </w:r>
      <w:r w:rsidRPr="00315F89">
        <w:rPr>
          <w:rFonts w:cs="FrankRuehl"/>
          <w:sz w:val="18"/>
          <w:rtl/>
        </w:rPr>
        <w:t xml:space="preserve">(2007). </w:t>
      </w:r>
    </w:p>
  </w:footnote>
  <w:footnote w:id="221">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שכונות מגורים במודיעין וביבנה, רובע דרום-גלילות ומתחם קדמת השרון.</w:t>
      </w:r>
    </w:p>
  </w:footnote>
  <w:footnote w:id="22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מצאי הפקעות והבצלים שמתחת לפני האדמה.</w:t>
      </w:r>
    </w:p>
  </w:footnote>
  <w:footnote w:id="223">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רצועת שטח המחברת אזורים כדי לאפשר מעבר מינים של חי וצומח ביניהם לשימור המגוון הביולוגי.</w:t>
      </w:r>
    </w:p>
  </w:footnote>
  <w:footnote w:id="22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הסבה של מרכז מסחרי שכונתי בשטח של כ-7,000 מ"ר לקניון בשטח של כ-20,000 מ"ר.</w:t>
      </w:r>
    </w:p>
  </w:footnote>
  <w:footnote w:id="225">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ועדת משנה של המועצה הארצית לתכנון ולבנייה.</w:t>
      </w:r>
    </w:p>
  </w:footnote>
  <w:footnote w:id="22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תכנית מתאר לנחל שורק הייתה באותה העת בהכנה (מח/ש/423).</w:t>
      </w:r>
    </w:p>
  </w:footnote>
  <w:footnote w:id="22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משמעות ההצעה היא שבכביש פנימי ביישוב רוחב זכויות הדרך יקטן.</w:t>
      </w:r>
    </w:p>
  </w:footnote>
  <w:footnote w:id="228">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תמ"א 35 - ליווי, מעקב ועדכון, דוח שלב ב (אוגוסט 2009), עמ' 97.</w:t>
      </w:r>
    </w:p>
  </w:footnote>
  <w:footnote w:id="22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 xml:space="preserve">דוח שנתי 60א </w:t>
      </w:r>
      <w:r w:rsidRPr="00315F89">
        <w:rPr>
          <w:rFonts w:cs="FrankRuehl"/>
          <w:sz w:val="18"/>
          <w:rtl/>
        </w:rPr>
        <w:t>(2010), עמ' 408-369.</w:t>
      </w:r>
    </w:p>
  </w:footnote>
  <w:footnote w:id="230">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 xml:space="preserve">דוח שנתי 63ג </w:t>
      </w:r>
      <w:r w:rsidRPr="00315F89">
        <w:rPr>
          <w:rFonts w:cs="FrankRuehl"/>
          <w:sz w:val="18"/>
          <w:rtl/>
        </w:rPr>
        <w:t>(2013), עמ' 1806-1769.</w:t>
      </w:r>
    </w:p>
  </w:footnote>
  <w:footnote w:id="231">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r>
      <w:r w:rsidRPr="00315F89">
        <w:rPr>
          <w:rFonts w:cs="FrankRuehl"/>
          <w:b/>
          <w:bCs/>
          <w:sz w:val="18"/>
          <w:rtl/>
        </w:rPr>
        <w:t>בחינת הצורך וההשפעות של הצעת הרפורמה בתכנון</w:t>
      </w:r>
      <w:r w:rsidRPr="00315F89">
        <w:rPr>
          <w:rFonts w:cs="FrankRuehl"/>
          <w:sz w:val="18"/>
          <w:rtl/>
        </w:rPr>
        <w:t>, נובמבר 2010.</w:t>
      </w:r>
    </w:p>
  </w:footnote>
  <w:footnote w:id="232">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התכניות שנבדקו הן תכנית למרינה באשדוד (275 יח"ד); תכנית לשכונת מגורים באופקים (כ-1,100 יח"ד); תכנית להרחבת לקיה (תוספת של כ-2,200 יח"ד); תכנית להרחבת קיבוץ ניר יצחק (תוספת של כ-300 יח"ד) ותכנית לשכונת מגורים ביישוב הבדואי מכחול (כ-350 יח"ד).</w:t>
      </w:r>
    </w:p>
  </w:footnote>
  <w:footnote w:id="233">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דוח שנתי 63ג</w:t>
      </w:r>
      <w:r w:rsidRPr="00315F89">
        <w:rPr>
          <w:rFonts w:cs="FrankRuehl"/>
          <w:sz w:val="18"/>
          <w:rtl/>
        </w:rPr>
        <w:t xml:space="preserve"> (2013), עמ' 1769.</w:t>
      </w:r>
    </w:p>
  </w:footnote>
  <w:footnote w:id="234">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התכנית למרינה באשדוד, התכנית לשכונת מגורים באופקים והתכנית להרחבת קיבוץ ניר יצחק.</w:t>
      </w:r>
    </w:p>
  </w:footnote>
  <w:footnote w:id="235">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נתונים גאופיזיים של הלמ"ס לשנת 2002 - "שטח המחוז ושימושי קרקע".</w:t>
      </w:r>
    </w:p>
  </w:footnote>
  <w:footnote w:id="23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נפת צפת בצפון, נפת הגולן במזרח, נפת כנרת במרכז,</w:t>
      </w:r>
      <w:r w:rsidRPr="00315F89">
        <w:rPr>
          <w:rFonts w:cs="FrankRuehl"/>
          <w:sz w:val="18"/>
          <w:rtl/>
        </w:rPr>
        <w:t xml:space="preserve"> </w:t>
      </w:r>
      <w:r w:rsidRPr="00315F89">
        <w:rPr>
          <w:rFonts w:cs="FrankRuehl"/>
          <w:sz w:val="18"/>
          <w:rtl/>
        </w:rPr>
        <w:t xml:space="preserve">נפת עכו במערב ונפת יזרעאל בדרום. </w:t>
      </w:r>
    </w:p>
  </w:footnote>
  <w:footnote w:id="237">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44% יהודים, 38% מוסלמים, 10% נוצרים ו-8% דרוזים (על סמך נתוני הלמ"ס, שנתון סטטיסטי לישראל 2012).</w:t>
      </w:r>
    </w:p>
  </w:footnote>
  <w:footnote w:id="23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לפי תיקון היעדים שנעשה בתחילתו של תהליך העדכון של תמ"א 35 ולנוכח נתונים דמוגרפיים מעודכנים על הריבוי הטבעי.</w:t>
      </w:r>
    </w:p>
  </w:footnote>
  <w:footnote w:id="23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תמ"א 35 - ליווי, מעקב ועדכון, דוח שלב ב (אוגוסט 2009), עמ' 85.</w:t>
      </w:r>
    </w:p>
  </w:footnote>
  <w:footnote w:id="24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מספר העוזבים את מקום מגוריהם במחוז עלה על מספר העוברים להתגורר בו.</w:t>
      </w:r>
    </w:p>
  </w:footnote>
  <w:footnote w:id="241">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מבקר המדינה, </w:t>
      </w:r>
      <w:r w:rsidRPr="00315F89">
        <w:rPr>
          <w:rFonts w:cs="FrankRuehl"/>
          <w:b/>
          <w:bCs/>
          <w:sz w:val="18"/>
          <w:rtl/>
        </w:rPr>
        <w:t>דוח שנתי 60 א'</w:t>
      </w:r>
      <w:r w:rsidRPr="00315F89">
        <w:rPr>
          <w:rFonts w:cs="FrankRuehl"/>
          <w:sz w:val="18"/>
          <w:rtl/>
        </w:rPr>
        <w:t xml:space="preserve"> (2010), עמ' 408-369.</w:t>
      </w:r>
    </w:p>
  </w:footnote>
  <w:footnote w:id="242">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לרבות צ'רקסים, דרוזים ובדואים.</w:t>
      </w:r>
    </w:p>
  </w:footnote>
  <w:footnote w:id="24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כמו ועדת אור - ועדת חקירה ממלכתית מספטמבר 2003 לבירור ההתנגשויות בין כוחות הביטחון ובין אזרחים ישראלים שהתרחשו באוקטובר 2000; וכן ועדת טרכטנברג.</w:t>
      </w:r>
    </w:p>
  </w:footnote>
  <w:footnote w:id="244">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עמותת סיכוי, </w:t>
      </w:r>
      <w:r w:rsidRPr="00315F89">
        <w:rPr>
          <w:rFonts w:cs="FrankRuehl"/>
          <w:b/>
          <w:bCs/>
          <w:sz w:val="18"/>
          <w:rtl/>
        </w:rPr>
        <w:t>מדד השוויון בין האזרחים היהודים והערבים בישראל</w:t>
      </w:r>
      <w:r w:rsidRPr="00315F89">
        <w:rPr>
          <w:rFonts w:cs="FrankRuehl"/>
          <w:sz w:val="18"/>
          <w:rtl/>
        </w:rPr>
        <w:t xml:space="preserve"> (דצמבר 2010); דירסאת</w:t>
      </w:r>
      <w:r w:rsidRPr="00315F89">
        <w:rPr>
          <w:rFonts w:cs="FrankRuehl"/>
          <w:b/>
          <w:bCs/>
          <w:sz w:val="18"/>
          <w:rtl/>
        </w:rPr>
        <w:t>, מצוקת דיור והריסות מבנים בחברה הערבית בישראל: מכשולים נוכחיים והמלצות לשינוי</w:t>
      </w:r>
      <w:r w:rsidRPr="00315F89">
        <w:rPr>
          <w:rFonts w:cs="FrankRuehl"/>
          <w:sz w:val="18"/>
          <w:rtl/>
        </w:rPr>
        <w:t xml:space="preserve"> (פברואר 2012) ועוד.</w:t>
      </w:r>
    </w:p>
  </w:footnote>
  <w:footnote w:id="245">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ראסם חמייאסי, </w:t>
      </w:r>
      <w:r w:rsidRPr="00315F89">
        <w:rPr>
          <w:rFonts w:cs="FrankRuehl"/>
          <w:b/>
          <w:bCs/>
          <w:sz w:val="18"/>
          <w:rtl/>
        </w:rPr>
        <w:t>חסמים בתכנון יישובים ערביים בישראל</w:t>
      </w:r>
      <w:r w:rsidRPr="00315F89">
        <w:rPr>
          <w:rFonts w:cs="FrankRuehl"/>
          <w:sz w:val="18"/>
          <w:rtl/>
        </w:rPr>
        <w:t>, מכון פלורסהיימר למחקרי מדיניות (2004).</w:t>
      </w:r>
    </w:p>
  </w:footnote>
  <w:footnote w:id="24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 xml:space="preserve">דוח שנתי 63ג </w:t>
      </w:r>
      <w:r w:rsidRPr="00315F89">
        <w:rPr>
          <w:rFonts w:cs="FrankRuehl"/>
          <w:sz w:val="18"/>
          <w:rtl/>
        </w:rPr>
        <w:t>(2012), עמ' 335.</w:t>
      </w:r>
    </w:p>
  </w:footnote>
  <w:footnote w:id="24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 xml:space="preserve">דוחות על הביקורת בשלטון המקומי </w:t>
      </w:r>
      <w:r w:rsidRPr="00315F89">
        <w:rPr>
          <w:rFonts w:cs="FrankRuehl"/>
          <w:sz w:val="18"/>
          <w:rtl/>
        </w:rPr>
        <w:t>(2013), עמ' 597.</w:t>
      </w:r>
    </w:p>
  </w:footnote>
  <w:footnote w:id="24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ab/>
        <w:t>תכנית מתאר מחוזית.</w:t>
      </w:r>
    </w:p>
  </w:footnote>
  <w:footnote w:id="24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 xml:space="preserve">דוח שנתי 55ב </w:t>
      </w:r>
      <w:r w:rsidRPr="00315F89">
        <w:rPr>
          <w:rFonts w:cs="FrankRuehl"/>
          <w:sz w:val="18"/>
          <w:rtl/>
        </w:rPr>
        <w:t xml:space="preserve">(2005), בפרק "תכנון ושיווק של קרקע לבנייה למגורים", עמ' </w:t>
      </w:r>
      <w:r>
        <w:rPr>
          <w:rFonts w:cs="FrankRuehl" w:hint="cs"/>
          <w:sz w:val="18"/>
          <w:rtl/>
        </w:rPr>
        <w:br/>
      </w:r>
      <w:r w:rsidRPr="00315F89">
        <w:rPr>
          <w:rFonts w:cs="FrankRuehl"/>
          <w:sz w:val="18"/>
          <w:rtl/>
        </w:rPr>
        <w:t>435-433.</w:t>
      </w:r>
    </w:p>
  </w:footnote>
  <w:footnote w:id="250">
    <w:p w:rsidR="001A17E8" w:rsidRPr="00582A43" w:rsidP="00C365F2">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הצעת תקציב - מינהל מקרקעי ישראל לשנת 2007, </w:t>
      </w:r>
      <w:r w:rsidRPr="00582A43">
        <w:rPr>
          <w:rFonts w:cs="FrankRuehl"/>
          <w:sz w:val="18"/>
          <w:rtl/>
        </w:rPr>
        <w:t>פרק כו, עמ' 32 והצעת תקציב - מינהל מקרקעי ישראל לשנת 2008, פרק כו, עמ' 40.</w:t>
      </w:r>
    </w:p>
  </w:footnote>
  <w:footnote w:id="251">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מכון דש"א, "בחינת הצורך וההשפעות של הצעת הרפורמה בתכנון" (נובמבר 2010).</w:t>
      </w:r>
    </w:p>
  </w:footnote>
  <w:footnote w:id="25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לדוגמה, בשנת 2007 נמצאו ראויות לשיווק מידי (ללא כל חסם) 3,062 יח"ד שהן 53% בלבד מהיעד המוגדר לכאורה בתכנית העבודה לשנה זו.</w:t>
      </w:r>
    </w:p>
  </w:footnote>
  <w:footnote w:id="253">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בנק ישראל, "התפתחות מחירי קרקע למגורים בשנים 2012-1998" (5.6.13).</w:t>
      </w:r>
    </w:p>
  </w:footnote>
  <w:footnote w:id="25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בשער השני לעיל, בפרק "השלכות צעדי מיסוי מקרקעין", צוינה טיוטת מחקר שהזמין משרד הבינוי ובה הובאו נתונים שונים במעט הנוגעים לשיעורו של מחיר הקרקע ממחיר הדירה. טיוטת המחקר התמקדה בפרויקטים שהקרקע שלהם נרכשה בשנים 2009-2007 וצוין בה שמשנת 2008 חלה עלייה חדה הן במחירי הקרקעות הן במחירי הדירות, בעיקר באזורי הביקוש. לפיכך, סביר שהנתונים בטיוטת המחקר מייצגים פרויקטים שבהם משקל הקרקע מסך העלות נמוכים לעומת מחירם במועד הכנת טיוטת המחקר.</w:t>
      </w:r>
    </w:p>
  </w:footnote>
  <w:footnote w:id="255">
    <w:p w:rsidR="001A17E8" w:rsidRPr="00315F89" w:rsidP="00315F89">
      <w:pPr>
        <w:pStyle w:val="FootnoteText"/>
        <w:keepLines/>
        <w:spacing w:line="200" w:lineRule="exact"/>
        <w:ind w:left="397" w:hanging="397"/>
        <w:jc w:val="both"/>
        <w:rPr>
          <w:rFonts w:cs="FrankRuehl"/>
          <w:sz w:val="18"/>
          <w:lang w:eastAsia="he-I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דין וחשבון על פעולות מינהל (רשות) מקרקעי ישראל לשנת התקציב 2012, מספר 52 (התשע"ג-2013), עמ' 13-11. </w:t>
      </w:r>
    </w:p>
  </w:footnote>
  <w:footnote w:id="25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כמו היטלי השבחה ואגרות בנייה. </w:t>
      </w:r>
    </w:p>
  </w:footnote>
  <w:footnote w:id="257">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עפר שפיר, </w:t>
      </w:r>
      <w:r w:rsidRPr="00315F89">
        <w:rPr>
          <w:rFonts w:cs="FrankRuehl"/>
          <w:b/>
          <w:bCs/>
          <w:sz w:val="18"/>
          <w:rtl/>
        </w:rPr>
        <w:t>אגרות והיטלי פיתוח ברשויות המקומיות</w:t>
      </w:r>
      <w:r w:rsidRPr="00315F89">
        <w:rPr>
          <w:rFonts w:cs="FrankRuehl"/>
          <w:sz w:val="18"/>
          <w:rtl/>
        </w:rPr>
        <w:t>, כרך א (2005).</w:t>
      </w:r>
    </w:p>
  </w:footnote>
  <w:footnote w:id="258">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להרחבה ראו רונית לוין-שנור, </w:t>
      </w:r>
      <w:r w:rsidRPr="00315F89">
        <w:rPr>
          <w:rFonts w:cs="FrankRuehl"/>
          <w:b/>
          <w:bCs/>
          <w:sz w:val="18"/>
          <w:rtl/>
        </w:rPr>
        <w:t>החוק, החוזה והתכנון העירוני - היבטים משפטיים של הסכמי פיתוח בין רשויות מקומיות ליזמים פרטיים</w:t>
      </w:r>
      <w:r w:rsidRPr="00315F89">
        <w:rPr>
          <w:rFonts w:cs="FrankRuehl"/>
          <w:sz w:val="18"/>
          <w:rtl/>
        </w:rPr>
        <w:t xml:space="preserve"> (2013). </w:t>
      </w:r>
    </w:p>
  </w:footnote>
  <w:footnote w:id="25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ע"א 7368/06 </w:t>
      </w:r>
      <w:r w:rsidRPr="00315F89">
        <w:rPr>
          <w:rFonts w:cs="FrankRuehl"/>
          <w:b/>
          <w:bCs/>
          <w:sz w:val="18"/>
          <w:rtl/>
        </w:rPr>
        <w:t>דירות יוקרה בע"מ נ' ראש עיריית יבנה</w:t>
      </w:r>
      <w:r w:rsidRPr="00315F89">
        <w:rPr>
          <w:rFonts w:cs="FrankRuehl"/>
          <w:sz w:val="18"/>
          <w:rtl/>
        </w:rPr>
        <w:t>, נבו, 27.6.11.</w:t>
      </w:r>
    </w:p>
  </w:footnote>
  <w:footnote w:id="26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פורסם בי"פ 5154, עמ' 1364.</w:t>
      </w:r>
    </w:p>
  </w:footnote>
  <w:footnote w:id="261">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דוח שנתי 61ב</w:t>
      </w:r>
      <w:r w:rsidRPr="00315F89">
        <w:rPr>
          <w:rFonts w:cs="FrankRuehl"/>
          <w:sz w:val="18"/>
          <w:rtl/>
        </w:rPr>
        <w:t xml:space="preserve"> (2011), עמ' 688-667.</w:t>
      </w:r>
    </w:p>
  </w:footnote>
  <w:footnote w:id="26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r>
      <w:r w:rsidRPr="00315F89">
        <w:rPr>
          <w:rFonts w:cs="FrankRuehl"/>
          <w:sz w:val="18"/>
          <w:rtl/>
          <w:lang w:eastAsia="he-IL"/>
        </w:rPr>
        <w:t>תכניות לציפוף מתחמים מוגדרים בתוך הערים והקמת בנייני מגורים חדשים במקום הישנים.</w:t>
      </w:r>
    </w:p>
  </w:footnote>
  <w:footnote w:id="26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לעניין אופן יישום המלצות דוח זיילר (דוח הביניים והדוח הסופי) ראו מבקר המדינה, </w:t>
      </w:r>
      <w:r w:rsidRPr="00315F89">
        <w:rPr>
          <w:rFonts w:cs="FrankRuehl"/>
          <w:b/>
          <w:bCs/>
          <w:sz w:val="18"/>
          <w:rtl/>
        </w:rPr>
        <w:t>דוחות על הביקורת בשלטון המקומי לשנת 2006</w:t>
      </w:r>
      <w:r w:rsidRPr="00315F89">
        <w:rPr>
          <w:rFonts w:cs="FrankRuehl"/>
          <w:sz w:val="18"/>
          <w:rtl/>
        </w:rPr>
        <w:t>, עמ' 35-1.</w:t>
      </w:r>
    </w:p>
  </w:footnote>
  <w:footnote w:id="26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החלטת ממשלה מס' 1515 מ-15.2.04.</w:t>
      </w:r>
    </w:p>
  </w:footnote>
  <w:footnote w:id="265">
    <w:p w:rsidR="001A17E8" w:rsidRPr="00315F89" w:rsidP="00315F89">
      <w:pPr>
        <w:pStyle w:val="FootnoteText"/>
        <w:keepLines/>
        <w:spacing w:line="200" w:lineRule="exact"/>
        <w:ind w:left="397" w:hanging="397"/>
        <w:jc w:val="both"/>
        <w:rPr>
          <w:rFonts w:cs="FrankRuehl"/>
          <w:sz w:val="18"/>
        </w:rPr>
      </w:pPr>
      <w:r w:rsidRPr="00315F89">
        <w:rPr>
          <w:rFonts w:ascii="FrankRuehl" w:hAnsi="FrankRuehl" w:cs="FrankRuehl"/>
        </w:rPr>
        <w:footnoteRef/>
      </w:r>
      <w:r w:rsidRPr="00315F89">
        <w:rPr>
          <w:rFonts w:cs="FrankRuehl"/>
          <w:sz w:val="18"/>
          <w:rtl/>
        </w:rPr>
        <w:t xml:space="preserve"> </w:t>
      </w:r>
      <w:r w:rsidRPr="00315F89">
        <w:rPr>
          <w:rFonts w:cs="FrankRuehl"/>
          <w:sz w:val="18"/>
          <w:rtl/>
        </w:rPr>
        <w:tab/>
        <w:t>כנסת ישראל, משרדי האוצר, השיכון והפנים, בנק ישראל, הלמ"ס והתאחדות בוני הארץ.</w:t>
      </w:r>
    </w:p>
  </w:footnote>
  <w:footnote w:id="266">
    <w:p w:rsidR="001A17E8" w:rsidRPr="00315F89" w:rsidP="00A74551">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בנושא זה בשער הראשון, פרק </w:t>
      </w:r>
      <w:r>
        <w:rPr>
          <w:rFonts w:cs="FrankRuehl" w:hint="cs"/>
          <w:sz w:val="18"/>
          <w:rtl/>
        </w:rPr>
        <w:t xml:space="preserve">ראשון </w:t>
      </w:r>
      <w:r w:rsidRPr="00315F89">
        <w:rPr>
          <w:rFonts w:cs="FrankRuehl"/>
          <w:sz w:val="18"/>
          <w:rtl/>
        </w:rPr>
        <w:t xml:space="preserve">"שוק הדיור בישראל </w:t>
      </w:r>
      <w:r>
        <w:rPr>
          <w:rFonts w:cs="FrankRuehl"/>
          <w:sz w:val="18"/>
          <w:rtl/>
        </w:rPr>
        <w:t>–</w:t>
      </w:r>
      <w:r w:rsidRPr="00315F89">
        <w:rPr>
          <w:rFonts w:cs="FrankRuehl"/>
          <w:sz w:val="18"/>
          <w:rtl/>
        </w:rPr>
        <w:t xml:space="preserve"> </w:t>
      </w:r>
      <w:r>
        <w:rPr>
          <w:rFonts w:cs="FrankRuehl" w:hint="cs"/>
          <w:sz w:val="18"/>
          <w:rtl/>
        </w:rPr>
        <w:t>מגמות עיקריות</w:t>
      </w:r>
      <w:r w:rsidRPr="00315F89">
        <w:rPr>
          <w:rFonts w:cs="FrankRuehl"/>
          <w:sz w:val="18"/>
          <w:rtl/>
        </w:rPr>
        <w:t>"</w:t>
      </w:r>
      <w:r>
        <w:rPr>
          <w:rFonts w:cs="FrankRuehl" w:hint="cs"/>
          <w:sz w:val="18"/>
          <w:rtl/>
        </w:rPr>
        <w:t>.</w:t>
      </w:r>
    </w:p>
  </w:footnote>
  <w:footnote w:id="26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פרופ' רחל אלתרמן, ד"ר אמילי סילברמן, </w:t>
      </w:r>
      <w:r w:rsidRPr="00315F89">
        <w:rPr>
          <w:rFonts w:cs="FrankRuehl"/>
          <w:b/>
          <w:bCs/>
          <w:sz w:val="18"/>
          <w:rtl/>
        </w:rPr>
        <w:t>כלים של תכנון סטטוטורי ומדיניות מקומית להרחבת היצע של דיור בהישג יד - האם ניתן "לייבא" כלים ממדינות אחרות לישראל?</w:t>
      </w:r>
      <w:r w:rsidRPr="00315F89">
        <w:rPr>
          <w:rFonts w:cs="FrankRuehl"/>
          <w:sz w:val="18"/>
          <w:rtl/>
        </w:rPr>
        <w:t xml:space="preserve"> (2011).</w:t>
      </w:r>
    </w:p>
  </w:footnote>
  <w:footnote w:id="268">
    <w:p w:rsidR="001A17E8" w:rsidRPr="00315F89" w:rsidP="00315F89">
      <w:pPr>
        <w:pStyle w:val="FootnoteText"/>
        <w:keepLines/>
        <w:spacing w:line="200" w:lineRule="exact"/>
        <w:ind w:left="397" w:hanging="397"/>
        <w:jc w:val="both"/>
        <w:rPr>
          <w:rFonts w:cs="FrankRuehl"/>
          <w:sz w:val="18"/>
        </w:rPr>
      </w:pPr>
      <w:r w:rsidRPr="00315F89">
        <w:rPr>
          <w:rFonts w:ascii="FrankRuehl" w:hAnsi="FrankRuehl" w:cs="FrankRuehl"/>
        </w:rPr>
        <w:footnoteRef/>
      </w:r>
      <w:r w:rsidRPr="00315F89">
        <w:rPr>
          <w:rFonts w:cs="FrankRuehl"/>
          <w:sz w:val="18"/>
          <w:rtl/>
        </w:rPr>
        <w:t xml:space="preserve"> </w:t>
      </w:r>
      <w:r w:rsidRPr="00315F89">
        <w:rPr>
          <w:rFonts w:cs="FrankRuehl"/>
          <w:sz w:val="18"/>
          <w:rtl/>
        </w:rPr>
        <w:tab/>
        <w:t>על פי הגדרת הלמ"ס, משק בית הוא קבוצת אנשים הגרים יחד בדירה באופן קבוע רוב ימי השבוע ויש להם תקציב הוצאות משותף למזון. משק בית יכול לכלול אדם אחד או יותר וגם אנשים שאינם קרובי משפחה. מקור: הלמ"ס.</w:t>
      </w:r>
    </w:p>
  </w:footnote>
  <w:footnote w:id="269">
    <w:p w:rsidR="001A17E8" w:rsidRPr="00315F89" w:rsidP="00A74551">
      <w:pPr>
        <w:pStyle w:val="FootnoteText"/>
        <w:keepLines/>
        <w:spacing w:line="200" w:lineRule="exact"/>
        <w:ind w:left="397" w:hanging="397"/>
        <w:jc w:val="both"/>
        <w:rPr>
          <w:rFonts w:cs="FrankRuehl"/>
          <w:sz w:val="18"/>
        </w:rPr>
      </w:pPr>
      <w:r w:rsidRPr="00315F89">
        <w:rPr>
          <w:rFonts w:ascii="FrankRuehl" w:hAnsi="FrankRuehl" w:cs="FrankRuehl"/>
        </w:rPr>
        <w:footnoteRef/>
      </w:r>
      <w:r w:rsidRPr="00315F89">
        <w:rPr>
          <w:rFonts w:cs="FrankRuehl"/>
          <w:sz w:val="18"/>
          <w:rtl/>
        </w:rPr>
        <w:t xml:space="preserve"> </w:t>
      </w:r>
      <w:r w:rsidRPr="00315F89">
        <w:rPr>
          <w:rFonts w:cs="FrankRuehl"/>
          <w:sz w:val="18"/>
          <w:rtl/>
        </w:rPr>
        <w:tab/>
        <w:t>לפי הנתונים המעודכנים לשנת 2011 השכר הממוצע למשק בית היה 12,345 ש"ח</w:t>
      </w:r>
      <w:r>
        <w:rPr>
          <w:rFonts w:cs="FrankRuehl" w:hint="cs"/>
          <w:sz w:val="18"/>
          <w:rtl/>
        </w:rPr>
        <w:t>.</w:t>
      </w:r>
      <w:r w:rsidRPr="00315F89">
        <w:rPr>
          <w:rFonts w:cs="FrankRuehl"/>
          <w:sz w:val="18"/>
          <w:rtl/>
        </w:rPr>
        <w:t xml:space="preserve"> </w:t>
      </w:r>
    </w:p>
  </w:footnote>
  <w:footnote w:id="270">
    <w:p w:rsidR="001A17E8" w:rsidRPr="00315F89" w:rsidP="00315F89">
      <w:pPr>
        <w:pStyle w:val="FootnoteText"/>
        <w:keepLines/>
        <w:spacing w:line="200" w:lineRule="exact"/>
        <w:ind w:left="397" w:hanging="397"/>
        <w:jc w:val="both"/>
        <w:rPr>
          <w:rFonts w:cs="FrankRuehl"/>
          <w:sz w:val="18"/>
        </w:rPr>
      </w:pPr>
      <w:r w:rsidRPr="00315F89">
        <w:rPr>
          <w:rFonts w:ascii="FrankRuehl" w:hAnsi="FrankRuehl" w:cs="FrankRuehl"/>
        </w:rPr>
        <w:footnoteRef/>
      </w:r>
      <w:r w:rsidRPr="00315F89">
        <w:rPr>
          <w:rFonts w:cs="FrankRuehl"/>
          <w:sz w:val="18"/>
          <w:rtl/>
        </w:rPr>
        <w:t xml:space="preserve"> </w:t>
      </w:r>
      <w:r w:rsidRPr="00315F89">
        <w:rPr>
          <w:rFonts w:cs="FrankRuehl"/>
          <w:sz w:val="18"/>
          <w:rtl/>
        </w:rPr>
        <w:tab/>
        <w:t xml:space="preserve">לעניין זה ראו פרופ' רחל אלתרמן, ד"ר חיים פיאלקוף, טיוטת מחקר בנושא </w:t>
      </w:r>
      <w:r w:rsidRPr="00315F89">
        <w:rPr>
          <w:rFonts w:cs="FrankRuehl"/>
          <w:b/>
          <w:bCs/>
          <w:sz w:val="18"/>
          <w:rtl/>
        </w:rPr>
        <w:t>"דיור בר השגה: כלים של תכנון סטטוטורי ומדיניות מקומית"</w:t>
      </w:r>
      <w:r w:rsidRPr="00315F89">
        <w:rPr>
          <w:rFonts w:cs="FrankRuehl"/>
          <w:sz w:val="18"/>
          <w:rtl/>
        </w:rPr>
        <w:t xml:space="preserve"> (מאי 2011). את המחקר הזמין מינהל התכנון במשרד הפנים. </w:t>
      </w:r>
    </w:p>
  </w:footnote>
  <w:footnote w:id="271">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ארה"ב, אירלנד, בריטניה, גרמניה, הולנד, ספרד, צרפת וקנדה.</w:t>
      </w:r>
    </w:p>
  </w:footnote>
  <w:footnote w:id="272">
    <w:p w:rsidR="001A17E8" w:rsidRPr="00315F89" w:rsidP="00315F89">
      <w:pPr>
        <w:pStyle w:val="FootnoteText"/>
        <w:keepLines/>
        <w:spacing w:line="200" w:lineRule="exact"/>
        <w:ind w:left="397" w:hanging="397"/>
        <w:jc w:val="both"/>
        <w:rPr>
          <w:rFonts w:cs="FrankRuehl"/>
          <w:sz w:val="18"/>
        </w:rPr>
      </w:pPr>
      <w:r w:rsidRPr="00315F89">
        <w:rPr>
          <w:rFonts w:ascii="FrankRuehl" w:hAnsi="FrankRuehl" w:cs="FrankRuehl"/>
        </w:rPr>
        <w:footnoteRef/>
      </w:r>
      <w:r w:rsidRPr="00315F89">
        <w:rPr>
          <w:rFonts w:cs="FrankRuehl"/>
          <w:sz w:val="18"/>
          <w:rtl/>
        </w:rPr>
        <w:t xml:space="preserve"> </w:t>
      </w:r>
      <w:r w:rsidRPr="00315F89">
        <w:rPr>
          <w:rFonts w:cs="FrankRuehl"/>
          <w:sz w:val="18"/>
          <w:rtl/>
        </w:rPr>
        <w:tab/>
        <w:t>דירות ששטחן עד 85 מ"ר וכן דירות בבניינים ששטחי השירות והשטחים הציבוריים שבהם מינימליים וכוללים שימושים הכרחיים לתפקוד הבניין או מתחייבים לפי חוקים ותקנות אחרים.</w:t>
      </w:r>
    </w:p>
  </w:footnote>
  <w:footnote w:id="273">
    <w:p w:rsidR="001A17E8" w:rsidRPr="00315F89" w:rsidP="00315F89">
      <w:pPr>
        <w:pStyle w:val="FootnoteText"/>
        <w:keepLines/>
        <w:spacing w:line="200" w:lineRule="exact"/>
        <w:ind w:left="397" w:hanging="397"/>
        <w:jc w:val="both"/>
        <w:rPr>
          <w:rFonts w:cs="FrankRuehl"/>
          <w:sz w:val="18"/>
        </w:rPr>
      </w:pPr>
      <w:r w:rsidRPr="00315F89">
        <w:rPr>
          <w:rFonts w:ascii="FrankRuehl" w:hAnsi="FrankRuehl" w:cs="FrankRuehl"/>
        </w:rPr>
        <w:footnoteRef/>
      </w:r>
      <w:r w:rsidRPr="00315F89">
        <w:rPr>
          <w:rFonts w:cs="FrankRuehl"/>
          <w:sz w:val="18"/>
          <w:rtl/>
        </w:rPr>
        <w:t xml:space="preserve"> </w:t>
      </w:r>
      <w:r w:rsidRPr="00315F89">
        <w:rPr>
          <w:rFonts w:cs="FrankRuehl"/>
          <w:sz w:val="18"/>
          <w:rtl/>
        </w:rPr>
        <w:tab/>
        <w:t xml:space="preserve">דירות ששטחן אינו עולה על 100 מ"ר באזורים ללא עדיפות לאומית ועל 120 מ"ר באזורי עדיפות לאומית, שישווקו בבנייה רוויה במסלול מחיר למשתכן (החלטת ממשלה מס' 1239 מ-10.8.11). </w:t>
      </w:r>
    </w:p>
  </w:footnote>
  <w:footnote w:id="274">
    <w:p w:rsidR="001A17E8" w:rsidRPr="00315F89" w:rsidP="00FF1578">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פירוט בנושא זה - ראו שער</w:t>
      </w:r>
      <w:r>
        <w:rPr>
          <w:rFonts w:cs="FrankRuehl" w:hint="cs"/>
          <w:sz w:val="18"/>
          <w:rtl/>
        </w:rPr>
        <w:t xml:space="preserve"> שני, פרק הראשון</w:t>
      </w:r>
      <w:r w:rsidRPr="00315F89">
        <w:rPr>
          <w:rFonts w:cs="FrankRuehl"/>
          <w:sz w:val="18"/>
          <w:rtl/>
        </w:rPr>
        <w:t xml:space="preserve"> "התוויית מדיניות הממשלה והתמודדותה עם משבר הדיור".</w:t>
      </w:r>
    </w:p>
  </w:footnote>
  <w:footnote w:id="275">
    <w:p w:rsidR="001A17E8" w:rsidRPr="00315F89" w:rsidP="00FF1578">
      <w:pPr>
        <w:keepLines/>
        <w:spacing w:line="200" w:lineRule="exact"/>
        <w:ind w:left="397" w:hanging="397"/>
        <w:jc w:val="both"/>
        <w:rPr>
          <w:rFonts w:cs="FrankRuehl"/>
          <w:sz w:val="18"/>
          <w:szCs w:val="20"/>
          <w:rtl/>
        </w:rPr>
      </w:pPr>
      <w:r w:rsidRPr="00315F89">
        <w:rPr>
          <w:rStyle w:val="FootnoteReference0"/>
          <w:rFonts w:ascii="FrankRuehl" w:hAnsi="FrankRuehl" w:cs="FrankRuehl"/>
          <w:sz w:val="20"/>
          <w:szCs w:val="20"/>
          <w:vertAlign w:val="baseline"/>
        </w:rPr>
        <w:footnoteRef/>
      </w:r>
      <w:r w:rsidRPr="00315F89">
        <w:rPr>
          <w:rFonts w:cs="FrankRuehl"/>
          <w:sz w:val="18"/>
          <w:szCs w:val="20"/>
          <w:rtl/>
        </w:rPr>
        <w:t xml:space="preserve"> </w:t>
      </w:r>
      <w:r w:rsidRPr="00315F89">
        <w:rPr>
          <w:rFonts w:cs="FrankRuehl"/>
          <w:sz w:val="18"/>
          <w:szCs w:val="20"/>
          <w:rtl/>
        </w:rPr>
        <w:tab/>
        <w:t xml:space="preserve">לדוגמה, </w:t>
      </w:r>
      <w:r w:rsidRPr="00315F89">
        <w:rPr>
          <w:rFonts w:cs="FrankRuehl"/>
          <w:sz w:val="18"/>
          <w:szCs w:val="20"/>
          <w:rtl/>
          <w:lang w:eastAsia="he-IL"/>
        </w:rPr>
        <w:t>בשנת 2012 הגישו כמה גופים ציבוריים ארבע עתירות משפטיות הנוגעות להקמת שתי שכונות מגורים חדשות בירושלים. האחת, להקמת 397 יח"ד במורדות שכונת מלחה, והאחרת להקמת 482 יח"ד למרגלות שכונת משואה. בעתירות אלו התבקש בית המשפט בין היתר להורות לווד</w:t>
      </w:r>
      <w:r>
        <w:rPr>
          <w:rFonts w:cs="FrankRuehl" w:hint="cs"/>
          <w:sz w:val="18"/>
          <w:szCs w:val="20"/>
          <w:rtl/>
          <w:lang w:eastAsia="he-IL"/>
        </w:rPr>
        <w:t>"</w:t>
      </w:r>
      <w:r w:rsidRPr="00315F89">
        <w:rPr>
          <w:rFonts w:cs="FrankRuehl"/>
          <w:sz w:val="18"/>
          <w:szCs w:val="20"/>
          <w:rtl/>
          <w:lang w:eastAsia="he-IL"/>
        </w:rPr>
        <w:t>ל במחוז ירושלים להפעיל את סמכותה לפי סעיף 3 לחוק הווד"לים לייעד קרקע בתכנית לדיור בהישג יד להשכרה ולקבוע הוראות בעניין מחיר ההשכרה, תנאי ההשכרה והזכאים.</w:t>
      </w:r>
      <w:r w:rsidRPr="00315F89">
        <w:rPr>
          <w:rFonts w:cs="FrankRuehl"/>
          <w:sz w:val="18"/>
          <w:szCs w:val="20"/>
          <w:rtl/>
        </w:rPr>
        <w:t xml:space="preserve"> </w:t>
      </w:r>
    </w:p>
  </w:footnote>
  <w:footnote w:id="276">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פרוט בנושא זה - ראו בשער </w:t>
      </w:r>
      <w:r>
        <w:rPr>
          <w:rFonts w:cs="FrankRuehl" w:hint="cs"/>
          <w:sz w:val="18"/>
          <w:rtl/>
        </w:rPr>
        <w:t>ה</w:t>
      </w:r>
      <w:r w:rsidRPr="00315F89">
        <w:rPr>
          <w:rFonts w:cs="FrankRuehl"/>
          <w:sz w:val="18"/>
          <w:rtl/>
        </w:rPr>
        <w:t>שלישי</w:t>
      </w:r>
      <w:r>
        <w:rPr>
          <w:rFonts w:cs="FrankRuehl" w:hint="cs"/>
          <w:sz w:val="18"/>
          <w:rtl/>
        </w:rPr>
        <w:t>,</w:t>
      </w:r>
      <w:r w:rsidRPr="00315F89">
        <w:rPr>
          <w:rFonts w:cs="FrankRuehl"/>
          <w:sz w:val="18"/>
          <w:rtl/>
        </w:rPr>
        <w:t xml:space="preserve"> בפרק</w:t>
      </w:r>
      <w:r>
        <w:rPr>
          <w:rFonts w:cs="FrankRuehl" w:hint="cs"/>
          <w:sz w:val="18"/>
          <w:rtl/>
        </w:rPr>
        <w:t xml:space="preserve"> החמישי</w:t>
      </w:r>
      <w:r w:rsidRPr="00315F89">
        <w:rPr>
          <w:rFonts w:cs="FrankRuehl"/>
          <w:sz w:val="18"/>
          <w:rtl/>
        </w:rPr>
        <w:t xml:space="preserve"> "מסלולים מיוחדים לקידום תכניות מפורטות למגורים".</w:t>
      </w:r>
    </w:p>
  </w:footnote>
  <w:footnote w:id="277">
    <w:p w:rsidR="001A17E8" w:rsidRPr="00315F89" w:rsidP="00315F89">
      <w:pPr>
        <w:pStyle w:val="FootnoteText"/>
        <w:keepLines/>
        <w:spacing w:line="200" w:lineRule="exact"/>
        <w:ind w:left="397" w:hanging="397"/>
        <w:jc w:val="both"/>
        <w:rPr>
          <w:rFonts w:cs="FrankRuehl"/>
          <w:sz w:val="18"/>
          <w:rtl/>
        </w:rPr>
      </w:pPr>
      <w:r w:rsidRPr="00315F89">
        <w:rPr>
          <w:rFonts w:ascii="FrankRuehl" w:hAnsi="FrankRuehl" w:cs="FrankRuehl"/>
        </w:rPr>
        <w:footnoteRef/>
      </w:r>
      <w:r w:rsidRPr="00315F89">
        <w:rPr>
          <w:rFonts w:cs="FrankRuehl"/>
          <w:sz w:val="18"/>
          <w:rtl/>
        </w:rPr>
        <w:t xml:space="preserve"> </w:t>
      </w:r>
      <w:r w:rsidRPr="00315F89">
        <w:rPr>
          <w:rFonts w:cs="FrankRuehl"/>
          <w:sz w:val="18"/>
          <w:rtl/>
        </w:rPr>
        <w:tab/>
        <w:t>"מחיר דירה למשתכן" הוא מסלול שיווק קרקע עבור בניית יחידות דיור בר השגה, כמפורט בהמשך.</w:t>
      </w:r>
    </w:p>
  </w:footnote>
  <w:footnote w:id="278">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Pr>
        <w:tab/>
      </w:r>
      <w:r w:rsidRPr="00315F89">
        <w:rPr>
          <w:rFonts w:cs="FrankRuehl"/>
          <w:sz w:val="18"/>
          <w:rtl/>
        </w:rPr>
        <w:t>הנתונים התקבלו בתחילת 2013 מהחברה המנהלת את פרויקט מחיר למשתכן מטעם משרד הבינוי.</w:t>
      </w:r>
    </w:p>
  </w:footnote>
  <w:footnote w:id="279">
    <w:p w:rsidR="001A17E8" w:rsidRPr="00315F89" w:rsidP="00FF1578">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נכון למועד סיום הביקורת היו כמה פרויקטים שמציעים זכו בהם, אך טרם הוחל בבנייתם והם לא נפתחו לרישום זכאים.</w:t>
      </w:r>
    </w:p>
  </w:footnote>
  <w:footnote w:id="280">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החלטה 1239 זו בוטלה לאחר מכן אך עיקריה נותרו בעינן בהחלטות נוספות שהתקבלו בהמשך עד החלטה 1295 מאוקטובר 2013, אך היה עדכון בעניין התבחינים למיון הזכאים במסלול מחיר למשתכן. </w:t>
      </w:r>
    </w:p>
  </w:footnote>
  <w:footnote w:id="281">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התקנון לעבודת הממשלה ה-32 בראשותו של בנימין נתניהו אושר בהחלטת ממשלה מס' 5058 </w:t>
      </w:r>
      <w:r>
        <w:rPr>
          <w:rFonts w:cs="FrankRuehl" w:hint="cs"/>
          <w:sz w:val="18"/>
          <w:rtl/>
        </w:rPr>
        <w:br/>
      </w:r>
      <w:r w:rsidRPr="00315F89">
        <w:rPr>
          <w:rFonts w:cs="FrankRuehl"/>
          <w:sz w:val="18"/>
          <w:rtl/>
        </w:rPr>
        <w:t>מ-12.8.12. הממשלה ה-32 כיהנה מ-31.3.09 עד 18.3.13.</w:t>
      </w:r>
    </w:p>
  </w:footnote>
  <w:footnote w:id="28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r>
      <w:r w:rsidRPr="00315F89">
        <w:rPr>
          <w:rFonts w:cs="FrankRuehl"/>
          <w:b/>
          <w:bCs/>
          <w:sz w:val="18"/>
          <w:rtl/>
        </w:rPr>
        <w:t>דין וחשבון של הוועדה הציבורית-מקצועית לבדיקה כוללת של שירות המדינה וגופים הנתמכים מתקציב המדינה</w:t>
      </w:r>
      <w:r w:rsidRPr="00315F89">
        <w:rPr>
          <w:rFonts w:cs="FrankRuehl"/>
          <w:sz w:val="18"/>
          <w:rtl/>
        </w:rPr>
        <w:t xml:space="preserve"> (1989), כרך ב, עמ' 139. בראש הוועדה עמד מר חיים קוברסקי ששימש באותה עת מנכ"ל משרד הפנים. בעניין זה ראו גם מבקר המדינה, </w:t>
      </w:r>
      <w:r w:rsidRPr="00315F89">
        <w:rPr>
          <w:rFonts w:cs="FrankRuehl"/>
          <w:b/>
          <w:bCs/>
          <w:sz w:val="18"/>
          <w:rtl/>
        </w:rPr>
        <w:t>דוח שנתי 53ב</w:t>
      </w:r>
      <w:r w:rsidRPr="00315F89">
        <w:rPr>
          <w:rFonts w:cs="FrankRuehl"/>
          <w:sz w:val="18"/>
          <w:rtl/>
        </w:rPr>
        <w:t xml:space="preserve"> (2002), בפרק "עבודת המטה במשרד ממשלתי", עמ' 60-58.</w:t>
      </w:r>
    </w:p>
  </w:footnote>
  <w:footnote w:id="28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שיעור ההפרש בין מחירי הדירות חושב על פי מחיר ממוצע של מ"ר בבנייה חדשה בעיר, בהתבסס על נתוני הלמ"ס.</w:t>
      </w:r>
    </w:p>
  </w:footnote>
  <w:footnote w:id="28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המכרז לשיווק קרקע פורסם לראשונה בנובמבר 2011 ונסגר בדצמבר 2012. ההודעה על הזכייה במכרז נשלחה ליזם הזוכה בינואר 2013.</w:t>
      </w:r>
    </w:p>
  </w:footnote>
  <w:footnote w:id="285">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מכרז 10020/2011 שפורסם באפריל 2012.</w:t>
      </w:r>
    </w:p>
  </w:footnote>
  <w:footnote w:id="286">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3 דירות של 4 חדרים (92 מ"ר כל אחת) ומחיריהן 850,000-800,000 ש"ח.</w:t>
      </w:r>
    </w:p>
  </w:footnote>
  <w:footnote w:id="287">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הדבר עלה גם ממכתבי תלונה של זכאים למשרד הבינוי.</w:t>
      </w:r>
    </w:p>
  </w:footnote>
  <w:footnote w:id="288">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החלטה של ועדת המכרזים העליונה של משרד הבינוי מ-17.5.10.</w:t>
      </w:r>
    </w:p>
  </w:footnote>
  <w:footnote w:id="289">
    <w:p w:rsidR="001A17E8" w:rsidRPr="00315F89" w:rsidP="004347D7">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r>
      <w:r w:rsidRPr="00582A43">
        <w:rPr>
          <w:rFonts w:cs="FrankRuehl"/>
          <w:sz w:val="18"/>
          <w:rtl/>
        </w:rPr>
        <w:t xml:space="preserve">החלטת </w:t>
      </w:r>
      <w:r w:rsidRPr="00582A43">
        <w:rPr>
          <w:rFonts w:cs="FrankRuehl" w:hint="cs"/>
          <w:sz w:val="18"/>
          <w:rtl/>
        </w:rPr>
        <w:t>מועצה</w:t>
      </w:r>
      <w:r w:rsidRPr="00582A43">
        <w:rPr>
          <w:rFonts w:cs="FrankRuehl"/>
          <w:sz w:val="18"/>
          <w:rtl/>
        </w:rPr>
        <w:t xml:space="preserve"> מס' 1239.</w:t>
      </w:r>
    </w:p>
  </w:footnote>
  <w:footnote w:id="290">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מנתוני דוח שנתי 2013 של רמ"י שפורסם באוגוסט 2014, טרם נרשמו בלשכת רישום המקרקעין (טאבו) כ-127,000 יח"ד בניהול חברות משכנות (גוף המאכלס או משכן את הבניין ומלווה את החוכר, את הטיפול בנכס ואת ניהול רישום הזכויות לגביו).</w:t>
      </w:r>
    </w:p>
  </w:footnote>
  <w:footnote w:id="291">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ראו מבקר המדינה, </w:t>
      </w:r>
      <w:r w:rsidRPr="00315F89">
        <w:rPr>
          <w:rFonts w:cs="FrankRuehl"/>
          <w:b/>
          <w:bCs/>
          <w:sz w:val="18"/>
          <w:rtl/>
        </w:rPr>
        <w:t>דוח שנתי 55ב</w:t>
      </w:r>
      <w:r w:rsidRPr="00315F89">
        <w:rPr>
          <w:rFonts w:cs="FrankRuehl"/>
          <w:sz w:val="18"/>
          <w:rtl/>
        </w:rPr>
        <w:t xml:space="preserve"> (2005), עמ' 445-419.</w:t>
      </w:r>
    </w:p>
  </w:footnote>
  <w:footnote w:id="292">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פרטים על הפרויקט מתפרסמים באתר האינטרנט </w:t>
      </w:r>
      <w:r w:rsidRPr="00315F89">
        <w:rPr>
          <w:rFonts w:cs="FrankRuehl"/>
          <w:sz w:val="18"/>
        </w:rPr>
        <w:t>www.e-b.co.il/diyur/</w:t>
      </w:r>
      <w:r w:rsidRPr="00315F89">
        <w:rPr>
          <w:rFonts w:cs="FrankRuehl"/>
          <w:sz w:val="18"/>
          <w:rtl/>
        </w:rPr>
        <w:t>.</w:t>
      </w:r>
    </w:p>
  </w:footnote>
  <w:footnote w:id="29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נתונים שהועברו למשרד מבקר המדינה על פי בקשתו.</w:t>
      </w:r>
    </w:p>
  </w:footnote>
  <w:footnote w:id="294">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ההכנסה החודשית נטו של משק בית בעשירונים אלו הייתה 9,450-3,465 ש"ח.</w:t>
      </w:r>
    </w:p>
  </w:footnote>
  <w:footnote w:id="295">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תקרת הסכום נקבעת בפקודת מס הכנסה. נכון לשנת 2013 תקרת הפטור על הכנסות מהשכרת דירות מגורים בישראל עומדת על 4,980 ש"ח לחודש. </w:t>
      </w:r>
    </w:p>
  </w:footnote>
  <w:footnote w:id="29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על פי הגדרת משרד האוצר גוף מוסדי הוא חברה המנהלת קופות גמל, קרנות פנסיה או חברת ביטוח, כפי שמוגדר בחוק הפיקוח על שירותים פיננסיים (ביטוח)</w:t>
      </w:r>
      <w:r>
        <w:rPr>
          <w:rFonts w:cs="FrankRuehl" w:hint="cs"/>
          <w:sz w:val="18"/>
          <w:rtl/>
        </w:rPr>
        <w:t>,</w:t>
      </w:r>
      <w:r w:rsidRPr="00315F89">
        <w:rPr>
          <w:rFonts w:cs="FrankRuehl"/>
          <w:sz w:val="18"/>
          <w:rtl/>
        </w:rPr>
        <w:t xml:space="preserve"> התשמ"א-1981.</w:t>
      </w:r>
    </w:p>
  </w:footnote>
  <w:footnote w:id="297">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הטבות</w:t>
      </w:r>
      <w:r w:rsidRPr="00315F89">
        <w:rPr>
          <w:rFonts w:cs="FrankRuehl"/>
          <w:sz w:val="18"/>
        </w:rPr>
        <w:t xml:space="preserve"> </w:t>
      </w:r>
      <w:r w:rsidRPr="00315F89">
        <w:rPr>
          <w:rFonts w:cs="FrankRuehl"/>
          <w:sz w:val="18"/>
          <w:rtl/>
        </w:rPr>
        <w:t>אלו יינתנו</w:t>
      </w:r>
      <w:r w:rsidRPr="00315F89">
        <w:rPr>
          <w:rFonts w:cs="FrankRuehl"/>
          <w:sz w:val="18"/>
        </w:rPr>
        <w:t xml:space="preserve"> </w:t>
      </w:r>
      <w:r w:rsidRPr="00315F89">
        <w:rPr>
          <w:rFonts w:cs="FrankRuehl"/>
          <w:sz w:val="18"/>
          <w:rtl/>
        </w:rPr>
        <w:t>בכמה</w:t>
      </w:r>
      <w:r w:rsidRPr="00315F89">
        <w:rPr>
          <w:rFonts w:cs="FrankRuehl"/>
          <w:sz w:val="18"/>
        </w:rPr>
        <w:t xml:space="preserve"> </w:t>
      </w:r>
      <w:r w:rsidRPr="00315F89">
        <w:rPr>
          <w:rFonts w:cs="FrankRuehl"/>
          <w:sz w:val="18"/>
          <w:rtl/>
        </w:rPr>
        <w:t>תנאים מצטברים ובהם שטח</w:t>
      </w:r>
      <w:r w:rsidRPr="00315F89">
        <w:rPr>
          <w:rFonts w:cs="FrankRuehl"/>
          <w:sz w:val="18"/>
        </w:rPr>
        <w:t xml:space="preserve"> </w:t>
      </w:r>
      <w:r w:rsidRPr="00315F89">
        <w:rPr>
          <w:rFonts w:cs="FrankRuehl"/>
          <w:sz w:val="18"/>
          <w:rtl/>
        </w:rPr>
        <w:t>הדירה</w:t>
      </w:r>
      <w:r w:rsidRPr="00315F89">
        <w:rPr>
          <w:rFonts w:cs="FrankRuehl"/>
          <w:sz w:val="18"/>
        </w:rPr>
        <w:t xml:space="preserve"> </w:t>
      </w:r>
      <w:r w:rsidRPr="00315F89">
        <w:rPr>
          <w:rFonts w:cs="FrankRuehl"/>
          <w:sz w:val="18"/>
          <w:rtl/>
        </w:rPr>
        <w:t>יהיה</w:t>
      </w:r>
      <w:r w:rsidRPr="00315F89">
        <w:rPr>
          <w:rFonts w:cs="FrankRuehl"/>
          <w:sz w:val="18"/>
        </w:rPr>
        <w:t xml:space="preserve"> </w:t>
      </w:r>
      <w:r w:rsidRPr="00315F89">
        <w:rPr>
          <w:rFonts w:cs="FrankRuehl"/>
          <w:sz w:val="18"/>
          <w:rtl/>
        </w:rPr>
        <w:t>עד</w:t>
      </w:r>
      <w:r w:rsidRPr="00315F89">
        <w:rPr>
          <w:rFonts w:cs="FrankRuehl"/>
          <w:sz w:val="18"/>
        </w:rPr>
        <w:t xml:space="preserve"> </w:t>
      </w:r>
      <w:r w:rsidRPr="00315F89">
        <w:rPr>
          <w:rFonts w:cs="FrankRuehl"/>
          <w:sz w:val="18"/>
          <w:rtl/>
        </w:rPr>
        <w:t>100 מ</w:t>
      </w:r>
      <w:r w:rsidRPr="00315F89">
        <w:rPr>
          <w:rFonts w:cs="FrankRuehl"/>
          <w:sz w:val="18"/>
        </w:rPr>
        <w:t>"</w:t>
      </w:r>
      <w:r w:rsidRPr="00315F89">
        <w:rPr>
          <w:rFonts w:cs="FrankRuehl"/>
          <w:sz w:val="18"/>
          <w:rtl/>
        </w:rPr>
        <w:t>ר, לפחות 70%</w:t>
      </w:r>
      <w:r w:rsidRPr="00315F89">
        <w:rPr>
          <w:rFonts w:cs="FrankRuehl"/>
          <w:sz w:val="18"/>
        </w:rPr>
        <w:t xml:space="preserve"> </w:t>
      </w:r>
      <w:r w:rsidRPr="00315F89">
        <w:rPr>
          <w:rFonts w:cs="FrankRuehl"/>
          <w:sz w:val="18"/>
          <w:rtl/>
        </w:rPr>
        <w:t>מהדירות בכל בניין ייועדו להשכרה למגורים</w:t>
      </w:r>
      <w:r w:rsidRPr="00315F89">
        <w:rPr>
          <w:rFonts w:cs="FrankRuehl"/>
          <w:sz w:val="18"/>
        </w:rPr>
        <w:t xml:space="preserve"> </w:t>
      </w:r>
      <w:r w:rsidRPr="00315F89">
        <w:rPr>
          <w:rFonts w:cs="FrankRuehl"/>
          <w:sz w:val="18"/>
          <w:rtl/>
        </w:rPr>
        <w:t>לתקופה של</w:t>
      </w:r>
      <w:r w:rsidRPr="00315F89">
        <w:rPr>
          <w:rFonts w:cs="FrankRuehl"/>
          <w:sz w:val="18"/>
        </w:rPr>
        <w:t xml:space="preserve"> </w:t>
      </w:r>
      <w:r w:rsidRPr="00315F89">
        <w:rPr>
          <w:rFonts w:cs="FrankRuehl"/>
          <w:sz w:val="18"/>
          <w:rtl/>
        </w:rPr>
        <w:t>25 שנה</w:t>
      </w:r>
      <w:r w:rsidRPr="00315F89">
        <w:rPr>
          <w:rFonts w:cs="FrankRuehl"/>
          <w:sz w:val="18"/>
        </w:rPr>
        <w:t xml:space="preserve"> </w:t>
      </w:r>
      <w:r w:rsidRPr="00315F89">
        <w:rPr>
          <w:rFonts w:cs="FrankRuehl"/>
          <w:sz w:val="18"/>
          <w:rtl/>
        </w:rPr>
        <w:t>לפחות (החברה</w:t>
      </w:r>
      <w:r w:rsidRPr="00315F89">
        <w:rPr>
          <w:rFonts w:cs="FrankRuehl"/>
          <w:sz w:val="18"/>
        </w:rPr>
        <w:t xml:space="preserve"> </w:t>
      </w:r>
      <w:r w:rsidRPr="00315F89">
        <w:rPr>
          <w:rFonts w:cs="FrankRuehl"/>
          <w:sz w:val="18"/>
          <w:rtl/>
        </w:rPr>
        <w:t>תוכל</w:t>
      </w:r>
      <w:r w:rsidRPr="00315F89">
        <w:rPr>
          <w:rFonts w:cs="FrankRuehl"/>
          <w:sz w:val="18"/>
        </w:rPr>
        <w:t xml:space="preserve"> </w:t>
      </w:r>
      <w:r w:rsidRPr="00315F89">
        <w:rPr>
          <w:rFonts w:cs="FrankRuehl"/>
          <w:sz w:val="18"/>
          <w:rtl/>
        </w:rPr>
        <w:t>למכור</w:t>
      </w:r>
      <w:r w:rsidRPr="00315F89">
        <w:rPr>
          <w:rFonts w:cs="FrankRuehl"/>
          <w:sz w:val="18"/>
        </w:rPr>
        <w:t xml:space="preserve"> </w:t>
      </w:r>
      <w:r w:rsidRPr="00315F89">
        <w:rPr>
          <w:rFonts w:cs="FrankRuehl"/>
          <w:sz w:val="18"/>
          <w:rtl/>
        </w:rPr>
        <w:t>את</w:t>
      </w:r>
      <w:r w:rsidRPr="00315F89">
        <w:rPr>
          <w:rFonts w:cs="FrankRuehl"/>
          <w:sz w:val="18"/>
        </w:rPr>
        <w:t xml:space="preserve"> </w:t>
      </w:r>
      <w:r w:rsidRPr="00315F89">
        <w:rPr>
          <w:rFonts w:cs="FrankRuehl"/>
          <w:sz w:val="18"/>
          <w:rtl/>
        </w:rPr>
        <w:t>הבניין</w:t>
      </w:r>
      <w:r w:rsidRPr="00315F89">
        <w:rPr>
          <w:rFonts w:cs="FrankRuehl"/>
          <w:sz w:val="18"/>
        </w:rPr>
        <w:t xml:space="preserve"> </w:t>
      </w:r>
      <w:r w:rsidRPr="00315F89">
        <w:rPr>
          <w:rFonts w:cs="FrankRuehl"/>
          <w:sz w:val="18"/>
          <w:rtl/>
        </w:rPr>
        <w:t>לאחר עשר שנים).</w:t>
      </w:r>
    </w:p>
  </w:footnote>
  <w:footnote w:id="29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ab/>
        <w:t>קופת גמל היא קרן לחיסכון שהממונה על שוק ההון, הביטוח והחיסכון במשרד האוצר אישר כקופת גמל, בעקבות בקשה של חברה מנהלת, והיא משמשת לתגמולים, לפיצויים, לקצבה, לחופשה, לדמי מחלה או למטרה אחרת וכן משמשת קרן השתלמות. ראו חוק הפיקוח על שירותים פיננסיים (קופות גמל)</w:t>
      </w:r>
      <w:r>
        <w:rPr>
          <w:rFonts w:cs="FrankRuehl" w:hint="cs"/>
          <w:sz w:val="18"/>
          <w:rtl/>
        </w:rPr>
        <w:t>,</w:t>
      </w:r>
      <w:r w:rsidRPr="00315F89">
        <w:rPr>
          <w:rFonts w:cs="FrankRuehl"/>
          <w:sz w:val="18"/>
          <w:rtl/>
        </w:rPr>
        <w:t xml:space="preserve"> התשס"ה-2005. </w:t>
      </w:r>
    </w:p>
  </w:footnote>
  <w:footnote w:id="299">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על פי ההחלטה, "זכאי" הוא זוג או יחיד מעל גיל 35 שהם חסרי דיור ושכרם אינו עולה על כפל השכר הממוצע במשק, שעמדו בקריטריונים שבהחלטה; כ-20% מהדירות יוקצו ליחידים או למשפחות ללא ילדים, כ-35% למשפחות שבהן ילד אחד או שניים וכ-45% למשפחות שבהן שלושה ילדים ומעלה. קריטריונים מתעדפים הם נכות של אחד מבני המשפחה המרותק לכיסא גלגלים, ותק בשנות נישואין או עלייה או במשך זכאות במשרד הבינוי; בנוגע לחצי מיחידות הדיור שישווקו לזכאים בכל המכרזים בפועל באותה שנה ייחשב אף שירות צבאי או שירות לאומי או שירות אזרחי. </w:t>
      </w:r>
    </w:p>
  </w:footnote>
  <w:footnote w:id="300">
    <w:p w:rsidR="001A17E8" w:rsidP="00A331AC">
      <w:pPr>
        <w:pStyle w:val="FootnoteText"/>
        <w:keepN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הצעה לחוק השכירות והשאילה (תיקון - הגבלה על העלאת דמי השכירות), התשס"ט-2008, של ח"כ מיכאל נודלמן הונחה על שולחן הכנסת ב-3.11.08</w:t>
      </w:r>
      <w:r>
        <w:rPr>
          <w:rFonts w:cs="FrankRuehl" w:hint="cs"/>
          <w:sz w:val="18"/>
          <w:rtl/>
        </w:rPr>
        <w:t>:</w:t>
      </w:r>
    </w:p>
    <w:p w:rsidR="001A17E8" w:rsidP="00FD0D66">
      <w:pPr>
        <w:pStyle w:val="FootnoteText"/>
        <w:keepNext/>
        <w:keepLines/>
        <w:bidi w:val="0"/>
        <w:spacing w:line="200" w:lineRule="exact"/>
        <w:ind w:left="397" w:hanging="397"/>
        <w:jc w:val="both"/>
        <w:rPr>
          <w:rFonts w:cs="FrankRuehl"/>
          <w:sz w:val="18"/>
          <w:rtl/>
        </w:rPr>
      </w:pPr>
      <w:r w:rsidRPr="00315F89">
        <w:rPr>
          <w:rFonts w:cs="FrankRuehl"/>
          <w:sz w:val="18"/>
          <w:rtl/>
        </w:rPr>
        <w:t xml:space="preserve"> </w:t>
      </w:r>
      <w:r>
        <w:fldChar w:fldCharType="begin"/>
      </w:r>
      <w:r>
        <w:instrText xml:space="preserve"> HYPERLINK "http://www.knesset.gov.il/privatelaw/data/17/4078.rtf" </w:instrText>
      </w:r>
      <w:r>
        <w:fldChar w:fldCharType="separate"/>
      </w:r>
      <w:r w:rsidRPr="00315F89">
        <w:rPr>
          <w:rStyle w:val="Hyperlink"/>
          <w:rFonts w:eastAsia="Calibri" w:cs="FrankRuehl"/>
          <w:sz w:val="18"/>
        </w:rPr>
        <w:t>http://www.knesset.gov.il/privatelaw/data/17/4078.rtf</w:t>
      </w:r>
      <w:r>
        <w:fldChar w:fldCharType="end"/>
      </w:r>
      <w:r w:rsidRPr="00315F89">
        <w:rPr>
          <w:rFonts w:cs="FrankRuehl"/>
          <w:sz w:val="18"/>
          <w:rtl/>
        </w:rPr>
        <w:t>;</w:t>
      </w:r>
    </w:p>
    <w:p w:rsidR="001A17E8" w:rsidP="00A331AC">
      <w:pPr>
        <w:pStyle w:val="FootnoteText"/>
        <w:keepNext/>
        <w:keepLines/>
        <w:spacing w:line="200" w:lineRule="exact"/>
        <w:ind w:left="397" w:hanging="397"/>
        <w:jc w:val="both"/>
        <w:rPr>
          <w:rFonts w:cs="FrankRuehl"/>
          <w:sz w:val="18"/>
          <w:rtl/>
        </w:rPr>
      </w:pPr>
      <w:r>
        <w:rPr>
          <w:rFonts w:cs="FrankRuehl" w:hint="cs"/>
          <w:sz w:val="18"/>
          <w:rtl/>
        </w:rPr>
        <w:tab/>
      </w:r>
      <w:r w:rsidRPr="00315F89">
        <w:rPr>
          <w:rFonts w:cs="FrankRuehl"/>
          <w:sz w:val="18"/>
          <w:rtl/>
        </w:rPr>
        <w:t>ההצעה לחוק השכירות והשאילה (תיקון - הגבלה על העלאת דמי השכירות), התשס"ט-2009, של</w:t>
      </w:r>
      <w:r>
        <w:rPr>
          <w:rFonts w:cs="FrankRuehl" w:hint="cs"/>
          <w:sz w:val="18"/>
          <w:rtl/>
        </w:rPr>
        <w:t xml:space="preserve"> </w:t>
      </w:r>
      <w:r w:rsidRPr="00315F89">
        <w:rPr>
          <w:rFonts w:cs="FrankRuehl"/>
          <w:sz w:val="18"/>
          <w:rtl/>
        </w:rPr>
        <w:t>רוברט טיבייב הונחה על שולחן הכנסת ב-25.5.09</w:t>
      </w:r>
      <w:r>
        <w:rPr>
          <w:rFonts w:cs="FrankRuehl" w:hint="cs"/>
          <w:sz w:val="18"/>
          <w:rtl/>
        </w:rPr>
        <w:t>:</w:t>
      </w:r>
      <w:r w:rsidRPr="00315F89">
        <w:rPr>
          <w:rFonts w:cs="FrankRuehl"/>
          <w:sz w:val="18"/>
          <w:rtl/>
        </w:rPr>
        <w:t xml:space="preserve"> </w:t>
      </w:r>
    </w:p>
    <w:p w:rsidR="001A17E8" w:rsidP="00FD0D66">
      <w:pPr>
        <w:pStyle w:val="FootnoteText"/>
        <w:keepNext/>
        <w:keepLines/>
        <w:bidi w:val="0"/>
        <w:spacing w:line="200" w:lineRule="exact"/>
        <w:ind w:left="397" w:hanging="397"/>
        <w:jc w:val="both"/>
        <w:rPr>
          <w:rFonts w:cs="FrankRuehl"/>
          <w:sz w:val="18"/>
          <w:rtl/>
        </w:rPr>
      </w:pPr>
      <w:r w:rsidRPr="00315F89">
        <w:rPr>
          <w:rFonts w:cs="FrankRuehl"/>
          <w:sz w:val="18"/>
          <w:rtl/>
        </w:rPr>
        <w:t xml:space="preserve"> </w:t>
      </w:r>
      <w:r>
        <w:fldChar w:fldCharType="begin"/>
      </w:r>
      <w:r>
        <w:instrText xml:space="preserve"> HYPERLINK "http://www.knesset.gov.il/privatelaw/data/18/1139.rtf" </w:instrText>
      </w:r>
      <w:r>
        <w:fldChar w:fldCharType="separate"/>
      </w:r>
      <w:r w:rsidRPr="00315F89">
        <w:rPr>
          <w:rStyle w:val="Hyperlink"/>
          <w:rFonts w:eastAsia="Calibri" w:cs="FrankRuehl"/>
          <w:sz w:val="18"/>
        </w:rPr>
        <w:t>http://www.knesset.gov.il/privatelaw/data/18/1139.rtf</w:t>
      </w:r>
      <w:r>
        <w:fldChar w:fldCharType="end"/>
      </w:r>
      <w:r w:rsidRPr="00315F89">
        <w:rPr>
          <w:rFonts w:cs="FrankRuehl"/>
          <w:sz w:val="18"/>
          <w:rtl/>
        </w:rPr>
        <w:t xml:space="preserve">; </w:t>
      </w:r>
    </w:p>
    <w:p w:rsidR="001A17E8" w:rsidP="00FD0D66">
      <w:pPr>
        <w:pStyle w:val="FootnoteText"/>
        <w:keepNext/>
        <w:keepLines/>
        <w:spacing w:line="200" w:lineRule="exact"/>
        <w:ind w:left="397" w:hanging="397"/>
        <w:jc w:val="both"/>
        <w:rPr>
          <w:rFonts w:cs="FrankRuehl"/>
          <w:sz w:val="18"/>
          <w:rtl/>
        </w:rPr>
      </w:pPr>
      <w:r>
        <w:rPr>
          <w:rFonts w:cs="FrankRuehl" w:hint="cs"/>
          <w:sz w:val="18"/>
          <w:rtl/>
        </w:rPr>
        <w:tab/>
      </w:r>
      <w:r w:rsidRPr="00315F89">
        <w:rPr>
          <w:rFonts w:cs="FrankRuehl"/>
          <w:sz w:val="18"/>
          <w:rtl/>
        </w:rPr>
        <w:t>ההצעה לחוק זכויות השוכר והמשכיר, התש"ע</w:t>
      </w:r>
      <w:r w:rsidRPr="00315F89">
        <w:rPr>
          <w:rFonts w:cs="FrankRuehl"/>
          <w:sz w:val="18"/>
        </w:rPr>
        <w:t>-</w:t>
      </w:r>
      <w:r w:rsidRPr="00315F89">
        <w:rPr>
          <w:rFonts w:cs="FrankRuehl"/>
          <w:sz w:val="18"/>
          <w:rtl/>
        </w:rPr>
        <w:t>2010, של חה"כ שלי יחמוביץ וכרמל שאמה הונחה על שולחן הכנסת ב-3.5.10</w:t>
      </w:r>
      <w:r>
        <w:rPr>
          <w:rFonts w:cs="FrankRuehl" w:hint="cs"/>
          <w:sz w:val="18"/>
          <w:rtl/>
        </w:rPr>
        <w:t xml:space="preserve">: </w:t>
      </w:r>
      <w:r w:rsidRPr="00315F89">
        <w:rPr>
          <w:rFonts w:cs="FrankRuehl"/>
          <w:sz w:val="18"/>
          <w:rtl/>
        </w:rPr>
        <w:t xml:space="preserve"> </w:t>
      </w:r>
      <w:r>
        <w:fldChar w:fldCharType="begin"/>
      </w:r>
      <w:r>
        <w:instrText xml:space="preserve"> HYPERLINK "http://www.knesset.gov.il/privatelaw/data/18/2367.rtf" </w:instrText>
      </w:r>
      <w:r>
        <w:fldChar w:fldCharType="separate"/>
      </w:r>
      <w:r w:rsidRPr="00315F89">
        <w:rPr>
          <w:rStyle w:val="Hyperlink"/>
          <w:rFonts w:eastAsia="Calibri" w:cs="FrankRuehl"/>
          <w:sz w:val="18"/>
        </w:rPr>
        <w:t>http://www.knesset.gov.il/privatelaw/data/18/2367.rtf</w:t>
      </w:r>
      <w:r>
        <w:fldChar w:fldCharType="end"/>
      </w:r>
      <w:r w:rsidRPr="00315F89">
        <w:rPr>
          <w:rFonts w:cs="FrankRuehl"/>
          <w:sz w:val="18"/>
          <w:rtl/>
        </w:rPr>
        <w:t xml:space="preserve">; </w:t>
      </w:r>
    </w:p>
    <w:p w:rsidR="001A17E8" w:rsidP="00A331AC">
      <w:pPr>
        <w:pStyle w:val="FootnoteText"/>
        <w:keepNext/>
        <w:keepLines/>
        <w:spacing w:line="200" w:lineRule="exact"/>
        <w:ind w:left="397" w:hanging="397"/>
        <w:jc w:val="both"/>
        <w:rPr>
          <w:rFonts w:cs="FrankRuehl"/>
          <w:sz w:val="18"/>
          <w:rtl/>
        </w:rPr>
      </w:pPr>
      <w:r>
        <w:rPr>
          <w:rFonts w:cs="FrankRuehl" w:hint="cs"/>
          <w:sz w:val="18"/>
          <w:rtl/>
        </w:rPr>
        <w:tab/>
      </w:r>
      <w:r w:rsidRPr="00315F89">
        <w:rPr>
          <w:rFonts w:cs="FrankRuehl"/>
          <w:sz w:val="18"/>
          <w:rtl/>
        </w:rPr>
        <w:t>ההצעה לחוק השכירות והשאילה (תיקון - הגבלה על העלאת דמי השכירות), התשע"ב-2011, של ח"כ שלמה מולה הונחה על שולחן הכנסת ב-5.12.11</w:t>
      </w:r>
      <w:r>
        <w:rPr>
          <w:rFonts w:cs="FrankRuehl" w:hint="cs"/>
          <w:sz w:val="18"/>
          <w:rtl/>
        </w:rPr>
        <w:t>:</w:t>
      </w:r>
    </w:p>
    <w:p w:rsidR="001A17E8" w:rsidRPr="00315F89" w:rsidP="00FD0D66">
      <w:pPr>
        <w:pStyle w:val="FootnoteText"/>
        <w:keepNext/>
        <w:keepLines/>
        <w:bidi w:val="0"/>
        <w:spacing w:line="200" w:lineRule="exact"/>
        <w:ind w:left="397" w:hanging="397"/>
        <w:jc w:val="both"/>
        <w:rPr>
          <w:rFonts w:cs="FrankRuehl"/>
          <w:sz w:val="18"/>
          <w:rtl/>
        </w:rPr>
      </w:pPr>
      <w:r w:rsidRPr="00315F89">
        <w:rPr>
          <w:rFonts w:cs="FrankRuehl"/>
          <w:sz w:val="18"/>
          <w:rtl/>
        </w:rPr>
        <w:t xml:space="preserve"> </w:t>
      </w:r>
      <w:r>
        <w:fldChar w:fldCharType="begin"/>
      </w:r>
      <w:r>
        <w:instrText xml:space="preserve"> HYPERLINK "http://www.knesset.gov.il/privatelaw/data/18/3757.rtf" </w:instrText>
      </w:r>
      <w:r>
        <w:fldChar w:fldCharType="separate"/>
      </w:r>
      <w:r w:rsidRPr="00315F89">
        <w:rPr>
          <w:rStyle w:val="Hyperlink"/>
          <w:rFonts w:eastAsia="Calibri" w:cs="FrankRuehl"/>
          <w:sz w:val="18"/>
        </w:rPr>
        <w:t>http://www.knesset.gov.il/privatelaw/data/18/3757.rtf</w:t>
      </w:r>
      <w:r>
        <w:fldChar w:fldCharType="end"/>
      </w:r>
      <w:r w:rsidRPr="00315F89">
        <w:rPr>
          <w:rFonts w:cs="FrankRuehl"/>
          <w:sz w:val="18"/>
          <w:rtl/>
        </w:rPr>
        <w:t>.</w:t>
      </w:r>
    </w:p>
  </w:footnote>
  <w:footnote w:id="301">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ab/>
      </w:r>
      <w:r w:rsidRPr="00315F89">
        <w:rPr>
          <w:rFonts w:cs="FrankRuehl"/>
          <w:sz w:val="18"/>
        </w:rPr>
        <w:t>OECD Economic Surveys: Israel 2011</w:t>
      </w:r>
      <w:r w:rsidRPr="00315F89">
        <w:rPr>
          <w:rFonts w:cs="FrankRuehl"/>
          <w:sz w:val="18"/>
          <w:rtl/>
        </w:rPr>
        <w:t>.</w:t>
      </w:r>
    </w:p>
  </w:footnote>
  <w:footnote w:id="302">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הצוות הוקם על פי החלטת קבינט הדיור שקיבלה תוקף של החלטת ממשלה ב-30.5.13, לצורך גיבושו של פרויקט הדיור הלאומי.</w:t>
      </w:r>
    </w:p>
  </w:footnote>
  <w:footnote w:id="303">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בעדכון הנוהל בינואר 2011 הועלה רף דמי השכירות ל-6,200 ש"ח בממוצע לדירה בבניין. </w:t>
      </w:r>
    </w:p>
  </w:footnote>
  <w:footnote w:id="304">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לצורך זכאות להטבות שנקבעו בחוק לעידוד השקעות הון.</w:t>
      </w:r>
    </w:p>
  </w:footnote>
  <w:footnote w:id="305">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את הוועדה הקימה החשבת הכללית שבמשרד האוצר מכוח תקנה 8(ה) לתקנות חובת מכרזים, התשנ"ב-1992.</w:t>
      </w:r>
    </w:p>
  </w:footnote>
  <w:footnote w:id="306">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פרויקט המגורים בחיפה כולל 268 יח"ד ומהן 68 מיועדות למכירה מידית עם סיום בנייתן.</w:t>
      </w:r>
    </w:p>
  </w:footnote>
  <w:footnote w:id="307">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ההשקעה ממשלתית הממוצעת בהקמת יח"ד שבה השכירות מוזלת ומפוקחת מחושבת באמצעות חלוקה של ההשקעה הממשלתית בשיעור של כ-196.89 מיליון ש"ח ב-114 יחידות הדיור המיועדות לזכאים לדיור בשכירות מוזלת ומפוקחת. </w:t>
      </w:r>
    </w:p>
  </w:footnote>
  <w:footnote w:id="308">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עלות ההשקעה המוערכת היא ההפרש בין הערכת השמאי הממשלתי את שווי הקרקע ובין המחיר ששולם על הקרקע בפועל.</w:t>
      </w:r>
    </w:p>
  </w:footnote>
  <w:footnote w:id="309">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במכרז שווקו 318 יח"ד - 127 יושכרו במחיר מוזל ומפוקחת, 64 יושכרו במחירי שוק ו-127 יימכרו בטווח המידי. </w:t>
      </w:r>
    </w:p>
  </w:footnote>
  <w:footnote w:id="310">
    <w:p w:rsidR="001A17E8" w:rsidRPr="00315F89" w:rsidP="00315F89">
      <w:pPr>
        <w:pStyle w:val="FootnoteText"/>
        <w:keepLines/>
        <w:spacing w:line="200" w:lineRule="exact"/>
        <w:ind w:left="397" w:hanging="397"/>
        <w:jc w:val="both"/>
        <w:rPr>
          <w:rFonts w:cs="FrankRuehl"/>
          <w:sz w:val="18"/>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 xml:space="preserve">במכרז שווקו 238 יח"ד, על פי תנאי המכרז - 60 יח"ד מיועדות לשכירות מוזלת ומפוקחת, ו-178 הדירות הנותרות מיועדות לשכירות במחירי שוק. </w:t>
      </w:r>
    </w:p>
  </w:footnote>
  <w:footnote w:id="311">
    <w:p w:rsidR="001A17E8" w:rsidRPr="00315F89" w:rsidP="00315F89">
      <w:pPr>
        <w:pStyle w:val="FootnoteText"/>
        <w:keepLines/>
        <w:spacing w:line="200" w:lineRule="exact"/>
        <w:ind w:left="397" w:hanging="397"/>
        <w:jc w:val="both"/>
        <w:rPr>
          <w:rFonts w:cs="FrankRuehl"/>
          <w:sz w:val="18"/>
          <w:rtl/>
        </w:rPr>
      </w:pPr>
      <w:r w:rsidRPr="00315F89">
        <w:rPr>
          <w:rStyle w:val="FootnoteReference0"/>
          <w:rFonts w:ascii="FrankRuehl" w:hAnsi="FrankRuehl" w:cs="FrankRuehl"/>
          <w:vertAlign w:val="baseline"/>
        </w:rPr>
        <w:footnoteRef/>
      </w:r>
      <w:r w:rsidRPr="00315F89">
        <w:rPr>
          <w:rFonts w:cs="FrankRuehl"/>
          <w:sz w:val="18"/>
          <w:rtl/>
        </w:rPr>
        <w:t xml:space="preserve"> </w:t>
      </w:r>
      <w:r w:rsidRPr="00315F89">
        <w:rPr>
          <w:rFonts w:cs="FrankRuehl"/>
          <w:sz w:val="18"/>
          <w:rtl/>
        </w:rPr>
        <w:tab/>
        <w:t>חוק מס הכנסה (פטור ממס לקופת גמל על הכנסה מדמי שכירות בשל השכרת דירות למגורים לטווח ארוך), התשע"ב-2012.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17E8" w:rsidP="008540F5">
    <w:pPr>
      <w:pStyle w:val="Header"/>
      <w:tabs>
        <w:tab w:val="clear" w:pos="4153"/>
        <w:tab w:val="right" w:pos="6804"/>
        <w:tab w:val="clear" w:pos="8306"/>
      </w:tabs>
      <w:rPr>
        <w:rFonts w:ascii="FrankRuehl" w:hAnsi="FrankRuehl" w:cs="FrankRuehl"/>
        <w:szCs w:val="20"/>
        <w:rtl/>
      </w:rPr>
    </w:pP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320E25">
      <w:rPr>
        <w:rFonts w:ascii="FrankRuehl" w:hAnsi="FrankRuehl" w:cs="FrankRuehl"/>
        <w:noProof/>
        <w:szCs w:val="20"/>
        <w:rtl/>
      </w:rPr>
      <w:t>292</w:t>
    </w:r>
    <w:r>
      <w:rPr>
        <w:rFonts w:ascii="FrankRuehl" w:hAnsi="FrankRuehl" w:cs="FrankRuehl"/>
        <w:szCs w:val="20"/>
      </w:rPr>
      <w:fldChar w:fldCharType="end"/>
    </w:r>
    <w:r>
      <w:rPr>
        <w:rFonts w:ascii="FrankRuehl" w:hAnsi="FrankRuehl" w:cs="FrankRuehl"/>
        <w:szCs w:val="20"/>
        <w:rtl/>
      </w:rPr>
      <w:tab/>
    </w:r>
    <w:r>
      <w:rPr>
        <w:rFonts w:ascii="FrankRuehl" w:hAnsi="FrankRuehl" w:cs="FrankRuehl" w:hint="cs"/>
        <w:szCs w:val="20"/>
        <w:rtl/>
      </w:rPr>
      <w:t>דוח ביקורת</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17E8">
    <w:pPr>
      <w:pStyle w:val="Header"/>
      <w:tabs>
        <w:tab w:val="clear" w:pos="4153"/>
        <w:tab w:val="right" w:pos="6804"/>
        <w:tab w:val="clear" w:pos="8306"/>
      </w:tabs>
      <w:rPr>
        <w:rFonts w:ascii="FrankRuehl" w:hAnsi="FrankRuehl" w:cs="FrankRuehl"/>
        <w:szCs w:val="20"/>
        <w:rtl/>
      </w:rPr>
    </w:pPr>
    <w:r>
      <w:rPr>
        <w:rFonts w:ascii="FrankRuehl" w:hAnsi="FrankRuehl" w:cs="FrankRuehl" w:hint="cs"/>
        <w:noProof/>
        <w:szCs w:val="20"/>
        <w:rtl/>
      </w:rPr>
      <w:t>משבר הדיור</w:t>
    </w:r>
    <w:r>
      <w:rPr>
        <w:rFonts w:ascii="FrankRuehl" w:hAnsi="FrankRuehl" w:cs="FrankRuehl"/>
        <w:szCs w:val="20"/>
        <w:rtl/>
      </w:rPr>
      <w:tab/>
    </w: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320E25">
      <w:rPr>
        <w:rFonts w:ascii="FrankRuehl" w:hAnsi="FrankRuehl" w:cs="FrankRuehl"/>
        <w:noProof/>
        <w:szCs w:val="20"/>
        <w:rtl/>
      </w:rPr>
      <w:t>295</w:t>
    </w:r>
    <w:r>
      <w:rPr>
        <w:rFonts w:ascii="FrankRuehl" w:hAnsi="FrankRuehl" w:cs="FrankRuehl"/>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17E8">
    <w:pPr>
      <w:pStyle w:val="Header"/>
      <w:tabs>
        <w:tab w:val="clear" w:pos="4153"/>
        <w:tab w:val="right" w:pos="6804"/>
        <w:tab w:val="clear" w:pos="8306"/>
      </w:tabs>
      <w:rPr>
        <w:rFonts w:ascii="FrankRuehl" w:hAnsi="FrankRuehl" w:cs="FrankRuehl"/>
        <w:szCs w:val="20"/>
        <w:rtl/>
      </w:rPr>
    </w:pPr>
    <w:r>
      <w:rPr>
        <w:rFonts w:ascii="FrankRuehl" w:hAnsi="FrankRuehl" w:cs="FrankRuehl"/>
        <w:szCs w:val="20"/>
        <w:rtl/>
      </w:rPr>
      <w:tab/>
    </w: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143E57">
      <w:rPr>
        <w:rFonts w:ascii="FrankRuehl" w:hAnsi="FrankRuehl" w:cs="FrankRuehl"/>
        <w:noProof/>
        <w:szCs w:val="20"/>
        <w:rtl/>
      </w:rPr>
      <w:t>1</w:t>
    </w:r>
    <w:r>
      <w:rPr>
        <w:rFonts w:ascii="FrankRuehl" w:hAnsi="FrankRuehl" w:cs="FrankRuehl"/>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17E8" w:rsidRPr="00417CBF" w:rsidP="00417CBF">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A871C0D"/>
    <w:multiLevelType w:val="hybridMultilevel"/>
    <w:tmpl w:val="4112BCA8"/>
    <w:lvl w:ilvl="0">
      <w:start w:val="3"/>
      <w:numFmt w:val="bullet"/>
      <w:lvlText w:val=""/>
      <w:lvlJc w:val="left"/>
      <w:pPr>
        <w:ind w:left="-207" w:hanging="360"/>
      </w:pPr>
      <w:rPr>
        <w:rFonts w:ascii="Symbol" w:eastAsia="Times New Roman" w:hAnsi="Symbol" w:cs="David" w:hint="default"/>
      </w:rPr>
    </w:lvl>
    <w:lvl w:ilvl="1" w:tentative="1">
      <w:start w:val="1"/>
      <w:numFmt w:val="bullet"/>
      <w:lvlText w:val="o"/>
      <w:lvlJc w:val="left"/>
      <w:pPr>
        <w:ind w:left="513" w:hanging="360"/>
      </w:pPr>
      <w:rPr>
        <w:rFonts w:ascii="Courier New" w:hAnsi="Courier New" w:cs="Courier New" w:hint="default"/>
      </w:rPr>
    </w:lvl>
    <w:lvl w:ilvl="2" w:tentative="1">
      <w:start w:val="1"/>
      <w:numFmt w:val="bullet"/>
      <w:lvlText w:val=""/>
      <w:lvlJc w:val="left"/>
      <w:pPr>
        <w:ind w:left="1233" w:hanging="360"/>
      </w:pPr>
      <w:rPr>
        <w:rFonts w:ascii="Wingdings" w:hAnsi="Wingdings" w:hint="default"/>
      </w:rPr>
    </w:lvl>
    <w:lvl w:ilvl="3" w:tentative="1">
      <w:start w:val="1"/>
      <w:numFmt w:val="bullet"/>
      <w:lvlText w:val=""/>
      <w:lvlJc w:val="left"/>
      <w:pPr>
        <w:ind w:left="1953" w:hanging="360"/>
      </w:pPr>
      <w:rPr>
        <w:rFonts w:ascii="Symbol" w:hAnsi="Symbol" w:hint="default"/>
      </w:rPr>
    </w:lvl>
    <w:lvl w:ilvl="4" w:tentative="1">
      <w:start w:val="1"/>
      <w:numFmt w:val="bullet"/>
      <w:lvlText w:val="o"/>
      <w:lvlJc w:val="left"/>
      <w:pPr>
        <w:ind w:left="2673" w:hanging="360"/>
      </w:pPr>
      <w:rPr>
        <w:rFonts w:ascii="Courier New" w:hAnsi="Courier New" w:cs="Courier New" w:hint="default"/>
      </w:rPr>
    </w:lvl>
    <w:lvl w:ilvl="5" w:tentative="1">
      <w:start w:val="1"/>
      <w:numFmt w:val="bullet"/>
      <w:lvlText w:val=""/>
      <w:lvlJc w:val="left"/>
      <w:pPr>
        <w:ind w:left="3393" w:hanging="360"/>
      </w:pPr>
      <w:rPr>
        <w:rFonts w:ascii="Wingdings" w:hAnsi="Wingdings" w:hint="default"/>
      </w:rPr>
    </w:lvl>
    <w:lvl w:ilvl="6" w:tentative="1">
      <w:start w:val="1"/>
      <w:numFmt w:val="bullet"/>
      <w:lvlText w:val=""/>
      <w:lvlJc w:val="left"/>
      <w:pPr>
        <w:ind w:left="4113" w:hanging="360"/>
      </w:pPr>
      <w:rPr>
        <w:rFonts w:ascii="Symbol" w:hAnsi="Symbol" w:hint="default"/>
      </w:rPr>
    </w:lvl>
    <w:lvl w:ilvl="7" w:tentative="1">
      <w:start w:val="1"/>
      <w:numFmt w:val="bullet"/>
      <w:lvlText w:val="o"/>
      <w:lvlJc w:val="left"/>
      <w:pPr>
        <w:ind w:left="4833" w:hanging="360"/>
      </w:pPr>
      <w:rPr>
        <w:rFonts w:ascii="Courier New" w:hAnsi="Courier New" w:cs="Courier New" w:hint="default"/>
      </w:rPr>
    </w:lvl>
    <w:lvl w:ilvl="8" w:tentative="1">
      <w:start w:val="1"/>
      <w:numFmt w:val="bullet"/>
      <w:lvlText w:val=""/>
      <w:lvlJc w:val="left"/>
      <w:pPr>
        <w:ind w:left="5553" w:hanging="360"/>
      </w:pPr>
      <w:rPr>
        <w:rFonts w:ascii="Wingdings" w:hAnsi="Wingdings" w:hint="default"/>
      </w:rPr>
    </w:lvl>
  </w:abstractNum>
  <w:abstractNum w:abstractNumId="1">
    <w:nsid w:val="0BE80284"/>
    <w:multiLevelType w:val="hybridMultilevel"/>
    <w:tmpl w:val="A656D180"/>
    <w:lvl w:ilvl="0">
      <w:start w:val="20"/>
      <w:numFmt w:val="bullet"/>
      <w:lvlText w:val="-"/>
      <w:lvlJc w:val="left"/>
      <w:pPr>
        <w:ind w:left="720" w:hanging="360"/>
      </w:pPr>
      <w:rPr>
        <w:rFonts w:ascii="Times New Roman" w:eastAsia="Times New Roman" w:hAnsi="Times New Roman"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5051A84"/>
    <w:multiLevelType w:val="hybridMultilevel"/>
    <w:tmpl w:val="4472592E"/>
    <w:lvl w:ilvl="0">
      <w:start w:val="3"/>
      <w:numFmt w:val="bullet"/>
      <w:lvlText w:val=""/>
      <w:lvlJc w:val="left"/>
      <w:pPr>
        <w:ind w:left="153" w:hanging="360"/>
      </w:pPr>
      <w:rPr>
        <w:rFonts w:ascii="Symbol" w:eastAsia="Times New Roman" w:hAnsi="Symbol" w:cs="David" w:hint="default"/>
      </w:rPr>
    </w:lvl>
    <w:lvl w:ilvl="1" w:tentative="1">
      <w:start w:val="1"/>
      <w:numFmt w:val="bullet"/>
      <w:lvlText w:val="o"/>
      <w:lvlJc w:val="left"/>
      <w:pPr>
        <w:ind w:left="873" w:hanging="360"/>
      </w:pPr>
      <w:rPr>
        <w:rFonts w:ascii="Courier New" w:hAnsi="Courier New" w:cs="Courier New" w:hint="default"/>
      </w:rPr>
    </w:lvl>
    <w:lvl w:ilvl="2" w:tentative="1">
      <w:start w:val="1"/>
      <w:numFmt w:val="bullet"/>
      <w:lvlText w:val=""/>
      <w:lvlJc w:val="left"/>
      <w:pPr>
        <w:ind w:left="1593" w:hanging="360"/>
      </w:pPr>
      <w:rPr>
        <w:rFonts w:ascii="Wingdings" w:hAnsi="Wingdings" w:hint="default"/>
      </w:rPr>
    </w:lvl>
    <w:lvl w:ilvl="3" w:tentative="1">
      <w:start w:val="1"/>
      <w:numFmt w:val="bullet"/>
      <w:lvlText w:val=""/>
      <w:lvlJc w:val="left"/>
      <w:pPr>
        <w:ind w:left="2313" w:hanging="360"/>
      </w:pPr>
      <w:rPr>
        <w:rFonts w:ascii="Symbol" w:hAnsi="Symbol" w:hint="default"/>
      </w:rPr>
    </w:lvl>
    <w:lvl w:ilvl="4" w:tentative="1">
      <w:start w:val="1"/>
      <w:numFmt w:val="bullet"/>
      <w:lvlText w:val="o"/>
      <w:lvlJc w:val="left"/>
      <w:pPr>
        <w:ind w:left="3033" w:hanging="360"/>
      </w:pPr>
      <w:rPr>
        <w:rFonts w:ascii="Courier New" w:hAnsi="Courier New" w:cs="Courier New" w:hint="default"/>
      </w:rPr>
    </w:lvl>
    <w:lvl w:ilvl="5" w:tentative="1">
      <w:start w:val="1"/>
      <w:numFmt w:val="bullet"/>
      <w:lvlText w:val=""/>
      <w:lvlJc w:val="left"/>
      <w:pPr>
        <w:ind w:left="3753" w:hanging="360"/>
      </w:pPr>
      <w:rPr>
        <w:rFonts w:ascii="Wingdings" w:hAnsi="Wingdings" w:hint="default"/>
      </w:rPr>
    </w:lvl>
    <w:lvl w:ilvl="6" w:tentative="1">
      <w:start w:val="1"/>
      <w:numFmt w:val="bullet"/>
      <w:lvlText w:val=""/>
      <w:lvlJc w:val="left"/>
      <w:pPr>
        <w:ind w:left="4473" w:hanging="360"/>
      </w:pPr>
      <w:rPr>
        <w:rFonts w:ascii="Symbol" w:hAnsi="Symbol" w:hint="default"/>
      </w:rPr>
    </w:lvl>
    <w:lvl w:ilvl="7" w:tentative="1">
      <w:start w:val="1"/>
      <w:numFmt w:val="bullet"/>
      <w:lvlText w:val="o"/>
      <w:lvlJc w:val="left"/>
      <w:pPr>
        <w:ind w:left="5193" w:hanging="360"/>
      </w:pPr>
      <w:rPr>
        <w:rFonts w:ascii="Courier New" w:hAnsi="Courier New" w:cs="Courier New" w:hint="default"/>
      </w:rPr>
    </w:lvl>
    <w:lvl w:ilvl="8" w:tentative="1">
      <w:start w:val="1"/>
      <w:numFmt w:val="bullet"/>
      <w:lvlText w:val=""/>
      <w:lvlJc w:val="left"/>
      <w:pPr>
        <w:ind w:left="5913" w:hanging="360"/>
      </w:pPr>
      <w:rPr>
        <w:rFonts w:ascii="Wingdings" w:hAnsi="Wingdings" w:hint="default"/>
      </w:rPr>
    </w:lvl>
  </w:abstractNum>
  <w:abstractNum w:abstractNumId="3">
    <w:nsid w:val="253E6DC3"/>
    <w:multiLevelType w:val="hybridMultilevel"/>
    <w:tmpl w:val="811EEEF0"/>
    <w:lvl w:ilvl="0">
      <w:start w:val="3"/>
      <w:numFmt w:val="bullet"/>
      <w:lvlText w:val=""/>
      <w:lvlJc w:val="left"/>
      <w:pPr>
        <w:ind w:left="-207" w:hanging="360"/>
      </w:pPr>
      <w:rPr>
        <w:rFonts w:ascii="Symbol" w:eastAsia="Times New Roman" w:hAnsi="Symbol" w:cs="David" w:hint="default"/>
      </w:rPr>
    </w:lvl>
    <w:lvl w:ilvl="1" w:tentative="1">
      <w:start w:val="1"/>
      <w:numFmt w:val="bullet"/>
      <w:lvlText w:val="o"/>
      <w:lvlJc w:val="left"/>
      <w:pPr>
        <w:ind w:left="513" w:hanging="360"/>
      </w:pPr>
      <w:rPr>
        <w:rFonts w:ascii="Courier New" w:hAnsi="Courier New" w:cs="Courier New" w:hint="default"/>
      </w:rPr>
    </w:lvl>
    <w:lvl w:ilvl="2" w:tentative="1">
      <w:start w:val="1"/>
      <w:numFmt w:val="bullet"/>
      <w:lvlText w:val=""/>
      <w:lvlJc w:val="left"/>
      <w:pPr>
        <w:ind w:left="1233" w:hanging="360"/>
      </w:pPr>
      <w:rPr>
        <w:rFonts w:ascii="Wingdings" w:hAnsi="Wingdings" w:hint="default"/>
      </w:rPr>
    </w:lvl>
    <w:lvl w:ilvl="3" w:tentative="1">
      <w:start w:val="1"/>
      <w:numFmt w:val="bullet"/>
      <w:lvlText w:val=""/>
      <w:lvlJc w:val="left"/>
      <w:pPr>
        <w:ind w:left="1953" w:hanging="360"/>
      </w:pPr>
      <w:rPr>
        <w:rFonts w:ascii="Symbol" w:hAnsi="Symbol" w:hint="default"/>
      </w:rPr>
    </w:lvl>
    <w:lvl w:ilvl="4" w:tentative="1">
      <w:start w:val="1"/>
      <w:numFmt w:val="bullet"/>
      <w:lvlText w:val="o"/>
      <w:lvlJc w:val="left"/>
      <w:pPr>
        <w:ind w:left="2673" w:hanging="360"/>
      </w:pPr>
      <w:rPr>
        <w:rFonts w:ascii="Courier New" w:hAnsi="Courier New" w:cs="Courier New" w:hint="default"/>
      </w:rPr>
    </w:lvl>
    <w:lvl w:ilvl="5" w:tentative="1">
      <w:start w:val="1"/>
      <w:numFmt w:val="bullet"/>
      <w:lvlText w:val=""/>
      <w:lvlJc w:val="left"/>
      <w:pPr>
        <w:ind w:left="3393" w:hanging="360"/>
      </w:pPr>
      <w:rPr>
        <w:rFonts w:ascii="Wingdings" w:hAnsi="Wingdings" w:hint="default"/>
      </w:rPr>
    </w:lvl>
    <w:lvl w:ilvl="6" w:tentative="1">
      <w:start w:val="1"/>
      <w:numFmt w:val="bullet"/>
      <w:lvlText w:val=""/>
      <w:lvlJc w:val="left"/>
      <w:pPr>
        <w:ind w:left="4113" w:hanging="360"/>
      </w:pPr>
      <w:rPr>
        <w:rFonts w:ascii="Symbol" w:hAnsi="Symbol" w:hint="default"/>
      </w:rPr>
    </w:lvl>
    <w:lvl w:ilvl="7" w:tentative="1">
      <w:start w:val="1"/>
      <w:numFmt w:val="bullet"/>
      <w:lvlText w:val="o"/>
      <w:lvlJc w:val="left"/>
      <w:pPr>
        <w:ind w:left="4833" w:hanging="360"/>
      </w:pPr>
      <w:rPr>
        <w:rFonts w:ascii="Courier New" w:hAnsi="Courier New" w:cs="Courier New" w:hint="default"/>
      </w:rPr>
    </w:lvl>
    <w:lvl w:ilvl="8" w:tentative="1">
      <w:start w:val="1"/>
      <w:numFmt w:val="bullet"/>
      <w:lvlText w:val=""/>
      <w:lvlJc w:val="left"/>
      <w:pPr>
        <w:ind w:left="5553" w:hanging="360"/>
      </w:pPr>
      <w:rPr>
        <w:rFonts w:ascii="Wingdings" w:hAnsi="Wingdings" w:hint="default"/>
      </w:rPr>
    </w:lvl>
  </w:abstractNum>
  <w:abstractNum w:abstractNumId="4">
    <w:nsid w:val="2FC25283"/>
    <w:multiLevelType w:val="hybridMultilevel"/>
    <w:tmpl w:val="B0D20368"/>
    <w:lvl w:ilvl="0">
      <w:start w:val="3"/>
      <w:numFmt w:val="bullet"/>
      <w:lvlText w:val=""/>
      <w:lvlJc w:val="left"/>
      <w:pPr>
        <w:ind w:left="201" w:hanging="360"/>
      </w:pPr>
      <w:rPr>
        <w:rFonts w:ascii="Symbol" w:eastAsia="Times New Roman" w:hAnsi="Symbol" w:cs="David" w:hint="default"/>
      </w:rPr>
    </w:lvl>
    <w:lvl w:ilvl="1" w:tentative="1">
      <w:start w:val="1"/>
      <w:numFmt w:val="bullet"/>
      <w:lvlText w:val="o"/>
      <w:lvlJc w:val="left"/>
      <w:pPr>
        <w:ind w:left="921" w:hanging="360"/>
      </w:pPr>
      <w:rPr>
        <w:rFonts w:ascii="Courier New" w:hAnsi="Courier New" w:cs="Courier New" w:hint="default"/>
      </w:rPr>
    </w:lvl>
    <w:lvl w:ilvl="2" w:tentative="1">
      <w:start w:val="1"/>
      <w:numFmt w:val="bullet"/>
      <w:lvlText w:val=""/>
      <w:lvlJc w:val="left"/>
      <w:pPr>
        <w:ind w:left="1641" w:hanging="360"/>
      </w:pPr>
      <w:rPr>
        <w:rFonts w:ascii="Wingdings" w:hAnsi="Wingdings" w:hint="default"/>
      </w:rPr>
    </w:lvl>
    <w:lvl w:ilvl="3" w:tentative="1">
      <w:start w:val="1"/>
      <w:numFmt w:val="bullet"/>
      <w:lvlText w:val=""/>
      <w:lvlJc w:val="left"/>
      <w:pPr>
        <w:ind w:left="2361" w:hanging="360"/>
      </w:pPr>
      <w:rPr>
        <w:rFonts w:ascii="Symbol" w:hAnsi="Symbol" w:hint="default"/>
      </w:rPr>
    </w:lvl>
    <w:lvl w:ilvl="4" w:tentative="1">
      <w:start w:val="1"/>
      <w:numFmt w:val="bullet"/>
      <w:lvlText w:val="o"/>
      <w:lvlJc w:val="left"/>
      <w:pPr>
        <w:ind w:left="3081" w:hanging="360"/>
      </w:pPr>
      <w:rPr>
        <w:rFonts w:ascii="Courier New" w:hAnsi="Courier New" w:cs="Courier New" w:hint="default"/>
      </w:rPr>
    </w:lvl>
    <w:lvl w:ilvl="5" w:tentative="1">
      <w:start w:val="1"/>
      <w:numFmt w:val="bullet"/>
      <w:lvlText w:val=""/>
      <w:lvlJc w:val="left"/>
      <w:pPr>
        <w:ind w:left="3801" w:hanging="360"/>
      </w:pPr>
      <w:rPr>
        <w:rFonts w:ascii="Wingdings" w:hAnsi="Wingdings" w:hint="default"/>
      </w:rPr>
    </w:lvl>
    <w:lvl w:ilvl="6" w:tentative="1">
      <w:start w:val="1"/>
      <w:numFmt w:val="bullet"/>
      <w:lvlText w:val=""/>
      <w:lvlJc w:val="left"/>
      <w:pPr>
        <w:ind w:left="4521" w:hanging="360"/>
      </w:pPr>
      <w:rPr>
        <w:rFonts w:ascii="Symbol" w:hAnsi="Symbol" w:hint="default"/>
      </w:rPr>
    </w:lvl>
    <w:lvl w:ilvl="7" w:tentative="1">
      <w:start w:val="1"/>
      <w:numFmt w:val="bullet"/>
      <w:lvlText w:val="o"/>
      <w:lvlJc w:val="left"/>
      <w:pPr>
        <w:ind w:left="5241" w:hanging="360"/>
      </w:pPr>
      <w:rPr>
        <w:rFonts w:ascii="Courier New" w:hAnsi="Courier New" w:cs="Courier New" w:hint="default"/>
      </w:rPr>
    </w:lvl>
    <w:lvl w:ilvl="8" w:tentative="1">
      <w:start w:val="1"/>
      <w:numFmt w:val="bullet"/>
      <w:lvlText w:val=""/>
      <w:lvlJc w:val="left"/>
      <w:pPr>
        <w:ind w:left="5961" w:hanging="360"/>
      </w:pPr>
      <w:rPr>
        <w:rFonts w:ascii="Wingdings" w:hAnsi="Wingdings" w:hint="default"/>
      </w:rPr>
    </w:lvl>
  </w:abstractNum>
  <w:abstractNum w:abstractNumId="5">
    <w:nsid w:val="35901FAA"/>
    <w:multiLevelType w:val="hybridMultilevel"/>
    <w:tmpl w:val="3FC4C502"/>
    <w:lvl w:ilvl="0">
      <w:start w:val="5"/>
      <w:numFmt w:val="bullet"/>
      <w:lvlText w:val=""/>
      <w:lvlJc w:val="left"/>
      <w:pPr>
        <w:ind w:left="561" w:hanging="360"/>
      </w:pPr>
      <w:rPr>
        <w:rFonts w:ascii="Symbol" w:eastAsia="Times New Roman" w:hAnsi="Symbol" w:cs="David" w:hint="default"/>
      </w:rPr>
    </w:lvl>
    <w:lvl w:ilvl="1" w:tentative="1">
      <w:start w:val="1"/>
      <w:numFmt w:val="bullet"/>
      <w:lvlText w:val="o"/>
      <w:lvlJc w:val="left"/>
      <w:pPr>
        <w:ind w:left="1281" w:hanging="360"/>
      </w:pPr>
      <w:rPr>
        <w:rFonts w:ascii="Courier New" w:hAnsi="Courier New" w:cs="Courier New" w:hint="default"/>
      </w:rPr>
    </w:lvl>
    <w:lvl w:ilvl="2" w:tentative="1">
      <w:start w:val="1"/>
      <w:numFmt w:val="bullet"/>
      <w:lvlText w:val=""/>
      <w:lvlJc w:val="left"/>
      <w:pPr>
        <w:ind w:left="2001" w:hanging="360"/>
      </w:pPr>
      <w:rPr>
        <w:rFonts w:ascii="Wingdings" w:hAnsi="Wingdings" w:hint="default"/>
      </w:rPr>
    </w:lvl>
    <w:lvl w:ilvl="3" w:tentative="1">
      <w:start w:val="1"/>
      <w:numFmt w:val="bullet"/>
      <w:lvlText w:val=""/>
      <w:lvlJc w:val="left"/>
      <w:pPr>
        <w:ind w:left="2721" w:hanging="360"/>
      </w:pPr>
      <w:rPr>
        <w:rFonts w:ascii="Symbol" w:hAnsi="Symbol" w:hint="default"/>
      </w:rPr>
    </w:lvl>
    <w:lvl w:ilvl="4" w:tentative="1">
      <w:start w:val="1"/>
      <w:numFmt w:val="bullet"/>
      <w:lvlText w:val="o"/>
      <w:lvlJc w:val="left"/>
      <w:pPr>
        <w:ind w:left="3441" w:hanging="360"/>
      </w:pPr>
      <w:rPr>
        <w:rFonts w:ascii="Courier New" w:hAnsi="Courier New" w:cs="Courier New" w:hint="default"/>
      </w:rPr>
    </w:lvl>
    <w:lvl w:ilvl="5" w:tentative="1">
      <w:start w:val="1"/>
      <w:numFmt w:val="bullet"/>
      <w:lvlText w:val=""/>
      <w:lvlJc w:val="left"/>
      <w:pPr>
        <w:ind w:left="4161" w:hanging="360"/>
      </w:pPr>
      <w:rPr>
        <w:rFonts w:ascii="Wingdings" w:hAnsi="Wingdings" w:hint="default"/>
      </w:rPr>
    </w:lvl>
    <w:lvl w:ilvl="6" w:tentative="1">
      <w:start w:val="1"/>
      <w:numFmt w:val="bullet"/>
      <w:lvlText w:val=""/>
      <w:lvlJc w:val="left"/>
      <w:pPr>
        <w:ind w:left="4881" w:hanging="360"/>
      </w:pPr>
      <w:rPr>
        <w:rFonts w:ascii="Symbol" w:hAnsi="Symbol" w:hint="default"/>
      </w:rPr>
    </w:lvl>
    <w:lvl w:ilvl="7" w:tentative="1">
      <w:start w:val="1"/>
      <w:numFmt w:val="bullet"/>
      <w:lvlText w:val="o"/>
      <w:lvlJc w:val="left"/>
      <w:pPr>
        <w:ind w:left="5601" w:hanging="360"/>
      </w:pPr>
      <w:rPr>
        <w:rFonts w:ascii="Courier New" w:hAnsi="Courier New" w:cs="Courier New" w:hint="default"/>
      </w:rPr>
    </w:lvl>
    <w:lvl w:ilvl="8" w:tentative="1">
      <w:start w:val="1"/>
      <w:numFmt w:val="bullet"/>
      <w:lvlText w:val=""/>
      <w:lvlJc w:val="left"/>
      <w:pPr>
        <w:ind w:left="6321" w:hanging="360"/>
      </w:pPr>
      <w:rPr>
        <w:rFonts w:ascii="Wingdings" w:hAnsi="Wingdings" w:hint="default"/>
      </w:rPr>
    </w:lvl>
  </w:abstractNum>
  <w:abstractNum w:abstractNumId="6">
    <w:nsid w:val="3FA14141"/>
    <w:multiLevelType w:val="hybridMultilevel"/>
    <w:tmpl w:val="11B22C58"/>
    <w:lvl w:ilvl="0">
      <w:start w:val="5"/>
      <w:numFmt w:val="bullet"/>
      <w:lvlText w:val=""/>
      <w:lvlJc w:val="left"/>
      <w:pPr>
        <w:ind w:left="-207" w:hanging="360"/>
      </w:pPr>
      <w:rPr>
        <w:rFonts w:ascii="Symbol" w:eastAsia="Times New Roman" w:hAnsi="Symbol" w:cs="David" w:hint="default"/>
      </w:rPr>
    </w:lvl>
    <w:lvl w:ilvl="1" w:tentative="1">
      <w:start w:val="1"/>
      <w:numFmt w:val="bullet"/>
      <w:lvlText w:val="o"/>
      <w:lvlJc w:val="left"/>
      <w:pPr>
        <w:ind w:left="513" w:hanging="360"/>
      </w:pPr>
      <w:rPr>
        <w:rFonts w:ascii="Courier New" w:hAnsi="Courier New" w:cs="Courier New" w:hint="default"/>
      </w:rPr>
    </w:lvl>
    <w:lvl w:ilvl="2" w:tentative="1">
      <w:start w:val="1"/>
      <w:numFmt w:val="bullet"/>
      <w:lvlText w:val=""/>
      <w:lvlJc w:val="left"/>
      <w:pPr>
        <w:ind w:left="1233" w:hanging="360"/>
      </w:pPr>
      <w:rPr>
        <w:rFonts w:ascii="Wingdings" w:hAnsi="Wingdings" w:hint="default"/>
      </w:rPr>
    </w:lvl>
    <w:lvl w:ilvl="3" w:tentative="1">
      <w:start w:val="1"/>
      <w:numFmt w:val="bullet"/>
      <w:lvlText w:val=""/>
      <w:lvlJc w:val="left"/>
      <w:pPr>
        <w:ind w:left="1953" w:hanging="360"/>
      </w:pPr>
      <w:rPr>
        <w:rFonts w:ascii="Symbol" w:hAnsi="Symbol" w:hint="default"/>
      </w:rPr>
    </w:lvl>
    <w:lvl w:ilvl="4" w:tentative="1">
      <w:start w:val="1"/>
      <w:numFmt w:val="bullet"/>
      <w:lvlText w:val="o"/>
      <w:lvlJc w:val="left"/>
      <w:pPr>
        <w:ind w:left="2673" w:hanging="360"/>
      </w:pPr>
      <w:rPr>
        <w:rFonts w:ascii="Courier New" w:hAnsi="Courier New" w:cs="Courier New" w:hint="default"/>
      </w:rPr>
    </w:lvl>
    <w:lvl w:ilvl="5" w:tentative="1">
      <w:start w:val="1"/>
      <w:numFmt w:val="bullet"/>
      <w:lvlText w:val=""/>
      <w:lvlJc w:val="left"/>
      <w:pPr>
        <w:ind w:left="3393" w:hanging="360"/>
      </w:pPr>
      <w:rPr>
        <w:rFonts w:ascii="Wingdings" w:hAnsi="Wingdings" w:hint="default"/>
      </w:rPr>
    </w:lvl>
    <w:lvl w:ilvl="6" w:tentative="1">
      <w:start w:val="1"/>
      <w:numFmt w:val="bullet"/>
      <w:lvlText w:val=""/>
      <w:lvlJc w:val="left"/>
      <w:pPr>
        <w:ind w:left="4113" w:hanging="360"/>
      </w:pPr>
      <w:rPr>
        <w:rFonts w:ascii="Symbol" w:hAnsi="Symbol" w:hint="default"/>
      </w:rPr>
    </w:lvl>
    <w:lvl w:ilvl="7" w:tentative="1">
      <w:start w:val="1"/>
      <w:numFmt w:val="bullet"/>
      <w:lvlText w:val="o"/>
      <w:lvlJc w:val="left"/>
      <w:pPr>
        <w:ind w:left="4833" w:hanging="360"/>
      </w:pPr>
      <w:rPr>
        <w:rFonts w:ascii="Courier New" w:hAnsi="Courier New" w:cs="Courier New" w:hint="default"/>
      </w:rPr>
    </w:lvl>
    <w:lvl w:ilvl="8" w:tentative="1">
      <w:start w:val="1"/>
      <w:numFmt w:val="bullet"/>
      <w:lvlText w:val=""/>
      <w:lvlJc w:val="left"/>
      <w:pPr>
        <w:ind w:left="5553" w:hanging="360"/>
      </w:pPr>
      <w:rPr>
        <w:rFonts w:ascii="Wingdings" w:hAnsi="Wingdings" w:hint="default"/>
      </w:rPr>
    </w:lvl>
  </w:abstractNum>
  <w:abstractNum w:abstractNumId="7">
    <w:nsid w:val="3FD638CD"/>
    <w:multiLevelType w:val="hybridMultilevel"/>
    <w:tmpl w:val="7B38B6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3FFC6428"/>
    <w:multiLevelType w:val="hybridMultilevel"/>
    <w:tmpl w:val="1CD22AE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4EFD106A"/>
    <w:multiLevelType w:val="hybridMultilevel"/>
    <w:tmpl w:val="19D2E7FE"/>
    <w:lvl w:ilvl="0">
      <w:start w:val="20"/>
      <w:numFmt w:val="bullet"/>
      <w:lvlText w:val="-"/>
      <w:lvlJc w:val="left"/>
      <w:pPr>
        <w:ind w:left="720" w:hanging="360"/>
      </w:pPr>
      <w:rPr>
        <w:rFonts w:ascii="Times New Roman" w:eastAsia="Times New Roman" w:hAnsi="Times New Roman"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23202AC"/>
    <w:multiLevelType w:val="hybridMultilevel"/>
    <w:tmpl w:val="C0285B4C"/>
    <w:lvl w:ilvl="0">
      <w:start w:val="1"/>
      <w:numFmt w:val="decimal"/>
      <w:lvlText w:val="%1."/>
      <w:lvlJc w:val="left"/>
      <w:pPr>
        <w:tabs>
          <w:tab w:val="num" w:pos="567"/>
        </w:tabs>
        <w:ind w:left="567" w:hanging="555"/>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11">
    <w:nsid w:val="63E34C5D"/>
    <w:multiLevelType w:val="hybridMultilevel"/>
    <w:tmpl w:val="F2B82C90"/>
    <w:lvl w:ilvl="0">
      <w:start w:val="3"/>
      <w:numFmt w:val="bullet"/>
      <w:lvlText w:val="*"/>
      <w:lvlJc w:val="left"/>
      <w:pPr>
        <w:ind w:left="153" w:hanging="360"/>
      </w:pPr>
      <w:rPr>
        <w:rFonts w:ascii="Arial" w:eastAsia="Times New Roman" w:hAnsi="Arial" w:cs="Arial" w:hint="default"/>
      </w:rPr>
    </w:lvl>
    <w:lvl w:ilvl="1" w:tentative="1">
      <w:start w:val="1"/>
      <w:numFmt w:val="bullet"/>
      <w:lvlText w:val="o"/>
      <w:lvlJc w:val="left"/>
      <w:pPr>
        <w:ind w:left="873" w:hanging="360"/>
      </w:pPr>
      <w:rPr>
        <w:rFonts w:ascii="Courier New" w:hAnsi="Courier New" w:cs="Courier New" w:hint="default"/>
      </w:rPr>
    </w:lvl>
    <w:lvl w:ilvl="2" w:tentative="1">
      <w:start w:val="1"/>
      <w:numFmt w:val="bullet"/>
      <w:lvlText w:val=""/>
      <w:lvlJc w:val="left"/>
      <w:pPr>
        <w:ind w:left="1593" w:hanging="360"/>
      </w:pPr>
      <w:rPr>
        <w:rFonts w:ascii="Wingdings" w:hAnsi="Wingdings" w:hint="default"/>
      </w:rPr>
    </w:lvl>
    <w:lvl w:ilvl="3" w:tentative="1">
      <w:start w:val="1"/>
      <w:numFmt w:val="bullet"/>
      <w:lvlText w:val=""/>
      <w:lvlJc w:val="left"/>
      <w:pPr>
        <w:ind w:left="2313" w:hanging="360"/>
      </w:pPr>
      <w:rPr>
        <w:rFonts w:ascii="Symbol" w:hAnsi="Symbol" w:hint="default"/>
      </w:rPr>
    </w:lvl>
    <w:lvl w:ilvl="4" w:tentative="1">
      <w:start w:val="1"/>
      <w:numFmt w:val="bullet"/>
      <w:lvlText w:val="o"/>
      <w:lvlJc w:val="left"/>
      <w:pPr>
        <w:ind w:left="3033" w:hanging="360"/>
      </w:pPr>
      <w:rPr>
        <w:rFonts w:ascii="Courier New" w:hAnsi="Courier New" w:cs="Courier New" w:hint="default"/>
      </w:rPr>
    </w:lvl>
    <w:lvl w:ilvl="5" w:tentative="1">
      <w:start w:val="1"/>
      <w:numFmt w:val="bullet"/>
      <w:lvlText w:val=""/>
      <w:lvlJc w:val="left"/>
      <w:pPr>
        <w:ind w:left="3753" w:hanging="360"/>
      </w:pPr>
      <w:rPr>
        <w:rFonts w:ascii="Wingdings" w:hAnsi="Wingdings" w:hint="default"/>
      </w:rPr>
    </w:lvl>
    <w:lvl w:ilvl="6" w:tentative="1">
      <w:start w:val="1"/>
      <w:numFmt w:val="bullet"/>
      <w:lvlText w:val=""/>
      <w:lvlJc w:val="left"/>
      <w:pPr>
        <w:ind w:left="4473" w:hanging="360"/>
      </w:pPr>
      <w:rPr>
        <w:rFonts w:ascii="Symbol" w:hAnsi="Symbol" w:hint="default"/>
      </w:rPr>
    </w:lvl>
    <w:lvl w:ilvl="7" w:tentative="1">
      <w:start w:val="1"/>
      <w:numFmt w:val="bullet"/>
      <w:lvlText w:val="o"/>
      <w:lvlJc w:val="left"/>
      <w:pPr>
        <w:ind w:left="5193" w:hanging="360"/>
      </w:pPr>
      <w:rPr>
        <w:rFonts w:ascii="Courier New" w:hAnsi="Courier New" w:cs="Courier New" w:hint="default"/>
      </w:rPr>
    </w:lvl>
    <w:lvl w:ilvl="8" w:tentative="1">
      <w:start w:val="1"/>
      <w:numFmt w:val="bullet"/>
      <w:lvlText w:val=""/>
      <w:lvlJc w:val="left"/>
      <w:pPr>
        <w:ind w:left="5913" w:hanging="360"/>
      </w:pPr>
      <w:rPr>
        <w:rFonts w:ascii="Wingdings" w:hAnsi="Wingdings" w:hint="default"/>
      </w:rPr>
    </w:lvl>
  </w:abstractNum>
  <w:abstractNum w:abstractNumId="12">
    <w:nsid w:val="67BF5139"/>
    <w:multiLevelType w:val="multilevel"/>
    <w:tmpl w:val="DC6C961C"/>
    <w:lvl w:ilvl="0">
      <w:start w:val="1"/>
      <w:numFmt w:val="decimal"/>
      <w:pStyle w:val="a6"/>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3">
    <w:nsid w:val="6D1B7DBB"/>
    <w:multiLevelType w:val="hybridMultilevel"/>
    <w:tmpl w:val="DF240F68"/>
    <w:lvl w:ilvl="0">
      <w:start w:val="1"/>
      <w:numFmt w:val="hebrew1"/>
      <w:lvlText w:val="(%1)"/>
      <w:lvlJc w:val="left"/>
      <w:pPr>
        <w:ind w:left="870" w:hanging="360"/>
      </w:pPr>
      <w:rPr>
        <w:rFonts w:hint="default"/>
      </w:rPr>
    </w:lvl>
    <w:lvl w:ilvl="1" w:tentative="1">
      <w:start w:val="1"/>
      <w:numFmt w:val="lowerLetter"/>
      <w:lvlText w:val="%2."/>
      <w:lvlJc w:val="left"/>
      <w:pPr>
        <w:ind w:left="1590" w:hanging="360"/>
      </w:pPr>
    </w:lvl>
    <w:lvl w:ilvl="2" w:tentative="1">
      <w:start w:val="1"/>
      <w:numFmt w:val="lowerRoman"/>
      <w:lvlText w:val="%3."/>
      <w:lvlJc w:val="right"/>
      <w:pPr>
        <w:ind w:left="2310" w:hanging="180"/>
      </w:pPr>
    </w:lvl>
    <w:lvl w:ilvl="3" w:tentative="1">
      <w:start w:val="1"/>
      <w:numFmt w:val="decimal"/>
      <w:lvlText w:val="%4."/>
      <w:lvlJc w:val="left"/>
      <w:pPr>
        <w:ind w:left="3030" w:hanging="360"/>
      </w:pPr>
    </w:lvl>
    <w:lvl w:ilvl="4" w:tentative="1">
      <w:start w:val="1"/>
      <w:numFmt w:val="lowerLetter"/>
      <w:lvlText w:val="%5."/>
      <w:lvlJc w:val="left"/>
      <w:pPr>
        <w:ind w:left="3750" w:hanging="360"/>
      </w:pPr>
    </w:lvl>
    <w:lvl w:ilvl="5" w:tentative="1">
      <w:start w:val="1"/>
      <w:numFmt w:val="lowerRoman"/>
      <w:lvlText w:val="%6."/>
      <w:lvlJc w:val="right"/>
      <w:pPr>
        <w:ind w:left="4470" w:hanging="180"/>
      </w:pPr>
    </w:lvl>
    <w:lvl w:ilvl="6" w:tentative="1">
      <w:start w:val="1"/>
      <w:numFmt w:val="decimal"/>
      <w:lvlText w:val="%7."/>
      <w:lvlJc w:val="left"/>
      <w:pPr>
        <w:ind w:left="5190" w:hanging="360"/>
      </w:pPr>
    </w:lvl>
    <w:lvl w:ilvl="7" w:tentative="1">
      <w:start w:val="1"/>
      <w:numFmt w:val="lowerLetter"/>
      <w:lvlText w:val="%8."/>
      <w:lvlJc w:val="left"/>
      <w:pPr>
        <w:ind w:left="5910" w:hanging="360"/>
      </w:pPr>
    </w:lvl>
    <w:lvl w:ilvl="8" w:tentative="1">
      <w:start w:val="1"/>
      <w:numFmt w:val="lowerRoman"/>
      <w:lvlText w:val="%9."/>
      <w:lvlJc w:val="right"/>
      <w:pPr>
        <w:ind w:left="6630" w:hanging="180"/>
      </w:pPr>
    </w:lvl>
  </w:abstractNum>
  <w:abstractNum w:abstractNumId="14">
    <w:nsid w:val="6EFC7EFF"/>
    <w:multiLevelType w:val="hybridMultilevel"/>
    <w:tmpl w:val="BA60924E"/>
    <w:lvl w:ilvl="0">
      <w:start w:val="5"/>
      <w:numFmt w:val="bullet"/>
      <w:lvlText w:val=""/>
      <w:lvlJc w:val="left"/>
      <w:pPr>
        <w:ind w:left="201" w:hanging="360"/>
      </w:pPr>
      <w:rPr>
        <w:rFonts w:ascii="Symbol" w:eastAsia="Times New Roman" w:hAnsi="Symbol" w:cs="David" w:hint="default"/>
      </w:rPr>
    </w:lvl>
    <w:lvl w:ilvl="1" w:tentative="1">
      <w:start w:val="1"/>
      <w:numFmt w:val="bullet"/>
      <w:lvlText w:val="o"/>
      <w:lvlJc w:val="left"/>
      <w:pPr>
        <w:ind w:left="921" w:hanging="360"/>
      </w:pPr>
      <w:rPr>
        <w:rFonts w:ascii="Courier New" w:hAnsi="Courier New" w:cs="Courier New" w:hint="default"/>
      </w:rPr>
    </w:lvl>
    <w:lvl w:ilvl="2" w:tentative="1">
      <w:start w:val="1"/>
      <w:numFmt w:val="bullet"/>
      <w:lvlText w:val=""/>
      <w:lvlJc w:val="left"/>
      <w:pPr>
        <w:ind w:left="1641" w:hanging="360"/>
      </w:pPr>
      <w:rPr>
        <w:rFonts w:ascii="Wingdings" w:hAnsi="Wingdings" w:hint="default"/>
      </w:rPr>
    </w:lvl>
    <w:lvl w:ilvl="3" w:tentative="1">
      <w:start w:val="1"/>
      <w:numFmt w:val="bullet"/>
      <w:lvlText w:val=""/>
      <w:lvlJc w:val="left"/>
      <w:pPr>
        <w:ind w:left="2361" w:hanging="360"/>
      </w:pPr>
      <w:rPr>
        <w:rFonts w:ascii="Symbol" w:hAnsi="Symbol" w:hint="default"/>
      </w:rPr>
    </w:lvl>
    <w:lvl w:ilvl="4" w:tentative="1">
      <w:start w:val="1"/>
      <w:numFmt w:val="bullet"/>
      <w:lvlText w:val="o"/>
      <w:lvlJc w:val="left"/>
      <w:pPr>
        <w:ind w:left="3081" w:hanging="360"/>
      </w:pPr>
      <w:rPr>
        <w:rFonts w:ascii="Courier New" w:hAnsi="Courier New" w:cs="Courier New" w:hint="default"/>
      </w:rPr>
    </w:lvl>
    <w:lvl w:ilvl="5" w:tentative="1">
      <w:start w:val="1"/>
      <w:numFmt w:val="bullet"/>
      <w:lvlText w:val=""/>
      <w:lvlJc w:val="left"/>
      <w:pPr>
        <w:ind w:left="3801" w:hanging="360"/>
      </w:pPr>
      <w:rPr>
        <w:rFonts w:ascii="Wingdings" w:hAnsi="Wingdings" w:hint="default"/>
      </w:rPr>
    </w:lvl>
    <w:lvl w:ilvl="6" w:tentative="1">
      <w:start w:val="1"/>
      <w:numFmt w:val="bullet"/>
      <w:lvlText w:val=""/>
      <w:lvlJc w:val="left"/>
      <w:pPr>
        <w:ind w:left="4521" w:hanging="360"/>
      </w:pPr>
      <w:rPr>
        <w:rFonts w:ascii="Symbol" w:hAnsi="Symbol" w:hint="default"/>
      </w:rPr>
    </w:lvl>
    <w:lvl w:ilvl="7" w:tentative="1">
      <w:start w:val="1"/>
      <w:numFmt w:val="bullet"/>
      <w:lvlText w:val="o"/>
      <w:lvlJc w:val="left"/>
      <w:pPr>
        <w:ind w:left="5241" w:hanging="360"/>
      </w:pPr>
      <w:rPr>
        <w:rFonts w:ascii="Courier New" w:hAnsi="Courier New" w:cs="Courier New" w:hint="default"/>
      </w:rPr>
    </w:lvl>
    <w:lvl w:ilvl="8" w:tentative="1">
      <w:start w:val="1"/>
      <w:numFmt w:val="bullet"/>
      <w:lvlText w:val=""/>
      <w:lvlJc w:val="left"/>
      <w:pPr>
        <w:ind w:left="5961" w:hanging="360"/>
      </w:pPr>
      <w:rPr>
        <w:rFonts w:ascii="Wingdings" w:hAnsi="Wingdings" w:hint="default"/>
      </w:rPr>
    </w:lvl>
  </w:abstractNum>
  <w:abstractNum w:abstractNumId="15">
    <w:nsid w:val="7C757186"/>
    <w:multiLevelType w:val="hybridMultilevel"/>
    <w:tmpl w:val="E3781540"/>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num w:numId="1">
    <w:abstractNumId w:val="12"/>
  </w:num>
  <w:num w:numId="2">
    <w:abstractNumId w:val="8"/>
  </w:num>
  <w:num w:numId="3">
    <w:abstractNumId w:val="7"/>
  </w:num>
  <w:num w:numId="4">
    <w:abstractNumId w:val="15"/>
  </w:num>
  <w:num w:numId="5">
    <w:abstractNumId w:val="13"/>
  </w:num>
  <w:num w:numId="6">
    <w:abstractNumId w:val="10"/>
  </w:num>
  <w:num w:numId="7">
    <w:abstractNumId w:val="11"/>
  </w:num>
  <w:num w:numId="8">
    <w:abstractNumId w:val="3"/>
  </w:num>
  <w:num w:numId="9">
    <w:abstractNumId w:val="0"/>
  </w:num>
  <w:num w:numId="10">
    <w:abstractNumId w:val="2"/>
  </w:num>
  <w:num w:numId="11">
    <w:abstractNumId w:val="4"/>
  </w:num>
  <w:num w:numId="12">
    <w:abstractNumId w:val="6"/>
  </w:num>
  <w:num w:numId="13">
    <w:abstractNumId w:val="14"/>
  </w:num>
  <w:num w:numId="14">
    <w:abstractNumId w:val="5"/>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zoom w:percent="150"/>
  <w:doNotTrackMoves/>
  <w:defaultTabStop w:val="340"/>
  <w:evenAndOddHeaders/>
  <w:drawingGridHorizontalSpacing w:val="72"/>
  <w:drawingGridVerticalSpacing w:val="98"/>
  <w:displayHorizontalDrawingGridEvery w:val="2"/>
  <w:displayVerticalDrawingGridEvery w:val="2"/>
  <w:noPunctuationKerning/>
  <w:characterSpacingControl w:val="doNotCompress"/>
  <w:footnotePr>
    <w:numRestart w:val="eachSect"/>
    <w:footnote w:id="0"/>
    <w:footnote w:id="1"/>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678"/>
    <w:rsid w:val="00000E02"/>
    <w:rsid w:val="0000435C"/>
    <w:rsid w:val="000052AB"/>
    <w:rsid w:val="0001521E"/>
    <w:rsid w:val="00027101"/>
    <w:rsid w:val="00027E32"/>
    <w:rsid w:val="00030A4B"/>
    <w:rsid w:val="000346E3"/>
    <w:rsid w:val="000427FF"/>
    <w:rsid w:val="000449EE"/>
    <w:rsid w:val="00047C24"/>
    <w:rsid w:val="00051B9A"/>
    <w:rsid w:val="00060565"/>
    <w:rsid w:val="00065DC4"/>
    <w:rsid w:val="000703E0"/>
    <w:rsid w:val="0007116F"/>
    <w:rsid w:val="0007161C"/>
    <w:rsid w:val="0008225D"/>
    <w:rsid w:val="000849B8"/>
    <w:rsid w:val="000855AA"/>
    <w:rsid w:val="000968CF"/>
    <w:rsid w:val="000A456D"/>
    <w:rsid w:val="000A7117"/>
    <w:rsid w:val="000B6EE0"/>
    <w:rsid w:val="000C0068"/>
    <w:rsid w:val="000C0162"/>
    <w:rsid w:val="000C6701"/>
    <w:rsid w:val="000C7632"/>
    <w:rsid w:val="000C7955"/>
    <w:rsid w:val="000E332D"/>
    <w:rsid w:val="000E4311"/>
    <w:rsid w:val="000F1679"/>
    <w:rsid w:val="000F482C"/>
    <w:rsid w:val="00103F02"/>
    <w:rsid w:val="00111AAA"/>
    <w:rsid w:val="00117F67"/>
    <w:rsid w:val="001275A6"/>
    <w:rsid w:val="001329DE"/>
    <w:rsid w:val="00143E57"/>
    <w:rsid w:val="001511A6"/>
    <w:rsid w:val="00151672"/>
    <w:rsid w:val="0015642F"/>
    <w:rsid w:val="00161894"/>
    <w:rsid w:val="001959E9"/>
    <w:rsid w:val="001A17E8"/>
    <w:rsid w:val="001A1A18"/>
    <w:rsid w:val="001A483E"/>
    <w:rsid w:val="001B20D0"/>
    <w:rsid w:val="001B5632"/>
    <w:rsid w:val="001B65F1"/>
    <w:rsid w:val="001B6C6E"/>
    <w:rsid w:val="001D485C"/>
    <w:rsid w:val="00202602"/>
    <w:rsid w:val="00205099"/>
    <w:rsid w:val="00214582"/>
    <w:rsid w:val="00243DE0"/>
    <w:rsid w:val="00243E7C"/>
    <w:rsid w:val="00244A24"/>
    <w:rsid w:val="00247595"/>
    <w:rsid w:val="0025157D"/>
    <w:rsid w:val="00252FE5"/>
    <w:rsid w:val="00253075"/>
    <w:rsid w:val="00253AE7"/>
    <w:rsid w:val="00256A1C"/>
    <w:rsid w:val="0025745A"/>
    <w:rsid w:val="0026439B"/>
    <w:rsid w:val="00267656"/>
    <w:rsid w:val="00270C29"/>
    <w:rsid w:val="0027191F"/>
    <w:rsid w:val="0027535C"/>
    <w:rsid w:val="00281AD2"/>
    <w:rsid w:val="00282703"/>
    <w:rsid w:val="0029357E"/>
    <w:rsid w:val="002963AC"/>
    <w:rsid w:val="002A04CC"/>
    <w:rsid w:val="002A0D0D"/>
    <w:rsid w:val="002A1D15"/>
    <w:rsid w:val="002B675F"/>
    <w:rsid w:val="002C1941"/>
    <w:rsid w:val="002D4C42"/>
    <w:rsid w:val="002E32CC"/>
    <w:rsid w:val="002E41A2"/>
    <w:rsid w:val="002E4B00"/>
    <w:rsid w:val="00303DAA"/>
    <w:rsid w:val="0030702E"/>
    <w:rsid w:val="00307995"/>
    <w:rsid w:val="003109F5"/>
    <w:rsid w:val="00312735"/>
    <w:rsid w:val="00315F89"/>
    <w:rsid w:val="00320E25"/>
    <w:rsid w:val="00324605"/>
    <w:rsid w:val="00331CA4"/>
    <w:rsid w:val="00350D21"/>
    <w:rsid w:val="00360C9E"/>
    <w:rsid w:val="003620EE"/>
    <w:rsid w:val="00377B7D"/>
    <w:rsid w:val="00382334"/>
    <w:rsid w:val="0039006F"/>
    <w:rsid w:val="003958C3"/>
    <w:rsid w:val="003966EF"/>
    <w:rsid w:val="00396B9B"/>
    <w:rsid w:val="003A7252"/>
    <w:rsid w:val="003B2ACA"/>
    <w:rsid w:val="003B3DE6"/>
    <w:rsid w:val="003C1E9C"/>
    <w:rsid w:val="003C4D9D"/>
    <w:rsid w:val="003D1AF4"/>
    <w:rsid w:val="003D4A23"/>
    <w:rsid w:val="003D4ED9"/>
    <w:rsid w:val="003D645D"/>
    <w:rsid w:val="003D6B99"/>
    <w:rsid w:val="003E339F"/>
    <w:rsid w:val="003E789E"/>
    <w:rsid w:val="003F6DE4"/>
    <w:rsid w:val="0040014E"/>
    <w:rsid w:val="00412093"/>
    <w:rsid w:val="004125A3"/>
    <w:rsid w:val="0041489D"/>
    <w:rsid w:val="004160DB"/>
    <w:rsid w:val="00417CBF"/>
    <w:rsid w:val="00424932"/>
    <w:rsid w:val="004256B4"/>
    <w:rsid w:val="004263C6"/>
    <w:rsid w:val="004347D7"/>
    <w:rsid w:val="004411B7"/>
    <w:rsid w:val="0044469D"/>
    <w:rsid w:val="004459EF"/>
    <w:rsid w:val="00451A84"/>
    <w:rsid w:val="004556E4"/>
    <w:rsid w:val="00487B22"/>
    <w:rsid w:val="00491726"/>
    <w:rsid w:val="004A62D3"/>
    <w:rsid w:val="004A767A"/>
    <w:rsid w:val="004B0348"/>
    <w:rsid w:val="004B13D5"/>
    <w:rsid w:val="004C4208"/>
    <w:rsid w:val="004D036B"/>
    <w:rsid w:val="005001B1"/>
    <w:rsid w:val="00534F5E"/>
    <w:rsid w:val="00542514"/>
    <w:rsid w:val="00546504"/>
    <w:rsid w:val="005750D3"/>
    <w:rsid w:val="00577E77"/>
    <w:rsid w:val="00582A43"/>
    <w:rsid w:val="00586A9D"/>
    <w:rsid w:val="00595058"/>
    <w:rsid w:val="005A0EA1"/>
    <w:rsid w:val="005A1B34"/>
    <w:rsid w:val="005A1D99"/>
    <w:rsid w:val="005B0BBC"/>
    <w:rsid w:val="005B3597"/>
    <w:rsid w:val="005C1154"/>
    <w:rsid w:val="005C5EBE"/>
    <w:rsid w:val="005D2CD5"/>
    <w:rsid w:val="005D58C9"/>
    <w:rsid w:val="005E122F"/>
    <w:rsid w:val="005E1684"/>
    <w:rsid w:val="005F4575"/>
    <w:rsid w:val="005F74A5"/>
    <w:rsid w:val="00601C91"/>
    <w:rsid w:val="0061764C"/>
    <w:rsid w:val="006237A1"/>
    <w:rsid w:val="00632AE5"/>
    <w:rsid w:val="0064300A"/>
    <w:rsid w:val="00664346"/>
    <w:rsid w:val="00670750"/>
    <w:rsid w:val="00681388"/>
    <w:rsid w:val="00684E29"/>
    <w:rsid w:val="00687567"/>
    <w:rsid w:val="006915B8"/>
    <w:rsid w:val="00695EA5"/>
    <w:rsid w:val="00696EC0"/>
    <w:rsid w:val="0069733D"/>
    <w:rsid w:val="006A023F"/>
    <w:rsid w:val="006A0657"/>
    <w:rsid w:val="006B00CC"/>
    <w:rsid w:val="006B0101"/>
    <w:rsid w:val="006B1A7F"/>
    <w:rsid w:val="006B2249"/>
    <w:rsid w:val="006B6CD7"/>
    <w:rsid w:val="006C43FF"/>
    <w:rsid w:val="006C53A7"/>
    <w:rsid w:val="006C5A7F"/>
    <w:rsid w:val="006C607E"/>
    <w:rsid w:val="006E1537"/>
    <w:rsid w:val="006E3D08"/>
    <w:rsid w:val="00711180"/>
    <w:rsid w:val="0071256F"/>
    <w:rsid w:val="00712819"/>
    <w:rsid w:val="007147BC"/>
    <w:rsid w:val="007264BD"/>
    <w:rsid w:val="007347C2"/>
    <w:rsid w:val="00736CC3"/>
    <w:rsid w:val="00745AB9"/>
    <w:rsid w:val="007521AE"/>
    <w:rsid w:val="00757918"/>
    <w:rsid w:val="0076055F"/>
    <w:rsid w:val="007650B6"/>
    <w:rsid w:val="0076798E"/>
    <w:rsid w:val="0077190E"/>
    <w:rsid w:val="00774FAE"/>
    <w:rsid w:val="00784814"/>
    <w:rsid w:val="00797ADA"/>
    <w:rsid w:val="007B3EFA"/>
    <w:rsid w:val="007C6AAD"/>
    <w:rsid w:val="007D72F8"/>
    <w:rsid w:val="007D7ACD"/>
    <w:rsid w:val="007E4773"/>
    <w:rsid w:val="007E660B"/>
    <w:rsid w:val="007F486B"/>
    <w:rsid w:val="007F6D5D"/>
    <w:rsid w:val="0080406D"/>
    <w:rsid w:val="008074BE"/>
    <w:rsid w:val="00813F66"/>
    <w:rsid w:val="0081651E"/>
    <w:rsid w:val="008341F7"/>
    <w:rsid w:val="00836B1E"/>
    <w:rsid w:val="00840B6C"/>
    <w:rsid w:val="00843033"/>
    <w:rsid w:val="00850A5E"/>
    <w:rsid w:val="00853CD3"/>
    <w:rsid w:val="008540F5"/>
    <w:rsid w:val="00860819"/>
    <w:rsid w:val="00861B88"/>
    <w:rsid w:val="00873FEC"/>
    <w:rsid w:val="00877DFC"/>
    <w:rsid w:val="008819C2"/>
    <w:rsid w:val="00891900"/>
    <w:rsid w:val="00893437"/>
    <w:rsid w:val="008A3DFB"/>
    <w:rsid w:val="008B3A65"/>
    <w:rsid w:val="008B3CE3"/>
    <w:rsid w:val="008B5470"/>
    <w:rsid w:val="008C0652"/>
    <w:rsid w:val="008C4A30"/>
    <w:rsid w:val="008C4ABE"/>
    <w:rsid w:val="008D2A84"/>
    <w:rsid w:val="008D3837"/>
    <w:rsid w:val="008E00BC"/>
    <w:rsid w:val="008E4F38"/>
    <w:rsid w:val="008E6B36"/>
    <w:rsid w:val="00901FE0"/>
    <w:rsid w:val="00907BFE"/>
    <w:rsid w:val="009110D1"/>
    <w:rsid w:val="009111F9"/>
    <w:rsid w:val="00911AAB"/>
    <w:rsid w:val="009172BD"/>
    <w:rsid w:val="009223F1"/>
    <w:rsid w:val="00925F27"/>
    <w:rsid w:val="00930C64"/>
    <w:rsid w:val="00952CC3"/>
    <w:rsid w:val="00953690"/>
    <w:rsid w:val="00953D2F"/>
    <w:rsid w:val="00961ABA"/>
    <w:rsid w:val="00961D4F"/>
    <w:rsid w:val="009633D8"/>
    <w:rsid w:val="0096677C"/>
    <w:rsid w:val="009718F9"/>
    <w:rsid w:val="0097353A"/>
    <w:rsid w:val="00991F7A"/>
    <w:rsid w:val="00994AD3"/>
    <w:rsid w:val="00995D25"/>
    <w:rsid w:val="009A309E"/>
    <w:rsid w:val="009A49D3"/>
    <w:rsid w:val="009A7B59"/>
    <w:rsid w:val="009B04B5"/>
    <w:rsid w:val="009B1553"/>
    <w:rsid w:val="009B6784"/>
    <w:rsid w:val="009D7C67"/>
    <w:rsid w:val="009F1012"/>
    <w:rsid w:val="009F533E"/>
    <w:rsid w:val="00A01D32"/>
    <w:rsid w:val="00A14718"/>
    <w:rsid w:val="00A15B63"/>
    <w:rsid w:val="00A331AC"/>
    <w:rsid w:val="00A37BD3"/>
    <w:rsid w:val="00A403E4"/>
    <w:rsid w:val="00A52F4A"/>
    <w:rsid w:val="00A53141"/>
    <w:rsid w:val="00A554B3"/>
    <w:rsid w:val="00A56E58"/>
    <w:rsid w:val="00A67889"/>
    <w:rsid w:val="00A72050"/>
    <w:rsid w:val="00A74551"/>
    <w:rsid w:val="00A74F1A"/>
    <w:rsid w:val="00A7557B"/>
    <w:rsid w:val="00A76475"/>
    <w:rsid w:val="00AA1E01"/>
    <w:rsid w:val="00AA76A1"/>
    <w:rsid w:val="00AB054F"/>
    <w:rsid w:val="00AB5677"/>
    <w:rsid w:val="00AC7A47"/>
    <w:rsid w:val="00AE2FC6"/>
    <w:rsid w:val="00AF185F"/>
    <w:rsid w:val="00AF37FF"/>
    <w:rsid w:val="00AF3E1B"/>
    <w:rsid w:val="00B12898"/>
    <w:rsid w:val="00B24DC0"/>
    <w:rsid w:val="00B544FB"/>
    <w:rsid w:val="00B55C19"/>
    <w:rsid w:val="00B57076"/>
    <w:rsid w:val="00B63589"/>
    <w:rsid w:val="00B82EF4"/>
    <w:rsid w:val="00B935B1"/>
    <w:rsid w:val="00BA071D"/>
    <w:rsid w:val="00BA2EE1"/>
    <w:rsid w:val="00BA7C50"/>
    <w:rsid w:val="00BB0589"/>
    <w:rsid w:val="00BB34CF"/>
    <w:rsid w:val="00BB556A"/>
    <w:rsid w:val="00BC584F"/>
    <w:rsid w:val="00BD048C"/>
    <w:rsid w:val="00BD69EC"/>
    <w:rsid w:val="00BE12D6"/>
    <w:rsid w:val="00BE3B5C"/>
    <w:rsid w:val="00BF1313"/>
    <w:rsid w:val="00BF243F"/>
    <w:rsid w:val="00BF330C"/>
    <w:rsid w:val="00C00972"/>
    <w:rsid w:val="00C102AF"/>
    <w:rsid w:val="00C11826"/>
    <w:rsid w:val="00C16425"/>
    <w:rsid w:val="00C1650E"/>
    <w:rsid w:val="00C35118"/>
    <w:rsid w:val="00C365F2"/>
    <w:rsid w:val="00C36756"/>
    <w:rsid w:val="00C4623F"/>
    <w:rsid w:val="00C52551"/>
    <w:rsid w:val="00C75E4D"/>
    <w:rsid w:val="00C8241F"/>
    <w:rsid w:val="00C96953"/>
    <w:rsid w:val="00CA5D2E"/>
    <w:rsid w:val="00CB33CD"/>
    <w:rsid w:val="00CC3472"/>
    <w:rsid w:val="00CC474C"/>
    <w:rsid w:val="00CD2633"/>
    <w:rsid w:val="00CD3644"/>
    <w:rsid w:val="00CD7EA8"/>
    <w:rsid w:val="00D2000C"/>
    <w:rsid w:val="00D22B16"/>
    <w:rsid w:val="00D230DA"/>
    <w:rsid w:val="00D23931"/>
    <w:rsid w:val="00D24559"/>
    <w:rsid w:val="00D25C97"/>
    <w:rsid w:val="00D307C4"/>
    <w:rsid w:val="00D30BB1"/>
    <w:rsid w:val="00D501CA"/>
    <w:rsid w:val="00D51850"/>
    <w:rsid w:val="00D5599F"/>
    <w:rsid w:val="00D5796D"/>
    <w:rsid w:val="00D57FF2"/>
    <w:rsid w:val="00D611FB"/>
    <w:rsid w:val="00D624F2"/>
    <w:rsid w:val="00D62CEA"/>
    <w:rsid w:val="00D710E6"/>
    <w:rsid w:val="00D766FA"/>
    <w:rsid w:val="00D77393"/>
    <w:rsid w:val="00D843F5"/>
    <w:rsid w:val="00D85062"/>
    <w:rsid w:val="00D96E6B"/>
    <w:rsid w:val="00D976D7"/>
    <w:rsid w:val="00DA7A01"/>
    <w:rsid w:val="00DB5B9A"/>
    <w:rsid w:val="00DC1DC7"/>
    <w:rsid w:val="00DC20CF"/>
    <w:rsid w:val="00DC5F86"/>
    <w:rsid w:val="00DD2098"/>
    <w:rsid w:val="00DD2BAF"/>
    <w:rsid w:val="00DD57EF"/>
    <w:rsid w:val="00DF2357"/>
    <w:rsid w:val="00E01960"/>
    <w:rsid w:val="00E03D1C"/>
    <w:rsid w:val="00E07B6B"/>
    <w:rsid w:val="00E07F6A"/>
    <w:rsid w:val="00E204CF"/>
    <w:rsid w:val="00E35E24"/>
    <w:rsid w:val="00E44678"/>
    <w:rsid w:val="00E54061"/>
    <w:rsid w:val="00E655F5"/>
    <w:rsid w:val="00E719A9"/>
    <w:rsid w:val="00E73109"/>
    <w:rsid w:val="00E77B0F"/>
    <w:rsid w:val="00E9076C"/>
    <w:rsid w:val="00E97EDA"/>
    <w:rsid w:val="00EC0156"/>
    <w:rsid w:val="00EC0D7D"/>
    <w:rsid w:val="00EC3A36"/>
    <w:rsid w:val="00ED7AC0"/>
    <w:rsid w:val="00EE09D3"/>
    <w:rsid w:val="00F03EC4"/>
    <w:rsid w:val="00F07DDA"/>
    <w:rsid w:val="00F179BB"/>
    <w:rsid w:val="00F205B1"/>
    <w:rsid w:val="00F2229E"/>
    <w:rsid w:val="00F253EF"/>
    <w:rsid w:val="00F37EFE"/>
    <w:rsid w:val="00F41833"/>
    <w:rsid w:val="00F41E78"/>
    <w:rsid w:val="00F4484B"/>
    <w:rsid w:val="00F503CB"/>
    <w:rsid w:val="00F7366E"/>
    <w:rsid w:val="00F769B2"/>
    <w:rsid w:val="00F7728C"/>
    <w:rsid w:val="00F802DB"/>
    <w:rsid w:val="00F851C9"/>
    <w:rsid w:val="00F95926"/>
    <w:rsid w:val="00FA1F2C"/>
    <w:rsid w:val="00FA6215"/>
    <w:rsid w:val="00FA6646"/>
    <w:rsid w:val="00FB0D47"/>
    <w:rsid w:val="00FB78D4"/>
    <w:rsid w:val="00FC4077"/>
    <w:rsid w:val="00FD0D66"/>
    <w:rsid w:val="00FD4613"/>
    <w:rsid w:val="00FD6744"/>
    <w:rsid w:val="00FE4222"/>
    <w:rsid w:val="00FE7E7B"/>
    <w:rsid w:val="00FF1578"/>
    <w:rsid w:val="00FF2CBA"/>
    <w:rsid w:val="00FF71E2"/>
  </w:rsids>
  <w:docVars>
    <w:docVar w:name="sivug" w:val="0"/>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pPr>
    <w:rPr>
      <w:rFonts w:cs="David"/>
      <w:sz w:val="24"/>
      <w:szCs w:val="24"/>
    </w:rPr>
  </w:style>
  <w:style w:type="paragraph" w:styleId="Heading1">
    <w:name w:val="heading 1"/>
    <w:basedOn w:val="Normal"/>
    <w:next w:val="Normal"/>
    <w:link w:val="Heading1Char"/>
    <w:qFormat/>
    <w:locked/>
    <w:pPr>
      <w:keepNext/>
      <w:widowControl w:val="0"/>
      <w:spacing w:line="700" w:lineRule="atLeast"/>
      <w:jc w:val="center"/>
      <w:outlineLvl w:val="0"/>
    </w:pPr>
    <w:rPr>
      <w:b/>
      <w:bCs/>
      <w:sz w:val="56"/>
      <w:szCs w:val="56"/>
      <w:lang w:eastAsia="he-IL"/>
    </w:rPr>
  </w:style>
  <w:style w:type="paragraph" w:styleId="Heading2">
    <w:name w:val="heading 2"/>
    <w:basedOn w:val="Normal"/>
    <w:next w:val="Normal"/>
    <w:link w:val="Heading2Char1"/>
    <w:qFormat/>
    <w:locked/>
    <w:pPr>
      <w:keepNext/>
      <w:spacing w:line="360" w:lineRule="exact"/>
      <w:ind w:left="1293"/>
      <w:outlineLvl w:val="1"/>
    </w:pPr>
    <w:rPr>
      <w:sz w:val="32"/>
      <w:szCs w:val="32"/>
    </w:rPr>
  </w:style>
  <w:style w:type="paragraph" w:styleId="Heading3">
    <w:name w:val="heading 3"/>
    <w:basedOn w:val="Normal"/>
    <w:next w:val="Normal"/>
    <w:link w:val="Heading3Char1"/>
    <w:qFormat/>
    <w:locked/>
    <w:pPr>
      <w:keepNext/>
      <w:widowControl w:val="0"/>
      <w:spacing w:line="312" w:lineRule="auto"/>
      <w:jc w:val="both"/>
      <w:outlineLvl w:val="2"/>
    </w:pPr>
    <w:rPr>
      <w:b/>
      <w:bCs/>
      <w:sz w:val="38"/>
      <w:szCs w:val="36"/>
      <w:lang w:eastAsia="he-IL"/>
    </w:rPr>
  </w:style>
  <w:style w:type="paragraph" w:styleId="Heading4">
    <w:name w:val="heading 4"/>
    <w:basedOn w:val="Normal"/>
    <w:next w:val="Normal"/>
    <w:link w:val="Heading4Char1"/>
    <w:qFormat/>
    <w:locked/>
    <w:pPr>
      <w:widowControl w:val="0"/>
      <w:spacing w:before="100" w:beforeAutospacing="1" w:line="264" w:lineRule="auto"/>
      <w:outlineLvl w:val="3"/>
    </w:pPr>
    <w:rPr>
      <w:b/>
      <w:bCs/>
      <w:sz w:val="22"/>
      <w:szCs w:val="26"/>
      <w:lang w:eastAsia="he-IL"/>
    </w:rPr>
  </w:style>
  <w:style w:type="paragraph" w:styleId="Heading5">
    <w:name w:val="heading 5"/>
    <w:basedOn w:val="Normal"/>
    <w:next w:val="Normal"/>
    <w:link w:val="Heading5Char1"/>
    <w:qFormat/>
    <w:locked/>
    <w:pPr>
      <w:keepNext/>
      <w:spacing w:after="120" w:line="360" w:lineRule="exact"/>
      <w:ind w:left="3649"/>
      <w:outlineLvl w:val="4"/>
    </w:pPr>
    <w:rPr>
      <w:b/>
      <w:bCs/>
      <w:sz w:val="32"/>
      <w:szCs w:val="32"/>
      <w:lang w:eastAsia="he-IL"/>
    </w:rPr>
  </w:style>
  <w:style w:type="paragraph" w:styleId="Heading6">
    <w:name w:val="heading 6"/>
    <w:basedOn w:val="Normal"/>
    <w:next w:val="Normal"/>
    <w:link w:val="Heading6Char1"/>
    <w:qFormat/>
    <w:locked/>
    <w:pPr>
      <w:keepNext/>
      <w:spacing w:before="60" w:after="60" w:line="220" w:lineRule="exact"/>
      <w:jc w:val="right"/>
      <w:outlineLvl w:val="5"/>
    </w:pPr>
    <w:rPr>
      <w:rFonts w:cs="FrankRuehl"/>
      <w:b/>
      <w:bCs/>
      <w:sz w:val="22"/>
      <w:szCs w:val="22"/>
    </w:rPr>
  </w:style>
  <w:style w:type="paragraph" w:styleId="Heading7">
    <w:name w:val="heading 7"/>
    <w:basedOn w:val="Normal"/>
    <w:next w:val="Normal"/>
    <w:link w:val="Heading7Char1"/>
    <w:qFormat/>
    <w:locked/>
    <w:pPr>
      <w:keepNext/>
      <w:widowControl w:val="0"/>
      <w:spacing w:before="120" w:after="120" w:line="312" w:lineRule="auto"/>
      <w:jc w:val="center"/>
      <w:outlineLvl w:val="6"/>
    </w:pPr>
    <w:rPr>
      <w:sz w:val="36"/>
      <w:szCs w:val="36"/>
      <w:lang w:eastAsia="he-IL"/>
    </w:rPr>
  </w:style>
  <w:style w:type="paragraph" w:styleId="Heading8">
    <w:name w:val="heading 8"/>
    <w:basedOn w:val="Normal"/>
    <w:next w:val="Normal"/>
    <w:link w:val="Heading8Char"/>
    <w:qFormat/>
    <w:locked/>
    <w:pPr>
      <w:keepNext/>
      <w:snapToGrid w:val="0"/>
      <w:spacing w:after="120" w:line="240" w:lineRule="auto"/>
      <w:ind w:left="153" w:firstLine="567"/>
      <w:jc w:val="both"/>
      <w:outlineLvl w:val="7"/>
    </w:pPr>
    <w:rPr>
      <w:b/>
      <w:bCs/>
      <w:sz w:val="36"/>
      <w:szCs w:val="36"/>
      <w:lang w:eastAsia="he-IL"/>
    </w:rPr>
  </w:style>
  <w:style w:type="paragraph" w:styleId="Heading9">
    <w:name w:val="heading 9"/>
    <w:basedOn w:val="Normal"/>
    <w:next w:val="Normal"/>
    <w:link w:val="Heading9Char"/>
    <w:uiPriority w:val="9"/>
    <w:qFormat/>
    <w:locked/>
    <w:pPr>
      <w:keepNext/>
      <w:spacing w:before="40" w:after="40" w:line="240" w:lineRule="auto"/>
      <w:jc w:val="center"/>
      <w:outlineLvl w:val="8"/>
    </w:pPr>
    <w:rPr>
      <w:noProof/>
      <w:sz w:val="48"/>
      <w:szCs w:val="28"/>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locked/>
    <w:rPr>
      <w:rFonts w:ascii="Cambria" w:hAnsi="Cambria" w:cs="Times New Roman"/>
      <w:b/>
      <w:bCs/>
      <w:kern w:val="32"/>
      <w:sz w:val="32"/>
      <w:szCs w:val="32"/>
    </w:rPr>
  </w:style>
  <w:style w:type="character" w:customStyle="1" w:styleId="2">
    <w:name w:val="כותרת 2 תו"/>
    <w:locked/>
    <w:rPr>
      <w:rFonts w:ascii="Cambria" w:hAnsi="Cambria" w:cs="Times New Roman"/>
      <w:b/>
      <w:bCs/>
      <w:i/>
      <w:iCs/>
      <w:sz w:val="28"/>
      <w:szCs w:val="28"/>
    </w:rPr>
  </w:style>
  <w:style w:type="character" w:customStyle="1" w:styleId="3">
    <w:name w:val="כותרת 3 תו"/>
    <w:locked/>
    <w:rPr>
      <w:rFonts w:ascii="Cambria" w:hAnsi="Cambria" w:cs="Times New Roman"/>
      <w:b/>
      <w:bCs/>
      <w:sz w:val="26"/>
      <w:szCs w:val="26"/>
    </w:rPr>
  </w:style>
  <w:style w:type="character" w:customStyle="1" w:styleId="4">
    <w:name w:val="כותרת 4 תו"/>
    <w:locked/>
    <w:rPr>
      <w:rFonts w:ascii="Calibri" w:hAnsi="Calibri" w:cs="Arial"/>
      <w:b/>
      <w:bCs/>
      <w:sz w:val="28"/>
      <w:szCs w:val="28"/>
    </w:rPr>
  </w:style>
  <w:style w:type="character" w:customStyle="1" w:styleId="5">
    <w:name w:val="כותרת 5 תו"/>
    <w:locked/>
    <w:rPr>
      <w:rFonts w:ascii="Calibri" w:hAnsi="Calibri" w:cs="Arial"/>
      <w:b/>
      <w:bCs/>
      <w:i/>
      <w:iCs/>
      <w:sz w:val="26"/>
      <w:szCs w:val="26"/>
    </w:rPr>
  </w:style>
  <w:style w:type="character" w:customStyle="1" w:styleId="6">
    <w:name w:val="כותרת 6 תו"/>
    <w:locked/>
    <w:rPr>
      <w:rFonts w:ascii="Calibri" w:hAnsi="Calibri" w:cs="Arial"/>
      <w:b/>
      <w:bCs/>
    </w:rPr>
  </w:style>
  <w:style w:type="character" w:customStyle="1" w:styleId="7">
    <w:name w:val="כותרת 7 תו"/>
    <w:locked/>
    <w:rPr>
      <w:rFonts w:ascii="Calibri" w:hAnsi="Calibri" w:cs="Arial"/>
      <w:sz w:val="24"/>
      <w:szCs w:val="24"/>
    </w:rPr>
  </w:style>
  <w:style w:type="character" w:customStyle="1" w:styleId="8">
    <w:name w:val="כותרת 8 תו"/>
    <w:locked/>
    <w:rPr>
      <w:rFonts w:ascii="Calibri" w:hAnsi="Calibri" w:cs="Arial"/>
      <w:i/>
      <w:iCs/>
      <w:sz w:val="24"/>
      <w:szCs w:val="24"/>
    </w:rPr>
  </w:style>
  <w:style w:type="character" w:customStyle="1" w:styleId="9">
    <w:name w:val="כותרת 9 תו"/>
    <w:locked/>
    <w:rPr>
      <w:rFonts w:ascii="Cambria" w:hAnsi="Cambria" w:cs="Times New Roman"/>
    </w:rPr>
  </w:style>
  <w:style w:type="paragraph" w:styleId="Title">
    <w:name w:val="Title"/>
    <w:basedOn w:val="Normal"/>
    <w:link w:val="TitleChar"/>
    <w:qFormat/>
    <w:locked/>
    <w:pPr>
      <w:jc w:val="center"/>
    </w:pPr>
    <w:rPr>
      <w:b/>
      <w:bCs/>
      <w:u w:val="single"/>
    </w:rPr>
  </w:style>
  <w:style w:type="character" w:customStyle="1" w:styleId="a">
    <w:name w:val="כותרת טקסט תו"/>
    <w:locked/>
    <w:rPr>
      <w:rFonts w:ascii="Cambria" w:hAnsi="Cambria" w:cs="Times New Roman"/>
      <w:b/>
      <w:bCs/>
      <w:kern w:val="28"/>
      <w:sz w:val="32"/>
      <w:szCs w:val="32"/>
    </w:rPr>
  </w:style>
  <w:style w:type="paragraph" w:customStyle="1" w:styleId="KOT1">
    <w:name w:val="KOT1"/>
    <w:basedOn w:val="Normal"/>
    <w:pPr>
      <w:keepNext/>
      <w:spacing w:after="360" w:line="400" w:lineRule="exact"/>
      <w:jc w:val="center"/>
    </w:pPr>
    <w:rPr>
      <w:b/>
      <w:bCs/>
      <w:sz w:val="36"/>
      <w:szCs w:val="36"/>
      <w:lang w:eastAsia="he-IL"/>
    </w:rPr>
  </w:style>
  <w:style w:type="paragraph" w:customStyle="1" w:styleId="KOT2">
    <w:name w:val="KOT2"/>
    <w:basedOn w:val="Normal"/>
    <w:pPr>
      <w:keepNext/>
      <w:spacing w:after="360" w:line="360" w:lineRule="exact"/>
      <w:jc w:val="center"/>
    </w:pPr>
    <w:rPr>
      <w:b/>
      <w:bCs/>
      <w:sz w:val="32"/>
      <w:szCs w:val="32"/>
      <w:lang w:eastAsia="he-IL"/>
    </w:rPr>
  </w:style>
  <w:style w:type="paragraph" w:customStyle="1" w:styleId="30">
    <w:name w:val="כותרת 3_0"/>
    <w:basedOn w:val="Normal"/>
    <w:next w:val="Normal"/>
    <w:link w:val="50"/>
    <w:pPr>
      <w:spacing w:before="100" w:beforeAutospacing="1" w:line="288" w:lineRule="auto"/>
      <w:outlineLvl w:val="2"/>
    </w:pPr>
    <w:rPr>
      <w:b/>
      <w:bCs/>
      <w:szCs w:val="28"/>
      <w:u w:val="single"/>
    </w:rPr>
  </w:style>
  <w:style w:type="paragraph" w:customStyle="1" w:styleId="40">
    <w:name w:val="כותרת 4_0"/>
    <w:basedOn w:val="Normal"/>
    <w:next w:val="Normal"/>
    <w:link w:val="43"/>
    <w:pPr>
      <w:spacing w:before="100" w:beforeAutospacing="1" w:line="264" w:lineRule="auto"/>
      <w:outlineLvl w:val="3"/>
    </w:pPr>
    <w:rPr>
      <w:b/>
      <w:bCs/>
      <w:sz w:val="22"/>
      <w:szCs w:val="26"/>
    </w:rPr>
  </w:style>
  <w:style w:type="paragraph" w:customStyle="1" w:styleId="a0">
    <w:name w:val="נבנצלים"/>
    <w:basedOn w:val="Normal"/>
    <w:next w:val="Normal"/>
    <w:link w:val="a19"/>
    <w:pPr>
      <w:widowControl w:val="0"/>
      <w:spacing w:line="269" w:lineRule="auto"/>
      <w:ind w:left="-567"/>
      <w:jc w:val="both"/>
    </w:pPr>
    <w:rPr>
      <w:sz w:val="20"/>
      <w:szCs w:val="20"/>
      <w:lang w:eastAsia="he-IL"/>
    </w:rPr>
  </w:style>
  <w:style w:type="paragraph" w:styleId="BodyText">
    <w:name w:val="Body Text"/>
    <w:basedOn w:val="Normal"/>
    <w:link w:val="BodyTextChar"/>
    <w:pPr>
      <w:spacing w:before="180" w:after="120" w:line="230" w:lineRule="exact"/>
      <w:jc w:val="both"/>
    </w:pPr>
    <w:rPr>
      <w:rFonts w:cs="FrankRuehl"/>
      <w:sz w:val="22"/>
      <w:szCs w:val="22"/>
    </w:rPr>
  </w:style>
  <w:style w:type="character" w:customStyle="1" w:styleId="a1">
    <w:name w:val="גוף טקסט תו"/>
    <w:semiHidden/>
    <w:locked/>
    <w:rPr>
      <w:rFonts w:cs="David"/>
      <w:sz w:val="24"/>
      <w:szCs w:val="24"/>
      <w:lang w:bidi="he-IL"/>
    </w:rPr>
  </w:style>
  <w:style w:type="paragraph" w:styleId="BodyText2">
    <w:name w:val="Body Text 2"/>
    <w:basedOn w:val="Normal"/>
    <w:link w:val="BodyText2Char"/>
    <w:pPr>
      <w:widowControl w:val="0"/>
      <w:spacing w:line="312" w:lineRule="auto"/>
      <w:ind w:right="567"/>
      <w:jc w:val="both"/>
    </w:pPr>
    <w:rPr>
      <w:rFonts w:cs="FrankRuehl"/>
      <w:lang w:eastAsia="he-IL"/>
    </w:rPr>
  </w:style>
  <w:style w:type="character" w:customStyle="1" w:styleId="20">
    <w:name w:val="גוף טקסט 2 תו"/>
    <w:semiHidden/>
    <w:locked/>
    <w:rPr>
      <w:rFonts w:cs="David"/>
      <w:sz w:val="24"/>
      <w:szCs w:val="24"/>
      <w:lang w:bidi="he-IL"/>
    </w:rPr>
  </w:style>
  <w:style w:type="paragraph" w:styleId="Header">
    <w:name w:val="header"/>
    <w:basedOn w:val="Normal"/>
    <w:link w:val="HeaderChar"/>
    <w:pPr>
      <w:tabs>
        <w:tab w:val="center" w:pos="4153"/>
        <w:tab w:val="right" w:pos="8306"/>
      </w:tabs>
    </w:pPr>
  </w:style>
  <w:style w:type="character" w:customStyle="1" w:styleId="a2">
    <w:name w:val="כותרת עליונה תו"/>
    <w:locked/>
    <w:rPr>
      <w:rFonts w:cs="David"/>
      <w:sz w:val="24"/>
      <w:szCs w:val="24"/>
      <w:lang w:bidi="he-IL"/>
    </w:rPr>
  </w:style>
  <w:style w:type="paragraph" w:styleId="Footer">
    <w:name w:val="footer"/>
    <w:basedOn w:val="Normal"/>
    <w:link w:val="FooterChar"/>
    <w:pPr>
      <w:tabs>
        <w:tab w:val="center" w:pos="4153"/>
        <w:tab w:val="right" w:pos="8306"/>
      </w:tabs>
    </w:pPr>
  </w:style>
  <w:style w:type="character" w:customStyle="1" w:styleId="a3">
    <w:name w:val="כותרת תחתונה תו"/>
    <w:locked/>
    <w:rPr>
      <w:rFonts w:cs="David"/>
      <w:sz w:val="24"/>
      <w:szCs w:val="24"/>
      <w:lang w:bidi="he-IL"/>
    </w:rPr>
  </w:style>
  <w:style w:type="character" w:styleId="PageNumber">
    <w:name w:val="page number"/>
    <w:rPr>
      <w:rFonts w:cs="Times New Roman"/>
    </w:r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1"/>
    <w:uiPriority w:val="99"/>
    <w:rPr>
      <w:sz w:val="20"/>
      <w:szCs w:val="20"/>
    </w:rPr>
  </w:style>
  <w:style w:type="character" w:customStyle="1" w:styleId="10">
    <w:name w:val="טקסט הערת שוליים תו1"/>
    <w:semiHidden/>
    <w:locked/>
    <w:rPr>
      <w:rFonts w:cs="David"/>
      <w:sz w:val="20"/>
      <w:szCs w:val="20"/>
      <w:lang w:bidi="he-IL"/>
    </w:rPr>
  </w:style>
  <w:style w:type="character" w:styleId="FootnoteReference0">
    <w:name w:val="footnote reference"/>
    <w:semiHidden/>
    <w:rPr>
      <w:rFonts w:cs="Times New Roman"/>
      <w:vertAlign w:val="superscript"/>
    </w:rPr>
  </w:style>
  <w:style w:type="paragraph" w:styleId="EndnoteText">
    <w:name w:val="endnote text"/>
    <w:basedOn w:val="Normal"/>
    <w:link w:val="EndnoteTextChar"/>
    <w:semiHidden/>
    <w:pPr>
      <w:jc w:val="both"/>
    </w:pPr>
    <w:rPr>
      <w:szCs w:val="20"/>
    </w:rPr>
  </w:style>
  <w:style w:type="character" w:customStyle="1" w:styleId="a4">
    <w:name w:val="טקסט הערת סיום תו"/>
    <w:semiHidden/>
    <w:locked/>
    <w:rPr>
      <w:rFonts w:cs="David"/>
      <w:sz w:val="20"/>
      <w:szCs w:val="20"/>
      <w:lang w:bidi="he-IL"/>
    </w:rPr>
  </w:style>
  <w:style w:type="character" w:styleId="EndnoteReference">
    <w:name w:val="endnote reference"/>
    <w:semiHidden/>
    <w:rPr>
      <w:rFonts w:cs="Times New Roman"/>
      <w:vertAlign w:val="superscript"/>
    </w:rPr>
  </w:style>
  <w:style w:type="paragraph" w:styleId="BodyText3">
    <w:name w:val="Body Text 3"/>
    <w:basedOn w:val="Normal"/>
    <w:link w:val="BodyText3Char"/>
    <w:pPr>
      <w:widowControl w:val="0"/>
      <w:jc w:val="both"/>
    </w:pPr>
  </w:style>
  <w:style w:type="character" w:customStyle="1" w:styleId="31">
    <w:name w:val="גוף טקסט 3 תו"/>
    <w:semiHidden/>
    <w:locked/>
    <w:rPr>
      <w:rFonts w:cs="David"/>
      <w:sz w:val="16"/>
      <w:szCs w:val="16"/>
      <w:lang w:bidi="he-IL"/>
    </w:rPr>
  </w:style>
  <w:style w:type="paragraph" w:customStyle="1" w:styleId="KOT3A">
    <w:name w:val="KOT3A"/>
    <w:basedOn w:val="Normal"/>
    <w:pPr>
      <w:spacing w:after="120" w:line="360" w:lineRule="exact"/>
    </w:pPr>
    <w:rPr>
      <w:b/>
      <w:bCs/>
      <w:spacing w:val="40"/>
      <w:szCs w:val="30"/>
    </w:rPr>
  </w:style>
  <w:style w:type="paragraph" w:customStyle="1" w:styleId="KOT3">
    <w:name w:val="KOT3"/>
    <w:basedOn w:val="KOT3A"/>
    <w:pPr>
      <w:keepNext/>
      <w:spacing w:after="360"/>
      <w:jc w:val="center"/>
    </w:pPr>
    <w:rPr>
      <w:spacing w:val="0"/>
      <w:szCs w:val="28"/>
    </w:rPr>
  </w:style>
  <w:style w:type="paragraph" w:customStyle="1" w:styleId="KOT4">
    <w:name w:val="KOT4"/>
    <w:basedOn w:val="KOT3"/>
    <w:pPr>
      <w:spacing w:after="240" w:line="300" w:lineRule="exact"/>
      <w:jc w:val="left"/>
      <w:outlineLvl w:val="1"/>
    </w:pPr>
    <w:rPr>
      <w:sz w:val="26"/>
      <w:szCs w:val="26"/>
    </w:rPr>
  </w:style>
  <w:style w:type="paragraph" w:customStyle="1" w:styleId="KOT5">
    <w:name w:val="KOT5"/>
    <w:basedOn w:val="KOT4"/>
    <w:pPr>
      <w:spacing w:after="120" w:line="260" w:lineRule="exact"/>
      <w:outlineLvl w:val="2"/>
    </w:pPr>
    <w:rPr>
      <w:sz w:val="22"/>
      <w:szCs w:val="22"/>
    </w:rPr>
  </w:style>
  <w:style w:type="character" w:customStyle="1" w:styleId="100">
    <w:name w:val="סגנון (עברית ושפות אחרות) ‏10 נק'"/>
    <w:rPr>
      <w:rFonts w:ascii="Times New Roman" w:hAnsi="Times New Roman"/>
      <w:sz w:val="24"/>
      <w:vertAlign w:val="baseline"/>
    </w:rPr>
  </w:style>
  <w:style w:type="paragraph" w:customStyle="1" w:styleId="NAME">
    <w:name w:val="NAME"/>
    <w:basedOn w:val="Normal"/>
    <w:pPr>
      <w:pBdr>
        <w:bottom w:val="single" w:sz="4" w:space="6" w:color="auto"/>
      </w:pBdr>
      <w:spacing w:after="120" w:line="312" w:lineRule="auto"/>
      <w:jc w:val="right"/>
      <w:outlineLvl w:val="0"/>
    </w:pPr>
    <w:rPr>
      <w:sz w:val="42"/>
      <w:szCs w:val="42"/>
      <w:lang w:eastAsia="he-IL"/>
    </w:rPr>
  </w:style>
  <w:style w:type="paragraph" w:customStyle="1" w:styleId="PATIAH">
    <w:name w:val="PATIAH"/>
    <w:basedOn w:val="Normal"/>
    <w:pPr>
      <w:spacing w:after="120" w:line="260" w:lineRule="exact"/>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 w:val="20"/>
      <w:szCs w:val="22"/>
      <w:lang w:eastAsia="he-IL"/>
    </w:rPr>
  </w:style>
  <w:style w:type="paragraph" w:customStyle="1" w:styleId="takzir">
    <w:name w:val="takzir"/>
    <w:basedOn w:val="Normal"/>
    <w:pPr>
      <w:spacing w:after="120"/>
      <w:jc w:val="both"/>
    </w:pPr>
    <w:rPr>
      <w:b/>
      <w:bCs/>
      <w:noProof/>
      <w:sz w:val="22"/>
      <w:szCs w:val="22"/>
      <w:lang w:eastAsia="he-IL"/>
    </w:rPr>
  </w:style>
  <w:style w:type="paragraph" w:styleId="PlainText">
    <w:name w:val="Plain Text"/>
    <w:basedOn w:val="Normal"/>
    <w:semiHidden/>
    <w:pPr>
      <w:widowControl w:val="0"/>
      <w:spacing w:line="312" w:lineRule="auto"/>
      <w:jc w:val="both"/>
    </w:pPr>
    <w:rPr>
      <w:rFonts w:ascii="Courier New" w:hAnsi="Courier New" w:cs="Courier New"/>
      <w:sz w:val="20"/>
      <w:szCs w:val="20"/>
      <w:lang w:eastAsia="he-IL"/>
    </w:rPr>
  </w:style>
  <w:style w:type="character" w:customStyle="1" w:styleId="a5">
    <w:name w:val="טקסט רגיל תו"/>
    <w:semiHidden/>
    <w:locked/>
    <w:rPr>
      <w:rFonts w:ascii="Courier New" w:hAnsi="Courier New" w:cs="Courier New"/>
      <w:sz w:val="20"/>
      <w:szCs w:val="20"/>
    </w:rPr>
  </w:style>
  <w:style w:type="paragraph" w:styleId="Caption">
    <w:name w:val="caption"/>
    <w:basedOn w:val="Normal"/>
    <w:next w:val="Normal"/>
    <w:qFormat/>
    <w:locked/>
    <w:pPr>
      <w:tabs>
        <w:tab w:val="left" w:pos="1021"/>
        <w:tab w:val="center" w:pos="5131"/>
      </w:tabs>
      <w:spacing w:line="280" w:lineRule="exact"/>
    </w:pPr>
    <w:rPr>
      <w:b/>
      <w:bCs/>
      <w:sz w:val="28"/>
      <w:szCs w:val="28"/>
    </w:rPr>
  </w:style>
  <w:style w:type="character" w:customStyle="1" w:styleId="51">
    <w:name w:val="כותרת 51"/>
    <w:rPr>
      <w:rFonts w:ascii="Times New Roman" w:hAnsi="Times New Roman"/>
      <w:b/>
      <w:color w:val="auto"/>
      <w:spacing w:val="40"/>
      <w:w w:val="100"/>
      <w:position w:val="0"/>
      <w:sz w:val="24"/>
      <w:u w:val="none"/>
      <w:vertAlign w:val="baseline"/>
    </w:rPr>
  </w:style>
  <w:style w:type="character" w:customStyle="1" w:styleId="61">
    <w:name w:val="כותרת 61"/>
    <w:rPr>
      <w:rFonts w:ascii="Times New Roman" w:hAnsi="Times New Roman"/>
      <w:color w:val="auto"/>
      <w:spacing w:val="40"/>
      <w:w w:val="100"/>
      <w:position w:val="0"/>
      <w:sz w:val="24"/>
      <w:u w:val="none"/>
    </w:rPr>
  </w:style>
  <w:style w:type="character" w:customStyle="1" w:styleId="PersonalComposeStyle">
    <w:name w:val="Personal Compose Style"/>
    <w:rPr>
      <w:rFonts w:ascii="Arial" w:hAnsi="Arial"/>
      <w:color w:val="auto"/>
      <w:sz w:val="20"/>
    </w:rPr>
  </w:style>
  <w:style w:type="character" w:customStyle="1" w:styleId="PersonalReplyStyle">
    <w:name w:val="Personal Reply Style"/>
    <w:rPr>
      <w:rFonts w:ascii="Arial" w:hAnsi="Arial"/>
      <w:color w:val="auto"/>
      <w:sz w:val="20"/>
    </w:rPr>
  </w:style>
  <w:style w:type="character" w:customStyle="1" w:styleId="52">
    <w:name w:val="כותרת 52"/>
    <w:rPr>
      <w:rFonts w:ascii="Times New Roman" w:hAnsi="Times New Roman"/>
      <w:b/>
      <w:color w:val="auto"/>
      <w:spacing w:val="40"/>
      <w:w w:val="100"/>
      <w:position w:val="0"/>
      <w:sz w:val="24"/>
      <w:u w:val="none"/>
      <w:vertAlign w:val="baseline"/>
    </w:rPr>
  </w:style>
  <w:style w:type="character" w:customStyle="1" w:styleId="520">
    <w:name w:val="כותרת 5 תו2"/>
    <w:rPr>
      <w:b/>
      <w:spacing w:val="40"/>
      <w:sz w:val="24"/>
      <w:lang w:val="en-US" w:eastAsia="he-IL" w:bidi="he-IL"/>
    </w:rPr>
  </w:style>
  <w:style w:type="character" w:customStyle="1" w:styleId="71">
    <w:name w:val="כותרת 7 תו1"/>
    <w:rPr>
      <w:b/>
      <w:spacing w:val="40"/>
      <w:sz w:val="24"/>
      <w:lang w:val="en-US" w:eastAsia="he-IL" w:bidi="he-IL"/>
    </w:rPr>
  </w:style>
  <w:style w:type="paragraph" w:customStyle="1" w:styleId="a6">
    <w:name w:val="ממוספר"/>
    <w:basedOn w:val="Normal"/>
    <w:pPr>
      <w:numPr>
        <w:numId w:val="1"/>
      </w:numPr>
      <w:spacing w:after="240" w:line="312" w:lineRule="auto"/>
      <w:ind w:right="397"/>
      <w:jc w:val="both"/>
    </w:pPr>
    <w:rPr>
      <w:rFonts w:cs="FrankRuehl"/>
      <w:lang w:eastAsia="he-IL"/>
    </w:rPr>
  </w:style>
  <w:style w:type="paragraph" w:customStyle="1" w:styleId="a7">
    <w:name w:val="טקסט מודגש"/>
    <w:basedOn w:val="Normal"/>
    <w:pPr>
      <w:spacing w:after="240" w:line="312" w:lineRule="auto"/>
      <w:jc w:val="both"/>
    </w:pPr>
    <w:rPr>
      <w:b/>
      <w:bCs/>
      <w:sz w:val="22"/>
      <w:szCs w:val="22"/>
      <w:lang w:eastAsia="he-IL"/>
    </w:rPr>
  </w:style>
  <w:style w:type="paragraph" w:customStyle="1" w:styleId="11">
    <w:name w:val="ציטוט1"/>
    <w:basedOn w:val="Normal"/>
    <w:pPr>
      <w:spacing w:after="240" w:line="240" w:lineRule="auto"/>
      <w:ind w:left="851" w:right="851"/>
      <w:jc w:val="both"/>
    </w:pPr>
    <w:rPr>
      <w:rFonts w:cs="FrankRuehl"/>
      <w:lang w:eastAsia="he-IL"/>
    </w:rPr>
  </w:style>
  <w:style w:type="paragraph" w:styleId="BodyTextIndent2">
    <w:name w:val="Body Text Indent 2"/>
    <w:basedOn w:val="Normal"/>
    <w:semiHidden/>
    <w:pPr>
      <w:spacing w:after="240" w:line="240" w:lineRule="auto"/>
      <w:ind w:left="540" w:hanging="540"/>
      <w:jc w:val="both"/>
    </w:pPr>
    <w:rPr>
      <w:rFonts w:cs="FrankRuehl"/>
      <w:lang w:eastAsia="he-IL"/>
    </w:rPr>
  </w:style>
  <w:style w:type="character" w:customStyle="1" w:styleId="21">
    <w:name w:val="כניסה בגוף טקסט 2 תו"/>
    <w:semiHidden/>
    <w:locked/>
    <w:rPr>
      <w:rFonts w:cs="David"/>
      <w:sz w:val="24"/>
      <w:szCs w:val="24"/>
      <w:lang w:bidi="he-IL"/>
    </w:rPr>
  </w:style>
  <w:style w:type="character" w:customStyle="1" w:styleId="notes">
    <w:name w:val="notes"/>
  </w:style>
  <w:style w:type="paragraph" w:styleId="BlockText">
    <w:name w:val="Block Text"/>
    <w:basedOn w:val="Normal"/>
    <w:pPr>
      <w:spacing w:line="240" w:lineRule="auto"/>
      <w:ind w:left="509"/>
    </w:pPr>
    <w:rPr>
      <w:sz w:val="20"/>
      <w:lang w:eastAsia="he-IL"/>
    </w:rPr>
  </w:style>
  <w:style w:type="character" w:customStyle="1" w:styleId="a8">
    <w:name w:val="טקסט הערות שוליים תו"/>
    <w:rPr>
      <w:lang w:val="en-US" w:eastAsia="en-US"/>
    </w:rPr>
  </w:style>
  <w:style w:type="character" w:customStyle="1" w:styleId="a9">
    <w:name w:val="טקסט הערת שוליים תו"/>
    <w:locked/>
    <w:rPr>
      <w:lang w:val="en-US" w:eastAsia="en-US"/>
    </w:rPr>
  </w:style>
  <w:style w:type="character" w:customStyle="1" w:styleId="a10">
    <w:name w:val="תו תו"/>
    <w:semiHidden/>
    <w:locked/>
    <w:rPr>
      <w:lang w:val="en-US" w:eastAsia="he-IL" w:bidi="he-IL"/>
    </w:rPr>
  </w:style>
  <w:style w:type="paragraph" w:styleId="BodyTextIndent3">
    <w:name w:val="Body Text Indent 3"/>
    <w:basedOn w:val="Normal"/>
    <w:semiHidden/>
    <w:pPr>
      <w:spacing w:after="120"/>
      <w:ind w:left="283"/>
    </w:pPr>
    <w:rPr>
      <w:sz w:val="16"/>
      <w:szCs w:val="16"/>
    </w:rPr>
  </w:style>
  <w:style w:type="character" w:customStyle="1" w:styleId="32">
    <w:name w:val="כניסה בגוף טקסט 3 תו"/>
    <w:semiHidden/>
    <w:locked/>
    <w:rPr>
      <w:rFonts w:cs="David"/>
      <w:sz w:val="16"/>
      <w:szCs w:val="16"/>
      <w:lang w:bidi="he-IL"/>
    </w:rPr>
  </w:style>
  <w:style w:type="paragraph" w:customStyle="1" w:styleId="12">
    <w:name w:val="פיסקת רשימה1"/>
    <w:basedOn w:val="Normal"/>
    <w:pPr>
      <w:ind w:left="720"/>
    </w:pPr>
  </w:style>
  <w:style w:type="paragraph" w:styleId="BalloonText">
    <w:name w:val="Balloon Text"/>
    <w:basedOn w:val="Normal"/>
    <w:link w:val="BalloonTextChar"/>
    <w:rPr>
      <w:rFonts w:ascii="Tahoma" w:hAnsi="Tahoma" w:cs="Tahoma"/>
      <w:sz w:val="16"/>
      <w:szCs w:val="16"/>
    </w:rPr>
  </w:style>
  <w:style w:type="character" w:customStyle="1" w:styleId="a11">
    <w:name w:val="טקסט בלונים תו"/>
    <w:semiHidden/>
    <w:locked/>
    <w:rPr>
      <w:rFonts w:cs="Times New Roman"/>
      <w:sz w:val="2"/>
    </w:rPr>
  </w:style>
  <w:style w:type="paragraph" w:styleId="BodyTextIndent">
    <w:name w:val="Body Text Indent"/>
    <w:basedOn w:val="Normal"/>
    <w:link w:val="BodyTextIndentChar"/>
    <w:uiPriority w:val="99"/>
    <w:semiHidden/>
    <w:pPr>
      <w:spacing w:after="120"/>
      <w:ind w:left="283"/>
    </w:pPr>
  </w:style>
  <w:style w:type="character" w:customStyle="1" w:styleId="a12">
    <w:name w:val="כניסה בגוף טקסט תו"/>
    <w:semiHidden/>
    <w:locked/>
    <w:rPr>
      <w:rFonts w:cs="David"/>
      <w:sz w:val="24"/>
      <w:szCs w:val="24"/>
      <w:lang w:bidi="he-IL"/>
    </w:rPr>
  </w:style>
  <w:style w:type="character" w:styleId="CommentReference">
    <w:name w:val="annotation reference"/>
    <w:rPr>
      <w:rFonts w:cs="Times New Roman"/>
      <w:sz w:val="16"/>
    </w:rPr>
  </w:style>
  <w:style w:type="paragraph" w:styleId="CommentText">
    <w:name w:val="annotation text"/>
    <w:basedOn w:val="Normal"/>
    <w:link w:val="CommentTextChar"/>
    <w:uiPriority w:val="99"/>
    <w:rPr>
      <w:sz w:val="20"/>
      <w:szCs w:val="20"/>
    </w:rPr>
  </w:style>
  <w:style w:type="character" w:customStyle="1" w:styleId="a13">
    <w:name w:val="טקסט הערה תו"/>
    <w:semiHidden/>
    <w:locked/>
    <w:rPr>
      <w:rFonts w:cs="David"/>
      <w:sz w:val="20"/>
      <w:szCs w:val="20"/>
      <w:lang w:bidi="he-IL"/>
    </w:rPr>
  </w:style>
  <w:style w:type="paragraph" w:styleId="CommentSubject">
    <w:name w:val="annotation subject"/>
    <w:basedOn w:val="CommentText"/>
    <w:next w:val="CommentText"/>
    <w:link w:val="CommentSubjectChar"/>
    <w:rPr>
      <w:b/>
      <w:bCs/>
    </w:rPr>
  </w:style>
  <w:style w:type="character" w:customStyle="1" w:styleId="a14">
    <w:name w:val="נושא הערה תו"/>
    <w:semiHidden/>
    <w:locked/>
    <w:rPr>
      <w:rFonts w:cs="David"/>
      <w:b/>
      <w:bCs/>
      <w:sz w:val="20"/>
      <w:szCs w:val="20"/>
      <w:lang w:bidi="he-IL"/>
    </w:rPr>
  </w:style>
  <w:style w:type="paragraph" w:customStyle="1" w:styleId="310">
    <w:name w:val="כותרת 31"/>
    <w:basedOn w:val="Normal"/>
    <w:next w:val="Normal"/>
    <w:link w:val="311"/>
    <w:pPr>
      <w:spacing w:before="100" w:beforeAutospacing="1" w:line="288" w:lineRule="auto"/>
      <w:outlineLvl w:val="2"/>
    </w:pPr>
    <w:rPr>
      <w:b/>
      <w:bCs/>
      <w:szCs w:val="28"/>
      <w:u w:val="single"/>
    </w:rPr>
  </w:style>
  <w:style w:type="paragraph" w:customStyle="1" w:styleId="41">
    <w:name w:val="כותרת 41"/>
    <w:basedOn w:val="Normal"/>
    <w:next w:val="Normal"/>
    <w:pPr>
      <w:spacing w:before="100" w:beforeAutospacing="1" w:line="264" w:lineRule="auto"/>
      <w:outlineLvl w:val="3"/>
    </w:pPr>
    <w:rPr>
      <w:b/>
      <w:bCs/>
      <w:sz w:val="22"/>
      <w:szCs w:val="26"/>
    </w:rPr>
  </w:style>
  <w:style w:type="character" w:customStyle="1" w:styleId="default">
    <w:name w:val="default"/>
    <w:rPr>
      <w:rFonts w:ascii="Times New Roman" w:hAnsi="Times New Roman"/>
      <w:sz w:val="26"/>
    </w:rPr>
  </w:style>
  <w:style w:type="character" w:customStyle="1" w:styleId="510">
    <w:name w:val="כותרת 5 תו1"/>
    <w:locked/>
    <w:rPr>
      <w:rFonts w:cs="David"/>
      <w:b/>
      <w:bCs/>
      <w:sz w:val="32"/>
      <w:szCs w:val="32"/>
      <w:lang w:eastAsia="he-IL"/>
    </w:rPr>
  </w:style>
  <w:style w:type="character" w:customStyle="1" w:styleId="72">
    <w:name w:val="כותרת 7 תו2"/>
    <w:locked/>
    <w:rPr>
      <w:rFonts w:cs="David"/>
      <w:sz w:val="36"/>
      <w:szCs w:val="36"/>
      <w:lang w:eastAsia="he-IL"/>
    </w:rPr>
  </w:style>
  <w:style w:type="paragraph" w:customStyle="1" w:styleId="Arial10">
    <w:name w:val="סגנון (לטיני) Arial (עברית ושפות אחרות) ‏10 נק' שמאל מרווח בין ש..."/>
    <w:basedOn w:val="Normal"/>
    <w:pPr>
      <w:widowControl w:val="0"/>
      <w:spacing w:line="360" w:lineRule="auto"/>
      <w:jc w:val="right"/>
    </w:pPr>
    <w:rPr>
      <w:rFonts w:ascii="David" w:hAnsi="David"/>
      <w:sz w:val="20"/>
      <w:szCs w:val="20"/>
      <w:lang w:eastAsia="he-IL"/>
    </w:rPr>
  </w:style>
  <w:style w:type="character" w:customStyle="1" w:styleId="17">
    <w:name w:val="תו תו17"/>
    <w:semiHidden/>
    <w:locked/>
    <w:rPr>
      <w:b/>
      <w:spacing w:val="40"/>
      <w:sz w:val="24"/>
      <w:lang w:val="en-US" w:eastAsia="he-IL" w:bidi="he-IL"/>
    </w:rPr>
  </w:style>
  <w:style w:type="character" w:customStyle="1" w:styleId="22">
    <w:name w:val="תו תו2"/>
    <w:rPr>
      <w:b/>
      <w:spacing w:val="40"/>
      <w:sz w:val="24"/>
      <w:lang w:val="en-US" w:eastAsia="he-IL" w:bidi="he-IL"/>
    </w:rPr>
  </w:style>
  <w:style w:type="paragraph" w:customStyle="1" w:styleId="KOT6">
    <w:name w:val="KOT6"/>
    <w:basedOn w:val="KOT5"/>
    <w:locked/>
    <w:pPr>
      <w:outlineLvl w:val="3"/>
    </w:pPr>
    <w:rPr>
      <w:rFonts w:cs="FrankRuehl"/>
      <w:spacing w:val="40"/>
      <w:sz w:val="20"/>
    </w:rPr>
  </w:style>
  <w:style w:type="paragraph" w:customStyle="1" w:styleId="KOT7">
    <w:name w:val="KOT7"/>
    <w:basedOn w:val="KOT6"/>
    <w:locked/>
    <w:pPr>
      <w:outlineLvl w:val="4"/>
    </w:pPr>
    <w:rPr>
      <w:b w:val="0"/>
      <w:bCs w:val="0"/>
    </w:rPr>
  </w:style>
  <w:style w:type="character" w:customStyle="1" w:styleId="610">
    <w:name w:val="כותרת 6 תו1"/>
    <w:rPr>
      <w:rFonts w:cs="David"/>
      <w:spacing w:val="40"/>
      <w:szCs w:val="24"/>
      <w:lang w:val="en-US" w:eastAsia="he-IL" w:bidi="he-IL"/>
    </w:rPr>
  </w:style>
  <w:style w:type="paragraph" w:customStyle="1" w:styleId="320">
    <w:name w:val="כותרת 32"/>
    <w:basedOn w:val="Normal"/>
    <w:next w:val="Normal"/>
    <w:link w:val="101"/>
    <w:pPr>
      <w:widowControl w:val="0"/>
      <w:spacing w:before="100" w:beforeAutospacing="1" w:line="288" w:lineRule="auto"/>
      <w:outlineLvl w:val="2"/>
    </w:pPr>
    <w:rPr>
      <w:b/>
      <w:bCs/>
      <w:szCs w:val="28"/>
      <w:u w:val="single"/>
      <w:lang w:eastAsia="he-IL"/>
    </w:rPr>
  </w:style>
  <w:style w:type="paragraph" w:customStyle="1" w:styleId="42">
    <w:name w:val="כותרת 42"/>
    <w:basedOn w:val="Normal"/>
    <w:next w:val="Normal"/>
    <w:link w:val="90"/>
    <w:pPr>
      <w:widowControl w:val="0"/>
      <w:spacing w:before="100" w:beforeAutospacing="1" w:line="264" w:lineRule="auto"/>
      <w:outlineLvl w:val="3"/>
    </w:pPr>
    <w:rPr>
      <w:b/>
      <w:bCs/>
      <w:sz w:val="22"/>
      <w:szCs w:val="26"/>
      <w:lang w:eastAsia="he-IL"/>
    </w:rPr>
  </w:style>
  <w:style w:type="character" w:customStyle="1" w:styleId="410">
    <w:name w:val="כותרת 41 תו"/>
    <w:rPr>
      <w:rFonts w:cs="David"/>
      <w:b/>
      <w:bCs/>
      <w:sz w:val="22"/>
      <w:szCs w:val="26"/>
    </w:rPr>
  </w:style>
  <w:style w:type="character" w:styleId="Hyperlink">
    <w:name w:val="Hyperlink"/>
    <w:locked/>
    <w:rPr>
      <w:color w:val="0000FF"/>
      <w:u w:val="single"/>
    </w:rPr>
  </w:style>
  <w:style w:type="paragraph" w:styleId="DocumentMap">
    <w:name w:val="Document Map"/>
    <w:basedOn w:val="Normal"/>
    <w:link w:val="DocumentMapChar"/>
    <w:semiHidden/>
    <w:locked/>
    <w:pPr>
      <w:widowControl w:val="0"/>
      <w:shd w:val="clear" w:color="auto" w:fill="000080"/>
      <w:spacing w:line="312" w:lineRule="auto"/>
      <w:jc w:val="both"/>
    </w:pPr>
    <w:rPr>
      <w:rFonts w:ascii="Tahoma" w:hAnsi="Tahoma" w:cs="Tahoma"/>
      <w:sz w:val="20"/>
      <w:szCs w:val="20"/>
      <w:lang w:eastAsia="he-IL"/>
    </w:rPr>
  </w:style>
  <w:style w:type="character" w:customStyle="1" w:styleId="a15">
    <w:name w:val="מפת מסמך תו"/>
    <w:semiHidden/>
    <w:rPr>
      <w:rFonts w:ascii="Tahoma" w:hAnsi="Tahoma" w:cs="Tahoma"/>
      <w:shd w:val="clear" w:color="auto" w:fill="000080"/>
      <w:lang w:eastAsia="he-IL"/>
    </w:rPr>
  </w:style>
  <w:style w:type="paragraph" w:styleId="ListParagraph">
    <w:name w:val="List Paragraph"/>
    <w:basedOn w:val="Normal"/>
    <w:uiPriority w:val="34"/>
    <w:qFormat/>
    <w:pPr>
      <w:spacing w:after="200" w:line="276" w:lineRule="auto"/>
      <w:ind w:left="720"/>
      <w:contextualSpacing/>
    </w:pPr>
    <w:rPr>
      <w:rFonts w:ascii="Rockwell" w:eastAsia="Rockwell" w:hAnsi="Rockwell"/>
      <w:sz w:val="22"/>
      <w:szCs w:val="22"/>
    </w:rPr>
  </w:style>
  <w:style w:type="paragraph" w:customStyle="1" w:styleId="a16">
    <w:name w:val="נבנצאל"/>
    <w:basedOn w:val="Normal"/>
    <w:next w:val="Normal"/>
    <w:uiPriority w:val="99"/>
    <w:pPr>
      <w:spacing w:after="200" w:line="276" w:lineRule="auto"/>
      <w:ind w:left="-567"/>
    </w:pPr>
    <w:rPr>
      <w:rFonts w:ascii="Rockwell" w:eastAsia="Rockwell" w:hAnsi="Rockwell"/>
      <w:sz w:val="22"/>
      <w:szCs w:val="20"/>
    </w:rPr>
  </w:style>
  <w:style w:type="character" w:customStyle="1" w:styleId="a17">
    <w:name w:val="נבנצאל תו"/>
    <w:uiPriority w:val="99"/>
    <w:locked/>
    <w:rPr>
      <w:rFonts w:ascii="Rockwell" w:eastAsia="Rockwell" w:hAnsi="Rockwell" w:cs="David"/>
      <w:sz w:val="22"/>
    </w:rPr>
  </w:style>
  <w:style w:type="paragraph" w:styleId="Date">
    <w:name w:val="Date"/>
    <w:basedOn w:val="Normal"/>
    <w:next w:val="Normal"/>
    <w:link w:val="DateChar"/>
    <w:uiPriority w:val="99"/>
    <w:locked/>
    <w:pPr>
      <w:spacing w:before="120" w:after="200" w:line="240" w:lineRule="auto"/>
    </w:pPr>
    <w:rPr>
      <w:rFonts w:ascii="Rockwell" w:eastAsia="Rockwell" w:hAnsi="Rockwell"/>
      <w:sz w:val="22"/>
      <w:szCs w:val="22"/>
    </w:rPr>
  </w:style>
  <w:style w:type="character" w:customStyle="1" w:styleId="a18">
    <w:name w:val="תאריך תו"/>
    <w:rPr>
      <w:rFonts w:ascii="Rockwell" w:eastAsia="Rockwell" w:hAnsi="Rockwell" w:cs="David"/>
      <w:sz w:val="22"/>
      <w:szCs w:val="22"/>
    </w:rPr>
  </w:style>
  <w:style w:type="paragraph" w:styleId="Revision">
    <w:name w:val="Revision"/>
    <w:hidden/>
    <w:uiPriority w:val="99"/>
    <w:semiHidden/>
    <w:rPr>
      <w:rFonts w:ascii="Rockwell" w:eastAsia="Rockwell" w:hAnsi="Rockwell" w:cs="David"/>
      <w:sz w:val="22"/>
      <w:szCs w:val="22"/>
    </w:rPr>
  </w:style>
  <w:style w:type="paragraph" w:customStyle="1" w:styleId="tab-name">
    <w:name w:val="tab-name"/>
    <w:basedOn w:val="KOT5"/>
    <w:qFormat/>
    <w:pPr>
      <w:jc w:val="center"/>
      <w:outlineLvl w:val="9"/>
    </w:pPr>
  </w:style>
  <w:style w:type="character" w:customStyle="1" w:styleId="HeaderChar">
    <w:name w:val="Header Char"/>
    <w:link w:val="Header"/>
    <w:locked/>
    <w:rsid w:val="001B6C6E"/>
    <w:rPr>
      <w:rFonts w:cs="David"/>
      <w:sz w:val="24"/>
      <w:szCs w:val="24"/>
    </w:rPr>
  </w:style>
  <w:style w:type="character" w:customStyle="1" w:styleId="Heading1Char">
    <w:name w:val="Heading 1 Char"/>
    <w:link w:val="Heading1"/>
    <w:rsid w:val="00E97EDA"/>
    <w:rPr>
      <w:rFonts w:cs="David"/>
      <w:b/>
      <w:bCs/>
      <w:sz w:val="56"/>
      <w:szCs w:val="56"/>
      <w:lang w:eastAsia="he-IL"/>
    </w:rPr>
  </w:style>
  <w:style w:type="character" w:customStyle="1" w:styleId="Heading2Char1">
    <w:name w:val="Heading 2 Char1"/>
    <w:link w:val="Heading2"/>
    <w:rsid w:val="00E97EDA"/>
    <w:rPr>
      <w:rFonts w:cs="David"/>
      <w:sz w:val="32"/>
      <w:szCs w:val="32"/>
    </w:rPr>
  </w:style>
  <w:style w:type="character" w:customStyle="1" w:styleId="Heading3Char1">
    <w:name w:val="Heading 3 Char1"/>
    <w:link w:val="Heading3"/>
    <w:rsid w:val="00E97EDA"/>
    <w:rPr>
      <w:rFonts w:cs="David"/>
      <w:b/>
      <w:bCs/>
      <w:sz w:val="38"/>
      <w:szCs w:val="36"/>
      <w:lang w:eastAsia="he-IL"/>
    </w:rPr>
  </w:style>
  <w:style w:type="character" w:customStyle="1" w:styleId="Heading4Char1">
    <w:name w:val="Heading 4 Char1"/>
    <w:link w:val="Heading4"/>
    <w:rsid w:val="00E97EDA"/>
    <w:rPr>
      <w:rFonts w:cs="David"/>
      <w:b/>
      <w:bCs/>
      <w:sz w:val="22"/>
      <w:szCs w:val="26"/>
      <w:lang w:eastAsia="he-IL"/>
    </w:rPr>
  </w:style>
  <w:style w:type="character" w:customStyle="1" w:styleId="Heading5Char1">
    <w:name w:val="Heading 5 Char1"/>
    <w:link w:val="Heading5"/>
    <w:rsid w:val="00E97EDA"/>
    <w:rPr>
      <w:rFonts w:cs="David"/>
      <w:b/>
      <w:bCs/>
      <w:sz w:val="32"/>
      <w:szCs w:val="32"/>
      <w:lang w:eastAsia="he-IL"/>
    </w:rPr>
  </w:style>
  <w:style w:type="character" w:customStyle="1" w:styleId="Heading6Char1">
    <w:name w:val="Heading 6 Char1"/>
    <w:link w:val="Heading6"/>
    <w:rsid w:val="00E97EDA"/>
    <w:rPr>
      <w:rFonts w:cs="FrankRuehl"/>
      <w:b/>
      <w:bCs/>
      <w:sz w:val="22"/>
      <w:szCs w:val="22"/>
    </w:rPr>
  </w:style>
  <w:style w:type="character" w:customStyle="1" w:styleId="Heading7Char1">
    <w:name w:val="Heading 7 Char1"/>
    <w:link w:val="Heading7"/>
    <w:rsid w:val="00E97EDA"/>
    <w:rPr>
      <w:rFonts w:cs="David"/>
      <w:sz w:val="36"/>
      <w:szCs w:val="36"/>
      <w:lang w:eastAsia="he-IL"/>
    </w:rPr>
  </w:style>
  <w:style w:type="character" w:customStyle="1" w:styleId="Heading8Char">
    <w:name w:val="Heading 8 Char"/>
    <w:link w:val="Heading8"/>
    <w:rsid w:val="00E97EDA"/>
    <w:rPr>
      <w:rFonts w:cs="David"/>
      <w:b/>
      <w:bCs/>
      <w:sz w:val="36"/>
      <w:szCs w:val="36"/>
      <w:lang w:eastAsia="he-IL"/>
    </w:rPr>
  </w:style>
  <w:style w:type="character" w:customStyle="1" w:styleId="FooterChar">
    <w:name w:val="Footer Char"/>
    <w:link w:val="Footer"/>
    <w:rsid w:val="00E97EDA"/>
    <w:rPr>
      <w:rFonts w:cs="David"/>
      <w:sz w:val="24"/>
      <w:szCs w:val="24"/>
    </w:rPr>
  </w:style>
  <w:style w:type="character" w:customStyle="1" w:styleId="DateChar">
    <w:name w:val="Date Char"/>
    <w:link w:val="Date"/>
    <w:uiPriority w:val="99"/>
    <w:rsid w:val="00E97EDA"/>
    <w:rPr>
      <w:rFonts w:ascii="Rockwell" w:eastAsia="Rockwell" w:hAnsi="Rockwell" w:cs="David"/>
      <w:sz w:val="22"/>
      <w:szCs w:val="22"/>
    </w:rPr>
  </w:style>
  <w:style w:type="character" w:customStyle="1" w:styleId="FootnoteTextChar1">
    <w:name w:val="Footnote Text Char1"/>
    <w:aliases w:val=" Char Char,FOOTNOTES Char1,Footnote Text - Sharp Char Char Char1,Footnote Text - Sharp Char Char2,Footnote Text - Sharp Char2,Footnote Text Char Char Char Char Char Char,Footnote reference Char1,Sharp - Footnote Text Char1,fn Char1"/>
    <w:link w:val="FootnoteText"/>
    <w:uiPriority w:val="99"/>
    <w:rsid w:val="00E97EDA"/>
    <w:rPr>
      <w:rFonts w:cs="David"/>
    </w:rPr>
  </w:style>
  <w:style w:type="character" w:customStyle="1" w:styleId="BalloonTextChar">
    <w:name w:val="Balloon Text Char"/>
    <w:link w:val="BalloonText"/>
    <w:rsid w:val="00E97EDA"/>
    <w:rPr>
      <w:rFonts w:ascii="Tahoma" w:hAnsi="Tahoma" w:cs="Tahoma"/>
      <w:sz w:val="16"/>
      <w:szCs w:val="16"/>
    </w:rPr>
  </w:style>
  <w:style w:type="table" w:styleId="TableGrid">
    <w:name w:val="Table Grid"/>
    <w:basedOn w:val="TableNormal"/>
    <w:uiPriority w:val="59"/>
    <w:rsid w:val="00E97EDA"/>
    <w:pPr>
      <w:jc w:val="both"/>
    </w:pPr>
    <w:rPr>
      <w:rFonts w:eastAsia="Calibri"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rsid w:val="00E97EDA"/>
    <w:rPr>
      <w:rFonts w:cs="David"/>
    </w:rPr>
  </w:style>
  <w:style w:type="character" w:customStyle="1" w:styleId="CommentSubjectChar">
    <w:name w:val="Comment Subject Char"/>
    <w:link w:val="CommentSubject"/>
    <w:rsid w:val="00E97EDA"/>
    <w:rPr>
      <w:rFonts w:cs="David"/>
      <w:b/>
      <w:bCs/>
    </w:rPr>
  </w:style>
  <w:style w:type="numbering" w:customStyle="1" w:styleId="13">
    <w:name w:val="ללא רשימה1"/>
    <w:next w:val="NoList"/>
    <w:uiPriority w:val="99"/>
    <w:semiHidden/>
    <w:unhideWhenUsed/>
    <w:rsid w:val="00E97EDA"/>
  </w:style>
  <w:style w:type="character" w:customStyle="1" w:styleId="TitleChar">
    <w:name w:val="Title Char"/>
    <w:link w:val="Title"/>
    <w:rsid w:val="00E97EDA"/>
    <w:rPr>
      <w:rFonts w:cs="David"/>
      <w:b/>
      <w:bCs/>
      <w:sz w:val="24"/>
      <w:szCs w:val="24"/>
      <w:u w:val="single"/>
    </w:rPr>
  </w:style>
  <w:style w:type="character" w:customStyle="1" w:styleId="BodyTextChar">
    <w:name w:val="Body Text Char"/>
    <w:link w:val="BodyText"/>
    <w:rsid w:val="00E97EDA"/>
    <w:rPr>
      <w:rFonts w:cs="FrankRuehl"/>
      <w:sz w:val="22"/>
      <w:szCs w:val="22"/>
    </w:rPr>
  </w:style>
  <w:style w:type="character" w:customStyle="1" w:styleId="BodyText2Char">
    <w:name w:val="Body Text 2 Char"/>
    <w:link w:val="BodyText2"/>
    <w:rsid w:val="00E97EDA"/>
    <w:rPr>
      <w:rFonts w:cs="FrankRuehl"/>
      <w:sz w:val="24"/>
      <w:szCs w:val="24"/>
      <w:lang w:eastAsia="he-IL"/>
    </w:rPr>
  </w:style>
  <w:style w:type="character" w:customStyle="1" w:styleId="EndnoteTextChar">
    <w:name w:val="Endnote Text Char"/>
    <w:link w:val="EndnoteText"/>
    <w:semiHidden/>
    <w:rsid w:val="00E97EDA"/>
    <w:rPr>
      <w:rFonts w:cs="David"/>
      <w:sz w:val="24"/>
    </w:rPr>
  </w:style>
  <w:style w:type="character" w:customStyle="1" w:styleId="BodyText3Char">
    <w:name w:val="Body Text 3 Char"/>
    <w:link w:val="BodyText3"/>
    <w:rsid w:val="00E97EDA"/>
    <w:rPr>
      <w:rFonts w:cs="David"/>
      <w:sz w:val="24"/>
      <w:szCs w:val="24"/>
    </w:rPr>
  </w:style>
  <w:style w:type="character" w:customStyle="1" w:styleId="50">
    <w:name w:val="תו תו5"/>
    <w:link w:val="30"/>
    <w:rsid w:val="00E97EDA"/>
    <w:rPr>
      <w:rFonts w:cs="David"/>
      <w:b/>
      <w:bCs/>
      <w:sz w:val="24"/>
      <w:szCs w:val="28"/>
      <w:u w:val="single"/>
    </w:rPr>
  </w:style>
  <w:style w:type="character" w:customStyle="1" w:styleId="43">
    <w:name w:val="תו תו4"/>
    <w:link w:val="40"/>
    <w:rsid w:val="00E97EDA"/>
    <w:rPr>
      <w:rFonts w:cs="David"/>
      <w:b/>
      <w:bCs/>
      <w:sz w:val="22"/>
      <w:szCs w:val="26"/>
    </w:rPr>
  </w:style>
  <w:style w:type="paragraph" w:customStyle="1" w:styleId="14">
    <w:name w:val="מהדורה1"/>
    <w:hidden/>
    <w:semiHidden/>
    <w:rsid w:val="00E97EDA"/>
    <w:rPr>
      <w:rFonts w:cs="David"/>
      <w:szCs w:val="24"/>
      <w:lang w:eastAsia="he-IL"/>
    </w:rPr>
  </w:style>
  <w:style w:type="character" w:customStyle="1" w:styleId="a19">
    <w:name w:val="נבנצלים תו"/>
    <w:link w:val="a0"/>
    <w:locked/>
    <w:rsid w:val="00E97EDA"/>
    <w:rPr>
      <w:rFonts w:cs="David"/>
      <w:lang w:eastAsia="he-IL"/>
    </w:rPr>
  </w:style>
  <w:style w:type="paragraph" w:styleId="TOC3">
    <w:name w:val="toc 3"/>
    <w:basedOn w:val="Normal"/>
    <w:next w:val="Normal"/>
    <w:autoRedefine/>
    <w:rsid w:val="00E97EDA"/>
    <w:pPr>
      <w:widowControl w:val="0"/>
      <w:tabs>
        <w:tab w:val="right" w:leader="dot" w:pos="8210"/>
      </w:tabs>
      <w:spacing w:line="480" w:lineRule="auto"/>
      <w:ind w:left="400"/>
      <w:jc w:val="both"/>
    </w:pPr>
    <w:rPr>
      <w:b/>
      <w:bCs/>
      <w:noProof/>
      <w:sz w:val="20"/>
      <w:lang w:eastAsia="he-IL"/>
    </w:rPr>
  </w:style>
  <w:style w:type="paragraph" w:styleId="TOC1">
    <w:name w:val="toc 1"/>
    <w:basedOn w:val="Normal"/>
    <w:next w:val="Normal"/>
    <w:autoRedefine/>
    <w:rsid w:val="00E97EDA"/>
    <w:pPr>
      <w:widowControl w:val="0"/>
      <w:tabs>
        <w:tab w:val="right" w:leader="dot" w:pos="8210"/>
      </w:tabs>
      <w:spacing w:line="480" w:lineRule="auto"/>
    </w:pPr>
    <w:rPr>
      <w:sz w:val="20"/>
      <w:lang w:eastAsia="he-IL"/>
    </w:rPr>
  </w:style>
  <w:style w:type="paragraph" w:styleId="TOC2">
    <w:name w:val="toc 2"/>
    <w:basedOn w:val="Normal"/>
    <w:next w:val="Normal"/>
    <w:autoRedefine/>
    <w:rsid w:val="00E97EDA"/>
    <w:pPr>
      <w:widowControl w:val="0"/>
      <w:spacing w:line="312" w:lineRule="auto"/>
      <w:ind w:left="200"/>
      <w:jc w:val="both"/>
    </w:pPr>
    <w:rPr>
      <w:sz w:val="20"/>
      <w:lang w:eastAsia="he-IL"/>
    </w:rPr>
  </w:style>
  <w:style w:type="paragraph" w:styleId="TOC4">
    <w:name w:val="toc 4"/>
    <w:basedOn w:val="Normal"/>
    <w:next w:val="Normal"/>
    <w:autoRedefine/>
    <w:rsid w:val="00E97EDA"/>
    <w:pPr>
      <w:widowControl w:val="0"/>
      <w:tabs>
        <w:tab w:val="right" w:leader="dot" w:pos="8210"/>
      </w:tabs>
      <w:spacing w:line="600" w:lineRule="auto"/>
      <w:ind w:left="600"/>
      <w:jc w:val="both"/>
    </w:pPr>
    <w:rPr>
      <w:sz w:val="20"/>
      <w:lang w:eastAsia="he-IL"/>
    </w:rPr>
  </w:style>
  <w:style w:type="character" w:customStyle="1" w:styleId="DocumentMapChar">
    <w:name w:val="Document Map Char"/>
    <w:link w:val="DocumentMap"/>
    <w:semiHidden/>
    <w:rsid w:val="00E97EDA"/>
    <w:rPr>
      <w:rFonts w:ascii="Tahoma" w:hAnsi="Tahoma" w:cs="Tahoma"/>
      <w:shd w:val="clear" w:color="auto" w:fill="000080"/>
      <w:lang w:eastAsia="he-IL"/>
    </w:rPr>
  </w:style>
  <w:style w:type="paragraph" w:customStyle="1" w:styleId="a20">
    <w:name w:val="תו תו תו"/>
    <w:basedOn w:val="Normal"/>
    <w:rsid w:val="00E97EDA"/>
    <w:pPr>
      <w:bidi w:val="0"/>
      <w:spacing w:after="160"/>
    </w:pPr>
    <w:rPr>
      <w:rFonts w:ascii="Tahoma" w:eastAsia="Batang" w:hAnsi="Tahoma" w:cs="Tahoma"/>
      <w:sz w:val="20"/>
      <w:szCs w:val="20"/>
      <w:lang w:bidi="ar-SA"/>
    </w:rPr>
  </w:style>
  <w:style w:type="character" w:styleId="FollowedHyperlink">
    <w:name w:val="FollowedHyperlink"/>
    <w:rsid w:val="00E97EDA"/>
    <w:rPr>
      <w:color w:val="606420"/>
      <w:u w:val="single"/>
    </w:rPr>
  </w:style>
  <w:style w:type="table" w:customStyle="1" w:styleId="15">
    <w:name w:val="טבלת רשת1"/>
    <w:basedOn w:val="TableNormal"/>
    <w:next w:val="TableGrid"/>
    <w:rsid w:val="00E97EDA"/>
    <w:pPr>
      <w:widowControl w:val="0"/>
      <w:bidi/>
      <w:spacing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ללא רשימה11"/>
    <w:next w:val="NoList"/>
    <w:uiPriority w:val="99"/>
    <w:semiHidden/>
    <w:unhideWhenUsed/>
    <w:rsid w:val="00E97EDA"/>
  </w:style>
  <w:style w:type="character" w:styleId="Emphasis">
    <w:name w:val="Emphasis"/>
    <w:uiPriority w:val="20"/>
    <w:qFormat/>
    <w:rsid w:val="00E97EDA"/>
    <w:rPr>
      <w:i/>
      <w:iCs/>
    </w:rPr>
  </w:style>
  <w:style w:type="character" w:styleId="Strong">
    <w:name w:val="Strong"/>
    <w:qFormat/>
    <w:rsid w:val="00E97EDA"/>
    <w:rPr>
      <w:b/>
      <w:bCs/>
    </w:rPr>
  </w:style>
  <w:style w:type="paragraph" w:styleId="NoSpacing">
    <w:name w:val="No Spacing"/>
    <w:uiPriority w:val="1"/>
    <w:qFormat/>
    <w:rsid w:val="00E97EDA"/>
    <w:pPr>
      <w:bidi/>
    </w:pPr>
    <w:rPr>
      <w:rFonts w:ascii="Calibri" w:eastAsia="Calibri" w:hAnsi="Calibri" w:cs="Arial"/>
      <w:sz w:val="22"/>
      <w:szCs w:val="22"/>
    </w:rPr>
  </w:style>
  <w:style w:type="character" w:customStyle="1" w:styleId="420">
    <w:name w:val="כותרת 4 תו2"/>
    <w:locked/>
    <w:rsid w:val="00E97EDA"/>
    <w:rPr>
      <w:b/>
      <w:bCs/>
      <w:sz w:val="22"/>
      <w:szCs w:val="26"/>
      <w:lang w:val="en-US" w:eastAsia="he-IL" w:bidi="he-IL"/>
    </w:rPr>
  </w:style>
  <w:style w:type="paragraph" w:customStyle="1" w:styleId="300">
    <w:name w:val="כותרת 3_0_0"/>
    <w:basedOn w:val="Normal"/>
    <w:next w:val="Normal"/>
    <w:rsid w:val="00E97EDA"/>
    <w:pPr>
      <w:widowControl w:val="0"/>
      <w:spacing w:before="100" w:beforeAutospacing="1" w:line="288" w:lineRule="auto"/>
      <w:outlineLvl w:val="2"/>
    </w:pPr>
    <w:rPr>
      <w:b/>
      <w:bCs/>
      <w:szCs w:val="28"/>
      <w:u w:val="single"/>
      <w:lang w:eastAsia="he-IL"/>
    </w:rPr>
  </w:style>
  <w:style w:type="paragraph" w:customStyle="1" w:styleId="400">
    <w:name w:val="כותרת 4_0_0"/>
    <w:basedOn w:val="Normal"/>
    <w:next w:val="Normal"/>
    <w:rsid w:val="00E97EDA"/>
    <w:pPr>
      <w:widowControl w:val="0"/>
      <w:spacing w:before="100" w:beforeAutospacing="1" w:line="264" w:lineRule="auto"/>
      <w:outlineLvl w:val="3"/>
    </w:pPr>
    <w:rPr>
      <w:b/>
      <w:bCs/>
      <w:sz w:val="22"/>
      <w:szCs w:val="26"/>
      <w:lang w:eastAsia="he-IL"/>
    </w:rPr>
  </w:style>
  <w:style w:type="character" w:customStyle="1" w:styleId="311">
    <w:name w:val="כותרת 3 תו1"/>
    <w:link w:val="310"/>
    <w:locked/>
    <w:rsid w:val="00E97EDA"/>
    <w:rPr>
      <w:rFonts w:cs="David"/>
      <w:b/>
      <w:bCs/>
      <w:sz w:val="24"/>
      <w:szCs w:val="28"/>
      <w:u w:val="single"/>
    </w:rPr>
  </w:style>
  <w:style w:type="character" w:customStyle="1" w:styleId="101">
    <w:name w:val="תו תו10"/>
    <w:link w:val="320"/>
    <w:locked/>
    <w:rsid w:val="00E97EDA"/>
    <w:rPr>
      <w:rFonts w:cs="David"/>
      <w:b/>
      <w:bCs/>
      <w:sz w:val="24"/>
      <w:szCs w:val="28"/>
      <w:u w:val="single"/>
      <w:lang w:eastAsia="he-IL"/>
    </w:rPr>
  </w:style>
  <w:style w:type="character" w:customStyle="1" w:styleId="90">
    <w:name w:val="תו תו9"/>
    <w:link w:val="42"/>
    <w:locked/>
    <w:rsid w:val="00E97EDA"/>
    <w:rPr>
      <w:rFonts w:cs="David"/>
      <w:b/>
      <w:bCs/>
      <w:sz w:val="22"/>
      <w:szCs w:val="26"/>
      <w:lang w:eastAsia="he-IL"/>
    </w:rPr>
  </w:style>
  <w:style w:type="character" w:customStyle="1" w:styleId="stltitanpropertyset117111">
    <w:name w:val="stl_titan_propertyset_117_1_11"/>
    <w:rsid w:val="00E97EDA"/>
    <w:rPr>
      <w:rFonts w:cs="Times New Roman"/>
    </w:rPr>
  </w:style>
  <w:style w:type="character" w:customStyle="1" w:styleId="FootnoteTextChar">
    <w:name w:val="Footnote Text Char"/>
    <w:aliases w:val="Char Char,FOOTNOTES Char,Footnote Text - Sharp Char Char Char,Footnote Text - Sharp Char Char1,Footnote Text - Sharp Char1,Footnote reference Char,Sharp - Footnote Text Char,Sharp - Footnote Text1 Char Char,fn Char,single space Char"/>
    <w:locked/>
    <w:rsid w:val="00E97EDA"/>
  </w:style>
  <w:style w:type="paragraph" w:customStyle="1" w:styleId="a21">
    <w:name w:val="פסקה רג"/>
    <w:basedOn w:val="Normal"/>
    <w:link w:val="a22"/>
    <w:rsid w:val="00E97EDA"/>
    <w:pPr>
      <w:spacing w:before="120" w:after="120" w:line="336" w:lineRule="auto"/>
      <w:jc w:val="both"/>
    </w:pPr>
    <w:rPr>
      <w:rFonts w:cs="Times New Roman"/>
      <w:lang w:eastAsia="he-IL"/>
    </w:rPr>
  </w:style>
  <w:style w:type="character" w:customStyle="1" w:styleId="a22">
    <w:name w:val="פסקה רג תו"/>
    <w:link w:val="a21"/>
    <w:locked/>
    <w:rsid w:val="00E97EDA"/>
    <w:rPr>
      <w:rFonts w:cs="Times New Roman"/>
      <w:sz w:val="24"/>
      <w:szCs w:val="24"/>
      <w:lang w:eastAsia="he-IL"/>
    </w:rPr>
  </w:style>
  <w:style w:type="character" w:customStyle="1" w:styleId="apple-style-span">
    <w:name w:val="apple-style-span"/>
    <w:rsid w:val="00E97EDA"/>
  </w:style>
  <w:style w:type="paragraph" w:customStyle="1" w:styleId="16">
    <w:name w:val="כות_1"/>
    <w:basedOn w:val="Normal"/>
    <w:rsid w:val="00E97EDA"/>
    <w:pPr>
      <w:spacing w:before="240" w:after="120" w:line="360" w:lineRule="auto"/>
      <w:ind w:left="364" w:hanging="360"/>
      <w:jc w:val="both"/>
    </w:pPr>
    <w:rPr>
      <w:b/>
      <w:bCs/>
      <w:sz w:val="28"/>
      <w:szCs w:val="28"/>
      <w:lang w:eastAsia="he-IL"/>
    </w:rPr>
  </w:style>
  <w:style w:type="paragraph" w:customStyle="1" w:styleId="111">
    <w:name w:val="כות_1.1"/>
    <w:basedOn w:val="16"/>
    <w:rsid w:val="00E97EDA"/>
    <w:pPr>
      <w:ind w:left="350" w:hanging="357"/>
    </w:pPr>
  </w:style>
  <w:style w:type="paragraph" w:customStyle="1" w:styleId="1110">
    <w:name w:val="כות_1.1.1"/>
    <w:basedOn w:val="111"/>
    <w:rsid w:val="00E97EDA"/>
  </w:style>
  <w:style w:type="paragraph" w:customStyle="1" w:styleId="a23">
    <w:name w:val="כות_ללא מספור"/>
    <w:basedOn w:val="Normal"/>
    <w:rsid w:val="00E97EDA"/>
    <w:pPr>
      <w:spacing w:before="240" w:after="120" w:line="360" w:lineRule="auto"/>
      <w:jc w:val="both"/>
    </w:pPr>
    <w:rPr>
      <w:b/>
      <w:bCs/>
      <w:sz w:val="28"/>
      <w:szCs w:val="28"/>
      <w:lang w:eastAsia="he-IL"/>
    </w:rPr>
  </w:style>
  <w:style w:type="paragraph" w:customStyle="1" w:styleId="a24">
    <w:name w:val="פסקה ממוספרת"/>
    <w:basedOn w:val="Normal"/>
    <w:rsid w:val="00E97EDA"/>
    <w:pPr>
      <w:tabs>
        <w:tab w:val="left" w:pos="14"/>
        <w:tab w:val="num" w:pos="360"/>
      </w:tabs>
      <w:spacing w:before="120" w:after="120" w:line="336" w:lineRule="auto"/>
      <w:ind w:left="360" w:right="720" w:hanging="360"/>
      <w:jc w:val="both"/>
    </w:pPr>
  </w:style>
  <w:style w:type="paragraph" w:styleId="NormalWeb">
    <w:name w:val="Normal (Web)"/>
    <w:basedOn w:val="Normal"/>
    <w:rsid w:val="00E97EDA"/>
    <w:pPr>
      <w:bidi w:val="0"/>
      <w:spacing w:before="100" w:beforeAutospacing="1" w:after="100" w:afterAutospacing="1" w:line="240" w:lineRule="auto"/>
    </w:pPr>
    <w:rPr>
      <w:rFonts w:cs="Times New Roman"/>
    </w:rPr>
  </w:style>
  <w:style w:type="character" w:customStyle="1" w:styleId="80">
    <w:name w:val="תו תו8"/>
    <w:locked/>
    <w:rsid w:val="00E97EDA"/>
    <w:rPr>
      <w:b/>
      <w:sz w:val="32"/>
      <w:lang w:val="en-US" w:eastAsia="he-IL" w:bidi="he-IL"/>
    </w:rPr>
  </w:style>
  <w:style w:type="paragraph" w:customStyle="1" w:styleId="CharCharCharCharCharCharCharChar1">
    <w:name w:val="תו Char תו Char תו Char תו Char תו Char תו Char תו Char תו Char תו תו תו1 תו"/>
    <w:basedOn w:val="Normal"/>
    <w:rsid w:val="00E97EDA"/>
    <w:pPr>
      <w:keepLines/>
      <w:tabs>
        <w:tab w:val="left" w:pos="397"/>
        <w:tab w:val="left" w:pos="794"/>
        <w:tab w:val="left" w:pos="1191"/>
        <w:tab w:val="left" w:pos="1588"/>
        <w:tab w:val="left" w:pos="1985"/>
        <w:tab w:val="left" w:pos="2381"/>
        <w:tab w:val="left" w:pos="2778"/>
        <w:tab w:val="left" w:pos="3175"/>
        <w:tab w:val="left" w:pos="3572"/>
      </w:tabs>
      <w:spacing w:line="269" w:lineRule="auto"/>
      <w:ind w:left="567" w:hanging="567"/>
      <w:jc w:val="both"/>
    </w:pPr>
    <w:rPr>
      <w:rFonts w:ascii="Arial" w:hAnsi="Arial"/>
      <w:noProof/>
      <w:sz w:val="20"/>
      <w:szCs w:val="28"/>
      <w:lang w:eastAsia="he-IL"/>
    </w:rPr>
  </w:style>
  <w:style w:type="paragraph" w:customStyle="1" w:styleId="HeadHatzaotHok">
    <w:name w:val="Head HatzaotHok"/>
    <w:basedOn w:val="Normal"/>
    <w:rsid w:val="00E97EDA"/>
    <w:pPr>
      <w:keepNext/>
      <w:keepLines/>
      <w:widowControl w:val="0"/>
      <w:autoSpaceDE w:val="0"/>
      <w:autoSpaceDN w:val="0"/>
      <w:adjustRightInd w:val="0"/>
      <w:snapToGrid w:val="0"/>
      <w:spacing w:before="240" w:line="360" w:lineRule="auto"/>
      <w:jc w:val="center"/>
      <w:textAlignment w:val="center"/>
    </w:pPr>
    <w:rPr>
      <w:rFonts w:ascii="Arial" w:eastAsia="Arial Unicode MS" w:hAnsi="Arial" w:cs="Arial Unicode MS"/>
      <w:b/>
      <w:bCs/>
      <w:color w:val="000000"/>
      <w:sz w:val="20"/>
      <w:szCs w:val="26"/>
      <w:lang w:eastAsia="ja-JP"/>
    </w:rPr>
  </w:style>
  <w:style w:type="paragraph" w:customStyle="1" w:styleId="Hesber">
    <w:name w:val="Hesber"/>
    <w:basedOn w:val="Normal"/>
    <w:rsid w:val="00E97EDA"/>
    <w:pPr>
      <w:widowControl w:val="0"/>
      <w:autoSpaceDE w:val="0"/>
      <w:autoSpaceDN w:val="0"/>
      <w:adjustRightInd w:val="0"/>
      <w:snapToGrid w:val="0"/>
      <w:spacing w:line="360" w:lineRule="auto"/>
      <w:ind w:firstLine="340"/>
      <w:jc w:val="both"/>
      <w:textAlignment w:val="center"/>
    </w:pPr>
    <w:rPr>
      <w:rFonts w:ascii="Arial" w:eastAsia="Arial Unicode MS" w:hAnsi="Arial" w:cs="Arial Unicode MS"/>
      <w:color w:val="000000"/>
      <w:sz w:val="20"/>
      <w:szCs w:val="26"/>
      <w:lang w:eastAsia="ja-JP"/>
    </w:rPr>
  </w:style>
  <w:style w:type="paragraph" w:customStyle="1" w:styleId="HeadDivreiHesber">
    <w:name w:val="Head DivreiHesber"/>
    <w:basedOn w:val="Normal"/>
    <w:rsid w:val="00E97EDA"/>
    <w:pPr>
      <w:widowControl w:val="0"/>
      <w:autoSpaceDE w:val="0"/>
      <w:autoSpaceDN w:val="0"/>
      <w:adjustRightInd w:val="0"/>
      <w:snapToGrid w:val="0"/>
      <w:spacing w:before="360" w:after="120" w:line="360" w:lineRule="auto"/>
      <w:jc w:val="center"/>
      <w:textAlignment w:val="center"/>
    </w:pPr>
    <w:rPr>
      <w:rFonts w:ascii="Arial" w:eastAsia="Arial Unicode MS" w:hAnsi="Arial" w:cs="Arial Unicode MS"/>
      <w:b/>
      <w:color w:val="000000"/>
      <w:spacing w:val="40"/>
      <w:sz w:val="20"/>
      <w:szCs w:val="26"/>
      <w:lang w:eastAsia="ja-JP"/>
    </w:rPr>
  </w:style>
  <w:style w:type="character" w:customStyle="1" w:styleId="411">
    <w:name w:val="כותרת 4 תו1"/>
    <w:rsid w:val="00E97EDA"/>
    <w:rPr>
      <w:rFonts w:cs="David"/>
      <w:b/>
      <w:bCs/>
      <w:sz w:val="22"/>
      <w:szCs w:val="26"/>
      <w:lang w:val="en-US" w:eastAsia="he-IL" w:bidi="he-IL"/>
    </w:rPr>
  </w:style>
  <w:style w:type="paragraph" w:customStyle="1" w:styleId="P00">
    <w:name w:val="P00"/>
    <w:rsid w:val="00E97EDA"/>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Times New Roman"/>
      <w:noProof/>
      <w:szCs w:val="26"/>
      <w:lang w:eastAsia="he-IL"/>
    </w:rPr>
  </w:style>
  <w:style w:type="paragraph" w:customStyle="1" w:styleId="P22">
    <w:name w:val="P22"/>
    <w:basedOn w:val="P00"/>
    <w:rsid w:val="00E97EDA"/>
    <w:pPr>
      <w:tabs>
        <w:tab w:val="clear" w:pos="624"/>
        <w:tab w:val="clear" w:pos="1021"/>
      </w:tabs>
      <w:ind w:right="1021"/>
    </w:pPr>
  </w:style>
  <w:style w:type="character" w:customStyle="1" w:styleId="33">
    <w:name w:val="תו תו3"/>
    <w:semiHidden/>
    <w:rsid w:val="00E97EDA"/>
    <w:rPr>
      <w:rFonts w:cs="David"/>
      <w:lang w:eastAsia="he-IL"/>
    </w:rPr>
  </w:style>
  <w:style w:type="character" w:customStyle="1" w:styleId="Heading7Char">
    <w:name w:val="Heading 7 Char"/>
    <w:locked/>
    <w:rsid w:val="00E97EDA"/>
    <w:rPr>
      <w:rFonts w:cs="David"/>
      <w:b/>
      <w:bCs/>
      <w:spacing w:val="40"/>
      <w:szCs w:val="24"/>
      <w:lang w:val="en-US" w:eastAsia="he-IL" w:bidi="he-IL"/>
    </w:rPr>
  </w:style>
  <w:style w:type="character" w:customStyle="1" w:styleId="160">
    <w:name w:val="תו תו16"/>
    <w:locked/>
    <w:rsid w:val="00E97EDA"/>
    <w:rPr>
      <w:rFonts w:ascii="Cambria" w:hAnsi="Cambria" w:cs="Times New Roman"/>
      <w:b/>
      <w:sz w:val="26"/>
      <w:lang w:eastAsia="he-IL" w:bidi="he-IL"/>
    </w:rPr>
  </w:style>
  <w:style w:type="character" w:customStyle="1" w:styleId="150">
    <w:name w:val="תו תו15"/>
    <w:locked/>
    <w:rsid w:val="00E97EDA"/>
    <w:rPr>
      <w:rFonts w:ascii="Cambria" w:hAnsi="Cambria" w:cs="Times New Roman"/>
      <w:b/>
      <w:bCs/>
      <w:i/>
      <w:iCs/>
      <w:color w:val="4F81BD"/>
    </w:rPr>
  </w:style>
  <w:style w:type="character" w:customStyle="1" w:styleId="140">
    <w:name w:val="תו תו14"/>
    <w:locked/>
    <w:rsid w:val="00E97EDA"/>
    <w:rPr>
      <w:rFonts w:ascii="Times New Roman" w:hAnsi="Times New Roman" w:cs="Times New Roman"/>
      <w:b/>
      <w:spacing w:val="40"/>
      <w:sz w:val="24"/>
      <w:lang w:eastAsia="he-IL" w:bidi="he-IL"/>
    </w:rPr>
  </w:style>
  <w:style w:type="character" w:customStyle="1" w:styleId="130">
    <w:name w:val="תו תו13"/>
    <w:locked/>
    <w:rsid w:val="00E97EDA"/>
    <w:rPr>
      <w:rFonts w:ascii="Times New Roman" w:hAnsi="Times New Roman" w:cs="David"/>
      <w:spacing w:val="40"/>
      <w:sz w:val="24"/>
      <w:szCs w:val="24"/>
      <w:lang w:eastAsia="he-IL" w:bidi="he-IL"/>
    </w:rPr>
  </w:style>
  <w:style w:type="character" w:customStyle="1" w:styleId="120">
    <w:name w:val="תו תו12"/>
    <w:locked/>
    <w:rsid w:val="00E97EDA"/>
    <w:rPr>
      <w:rFonts w:ascii="Times New Roman" w:hAnsi="Times New Roman" w:cs="David"/>
      <w:b/>
      <w:bCs/>
      <w:spacing w:val="40"/>
      <w:sz w:val="24"/>
      <w:szCs w:val="24"/>
      <w:lang w:eastAsia="he-IL" w:bidi="he-IL"/>
    </w:rPr>
  </w:style>
  <w:style w:type="character" w:customStyle="1" w:styleId="60">
    <w:name w:val="תו תו6"/>
    <w:rsid w:val="00E97EDA"/>
    <w:rPr>
      <w:b/>
      <w:sz w:val="32"/>
      <w:lang w:val="en-US" w:eastAsia="he-IL" w:bidi="he-IL"/>
    </w:rPr>
  </w:style>
  <w:style w:type="character" w:customStyle="1" w:styleId="FootnoteTextChar2">
    <w:name w:val="Footnote Text Char2"/>
    <w:aliases w:val="Char Char2,FOOTNOTES Char2,Footnote Text - Sharp Char Char Char2,Footnote Text - Sharp Char Char11,Footnote Text - Sharp Char11,Sharp - Footnote Text Char2,Sharp - Footnote Text1 Char Char2,fn Char2,single space Char2"/>
    <w:locked/>
    <w:rsid w:val="00E97EDA"/>
    <w:rPr>
      <w:rFonts w:cs="Times New Roman"/>
    </w:rPr>
  </w:style>
  <w:style w:type="character" w:customStyle="1" w:styleId="321">
    <w:name w:val="כותרת 3 תו2"/>
    <w:rsid w:val="00E97EDA"/>
    <w:rPr>
      <w:rFonts w:ascii="Cambria" w:hAnsi="Cambria"/>
      <w:b/>
      <w:sz w:val="26"/>
      <w:lang w:val="en-US" w:eastAsia="he-IL" w:bidi="he-IL"/>
    </w:rPr>
  </w:style>
  <w:style w:type="character" w:customStyle="1" w:styleId="Heading2Char">
    <w:name w:val="Heading 2 Char"/>
    <w:locked/>
    <w:rsid w:val="00E97EDA"/>
    <w:rPr>
      <w:b/>
      <w:sz w:val="32"/>
      <w:lang w:val="en-US" w:eastAsia="he-IL" w:bidi="he-IL"/>
    </w:rPr>
  </w:style>
  <w:style w:type="character" w:customStyle="1" w:styleId="Heading3Char">
    <w:name w:val="Heading 3 Char"/>
    <w:locked/>
    <w:rsid w:val="00E97EDA"/>
    <w:rPr>
      <w:rFonts w:ascii="Cambria" w:hAnsi="Cambria"/>
      <w:b/>
      <w:sz w:val="26"/>
      <w:lang w:eastAsia="he-IL" w:bidi="he-IL"/>
    </w:rPr>
  </w:style>
  <w:style w:type="character" w:customStyle="1" w:styleId="Heading4Char">
    <w:name w:val="Heading 4 Char"/>
    <w:locked/>
    <w:rsid w:val="00E97EDA"/>
    <w:rPr>
      <w:b/>
      <w:sz w:val="26"/>
      <w:lang w:eastAsia="he-IL" w:bidi="he-IL"/>
    </w:rPr>
  </w:style>
  <w:style w:type="character" w:customStyle="1" w:styleId="Heading5Char">
    <w:name w:val="Heading 5 Char"/>
    <w:uiPriority w:val="1"/>
    <w:locked/>
    <w:rsid w:val="00E97EDA"/>
    <w:rPr>
      <w:b/>
      <w:spacing w:val="40"/>
      <w:sz w:val="24"/>
      <w:lang w:val="en-US" w:eastAsia="he-IL" w:bidi="he-IL"/>
    </w:rPr>
  </w:style>
  <w:style w:type="character" w:customStyle="1" w:styleId="Heading6Char">
    <w:name w:val="Heading 6 Char"/>
    <w:locked/>
    <w:rsid w:val="00E97EDA"/>
    <w:rPr>
      <w:spacing w:val="40"/>
      <w:sz w:val="24"/>
      <w:lang w:val="en-US" w:eastAsia="he-IL" w:bidi="he-IL"/>
    </w:rPr>
  </w:style>
  <w:style w:type="paragraph" w:customStyle="1" w:styleId="23">
    <w:name w:val="פיסקת רשימה2"/>
    <w:basedOn w:val="Normal"/>
    <w:rsid w:val="00E97EDA"/>
    <w:pPr>
      <w:bidi w:val="0"/>
      <w:spacing w:line="240" w:lineRule="auto"/>
      <w:ind w:left="720"/>
      <w:contextualSpacing/>
    </w:pPr>
    <w:rPr>
      <w:rFonts w:eastAsia="Calibri" w:cs="Times New Roman"/>
    </w:rPr>
  </w:style>
  <w:style w:type="character" w:customStyle="1" w:styleId="apple-converted-space">
    <w:name w:val="apple-converted-space"/>
    <w:rsid w:val="00E97EDA"/>
  </w:style>
  <w:style w:type="paragraph" w:customStyle="1" w:styleId="ListParagraph1">
    <w:name w:val="List Paragraph1"/>
    <w:basedOn w:val="Normal"/>
    <w:rsid w:val="00E97EDA"/>
    <w:pPr>
      <w:bidi w:val="0"/>
      <w:spacing w:line="240" w:lineRule="auto"/>
      <w:ind w:left="720"/>
      <w:contextualSpacing/>
    </w:pPr>
    <w:rPr>
      <w:rFonts w:eastAsia="Calibri" w:cs="Times New Roman"/>
    </w:rPr>
  </w:style>
  <w:style w:type="paragraph" w:styleId="TOC5">
    <w:name w:val="toc 5"/>
    <w:basedOn w:val="Normal"/>
    <w:next w:val="Normal"/>
    <w:autoRedefine/>
    <w:rsid w:val="00E97EDA"/>
    <w:pPr>
      <w:widowControl w:val="0"/>
      <w:spacing w:line="312" w:lineRule="auto"/>
      <w:ind w:left="800"/>
      <w:jc w:val="both"/>
    </w:pPr>
    <w:rPr>
      <w:rFonts w:eastAsia="Calibri"/>
      <w:sz w:val="20"/>
      <w:lang w:eastAsia="he-IL"/>
    </w:rPr>
  </w:style>
  <w:style w:type="character" w:styleId="BookTitle">
    <w:name w:val="Book Title"/>
    <w:uiPriority w:val="33"/>
    <w:qFormat/>
    <w:rsid w:val="00E97EDA"/>
    <w:rPr>
      <w:b/>
      <w:bCs/>
      <w:smallCaps/>
      <w:spacing w:val="5"/>
    </w:rPr>
  </w:style>
  <w:style w:type="numbering" w:customStyle="1" w:styleId="24">
    <w:name w:val="ללא רשימה2"/>
    <w:next w:val="NoList"/>
    <w:uiPriority w:val="99"/>
    <w:semiHidden/>
    <w:unhideWhenUsed/>
    <w:rsid w:val="00E97EDA"/>
  </w:style>
  <w:style w:type="character" w:customStyle="1" w:styleId="18">
    <w:name w:val="טקסט הערת סיום תו1"/>
    <w:uiPriority w:val="99"/>
    <w:semiHidden/>
    <w:rsid w:val="00E97EDA"/>
    <w:rPr>
      <w:szCs w:val="20"/>
    </w:rPr>
  </w:style>
  <w:style w:type="character" w:customStyle="1" w:styleId="19">
    <w:name w:val="גוף טקסט תו1"/>
    <w:uiPriority w:val="99"/>
    <w:semiHidden/>
    <w:rsid w:val="00E97EDA"/>
  </w:style>
  <w:style w:type="character" w:customStyle="1" w:styleId="210">
    <w:name w:val="גוף טקסט 2 תו1"/>
    <w:uiPriority w:val="99"/>
    <w:semiHidden/>
    <w:rsid w:val="00E97EDA"/>
  </w:style>
  <w:style w:type="character" w:customStyle="1" w:styleId="312">
    <w:name w:val="גוף טקסט 3 תו1"/>
    <w:uiPriority w:val="99"/>
    <w:semiHidden/>
    <w:rsid w:val="00E97EDA"/>
    <w:rPr>
      <w:sz w:val="16"/>
      <w:szCs w:val="16"/>
    </w:rPr>
  </w:style>
  <w:style w:type="character" w:customStyle="1" w:styleId="112">
    <w:name w:val="נושא הערה תו1"/>
    <w:uiPriority w:val="99"/>
    <w:semiHidden/>
    <w:rsid w:val="00E97EDA"/>
    <w:rPr>
      <w:rFonts w:eastAsia="Times New Roman"/>
      <w:b/>
      <w:bCs/>
      <w:szCs w:val="20"/>
      <w:lang w:eastAsia="he-IL"/>
    </w:rPr>
  </w:style>
  <w:style w:type="numbering" w:customStyle="1" w:styleId="34">
    <w:name w:val="ללא רשימה3"/>
    <w:next w:val="NoList"/>
    <w:uiPriority w:val="99"/>
    <w:semiHidden/>
    <w:unhideWhenUsed/>
    <w:rsid w:val="00E97EDA"/>
  </w:style>
  <w:style w:type="numbering" w:customStyle="1" w:styleId="121">
    <w:name w:val="ללא רשימה12"/>
    <w:next w:val="NoList"/>
    <w:uiPriority w:val="99"/>
    <w:semiHidden/>
    <w:unhideWhenUsed/>
    <w:rsid w:val="00E97EDA"/>
  </w:style>
  <w:style w:type="numbering" w:customStyle="1" w:styleId="44">
    <w:name w:val="ללא רשימה4"/>
    <w:next w:val="NoList"/>
    <w:uiPriority w:val="99"/>
    <w:semiHidden/>
    <w:unhideWhenUsed/>
    <w:rsid w:val="00E97EDA"/>
  </w:style>
  <w:style w:type="numbering" w:customStyle="1" w:styleId="53">
    <w:name w:val="ללא רשימה5"/>
    <w:next w:val="NoList"/>
    <w:uiPriority w:val="99"/>
    <w:semiHidden/>
    <w:unhideWhenUsed/>
    <w:rsid w:val="00E97EDA"/>
  </w:style>
  <w:style w:type="numbering" w:customStyle="1" w:styleId="131">
    <w:name w:val="ללא רשימה13"/>
    <w:next w:val="NoList"/>
    <w:uiPriority w:val="99"/>
    <w:semiHidden/>
    <w:unhideWhenUsed/>
    <w:rsid w:val="00E97EDA"/>
  </w:style>
  <w:style w:type="numbering" w:customStyle="1" w:styleId="1111">
    <w:name w:val="ללא רשימה111"/>
    <w:next w:val="NoList"/>
    <w:uiPriority w:val="99"/>
    <w:semiHidden/>
    <w:unhideWhenUsed/>
    <w:rsid w:val="00E97EDA"/>
  </w:style>
  <w:style w:type="numbering" w:customStyle="1" w:styleId="211">
    <w:name w:val="ללא רשימה21"/>
    <w:next w:val="NoList"/>
    <w:uiPriority w:val="99"/>
    <w:semiHidden/>
    <w:unhideWhenUsed/>
    <w:rsid w:val="00E97EDA"/>
  </w:style>
  <w:style w:type="numbering" w:customStyle="1" w:styleId="313">
    <w:name w:val="ללא רשימה31"/>
    <w:next w:val="NoList"/>
    <w:uiPriority w:val="99"/>
    <w:semiHidden/>
    <w:unhideWhenUsed/>
    <w:rsid w:val="00E97EDA"/>
  </w:style>
  <w:style w:type="numbering" w:customStyle="1" w:styleId="1210">
    <w:name w:val="ללא רשימה121"/>
    <w:next w:val="NoList"/>
    <w:uiPriority w:val="99"/>
    <w:semiHidden/>
    <w:unhideWhenUsed/>
    <w:rsid w:val="00E97EDA"/>
  </w:style>
  <w:style w:type="numbering" w:customStyle="1" w:styleId="62">
    <w:name w:val="ללא רשימה6"/>
    <w:next w:val="NoList"/>
    <w:uiPriority w:val="99"/>
    <w:semiHidden/>
    <w:unhideWhenUsed/>
    <w:rsid w:val="00E97EDA"/>
  </w:style>
  <w:style w:type="numbering" w:customStyle="1" w:styleId="141">
    <w:name w:val="ללא רשימה14"/>
    <w:next w:val="NoList"/>
    <w:uiPriority w:val="99"/>
    <w:semiHidden/>
    <w:unhideWhenUsed/>
    <w:rsid w:val="00E97EDA"/>
  </w:style>
  <w:style w:type="numbering" w:customStyle="1" w:styleId="1120">
    <w:name w:val="ללא רשימה112"/>
    <w:next w:val="NoList"/>
    <w:uiPriority w:val="99"/>
    <w:semiHidden/>
    <w:unhideWhenUsed/>
    <w:rsid w:val="00E97EDA"/>
  </w:style>
  <w:style w:type="numbering" w:customStyle="1" w:styleId="220">
    <w:name w:val="ללא רשימה22"/>
    <w:next w:val="NoList"/>
    <w:uiPriority w:val="99"/>
    <w:semiHidden/>
    <w:unhideWhenUsed/>
    <w:rsid w:val="00E97EDA"/>
  </w:style>
  <w:style w:type="numbering" w:customStyle="1" w:styleId="322">
    <w:name w:val="ללא רשימה32"/>
    <w:next w:val="NoList"/>
    <w:uiPriority w:val="99"/>
    <w:semiHidden/>
    <w:unhideWhenUsed/>
    <w:rsid w:val="00E97EDA"/>
  </w:style>
  <w:style w:type="numbering" w:customStyle="1" w:styleId="122">
    <w:name w:val="ללא רשימה122"/>
    <w:next w:val="NoList"/>
    <w:uiPriority w:val="99"/>
    <w:semiHidden/>
    <w:unhideWhenUsed/>
    <w:rsid w:val="00E97EDA"/>
  </w:style>
  <w:style w:type="numbering" w:customStyle="1" w:styleId="70">
    <w:name w:val="ללא רשימה7"/>
    <w:next w:val="NoList"/>
    <w:uiPriority w:val="99"/>
    <w:semiHidden/>
    <w:unhideWhenUsed/>
    <w:rsid w:val="00E97EDA"/>
  </w:style>
  <w:style w:type="numbering" w:customStyle="1" w:styleId="151">
    <w:name w:val="ללא רשימה15"/>
    <w:next w:val="NoList"/>
    <w:uiPriority w:val="99"/>
    <w:semiHidden/>
    <w:unhideWhenUsed/>
    <w:rsid w:val="00E97EDA"/>
  </w:style>
  <w:style w:type="numbering" w:customStyle="1" w:styleId="113">
    <w:name w:val="ללא רשימה113"/>
    <w:next w:val="NoList"/>
    <w:uiPriority w:val="99"/>
    <w:semiHidden/>
    <w:unhideWhenUsed/>
    <w:rsid w:val="00E97EDA"/>
  </w:style>
  <w:style w:type="numbering" w:customStyle="1" w:styleId="230">
    <w:name w:val="ללא רשימה23"/>
    <w:next w:val="NoList"/>
    <w:uiPriority w:val="99"/>
    <w:semiHidden/>
    <w:unhideWhenUsed/>
    <w:rsid w:val="00E97EDA"/>
  </w:style>
  <w:style w:type="numbering" w:customStyle="1" w:styleId="330">
    <w:name w:val="ללא רשימה33"/>
    <w:next w:val="NoList"/>
    <w:uiPriority w:val="99"/>
    <w:semiHidden/>
    <w:unhideWhenUsed/>
    <w:rsid w:val="00E97EDA"/>
  </w:style>
  <w:style w:type="numbering" w:customStyle="1" w:styleId="123">
    <w:name w:val="ללא רשימה123"/>
    <w:next w:val="NoList"/>
    <w:uiPriority w:val="99"/>
    <w:semiHidden/>
    <w:unhideWhenUsed/>
    <w:rsid w:val="00E97EDA"/>
  </w:style>
  <w:style w:type="numbering" w:customStyle="1" w:styleId="81">
    <w:name w:val="ללא רשימה8"/>
    <w:next w:val="NoList"/>
    <w:uiPriority w:val="99"/>
    <w:semiHidden/>
    <w:unhideWhenUsed/>
    <w:rsid w:val="00E97EDA"/>
  </w:style>
  <w:style w:type="paragraph" w:customStyle="1" w:styleId="114">
    <w:name w:val="פיסקת רשימה11"/>
    <w:basedOn w:val="Normal"/>
    <w:rsid w:val="00E97EDA"/>
    <w:pPr>
      <w:spacing w:after="200" w:line="276" w:lineRule="auto"/>
      <w:ind w:left="720"/>
    </w:pPr>
    <w:rPr>
      <w:rFonts w:ascii="Calibri" w:hAnsi="Calibri" w:cs="Arial"/>
      <w:sz w:val="22"/>
      <w:szCs w:val="22"/>
    </w:rPr>
  </w:style>
  <w:style w:type="paragraph" w:customStyle="1" w:styleId="Noparagraphstyle">
    <w:name w:val="[No paragraph style]"/>
    <w:rsid w:val="00E97EDA"/>
    <w:pPr>
      <w:widowControl w:val="0"/>
      <w:autoSpaceDE w:val="0"/>
      <w:autoSpaceDN w:val="0"/>
      <w:bidi/>
      <w:adjustRightInd w:val="0"/>
      <w:snapToGrid w:val="0"/>
      <w:spacing w:line="360" w:lineRule="auto"/>
    </w:pPr>
    <w:rPr>
      <w:rFonts w:ascii="Arial" w:eastAsia="Arial Unicode MS" w:hAnsi="Arial" w:cs="David"/>
      <w:color w:val="000000"/>
      <w:szCs w:val="26"/>
      <w:lang w:eastAsia="ja-JP"/>
    </w:rPr>
  </w:style>
  <w:style w:type="numbering" w:customStyle="1" w:styleId="91">
    <w:name w:val="ללא רשימה9"/>
    <w:next w:val="NoList"/>
    <w:uiPriority w:val="99"/>
    <w:semiHidden/>
    <w:unhideWhenUsed/>
    <w:rsid w:val="00E97EDA"/>
  </w:style>
  <w:style w:type="numbering" w:customStyle="1" w:styleId="161">
    <w:name w:val="ללא רשימה16"/>
    <w:next w:val="NoList"/>
    <w:uiPriority w:val="99"/>
    <w:semiHidden/>
    <w:unhideWhenUsed/>
    <w:rsid w:val="00E97EDA"/>
  </w:style>
  <w:style w:type="numbering" w:customStyle="1" w:styleId="1140">
    <w:name w:val="ללא רשימה114"/>
    <w:next w:val="NoList"/>
    <w:uiPriority w:val="99"/>
    <w:semiHidden/>
    <w:unhideWhenUsed/>
    <w:rsid w:val="00E97EDA"/>
  </w:style>
  <w:style w:type="numbering" w:customStyle="1" w:styleId="11110">
    <w:name w:val="ללא רשימה1111"/>
    <w:next w:val="NoList"/>
    <w:uiPriority w:val="99"/>
    <w:semiHidden/>
    <w:unhideWhenUsed/>
    <w:rsid w:val="00E97EDA"/>
  </w:style>
  <w:style w:type="numbering" w:customStyle="1" w:styleId="240">
    <w:name w:val="ללא רשימה24"/>
    <w:next w:val="NoList"/>
    <w:uiPriority w:val="99"/>
    <w:semiHidden/>
    <w:unhideWhenUsed/>
    <w:rsid w:val="00E97EDA"/>
  </w:style>
  <w:style w:type="numbering" w:customStyle="1" w:styleId="340">
    <w:name w:val="ללא רשימה34"/>
    <w:next w:val="NoList"/>
    <w:uiPriority w:val="99"/>
    <w:semiHidden/>
    <w:unhideWhenUsed/>
    <w:rsid w:val="00E97EDA"/>
  </w:style>
  <w:style w:type="numbering" w:customStyle="1" w:styleId="124">
    <w:name w:val="ללא רשימה124"/>
    <w:next w:val="NoList"/>
    <w:uiPriority w:val="99"/>
    <w:semiHidden/>
    <w:unhideWhenUsed/>
    <w:rsid w:val="00E97EDA"/>
  </w:style>
  <w:style w:type="numbering" w:customStyle="1" w:styleId="412">
    <w:name w:val="ללא רשימה41"/>
    <w:next w:val="NoList"/>
    <w:uiPriority w:val="99"/>
    <w:semiHidden/>
    <w:unhideWhenUsed/>
    <w:rsid w:val="00E97EDA"/>
  </w:style>
  <w:style w:type="numbering" w:customStyle="1" w:styleId="511">
    <w:name w:val="ללא רשימה51"/>
    <w:next w:val="NoList"/>
    <w:uiPriority w:val="99"/>
    <w:semiHidden/>
    <w:unhideWhenUsed/>
    <w:rsid w:val="00E97EDA"/>
  </w:style>
  <w:style w:type="numbering" w:customStyle="1" w:styleId="1310">
    <w:name w:val="ללא רשימה131"/>
    <w:next w:val="NoList"/>
    <w:uiPriority w:val="99"/>
    <w:semiHidden/>
    <w:unhideWhenUsed/>
    <w:rsid w:val="00E97EDA"/>
  </w:style>
  <w:style w:type="numbering" w:customStyle="1" w:styleId="11111">
    <w:name w:val="ללא רשימה11111"/>
    <w:next w:val="NoList"/>
    <w:uiPriority w:val="99"/>
    <w:semiHidden/>
    <w:unhideWhenUsed/>
    <w:rsid w:val="00E97EDA"/>
  </w:style>
  <w:style w:type="numbering" w:customStyle="1" w:styleId="2110">
    <w:name w:val="ללא רשימה211"/>
    <w:next w:val="NoList"/>
    <w:uiPriority w:val="99"/>
    <w:semiHidden/>
    <w:unhideWhenUsed/>
    <w:rsid w:val="00E97EDA"/>
  </w:style>
  <w:style w:type="numbering" w:customStyle="1" w:styleId="3110">
    <w:name w:val="ללא רשימה311"/>
    <w:next w:val="NoList"/>
    <w:uiPriority w:val="99"/>
    <w:semiHidden/>
    <w:unhideWhenUsed/>
    <w:rsid w:val="00E97EDA"/>
  </w:style>
  <w:style w:type="numbering" w:customStyle="1" w:styleId="1211">
    <w:name w:val="ללא רשימה1211"/>
    <w:next w:val="NoList"/>
    <w:uiPriority w:val="99"/>
    <w:semiHidden/>
    <w:unhideWhenUsed/>
    <w:rsid w:val="00E97EDA"/>
  </w:style>
  <w:style w:type="numbering" w:customStyle="1" w:styleId="611">
    <w:name w:val="ללא רשימה61"/>
    <w:next w:val="NoList"/>
    <w:uiPriority w:val="99"/>
    <w:semiHidden/>
    <w:unhideWhenUsed/>
    <w:rsid w:val="00E97EDA"/>
  </w:style>
  <w:style w:type="numbering" w:customStyle="1" w:styleId="1410">
    <w:name w:val="ללא רשימה141"/>
    <w:next w:val="NoList"/>
    <w:uiPriority w:val="99"/>
    <w:semiHidden/>
    <w:unhideWhenUsed/>
    <w:rsid w:val="00E97EDA"/>
  </w:style>
  <w:style w:type="numbering" w:customStyle="1" w:styleId="1121">
    <w:name w:val="ללא רשימה1121"/>
    <w:next w:val="NoList"/>
    <w:uiPriority w:val="99"/>
    <w:semiHidden/>
    <w:unhideWhenUsed/>
    <w:rsid w:val="00E97EDA"/>
  </w:style>
  <w:style w:type="numbering" w:customStyle="1" w:styleId="221">
    <w:name w:val="ללא רשימה221"/>
    <w:next w:val="NoList"/>
    <w:uiPriority w:val="99"/>
    <w:semiHidden/>
    <w:unhideWhenUsed/>
    <w:rsid w:val="00E97EDA"/>
  </w:style>
  <w:style w:type="numbering" w:customStyle="1" w:styleId="3210">
    <w:name w:val="ללא רשימה321"/>
    <w:next w:val="NoList"/>
    <w:uiPriority w:val="99"/>
    <w:semiHidden/>
    <w:unhideWhenUsed/>
    <w:rsid w:val="00E97EDA"/>
  </w:style>
  <w:style w:type="numbering" w:customStyle="1" w:styleId="1221">
    <w:name w:val="ללא רשימה1221"/>
    <w:next w:val="NoList"/>
    <w:uiPriority w:val="99"/>
    <w:semiHidden/>
    <w:unhideWhenUsed/>
    <w:rsid w:val="00E97EDA"/>
  </w:style>
  <w:style w:type="numbering" w:customStyle="1" w:styleId="710">
    <w:name w:val="ללא רשימה71"/>
    <w:next w:val="NoList"/>
    <w:uiPriority w:val="99"/>
    <w:semiHidden/>
    <w:unhideWhenUsed/>
    <w:rsid w:val="00E97EDA"/>
  </w:style>
  <w:style w:type="numbering" w:customStyle="1" w:styleId="1510">
    <w:name w:val="ללא רשימה151"/>
    <w:next w:val="NoList"/>
    <w:uiPriority w:val="99"/>
    <w:semiHidden/>
    <w:unhideWhenUsed/>
    <w:rsid w:val="00E97EDA"/>
  </w:style>
  <w:style w:type="numbering" w:customStyle="1" w:styleId="1131">
    <w:name w:val="ללא רשימה1131"/>
    <w:next w:val="NoList"/>
    <w:uiPriority w:val="99"/>
    <w:semiHidden/>
    <w:unhideWhenUsed/>
    <w:rsid w:val="00E97EDA"/>
  </w:style>
  <w:style w:type="numbering" w:customStyle="1" w:styleId="231">
    <w:name w:val="ללא רשימה231"/>
    <w:next w:val="NoList"/>
    <w:uiPriority w:val="99"/>
    <w:semiHidden/>
    <w:unhideWhenUsed/>
    <w:rsid w:val="00E97EDA"/>
  </w:style>
  <w:style w:type="numbering" w:customStyle="1" w:styleId="331">
    <w:name w:val="ללא רשימה331"/>
    <w:next w:val="NoList"/>
    <w:uiPriority w:val="99"/>
    <w:semiHidden/>
    <w:unhideWhenUsed/>
    <w:rsid w:val="00E97EDA"/>
  </w:style>
  <w:style w:type="numbering" w:customStyle="1" w:styleId="1231">
    <w:name w:val="ללא רשימה1231"/>
    <w:next w:val="NoList"/>
    <w:uiPriority w:val="99"/>
    <w:semiHidden/>
    <w:unhideWhenUsed/>
    <w:rsid w:val="00E97EDA"/>
  </w:style>
  <w:style w:type="numbering" w:customStyle="1" w:styleId="810">
    <w:name w:val="ללא רשימה81"/>
    <w:next w:val="NoList"/>
    <w:uiPriority w:val="99"/>
    <w:semiHidden/>
    <w:unhideWhenUsed/>
    <w:rsid w:val="00E97EDA"/>
  </w:style>
  <w:style w:type="table" w:customStyle="1" w:styleId="25">
    <w:name w:val="טבלת רשת2"/>
    <w:basedOn w:val="TableNormal"/>
    <w:next w:val="TableGrid"/>
    <w:rsid w:val="00E97EDA"/>
    <w:pPr>
      <w:widowControl w:val="0"/>
      <w:bidi/>
      <w:spacing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טבלת רשת11"/>
    <w:basedOn w:val="TableNormal"/>
    <w:next w:val="TableGrid"/>
    <w:uiPriority w:val="59"/>
    <w:rsid w:val="00E97EDA"/>
    <w:pPr>
      <w:jc w:val="both"/>
    </w:pPr>
    <w:rPr>
      <w:rFonts w:eastAsia="Calibri"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טבלת רשת3"/>
    <w:basedOn w:val="TableNormal"/>
    <w:next w:val="TableGrid"/>
    <w:rsid w:val="00E97EDA"/>
    <w:pPr>
      <w:widowControl w:val="0"/>
      <w:bidi/>
      <w:spacing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טבלת רשת12"/>
    <w:basedOn w:val="TableNormal"/>
    <w:next w:val="TableGrid"/>
    <w:uiPriority w:val="59"/>
    <w:rsid w:val="00E97EDA"/>
    <w:pPr>
      <w:jc w:val="both"/>
    </w:pPr>
    <w:rPr>
      <w:rFonts w:eastAsia="Calibri"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טבלת רשת4"/>
    <w:basedOn w:val="TableNormal"/>
    <w:next w:val="TableGrid"/>
    <w:rsid w:val="00E97EDA"/>
    <w:pPr>
      <w:widowControl w:val="0"/>
      <w:bidi/>
      <w:spacing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number">
    <w:name w:val="big-number"/>
    <w:rsid w:val="00E97EDA"/>
  </w:style>
  <w:style w:type="paragraph" w:customStyle="1" w:styleId="p000">
    <w:name w:val="p00"/>
    <w:basedOn w:val="Normal"/>
    <w:rsid w:val="00E97EDA"/>
    <w:pPr>
      <w:bidi w:val="0"/>
      <w:spacing w:before="100" w:beforeAutospacing="1" w:after="100" w:afterAutospacing="1" w:line="240" w:lineRule="auto"/>
    </w:pPr>
    <w:rPr>
      <w:rFonts w:cs="Times New Roman"/>
    </w:rPr>
  </w:style>
  <w:style w:type="paragraph" w:customStyle="1" w:styleId="p220">
    <w:name w:val="p22"/>
    <w:basedOn w:val="Normal"/>
    <w:rsid w:val="00E97EDA"/>
    <w:pPr>
      <w:bidi w:val="0"/>
      <w:spacing w:before="100" w:beforeAutospacing="1" w:after="100" w:afterAutospacing="1" w:line="240" w:lineRule="auto"/>
    </w:pPr>
    <w:rPr>
      <w:rFonts w:cs="Times New Roman"/>
    </w:rPr>
  </w:style>
  <w:style w:type="character" w:styleId="HTMLCite">
    <w:name w:val="HTML Cite"/>
    <w:uiPriority w:val="99"/>
    <w:semiHidden/>
    <w:unhideWhenUsed/>
    <w:rsid w:val="00E97EDA"/>
    <w:rPr>
      <w:i/>
      <w:iCs/>
    </w:rPr>
  </w:style>
  <w:style w:type="character" w:customStyle="1" w:styleId="st1">
    <w:name w:val="st1"/>
    <w:rsid w:val="00E97EDA"/>
  </w:style>
  <w:style w:type="character" w:customStyle="1" w:styleId="Heading9Char">
    <w:name w:val="Heading 9 Char"/>
    <w:link w:val="Heading9"/>
    <w:uiPriority w:val="9"/>
    <w:rsid w:val="00E97EDA"/>
    <w:rPr>
      <w:rFonts w:cs="David"/>
      <w:noProof/>
      <w:sz w:val="48"/>
      <w:szCs w:val="28"/>
      <w:lang w:eastAsia="he-IL"/>
    </w:rPr>
  </w:style>
  <w:style w:type="character" w:customStyle="1" w:styleId="BodyTextIndentChar">
    <w:name w:val="Body Text Indent Char"/>
    <w:link w:val="BodyTextIndent"/>
    <w:uiPriority w:val="99"/>
    <w:semiHidden/>
    <w:rsid w:val="00E97EDA"/>
    <w:rPr>
      <w:rFonts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wmf"/><Relationship Id="rId26" Type="http://schemas.openxmlformats.org/officeDocument/2006/relationships/image" Target="media/image13.wmf"/><Relationship Id="rId39" Type="http://schemas.openxmlformats.org/officeDocument/2006/relationships/theme" Target="theme/theme1.xml"/><Relationship Id="rId21" Type="http://schemas.openxmlformats.org/officeDocument/2006/relationships/image" Target="media/image8.wmf"/><Relationship Id="rId34" Type="http://schemas.openxmlformats.org/officeDocument/2006/relationships/image" Target="media/image21.jpeg"/><Relationship Id="rId42" Type="http://schemas.openxmlformats.org/officeDocument/2006/relationships/customXml" Target="../customXml/item2.xml"/><Relationship Id="rId7" Type="http://schemas.openxmlformats.org/officeDocument/2006/relationships/image" Target="media/image2.wmf"/><Relationship Id="rId16" Type="http://schemas.openxmlformats.org/officeDocument/2006/relationships/footer" Target="footer4.xml"/><Relationship Id="rId2" Type="http://schemas.openxmlformats.org/officeDocument/2006/relationships/settings" Target="settings.xml"/><Relationship Id="rId20" Type="http://schemas.openxmlformats.org/officeDocument/2006/relationships/image" Target="media/image7.wmf"/><Relationship Id="rId29" Type="http://schemas.openxmlformats.org/officeDocument/2006/relationships/image" Target="media/image16.wmf"/><Relationship Id="rId41" Type="http://schemas.openxmlformats.org/officeDocument/2006/relationships/styles" Target="styles.xml"/><Relationship Id="rId1"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header" Target="header4.xml"/><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3.jpeg"/><Relationship Id="rId5"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image" Target="media/image18.wmf"/><Relationship Id="rId44" Type="http://schemas.openxmlformats.org/officeDocument/2006/relationships/customXml" Target="../customXml/item4.xml"/><Relationship Id="rId14" Type="http://schemas.openxmlformats.org/officeDocument/2006/relationships/footer" Target="footer3.xml"/><Relationship Id="rId22" Type="http://schemas.openxmlformats.org/officeDocument/2006/relationships/image" Target="media/image9.wmf"/><Relationship Id="rId27" Type="http://schemas.openxmlformats.org/officeDocument/2006/relationships/image" Target="media/image14.jpeg"/><Relationship Id="rId30" Type="http://schemas.openxmlformats.org/officeDocument/2006/relationships/image" Target="media/image17.wmf"/><Relationship Id="rId35" Type="http://schemas.openxmlformats.org/officeDocument/2006/relationships/image" Target="media/image22.wmf"/><Relationship Id="rId4" Type="http://schemas.openxmlformats.org/officeDocument/2006/relationships/fontTable" Target="fontTable.xml"/><Relationship Id="rId9" Type="http://schemas.openxmlformats.org/officeDocument/2006/relationships/header" Target="header1.xml"/><Relationship Id="rId43" Type="http://schemas.openxmlformats.org/officeDocument/2006/relationships/customXml" Target="../customXml/item3.xml"/><Relationship Id="rId8" Type="http://schemas.openxmlformats.org/officeDocument/2006/relationships/image" Target="media/image3.wmf"/><Relationship Id="rId3"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B160B40-E3AA-4AC8-9882-3412A3A3570A}">
  <ds:schemaRefs>
    <ds:schemaRef ds:uri="http://schemas.openxmlformats.org/officeDocument/2006/bibliography"/>
  </ds:schemaRefs>
</ds:datastoreItem>
</file>

<file path=customXml/itemProps2.xml><?xml version="1.0" encoding="utf-8"?>
<ds:datastoreItem xmlns:ds="http://schemas.openxmlformats.org/officeDocument/2006/customXml" ds:itemID="{81B30BDC-68BC-4828-8074-FE90F11E6234}"/>
</file>

<file path=customXml/itemProps3.xml><?xml version="1.0" encoding="utf-8"?>
<ds:datastoreItem xmlns:ds="http://schemas.openxmlformats.org/officeDocument/2006/customXml" ds:itemID="{83E8341D-8C04-489F-A774-2E4AF8E38A2A}"/>
</file>

<file path=customXml/itemProps4.xml><?xml version="1.0" encoding="utf-8"?>
<ds:datastoreItem xmlns:ds="http://schemas.openxmlformats.org/officeDocument/2006/customXml" ds:itemID="{F4923F14-2F67-4A43-8BC8-9F9B6477E4F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193600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